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الشعائر الحسینیه بین الاصاله والتجدید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398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0400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0402_2749589250">
            <w:r>
              <w:rPr>
                <w:webHidden/>
                <w:rStyle w:val="IndexLink"/>
                <w:rtl w:val="true"/>
              </w:rPr>
              <w:t>مقدمة القسم</w:t>
            </w:r>
            <w:r>
              <w:rPr>
                <w:rStyle w:val="IndexLink"/>
                <w:rtl w:val="true"/>
              </w:rPr>
              <w:tab/>
            </w:r>
            <w:r>
              <w:rPr>
                <w:rStyle w:val="IndexLink"/>
              </w:rPr>
              <w:t>12</w:t>
            </w:r>
          </w:hyperlink>
        </w:p>
        <w:p>
          <w:pPr>
            <w:pStyle w:val="Contents2"/>
            <w:tabs>
              <w:tab w:val="clear" w:pos="8743"/>
              <w:tab w:val="right" w:pos="9026" w:leader="dot"/>
            </w:tabs>
            <w:rPr/>
          </w:pPr>
          <w:hyperlink w:anchor="__RefHeading___Toc110404_2749589250">
            <w:r>
              <w:rPr>
                <w:webHidden/>
                <w:rStyle w:val="IndexLink"/>
                <w:rtl w:val="true"/>
              </w:rPr>
              <w:t>تقریض</w:t>
            </w:r>
            <w:r>
              <w:rPr>
                <w:rStyle w:val="IndexLink"/>
                <w:rtl w:val="true"/>
              </w:rPr>
              <w:tab/>
            </w:r>
            <w:r>
              <w:rPr>
                <w:rStyle w:val="IndexLink"/>
              </w:rPr>
              <w:t>13</w:t>
            </w:r>
          </w:hyperlink>
        </w:p>
        <w:p>
          <w:pPr>
            <w:pStyle w:val="Contents2"/>
            <w:tabs>
              <w:tab w:val="clear" w:pos="8743"/>
              <w:tab w:val="right" w:pos="9026" w:leader="dot"/>
            </w:tabs>
            <w:rPr/>
          </w:pPr>
          <w:hyperlink w:anchor="__RefHeading___Toc110406_274958925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10408_2749589250">
            <w:r>
              <w:rPr>
                <w:webHidden/>
                <w:rStyle w:val="IndexLink"/>
                <w:rtl w:val="true"/>
              </w:rPr>
              <w:t>الإهداء</w:t>
            </w:r>
            <w:r>
              <w:rPr>
                <w:rStyle w:val="IndexLink"/>
                <w:rtl w:val="true"/>
              </w:rPr>
              <w:tab/>
            </w:r>
            <w:r>
              <w:rPr>
                <w:rStyle w:val="IndexLink"/>
              </w:rPr>
              <w:t>18</w:t>
            </w:r>
          </w:hyperlink>
        </w:p>
        <w:p>
          <w:pPr>
            <w:pStyle w:val="Contents2"/>
            <w:tabs>
              <w:tab w:val="clear" w:pos="8743"/>
              <w:tab w:val="right" w:pos="9026" w:leader="dot"/>
            </w:tabs>
            <w:rPr/>
          </w:pPr>
          <w:hyperlink w:anchor="__RefHeading___Toc110410_2749589250">
            <w:r>
              <w:rPr>
                <w:webHidden/>
                <w:rStyle w:val="IndexLink"/>
                <w:rtl w:val="true"/>
              </w:rPr>
              <w:t>دیباجة الکتاب</w:t>
            </w:r>
            <w:r>
              <w:rPr>
                <w:rStyle w:val="IndexLink"/>
                <w:rtl w:val="true"/>
              </w:rPr>
              <w:tab/>
            </w:r>
            <w:r>
              <w:rPr>
                <w:rStyle w:val="IndexLink"/>
              </w:rPr>
              <w:t>19</w:t>
            </w:r>
          </w:hyperlink>
        </w:p>
        <w:p>
          <w:pPr>
            <w:pStyle w:val="Contents3"/>
            <w:tabs>
              <w:tab w:val="clear" w:pos="8459"/>
              <w:tab w:val="right" w:pos="9026" w:leader="dot"/>
            </w:tabs>
            <w:rPr/>
          </w:pPr>
          <w:hyperlink w:anchor="__RefHeading___Toc110412_27495892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10414_2749589250">
            <w:r>
              <w:rPr>
                <w:webHidden/>
                <w:rStyle w:val="IndexLink"/>
                <w:rtl w:val="true"/>
              </w:rPr>
              <w:t>الجانب الأوّل</w:t>
            </w:r>
            <w:r>
              <w:rPr>
                <w:rStyle w:val="IndexLink"/>
                <w:rtl w:val="true"/>
              </w:rPr>
              <w:t xml:space="preserve">: </w:t>
            </w:r>
            <w:r>
              <w:rPr>
                <w:rStyle w:val="IndexLink"/>
                <w:rtl w:val="true"/>
              </w:rPr>
              <w:t>تنوّع موارد الشعائر</w:t>
            </w:r>
            <w:r>
              <w:rPr>
                <w:rStyle w:val="IndexLink"/>
                <w:rtl w:val="true"/>
              </w:rPr>
              <w:tab/>
            </w:r>
            <w:r>
              <w:rPr>
                <w:rStyle w:val="IndexLink"/>
              </w:rPr>
              <w:t>19</w:t>
            </w:r>
          </w:hyperlink>
        </w:p>
        <w:p>
          <w:pPr>
            <w:pStyle w:val="Contents3"/>
            <w:tabs>
              <w:tab w:val="clear" w:pos="8459"/>
              <w:tab w:val="right" w:pos="9026" w:leader="dot"/>
            </w:tabs>
            <w:rPr/>
          </w:pPr>
          <w:hyperlink w:anchor="__RefHeading___Toc110416_2749589250">
            <w:r>
              <w:rPr>
                <w:webHidden/>
                <w:rStyle w:val="IndexLink"/>
                <w:rtl w:val="true"/>
              </w:rPr>
              <w:t>الجانب الثانی</w:t>
            </w:r>
            <w:r>
              <w:rPr>
                <w:rStyle w:val="IndexLink"/>
                <w:rtl w:val="true"/>
              </w:rPr>
              <w:t xml:space="preserve">: </w:t>
            </w:r>
            <w:r>
              <w:rPr>
                <w:rStyle w:val="IndexLink"/>
                <w:rtl w:val="true"/>
              </w:rPr>
              <w:t>الإشکالات حول الشعائر الدینیّة</w:t>
            </w:r>
            <w:r>
              <w:rPr>
                <w:rStyle w:val="IndexLink"/>
                <w:rtl w:val="true"/>
              </w:rPr>
              <w:tab/>
            </w:r>
            <w:r>
              <w:rPr>
                <w:rStyle w:val="IndexLink"/>
              </w:rPr>
              <w:t>21</w:t>
            </w:r>
          </w:hyperlink>
        </w:p>
        <w:p>
          <w:pPr>
            <w:pStyle w:val="Contents4"/>
            <w:tabs>
              <w:tab w:val="clear" w:pos="8176"/>
              <w:tab w:val="right" w:pos="9026" w:leader="dot"/>
            </w:tabs>
            <w:rPr/>
          </w:pPr>
          <w:hyperlink w:anchor="__RefHeading___Toc110418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0420_2749589250">
            <w:r>
              <w:rPr>
                <w:webHidden/>
                <w:rStyle w:val="IndexLink"/>
                <w:rtl w:val="true"/>
              </w:rPr>
              <w:t>الإشکال الأوّل</w:t>
            </w:r>
            <w:r>
              <w:rPr>
                <w:rStyle w:val="IndexLink"/>
                <w:rtl w:val="true"/>
              </w:rPr>
              <w:tab/>
            </w:r>
            <w:r>
              <w:rPr>
                <w:rStyle w:val="IndexLink"/>
              </w:rPr>
              <w:t>21</w:t>
            </w:r>
          </w:hyperlink>
        </w:p>
        <w:p>
          <w:pPr>
            <w:pStyle w:val="Contents4"/>
            <w:tabs>
              <w:tab w:val="clear" w:pos="8176"/>
              <w:tab w:val="right" w:pos="9026" w:leader="dot"/>
            </w:tabs>
            <w:rPr/>
          </w:pPr>
          <w:hyperlink w:anchor="__RefHeading___Toc110422_2749589250">
            <w:r>
              <w:rPr>
                <w:webHidden/>
                <w:rStyle w:val="IndexLink"/>
                <w:rtl w:val="true"/>
              </w:rPr>
              <w:t>الإشکال الثانی</w:t>
            </w:r>
            <w:r>
              <w:rPr>
                <w:rStyle w:val="IndexLink"/>
                <w:rtl w:val="true"/>
              </w:rPr>
              <w:tab/>
            </w:r>
            <w:r>
              <w:rPr>
                <w:rStyle w:val="IndexLink"/>
              </w:rPr>
              <w:t>22</w:t>
            </w:r>
          </w:hyperlink>
        </w:p>
        <w:p>
          <w:pPr>
            <w:pStyle w:val="Contents4"/>
            <w:tabs>
              <w:tab w:val="clear" w:pos="8176"/>
              <w:tab w:val="right" w:pos="9026" w:leader="dot"/>
            </w:tabs>
            <w:rPr/>
          </w:pPr>
          <w:hyperlink w:anchor="__RefHeading___Toc110424_2749589250">
            <w:r>
              <w:rPr>
                <w:webHidden/>
                <w:rStyle w:val="IndexLink"/>
                <w:rtl w:val="true"/>
              </w:rPr>
              <w:t>الإشکال الثالث</w:t>
            </w:r>
            <w:r>
              <w:rPr>
                <w:rStyle w:val="IndexLink"/>
                <w:rtl w:val="true"/>
              </w:rPr>
              <w:tab/>
            </w:r>
            <w:r>
              <w:rPr>
                <w:rStyle w:val="IndexLink"/>
              </w:rPr>
              <w:t>22</w:t>
            </w:r>
          </w:hyperlink>
        </w:p>
        <w:p>
          <w:pPr>
            <w:pStyle w:val="Contents4"/>
            <w:tabs>
              <w:tab w:val="clear" w:pos="8176"/>
              <w:tab w:val="right" w:pos="9026" w:leader="dot"/>
            </w:tabs>
            <w:rPr/>
          </w:pPr>
          <w:hyperlink w:anchor="__RefHeading___Toc110426_2749589250">
            <w:r>
              <w:rPr>
                <w:webHidden/>
                <w:rStyle w:val="IndexLink"/>
                <w:rtl w:val="true"/>
              </w:rPr>
              <w:t>الإشکال الرابع</w:t>
            </w:r>
            <w:r>
              <w:rPr>
                <w:rStyle w:val="IndexLink"/>
                <w:rtl w:val="true"/>
              </w:rPr>
              <w:tab/>
            </w:r>
            <w:r>
              <w:rPr>
                <w:rStyle w:val="IndexLink"/>
              </w:rPr>
              <w:t>22</w:t>
            </w:r>
          </w:hyperlink>
        </w:p>
        <w:p>
          <w:pPr>
            <w:pStyle w:val="Contents4"/>
            <w:tabs>
              <w:tab w:val="clear" w:pos="8176"/>
              <w:tab w:val="right" w:pos="9026" w:leader="dot"/>
            </w:tabs>
            <w:rPr/>
          </w:pPr>
          <w:hyperlink w:anchor="__RefHeading___Toc110428_2749589250">
            <w:r>
              <w:rPr>
                <w:webHidden/>
                <w:rStyle w:val="IndexLink"/>
                <w:rtl w:val="true"/>
              </w:rPr>
              <w:t>الإشکال الخامس</w:t>
            </w:r>
            <w:r>
              <w:rPr>
                <w:rStyle w:val="IndexLink"/>
                <w:rtl w:val="true"/>
              </w:rPr>
              <w:tab/>
            </w:r>
            <w:r>
              <w:rPr>
                <w:rStyle w:val="IndexLink"/>
              </w:rPr>
              <w:t>23</w:t>
            </w:r>
          </w:hyperlink>
        </w:p>
        <w:p>
          <w:pPr>
            <w:pStyle w:val="Contents4"/>
            <w:tabs>
              <w:tab w:val="clear" w:pos="8176"/>
              <w:tab w:val="right" w:pos="9026" w:leader="dot"/>
            </w:tabs>
            <w:rPr/>
          </w:pPr>
          <w:hyperlink w:anchor="__RefHeading___Toc110430_2749589250">
            <w:r>
              <w:rPr>
                <w:webHidden/>
                <w:rStyle w:val="IndexLink"/>
                <w:rtl w:val="true"/>
              </w:rPr>
              <w:t>الإشکال السادس</w:t>
            </w:r>
            <w:r>
              <w:rPr>
                <w:rStyle w:val="IndexLink"/>
                <w:rtl w:val="true"/>
              </w:rPr>
              <w:tab/>
            </w:r>
            <w:r>
              <w:rPr>
                <w:rStyle w:val="IndexLink"/>
              </w:rPr>
              <w:t>23</w:t>
            </w:r>
          </w:hyperlink>
        </w:p>
        <w:p>
          <w:pPr>
            <w:pStyle w:val="Contents4"/>
            <w:tabs>
              <w:tab w:val="clear" w:pos="8176"/>
              <w:tab w:val="right" w:pos="9026" w:leader="dot"/>
            </w:tabs>
            <w:rPr/>
          </w:pPr>
          <w:hyperlink w:anchor="__RefHeading___Toc110432_2749589250">
            <w:r>
              <w:rPr>
                <w:webHidden/>
                <w:rStyle w:val="IndexLink"/>
                <w:rtl w:val="true"/>
              </w:rPr>
              <w:t>الإشکال السابع</w:t>
            </w:r>
            <w:r>
              <w:rPr>
                <w:rStyle w:val="IndexLink"/>
                <w:rtl w:val="true"/>
              </w:rPr>
              <w:tab/>
            </w:r>
            <w:r>
              <w:rPr>
                <w:rStyle w:val="IndexLink"/>
              </w:rPr>
              <w:t>23</w:t>
            </w:r>
          </w:hyperlink>
        </w:p>
        <w:p>
          <w:pPr>
            <w:pStyle w:val="Contents3"/>
            <w:tabs>
              <w:tab w:val="clear" w:pos="8459"/>
              <w:tab w:val="right" w:pos="9026" w:leader="dot"/>
            </w:tabs>
            <w:rPr/>
          </w:pPr>
          <w:hyperlink w:anchor="__RefHeading___Toc110434_2749589250">
            <w:r>
              <w:rPr>
                <w:webHidden/>
                <w:rStyle w:val="IndexLink"/>
                <w:rtl w:val="true"/>
              </w:rPr>
              <w:t>الجانب الثالث</w:t>
            </w:r>
            <w:r>
              <w:rPr>
                <w:rStyle w:val="IndexLink"/>
                <w:rtl w:val="true"/>
              </w:rPr>
              <w:tab/>
            </w:r>
            <w:r>
              <w:rPr>
                <w:rStyle w:val="IndexLink"/>
              </w:rPr>
              <w:t>24</w:t>
            </w:r>
          </w:hyperlink>
        </w:p>
        <w:p>
          <w:pPr>
            <w:pStyle w:val="Contents3"/>
            <w:tabs>
              <w:tab w:val="clear" w:pos="8459"/>
              <w:tab w:val="right" w:pos="9026" w:leader="dot"/>
            </w:tabs>
            <w:rPr/>
          </w:pPr>
          <w:hyperlink w:anchor="__RefHeading___Toc110436_2749589250">
            <w:r>
              <w:rPr>
                <w:webHidden/>
                <w:rStyle w:val="IndexLink"/>
                <w:rtl w:val="true"/>
              </w:rPr>
              <w:t>الجانب الرابع</w:t>
            </w:r>
            <w:r>
              <w:rPr>
                <w:rStyle w:val="IndexLink"/>
                <w:rtl w:val="true"/>
              </w:rPr>
              <w:t xml:space="preserve">: </w:t>
            </w:r>
            <w:r>
              <w:rPr>
                <w:rStyle w:val="IndexLink"/>
                <w:rtl w:val="true"/>
              </w:rPr>
              <w:t>إطار موضوع القاعدة</w:t>
            </w:r>
            <w:r>
              <w:rPr>
                <w:rStyle w:val="IndexLink"/>
                <w:rtl w:val="true"/>
              </w:rPr>
              <w:tab/>
            </w:r>
            <w:r>
              <w:rPr>
                <w:rStyle w:val="IndexLink"/>
              </w:rPr>
              <w:t>26</w:t>
            </w:r>
          </w:hyperlink>
        </w:p>
        <w:p>
          <w:pPr>
            <w:pStyle w:val="Contents3"/>
            <w:tabs>
              <w:tab w:val="clear" w:pos="8459"/>
              <w:tab w:val="right" w:pos="9026" w:leader="dot"/>
            </w:tabs>
            <w:rPr/>
          </w:pPr>
          <w:hyperlink w:anchor="__RefHeading___Toc110438_2749589250">
            <w:r>
              <w:rPr>
                <w:webHidden/>
                <w:rStyle w:val="IndexLink"/>
                <w:rtl w:val="true"/>
              </w:rPr>
              <w:t>الجانب الخامس</w:t>
            </w:r>
            <w:r>
              <w:rPr>
                <w:rStyle w:val="IndexLink"/>
                <w:rtl w:val="true"/>
              </w:rPr>
              <w:tab/>
            </w:r>
            <w:r>
              <w:rPr>
                <w:rStyle w:val="IndexLink"/>
              </w:rPr>
              <w:t>26</w:t>
            </w:r>
          </w:hyperlink>
        </w:p>
        <w:p>
          <w:pPr>
            <w:pStyle w:val="Contents2"/>
            <w:tabs>
              <w:tab w:val="clear" w:pos="8743"/>
              <w:tab w:val="right" w:pos="9026" w:leader="dot"/>
            </w:tabs>
            <w:rPr/>
          </w:pPr>
          <w:hyperlink w:anchor="__RefHeading___Toc110440_2749589250">
            <w:r>
              <w:rPr>
                <w:webHidden/>
                <w:rStyle w:val="IndexLink"/>
                <w:rtl w:val="true"/>
              </w:rPr>
              <w:t>المقام الأول</w:t>
            </w:r>
            <w:r>
              <w:rPr>
                <w:rStyle w:val="IndexLink"/>
                <w:rtl w:val="true"/>
              </w:rPr>
              <w:t xml:space="preserve">: </w:t>
            </w:r>
            <w:r>
              <w:rPr>
                <w:rStyle w:val="IndexLink"/>
                <w:rtl w:val="true"/>
              </w:rPr>
              <w:t>الشعائر الدینیة</w:t>
            </w:r>
            <w:r>
              <w:rPr>
                <w:rStyle w:val="IndexLink"/>
                <w:rtl w:val="true"/>
              </w:rPr>
              <w:tab/>
            </w:r>
            <w:r>
              <w:rPr>
                <w:rStyle w:val="IndexLink"/>
              </w:rPr>
              <w:t>29</w:t>
            </w:r>
          </w:hyperlink>
        </w:p>
        <w:p>
          <w:pPr>
            <w:pStyle w:val="Contents3"/>
            <w:tabs>
              <w:tab w:val="clear" w:pos="8459"/>
              <w:tab w:val="right" w:pos="9026" w:leader="dot"/>
            </w:tabs>
            <w:rPr/>
          </w:pPr>
          <w:hyperlink w:anchor="__RefHeading___Toc110442_274958925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10444_2749589250">
            <w:r>
              <w:rPr>
                <w:webHidden/>
                <w:rStyle w:val="IndexLink"/>
                <w:rtl w:val="true"/>
              </w:rPr>
              <w:t>الجهة الأُولی</w:t>
            </w:r>
            <w:r>
              <w:rPr>
                <w:rStyle w:val="IndexLink"/>
                <w:rtl w:val="true"/>
              </w:rPr>
              <w:t xml:space="preserve">: </w:t>
            </w:r>
            <w:r>
              <w:rPr>
                <w:rStyle w:val="IndexLink"/>
                <w:rtl w:val="true"/>
              </w:rPr>
              <w:t>الأدلّةُ الإجمالیّة</w:t>
            </w:r>
            <w:r>
              <w:rPr>
                <w:rStyle w:val="IndexLink"/>
                <w:rtl w:val="true"/>
              </w:rPr>
              <w:tab/>
            </w:r>
            <w:r>
              <w:rPr>
                <w:rStyle w:val="IndexLink"/>
              </w:rPr>
              <w:t>30</w:t>
            </w:r>
          </w:hyperlink>
        </w:p>
        <w:p>
          <w:pPr>
            <w:pStyle w:val="Contents4"/>
            <w:tabs>
              <w:tab w:val="clear" w:pos="8176"/>
              <w:tab w:val="right" w:pos="9026" w:leader="dot"/>
            </w:tabs>
            <w:rPr/>
          </w:pPr>
          <w:hyperlink w:anchor="__RefHeading___Toc110446_274958925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0448_2749589250">
            <w:r>
              <w:rPr>
                <w:webHidden/>
                <w:rStyle w:val="IndexLink"/>
                <w:rtl w:val="true"/>
              </w:rPr>
              <w:t>الطائفة الأولی من الأدلّة</w:t>
            </w:r>
            <w:r>
              <w:rPr>
                <w:rStyle w:val="IndexLink"/>
                <w:rtl w:val="true"/>
              </w:rPr>
              <w:tab/>
            </w:r>
            <w:r>
              <w:rPr>
                <w:rStyle w:val="IndexLink"/>
              </w:rPr>
              <w:t>32</w:t>
            </w:r>
          </w:hyperlink>
        </w:p>
        <w:p>
          <w:pPr>
            <w:pStyle w:val="Contents4"/>
            <w:tabs>
              <w:tab w:val="clear" w:pos="8176"/>
              <w:tab w:val="right" w:pos="9026" w:leader="dot"/>
            </w:tabs>
            <w:rPr/>
          </w:pPr>
          <w:hyperlink w:anchor="__RefHeading___Toc110450_2749589250">
            <w:r>
              <w:rPr>
                <w:webHidden/>
                <w:rStyle w:val="IndexLink"/>
                <w:rtl w:val="true"/>
              </w:rPr>
              <w:t>الطائفة الثانیة من الأدلّة</w:t>
            </w:r>
            <w:r>
              <w:rPr>
                <w:rStyle w:val="IndexLink"/>
                <w:rtl w:val="true"/>
              </w:rPr>
              <w:tab/>
            </w:r>
            <w:r>
              <w:rPr>
                <w:rStyle w:val="IndexLink"/>
              </w:rPr>
              <w:t>34</w:t>
            </w:r>
          </w:hyperlink>
        </w:p>
        <w:p>
          <w:pPr>
            <w:pStyle w:val="Contents4"/>
            <w:tabs>
              <w:tab w:val="clear" w:pos="8176"/>
              <w:tab w:val="right" w:pos="9026" w:leader="dot"/>
            </w:tabs>
            <w:rPr/>
          </w:pPr>
          <w:hyperlink w:anchor="__RefHeading___Toc110452_2749589250">
            <w:r>
              <w:rPr>
                <w:webHidden/>
                <w:rStyle w:val="IndexLink"/>
                <w:rtl w:val="true"/>
              </w:rPr>
              <w:t>الطائفة الثالثة من الأدلّة</w:t>
            </w:r>
            <w:r>
              <w:rPr>
                <w:rStyle w:val="IndexLink"/>
                <w:rtl w:val="true"/>
              </w:rPr>
              <w:tab/>
            </w:r>
            <w:r>
              <w:rPr>
                <w:rStyle w:val="IndexLink"/>
              </w:rPr>
              <w:t>38</w:t>
            </w:r>
          </w:hyperlink>
        </w:p>
        <w:p>
          <w:pPr>
            <w:pStyle w:val="Contents3"/>
            <w:tabs>
              <w:tab w:val="clear" w:pos="8459"/>
              <w:tab w:val="right" w:pos="9026" w:leader="dot"/>
            </w:tabs>
            <w:rPr/>
          </w:pPr>
          <w:hyperlink w:anchor="__RefHeading___Toc110454_2749589250">
            <w:r>
              <w:rPr>
                <w:webHidden/>
                <w:rStyle w:val="IndexLink"/>
                <w:rtl w:val="true"/>
              </w:rPr>
              <w:t>الجهة الثانیة</w:t>
            </w:r>
            <w:r>
              <w:rPr>
                <w:rStyle w:val="IndexLink"/>
                <w:rtl w:val="true"/>
              </w:rPr>
              <w:t xml:space="preserve">: </w:t>
            </w:r>
            <w:r>
              <w:rPr>
                <w:rStyle w:val="IndexLink"/>
                <w:rtl w:val="true"/>
              </w:rPr>
              <w:t>أقوال العامّة والخاصّة حول هذه القاعدة</w:t>
            </w:r>
            <w:r>
              <w:rPr>
                <w:rStyle w:val="IndexLink"/>
                <w:rtl w:val="true"/>
              </w:rPr>
              <w:tab/>
            </w:r>
            <w:r>
              <w:rPr>
                <w:rStyle w:val="IndexLink"/>
              </w:rPr>
              <w:t>39</w:t>
            </w:r>
          </w:hyperlink>
        </w:p>
        <w:p>
          <w:pPr>
            <w:pStyle w:val="Contents4"/>
            <w:tabs>
              <w:tab w:val="clear" w:pos="8176"/>
              <w:tab w:val="right" w:pos="9026" w:leader="dot"/>
            </w:tabs>
            <w:rPr/>
          </w:pPr>
          <w:hyperlink w:anchor="__RefHeading___Toc110456_274958925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0458_2749589250">
            <w:r>
              <w:rPr>
                <w:webHidden/>
                <w:rStyle w:val="IndexLink"/>
                <w:rtl w:val="true"/>
              </w:rPr>
              <w:t>أقوال العامة</w:t>
            </w:r>
            <w:r>
              <w:rPr>
                <w:rStyle w:val="IndexLink"/>
                <w:rtl w:val="true"/>
              </w:rPr>
              <w:tab/>
            </w:r>
            <w:r>
              <w:rPr>
                <w:rStyle w:val="IndexLink"/>
              </w:rPr>
              <w:t>40</w:t>
            </w:r>
          </w:hyperlink>
        </w:p>
        <w:p>
          <w:pPr>
            <w:pStyle w:val="Contents4"/>
            <w:tabs>
              <w:tab w:val="clear" w:pos="8176"/>
              <w:tab w:val="right" w:pos="9026" w:leader="dot"/>
            </w:tabs>
            <w:rPr/>
          </w:pPr>
          <w:hyperlink w:anchor="__RefHeading___Toc110460_2749589250">
            <w:r>
              <w:rPr>
                <w:webHidden/>
                <w:rStyle w:val="IndexLink"/>
                <w:rtl w:val="true"/>
              </w:rPr>
              <w:t>أقوال الخاصّة</w:t>
            </w:r>
            <w:r>
              <w:rPr>
                <w:rStyle w:val="IndexLink"/>
                <w:rtl w:val="true"/>
              </w:rPr>
              <w:tab/>
            </w:r>
            <w:r>
              <w:rPr>
                <w:rStyle w:val="IndexLink"/>
              </w:rPr>
              <w:t>41</w:t>
            </w:r>
          </w:hyperlink>
        </w:p>
        <w:p>
          <w:pPr>
            <w:pStyle w:val="Contents4"/>
            <w:tabs>
              <w:tab w:val="clear" w:pos="8176"/>
              <w:tab w:val="right" w:pos="9026" w:leader="dot"/>
            </w:tabs>
            <w:rPr/>
          </w:pPr>
          <w:hyperlink w:anchor="__RefHeading___Toc110462_2749589250">
            <w:r>
              <w:rPr>
                <w:webHidden/>
                <w:rStyle w:val="IndexLink"/>
                <w:rtl w:val="true"/>
              </w:rPr>
              <w:t>فائدة</w:t>
            </w:r>
            <w:r>
              <w:rPr>
                <w:rStyle w:val="IndexLink"/>
                <w:rtl w:val="true"/>
              </w:rPr>
              <w:tab/>
            </w:r>
            <w:r>
              <w:rPr>
                <w:rStyle w:val="IndexLink"/>
              </w:rPr>
              <w:t>44</w:t>
            </w:r>
          </w:hyperlink>
        </w:p>
        <w:p>
          <w:pPr>
            <w:pStyle w:val="Contents3"/>
            <w:tabs>
              <w:tab w:val="clear" w:pos="8459"/>
              <w:tab w:val="right" w:pos="9026" w:leader="dot"/>
            </w:tabs>
            <w:rPr/>
          </w:pPr>
          <w:hyperlink w:anchor="__RefHeading___Toc110464_2749589250">
            <w:r>
              <w:rPr>
                <w:webHidden/>
                <w:rStyle w:val="IndexLink"/>
                <w:rtl w:val="true"/>
              </w:rPr>
              <w:t>الجهة الثالثة</w:t>
            </w:r>
            <w:r>
              <w:rPr>
                <w:rStyle w:val="IndexLink"/>
                <w:rtl w:val="true"/>
              </w:rPr>
              <w:t xml:space="preserve">: </w:t>
            </w:r>
            <w:r>
              <w:rPr>
                <w:rStyle w:val="IndexLink"/>
                <w:rtl w:val="true"/>
              </w:rPr>
              <w:t xml:space="preserve">فی معنی وماهیة الموضوع </w:t>
            </w:r>
            <w:r>
              <w:rPr>
                <w:rStyle w:val="IndexLink"/>
                <w:rtl w:val="true"/>
              </w:rPr>
              <w:t>(</w:t>
            </w:r>
            <w:r>
              <w:rPr>
                <w:rStyle w:val="IndexLink"/>
                <w:rtl w:val="true"/>
              </w:rPr>
              <w:t>وهو الشعائر</w:t>
            </w:r>
            <w:r>
              <w:rPr>
                <w:rStyle w:val="IndexLink"/>
                <w:rtl w:val="true"/>
              </w:rPr>
              <w:t xml:space="preserve">) </w:t>
            </w:r>
            <w:r>
              <w:rPr>
                <w:rStyle w:val="IndexLink"/>
                <w:rtl w:val="true"/>
              </w:rPr>
              <w:t>لغةً</w:t>
            </w:r>
            <w:r>
              <w:rPr>
                <w:rStyle w:val="IndexLink"/>
                <w:rtl w:val="true"/>
              </w:rPr>
              <w:tab/>
            </w:r>
            <w:r>
              <w:rPr>
                <w:rStyle w:val="IndexLink"/>
              </w:rPr>
              <w:t>46</w:t>
            </w:r>
          </w:hyperlink>
        </w:p>
        <w:p>
          <w:pPr>
            <w:pStyle w:val="Contents4"/>
            <w:tabs>
              <w:tab w:val="clear" w:pos="8176"/>
              <w:tab w:val="right" w:pos="9026" w:leader="dot"/>
            </w:tabs>
            <w:rPr/>
          </w:pPr>
          <w:hyperlink w:anchor="__RefHeading___Toc110466_274958925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0468_2749589250">
            <w:r>
              <w:rPr>
                <w:webHidden/>
                <w:rStyle w:val="IndexLink"/>
                <w:rtl w:val="true"/>
              </w:rPr>
              <w:t>الشعائر فی کتب اللغة</w:t>
            </w:r>
            <w:r>
              <w:rPr>
                <w:rStyle w:val="IndexLink"/>
                <w:rtl w:val="true"/>
              </w:rPr>
              <w:tab/>
            </w:r>
            <w:r>
              <w:rPr>
                <w:rStyle w:val="IndexLink"/>
              </w:rPr>
              <w:t>48</w:t>
            </w:r>
          </w:hyperlink>
        </w:p>
        <w:p>
          <w:pPr>
            <w:pStyle w:val="Contents4"/>
            <w:tabs>
              <w:tab w:val="clear" w:pos="8176"/>
              <w:tab w:val="right" w:pos="9026" w:leader="dot"/>
            </w:tabs>
            <w:rPr/>
          </w:pPr>
          <w:hyperlink w:anchor="__RefHeading___Toc110470_2749589250">
            <w:r>
              <w:rPr>
                <w:webHidden/>
                <w:rStyle w:val="IndexLink"/>
                <w:rtl w:val="true"/>
              </w:rPr>
              <w:t>نتیجة المطاف</w:t>
            </w:r>
            <w:r>
              <w:rPr>
                <w:rStyle w:val="IndexLink"/>
                <w:rtl w:val="true"/>
              </w:rPr>
              <w:tab/>
            </w:r>
            <w:r>
              <w:rPr>
                <w:rStyle w:val="IndexLink"/>
              </w:rPr>
              <w:t>50</w:t>
            </w:r>
          </w:hyperlink>
        </w:p>
        <w:p>
          <w:pPr>
            <w:pStyle w:val="Contents5"/>
            <w:tabs>
              <w:tab w:val="clear" w:pos="7892"/>
              <w:tab w:val="right" w:pos="9026" w:leader="dot"/>
            </w:tabs>
            <w:rPr/>
          </w:pPr>
          <w:hyperlink w:anchor="__RefHeading___Toc110472_274958925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0474_2749589250">
            <w:r>
              <w:rPr>
                <w:webHidden/>
                <w:rStyle w:val="IndexLink"/>
                <w:rtl w:val="true"/>
              </w:rPr>
              <w:t>الفرق بین النُسک والشعائر</w:t>
            </w:r>
            <w:r>
              <w:rPr>
                <w:rStyle w:val="IndexLink"/>
                <w:rtl w:val="true"/>
              </w:rPr>
              <w:tab/>
            </w:r>
            <w:r>
              <w:rPr>
                <w:rStyle w:val="IndexLink"/>
              </w:rPr>
              <w:t>52</w:t>
            </w:r>
          </w:hyperlink>
        </w:p>
        <w:p>
          <w:pPr>
            <w:pStyle w:val="Contents5"/>
            <w:tabs>
              <w:tab w:val="clear" w:pos="7892"/>
              <w:tab w:val="right" w:pos="9026" w:leader="dot"/>
            </w:tabs>
            <w:rPr/>
          </w:pPr>
          <w:hyperlink w:anchor="__RefHeading___Toc110476_2749589250">
            <w:r>
              <w:rPr>
                <w:webHidden/>
                <w:rStyle w:val="IndexLink"/>
                <w:rtl w:val="true"/>
              </w:rPr>
              <w:t>المعنی الجامع بین اللغویّین</w:t>
            </w:r>
            <w:r>
              <w:rPr>
                <w:rStyle w:val="IndexLink"/>
                <w:rtl w:val="true"/>
              </w:rPr>
              <w:tab/>
            </w:r>
            <w:r>
              <w:rPr>
                <w:rStyle w:val="IndexLink"/>
              </w:rPr>
              <w:t>52</w:t>
            </w:r>
          </w:hyperlink>
        </w:p>
        <w:p>
          <w:pPr>
            <w:pStyle w:val="Contents3"/>
            <w:tabs>
              <w:tab w:val="clear" w:pos="8459"/>
              <w:tab w:val="right" w:pos="9026" w:leader="dot"/>
            </w:tabs>
            <w:rPr/>
          </w:pPr>
          <w:hyperlink w:anchor="__RefHeading___Toc110478_2749589250">
            <w:r>
              <w:rPr>
                <w:webHidden/>
                <w:rStyle w:val="IndexLink"/>
                <w:rtl w:val="true"/>
              </w:rPr>
              <w:t>الجهة الرابعة</w:t>
            </w:r>
            <w:r>
              <w:rPr>
                <w:rStyle w:val="IndexLink"/>
                <w:rtl w:val="true"/>
              </w:rPr>
              <w:t xml:space="preserve">: </w:t>
            </w:r>
            <w:r>
              <w:rPr>
                <w:rStyle w:val="IndexLink"/>
                <w:rtl w:val="true"/>
              </w:rPr>
              <w:t>فی کیفیّة تحقّق الموضوع ومعالجة بعض قواعد التشریع</w:t>
            </w:r>
            <w:r>
              <w:rPr>
                <w:rStyle w:val="IndexLink"/>
                <w:rtl w:val="true"/>
              </w:rPr>
              <w:tab/>
            </w:r>
            <w:r>
              <w:rPr>
                <w:rStyle w:val="IndexLink"/>
              </w:rPr>
              <w:t>53</w:t>
            </w:r>
          </w:hyperlink>
        </w:p>
        <w:p>
          <w:pPr>
            <w:pStyle w:val="Contents4"/>
            <w:tabs>
              <w:tab w:val="clear" w:pos="8176"/>
              <w:tab w:val="right" w:pos="9026" w:leader="dot"/>
            </w:tabs>
            <w:rPr/>
          </w:pPr>
          <w:hyperlink w:anchor="__RefHeading___Toc110480_274958925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0482_2749589250">
            <w:r>
              <w:rPr>
                <w:webHidden/>
                <w:rStyle w:val="IndexLink"/>
                <w:rtl w:val="true"/>
              </w:rPr>
              <w:t>الوجود التکوینیّ والوجود الإعتباریّ للأشیاء</w:t>
            </w:r>
            <w:r>
              <w:rPr>
                <w:rStyle w:val="IndexLink"/>
                <w:rtl w:val="true"/>
              </w:rPr>
              <w:tab/>
            </w:r>
            <w:r>
              <w:rPr>
                <w:rStyle w:val="IndexLink"/>
              </w:rPr>
              <w:t>55</w:t>
            </w:r>
          </w:hyperlink>
        </w:p>
        <w:p>
          <w:pPr>
            <w:pStyle w:val="Contents4"/>
            <w:tabs>
              <w:tab w:val="clear" w:pos="8176"/>
              <w:tab w:val="right" w:pos="9026" w:leader="dot"/>
            </w:tabs>
            <w:rPr/>
          </w:pPr>
          <w:hyperlink w:anchor="__RefHeading___Toc110484_2749589250">
            <w:r>
              <w:rPr>
                <w:webHidden/>
                <w:rStyle w:val="IndexLink"/>
                <w:rtl w:val="true"/>
              </w:rPr>
              <w:t>خلاصة القول</w:t>
            </w:r>
            <w:r>
              <w:rPr>
                <w:rStyle w:val="IndexLink"/>
                <w:rtl w:val="true"/>
              </w:rPr>
              <w:tab/>
            </w:r>
            <w:r>
              <w:rPr>
                <w:rStyle w:val="IndexLink"/>
              </w:rPr>
              <w:t>56</w:t>
            </w:r>
          </w:hyperlink>
        </w:p>
        <w:p>
          <w:pPr>
            <w:pStyle w:val="Contents4"/>
            <w:tabs>
              <w:tab w:val="clear" w:pos="8176"/>
              <w:tab w:val="right" w:pos="9026" w:leader="dot"/>
            </w:tabs>
            <w:rPr/>
          </w:pPr>
          <w:hyperlink w:anchor="__RefHeading___Toc110486_2749589250">
            <w:r>
              <w:rPr>
                <w:webHidden/>
                <w:rStyle w:val="IndexLink"/>
                <w:rtl w:val="true"/>
              </w:rPr>
              <w:t>الشعیرة علامة وضعیّة</w:t>
            </w:r>
            <w:r>
              <w:rPr>
                <w:rStyle w:val="IndexLink"/>
                <w:rtl w:val="true"/>
              </w:rPr>
              <w:tab/>
            </w:r>
            <w:r>
              <w:rPr>
                <w:rStyle w:val="IndexLink"/>
              </w:rPr>
              <w:t>57</w:t>
            </w:r>
          </w:hyperlink>
        </w:p>
        <w:p>
          <w:pPr>
            <w:pStyle w:val="Contents4"/>
            <w:tabs>
              <w:tab w:val="clear" w:pos="8176"/>
              <w:tab w:val="right" w:pos="9026" w:leader="dot"/>
            </w:tabs>
            <w:rPr/>
          </w:pPr>
          <w:hyperlink w:anchor="__RefHeading___Toc110488_2749589250">
            <w:r>
              <w:rPr>
                <w:webHidden/>
                <w:rStyle w:val="IndexLink"/>
                <w:rtl w:val="true"/>
              </w:rPr>
              <w:t>الشعائر ومناسک الحجّ</w:t>
            </w:r>
            <w:r>
              <w:rPr>
                <w:rStyle w:val="IndexLink"/>
                <w:rtl w:val="true"/>
              </w:rPr>
              <w:tab/>
            </w:r>
            <w:r>
              <w:rPr>
                <w:rStyle w:val="IndexLink"/>
              </w:rPr>
              <w:t>59</w:t>
            </w:r>
          </w:hyperlink>
        </w:p>
        <w:p>
          <w:pPr>
            <w:pStyle w:val="Contents4"/>
            <w:tabs>
              <w:tab w:val="clear" w:pos="8176"/>
              <w:tab w:val="right" w:pos="9026" w:leader="dot"/>
            </w:tabs>
            <w:rPr/>
          </w:pPr>
          <w:hyperlink w:anchor="__RefHeading___Toc110490_2749589250">
            <w:r>
              <w:rPr>
                <w:webHidden/>
                <w:rStyle w:val="IndexLink"/>
                <w:rtl w:val="true"/>
              </w:rPr>
              <w:t>الترخیص فی جعل الشعائر بید العرف</w:t>
            </w:r>
            <w:r>
              <w:rPr>
                <w:rStyle w:val="IndexLink"/>
                <w:rtl w:val="true"/>
              </w:rPr>
              <w:tab/>
            </w:r>
            <w:r>
              <w:rPr>
                <w:rStyle w:val="IndexLink"/>
              </w:rPr>
              <w:t>60</w:t>
            </w:r>
          </w:hyperlink>
        </w:p>
        <w:p>
          <w:pPr>
            <w:pStyle w:val="Contents5"/>
            <w:tabs>
              <w:tab w:val="clear" w:pos="7892"/>
              <w:tab w:val="right" w:pos="9026" w:leader="dot"/>
            </w:tabs>
            <w:rPr/>
          </w:pPr>
          <w:hyperlink w:anchor="__RefHeading___Toc110492_274958925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0494_2749589250">
            <w:r>
              <w:rPr>
                <w:webHidden/>
                <w:rStyle w:val="IndexLink"/>
                <w:rtl w:val="true"/>
              </w:rPr>
              <w:t>النقطة الأولی</w:t>
            </w:r>
            <w:r>
              <w:rPr>
                <w:rStyle w:val="IndexLink"/>
                <w:rtl w:val="true"/>
              </w:rPr>
              <w:tab/>
            </w:r>
            <w:r>
              <w:rPr>
                <w:rStyle w:val="IndexLink"/>
              </w:rPr>
              <w:t>60</w:t>
            </w:r>
          </w:hyperlink>
        </w:p>
        <w:p>
          <w:pPr>
            <w:pStyle w:val="Contents5"/>
            <w:tabs>
              <w:tab w:val="clear" w:pos="7892"/>
              <w:tab w:val="right" w:pos="9026" w:leader="dot"/>
            </w:tabs>
            <w:rPr/>
          </w:pPr>
          <w:hyperlink w:anchor="__RefHeading___Toc110496_2749589250">
            <w:r>
              <w:rPr>
                <w:webHidden/>
                <w:rStyle w:val="IndexLink"/>
                <w:rtl w:val="true"/>
              </w:rPr>
              <w:t>النقطة الثانیة</w:t>
            </w:r>
            <w:r>
              <w:rPr>
                <w:rStyle w:val="IndexLink"/>
                <w:rtl w:val="true"/>
              </w:rPr>
              <w:tab/>
            </w:r>
            <w:r>
              <w:rPr>
                <w:rStyle w:val="IndexLink"/>
              </w:rPr>
              <w:t>60</w:t>
            </w:r>
          </w:hyperlink>
        </w:p>
        <w:p>
          <w:pPr>
            <w:pStyle w:val="Contents5"/>
            <w:tabs>
              <w:tab w:val="clear" w:pos="7892"/>
              <w:tab w:val="right" w:pos="9026" w:leader="dot"/>
            </w:tabs>
            <w:rPr/>
          </w:pPr>
          <w:hyperlink w:anchor="__RefHeading___Toc110498_2749589250">
            <w:r>
              <w:rPr>
                <w:webHidden/>
                <w:rStyle w:val="IndexLink"/>
                <w:rtl w:val="true"/>
              </w:rPr>
              <w:t>النقطة الثالثة</w:t>
            </w:r>
            <w:r>
              <w:rPr>
                <w:rStyle w:val="IndexLink"/>
                <w:rtl w:val="true"/>
              </w:rPr>
              <w:tab/>
            </w:r>
            <w:r>
              <w:rPr>
                <w:rStyle w:val="IndexLink"/>
              </w:rPr>
              <w:t>60</w:t>
            </w:r>
          </w:hyperlink>
        </w:p>
        <w:p>
          <w:pPr>
            <w:pStyle w:val="Contents4"/>
            <w:tabs>
              <w:tab w:val="clear" w:pos="8176"/>
              <w:tab w:val="right" w:pos="9026" w:leader="dot"/>
            </w:tabs>
            <w:rPr/>
          </w:pPr>
          <w:hyperlink w:anchor="__RefHeading___Toc110500_2749589250">
            <w:r>
              <w:rPr>
                <w:webHidden/>
                <w:rStyle w:val="IndexLink"/>
                <w:rtl w:val="true"/>
              </w:rPr>
              <w:t>الوجود الاعتباری للشعیرة</w:t>
            </w:r>
            <w:r>
              <w:rPr>
                <w:rStyle w:val="IndexLink"/>
                <w:rtl w:val="true"/>
              </w:rPr>
              <w:tab/>
            </w:r>
            <w:r>
              <w:rPr>
                <w:rStyle w:val="IndexLink"/>
              </w:rPr>
              <w:t>63</w:t>
            </w:r>
          </w:hyperlink>
        </w:p>
        <w:p>
          <w:pPr>
            <w:pStyle w:val="Contents4"/>
            <w:tabs>
              <w:tab w:val="clear" w:pos="8176"/>
              <w:tab w:val="right" w:pos="9026" w:leader="dot"/>
            </w:tabs>
            <w:rPr/>
          </w:pPr>
          <w:hyperlink w:anchor="__RefHeading___Toc110502_2749589250">
            <w:r>
              <w:rPr>
                <w:webHidden/>
                <w:rStyle w:val="IndexLink"/>
                <w:rtl w:val="true"/>
              </w:rPr>
              <w:t>خلاصة القول</w:t>
            </w:r>
            <w:r>
              <w:rPr>
                <w:rStyle w:val="IndexLink"/>
                <w:rtl w:val="true"/>
              </w:rPr>
              <w:tab/>
            </w:r>
            <w:r>
              <w:rPr>
                <w:rStyle w:val="IndexLink"/>
              </w:rPr>
              <w:t>64</w:t>
            </w:r>
          </w:hyperlink>
        </w:p>
        <w:p>
          <w:pPr>
            <w:pStyle w:val="Contents4"/>
            <w:tabs>
              <w:tab w:val="clear" w:pos="8176"/>
              <w:tab w:val="right" w:pos="9026" w:leader="dot"/>
            </w:tabs>
            <w:rPr/>
          </w:pPr>
          <w:hyperlink w:anchor="__RefHeading___Toc110504_2749589250">
            <w:r>
              <w:rPr>
                <w:webHidden/>
                <w:rStyle w:val="IndexLink"/>
                <w:rtl w:val="true"/>
              </w:rPr>
              <w:t>الاعتراض بتوقیفیّة الشعائر</w:t>
            </w:r>
            <w:r>
              <w:rPr>
                <w:rStyle w:val="IndexLink"/>
                <w:rtl w:val="true"/>
              </w:rPr>
              <w:tab/>
            </w:r>
            <w:r>
              <w:rPr>
                <w:rStyle w:val="IndexLink"/>
              </w:rPr>
              <w:t>67</w:t>
            </w:r>
          </w:hyperlink>
        </w:p>
        <w:p>
          <w:pPr>
            <w:pStyle w:val="Contents5"/>
            <w:tabs>
              <w:tab w:val="clear" w:pos="7892"/>
              <w:tab w:val="right" w:pos="9026" w:leader="dot"/>
            </w:tabs>
            <w:rPr/>
          </w:pPr>
          <w:hyperlink w:anchor="__RefHeading___Toc110506_274958925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0508_2749589250">
            <w:r>
              <w:rPr>
                <w:webHidden/>
                <w:rStyle w:val="IndexLink"/>
                <w:rtl w:val="true"/>
              </w:rPr>
              <w:t>أدلّة المعترض</w:t>
            </w:r>
            <w:r>
              <w:rPr>
                <w:rStyle w:val="IndexLink"/>
                <w:rtl w:val="true"/>
              </w:rPr>
              <w:tab/>
            </w:r>
            <w:r>
              <w:rPr>
                <w:rStyle w:val="IndexLink"/>
              </w:rPr>
              <w:t>67</w:t>
            </w:r>
          </w:hyperlink>
        </w:p>
        <w:p>
          <w:pPr>
            <w:pStyle w:val="Contents5"/>
            <w:tabs>
              <w:tab w:val="clear" w:pos="7892"/>
              <w:tab w:val="right" w:pos="9026" w:leader="dot"/>
            </w:tabs>
            <w:rPr/>
          </w:pPr>
          <w:hyperlink w:anchor="__RefHeading___Toc110510_2749589250">
            <w:r>
              <w:rPr>
                <w:webHidden/>
                <w:rStyle w:val="IndexLink"/>
                <w:rtl w:val="true"/>
              </w:rPr>
              <w:t>جواب الاعتراض</w:t>
            </w:r>
            <w:r>
              <w:rPr>
                <w:rStyle w:val="IndexLink"/>
                <w:rtl w:val="true"/>
              </w:rPr>
              <w:tab/>
            </w:r>
            <w:r>
              <w:rPr>
                <w:rStyle w:val="IndexLink"/>
              </w:rPr>
              <w:t>69</w:t>
            </w:r>
          </w:hyperlink>
        </w:p>
        <w:p>
          <w:pPr>
            <w:pStyle w:val="Contents4"/>
            <w:tabs>
              <w:tab w:val="clear" w:pos="8176"/>
              <w:tab w:val="right" w:pos="9026" w:leader="dot"/>
            </w:tabs>
            <w:rPr/>
          </w:pPr>
          <w:hyperlink w:anchor="__RefHeading___Toc110512_2749589250">
            <w:r>
              <w:rPr>
                <w:webHidden/>
                <w:rStyle w:val="IndexLink"/>
                <w:rtl w:val="true"/>
              </w:rPr>
              <w:t>الجواب التفصیلی الأول</w:t>
            </w:r>
            <w:r>
              <w:rPr>
                <w:rStyle w:val="IndexLink"/>
                <w:rtl w:val="true"/>
              </w:rPr>
              <w:tab/>
            </w:r>
            <w:r>
              <w:rPr>
                <w:rStyle w:val="IndexLink"/>
              </w:rPr>
              <w:t>70</w:t>
            </w:r>
          </w:hyperlink>
        </w:p>
        <w:p>
          <w:pPr>
            <w:pStyle w:val="Contents5"/>
            <w:tabs>
              <w:tab w:val="clear" w:pos="7892"/>
              <w:tab w:val="right" w:pos="9026" w:leader="dot"/>
            </w:tabs>
            <w:rPr/>
          </w:pPr>
          <w:hyperlink w:anchor="__RefHeading___Toc110514_274958925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0516_2749589250">
            <w:r>
              <w:rPr>
                <w:webHidden/>
                <w:rStyle w:val="IndexLink"/>
                <w:rtl w:val="true"/>
              </w:rPr>
              <w:t>النقطة الأولی</w:t>
            </w:r>
            <w:r>
              <w:rPr>
                <w:rStyle w:val="IndexLink"/>
                <w:rtl w:val="true"/>
              </w:rPr>
              <w:t xml:space="preserve">: </w:t>
            </w:r>
            <w:r>
              <w:rPr>
                <w:rStyle w:val="IndexLink"/>
                <w:rtl w:val="true"/>
              </w:rPr>
              <w:t>تعلّق الأوامر بطبیعة الکلّیّ</w:t>
            </w:r>
            <w:r>
              <w:rPr>
                <w:rStyle w:val="IndexLink"/>
                <w:rtl w:val="true"/>
              </w:rPr>
              <w:tab/>
            </w:r>
            <w:r>
              <w:rPr>
                <w:rStyle w:val="IndexLink"/>
              </w:rPr>
              <w:t>70</w:t>
            </w:r>
          </w:hyperlink>
        </w:p>
        <w:p>
          <w:pPr>
            <w:pStyle w:val="Contents5"/>
            <w:tabs>
              <w:tab w:val="clear" w:pos="7892"/>
              <w:tab w:val="right" w:pos="9026" w:leader="dot"/>
            </w:tabs>
            <w:rPr/>
          </w:pPr>
          <w:hyperlink w:anchor="__RefHeading___Toc110518_2749589250">
            <w:r>
              <w:rPr>
                <w:webHidden/>
                <w:rStyle w:val="IndexLink"/>
                <w:rtl w:val="true"/>
              </w:rPr>
              <w:t>النقطة الثانیة</w:t>
            </w:r>
            <w:r>
              <w:rPr>
                <w:rStyle w:val="IndexLink"/>
                <w:rtl w:val="true"/>
              </w:rPr>
              <w:t xml:space="preserve">: </w:t>
            </w:r>
            <w:r>
              <w:rPr>
                <w:rStyle w:val="IndexLink"/>
                <w:rtl w:val="true"/>
              </w:rPr>
              <w:t>تقسیم العناوین الثانویّة</w:t>
            </w:r>
            <w:r>
              <w:rPr>
                <w:rStyle w:val="IndexLink"/>
                <w:rtl w:val="true"/>
              </w:rPr>
              <w:tab/>
            </w:r>
            <w:r>
              <w:rPr>
                <w:rStyle w:val="IndexLink"/>
              </w:rPr>
              <w:t>73</w:t>
            </w:r>
          </w:hyperlink>
        </w:p>
        <w:p>
          <w:pPr>
            <w:pStyle w:val="Contents6"/>
            <w:tabs>
              <w:tab w:val="clear" w:pos="7609"/>
              <w:tab w:val="right" w:pos="9026" w:leader="dot"/>
            </w:tabs>
            <w:rPr/>
          </w:pPr>
          <w:hyperlink w:anchor="__RefHeading___Toc110520_274958925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10522_2749589250">
            <w:r>
              <w:rPr>
                <w:webHidden/>
                <w:rStyle w:val="IndexLink"/>
                <w:rtl w:val="true"/>
              </w:rPr>
              <w:t>العنوان الثانویّ فی جنبة الحُکم</w:t>
            </w:r>
            <w:r>
              <w:rPr>
                <w:rStyle w:val="IndexLink"/>
                <w:rtl w:val="true"/>
              </w:rPr>
              <w:tab/>
            </w:r>
            <w:r>
              <w:rPr>
                <w:rStyle w:val="IndexLink"/>
              </w:rPr>
              <w:t>73</w:t>
            </w:r>
          </w:hyperlink>
        </w:p>
        <w:p>
          <w:pPr>
            <w:pStyle w:val="Contents6"/>
            <w:tabs>
              <w:tab w:val="clear" w:pos="7609"/>
              <w:tab w:val="right" w:pos="9026" w:leader="dot"/>
            </w:tabs>
            <w:rPr/>
          </w:pPr>
          <w:hyperlink w:anchor="__RefHeading___Toc110524_2749589250">
            <w:r>
              <w:rPr>
                <w:webHidden/>
                <w:rStyle w:val="IndexLink"/>
                <w:rtl w:val="true"/>
              </w:rPr>
              <w:t>العنوان الثانویّ فی جنبة الموضوع</w:t>
            </w:r>
            <w:r>
              <w:rPr>
                <w:rStyle w:val="IndexLink"/>
                <w:rtl w:val="true"/>
              </w:rPr>
              <w:tab/>
            </w:r>
            <w:r>
              <w:rPr>
                <w:rStyle w:val="IndexLink"/>
              </w:rPr>
              <w:t>73</w:t>
            </w:r>
          </w:hyperlink>
        </w:p>
        <w:p>
          <w:pPr>
            <w:pStyle w:val="Contents6"/>
            <w:tabs>
              <w:tab w:val="clear" w:pos="7609"/>
              <w:tab w:val="right" w:pos="9026" w:leader="dot"/>
            </w:tabs>
            <w:rPr/>
          </w:pPr>
          <w:hyperlink w:anchor="__RefHeading___Toc110526_2749589250">
            <w:r>
              <w:rPr>
                <w:webHidden/>
                <w:rStyle w:val="IndexLink"/>
                <w:rtl w:val="true"/>
              </w:rPr>
              <w:t>الفوارق بین العناوین الثانویّة فی جنبة الحکم وفی جنبة الموضوع</w:t>
            </w:r>
            <w:r>
              <w:rPr>
                <w:rStyle w:val="IndexLink"/>
                <w:rtl w:val="true"/>
              </w:rPr>
              <w:tab/>
            </w:r>
            <w:r>
              <w:rPr>
                <w:rStyle w:val="IndexLink"/>
              </w:rPr>
              <w:t>75</w:t>
            </w:r>
          </w:hyperlink>
        </w:p>
        <w:p>
          <w:pPr>
            <w:pStyle w:val="Contents5"/>
            <w:tabs>
              <w:tab w:val="clear" w:pos="7892"/>
              <w:tab w:val="right" w:pos="9026" w:leader="dot"/>
            </w:tabs>
            <w:rPr/>
          </w:pPr>
          <w:hyperlink w:anchor="__RefHeading___Toc110528_2749589250">
            <w:r>
              <w:rPr>
                <w:webHidden/>
                <w:rStyle w:val="IndexLink"/>
                <w:rtl w:val="true"/>
              </w:rPr>
              <w:t>النقطة الثالثة</w:t>
            </w:r>
            <w:r>
              <w:rPr>
                <w:rStyle w:val="IndexLink"/>
                <w:rtl w:val="true"/>
              </w:rPr>
              <w:tab/>
            </w:r>
            <w:r>
              <w:rPr>
                <w:rStyle w:val="IndexLink"/>
              </w:rPr>
              <w:t>79</w:t>
            </w:r>
          </w:hyperlink>
        </w:p>
        <w:p>
          <w:pPr>
            <w:pStyle w:val="Contents6"/>
            <w:tabs>
              <w:tab w:val="clear" w:pos="7609"/>
              <w:tab w:val="right" w:pos="9026" w:leader="dot"/>
            </w:tabs>
            <w:rPr/>
          </w:pPr>
          <w:hyperlink w:anchor="__RefHeading___Toc110530_274958925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0532_2749589250">
            <w:r>
              <w:rPr>
                <w:webHidden/>
                <w:rStyle w:val="IndexLink"/>
                <w:rtl w:val="true"/>
              </w:rPr>
              <w:t>اجتماع الأمر والنهی فی مصداق واحد</w:t>
            </w:r>
            <w:r>
              <w:rPr>
                <w:rStyle w:val="IndexLink"/>
                <w:rtl w:val="true"/>
              </w:rPr>
              <w:tab/>
            </w:r>
            <w:r>
              <w:rPr>
                <w:rStyle w:val="IndexLink"/>
              </w:rPr>
              <w:t>81</w:t>
            </w:r>
          </w:hyperlink>
        </w:p>
        <w:p>
          <w:pPr>
            <w:pStyle w:val="Contents6"/>
            <w:tabs>
              <w:tab w:val="clear" w:pos="7609"/>
              <w:tab w:val="right" w:pos="9026" w:leader="dot"/>
            </w:tabs>
            <w:rPr/>
          </w:pPr>
          <w:hyperlink w:anchor="__RefHeading___Toc110534_2749589250">
            <w:r>
              <w:rPr>
                <w:webHidden/>
                <w:rStyle w:val="IndexLink"/>
                <w:rtl w:val="true"/>
              </w:rPr>
              <w:t>بعض أقوال العلماء فی المقام</w:t>
            </w:r>
            <w:r>
              <w:rPr>
                <w:rStyle w:val="IndexLink"/>
                <w:rtl w:val="true"/>
              </w:rPr>
              <w:tab/>
            </w:r>
            <w:r>
              <w:rPr>
                <w:rStyle w:val="IndexLink"/>
              </w:rPr>
              <w:t>83</w:t>
            </w:r>
          </w:hyperlink>
        </w:p>
        <w:p>
          <w:pPr>
            <w:pStyle w:val="Contents6"/>
            <w:tabs>
              <w:tab w:val="clear" w:pos="7609"/>
              <w:tab w:val="right" w:pos="9026" w:leader="dot"/>
            </w:tabs>
            <w:rPr/>
          </w:pPr>
          <w:hyperlink w:anchor="__RefHeading___Toc110536_2749589250">
            <w:r>
              <w:rPr>
                <w:webHidden/>
                <w:rStyle w:val="IndexLink"/>
                <w:rtl w:val="true"/>
              </w:rPr>
              <w:t>إطلالة علی سنن المتشرّعة المستجدّة</w:t>
            </w:r>
            <w:r>
              <w:rPr>
                <w:rStyle w:val="IndexLink"/>
                <w:rtl w:val="true"/>
              </w:rPr>
              <w:tab/>
            </w:r>
            <w:r>
              <w:rPr>
                <w:rStyle w:val="IndexLink"/>
              </w:rPr>
              <w:t>87</w:t>
            </w:r>
          </w:hyperlink>
        </w:p>
        <w:p>
          <w:pPr>
            <w:pStyle w:val="Contents6"/>
            <w:tabs>
              <w:tab w:val="clear" w:pos="7609"/>
              <w:tab w:val="right" w:pos="9026" w:leader="dot"/>
            </w:tabs>
            <w:rPr/>
          </w:pPr>
          <w:hyperlink w:anchor="__RefHeading___Toc110538_2749589250">
            <w:r>
              <w:rPr>
                <w:webHidden/>
                <w:rStyle w:val="IndexLink"/>
                <w:rtl w:val="true"/>
              </w:rPr>
              <w:t>خلاصة القول فی النقطة الثالثة</w:t>
            </w:r>
            <w:r>
              <w:rPr>
                <w:rStyle w:val="IndexLink"/>
                <w:rtl w:val="true"/>
              </w:rPr>
              <w:tab/>
            </w:r>
            <w:r>
              <w:rPr>
                <w:rStyle w:val="IndexLink"/>
              </w:rPr>
              <w:t>89</w:t>
            </w:r>
          </w:hyperlink>
        </w:p>
        <w:p>
          <w:pPr>
            <w:pStyle w:val="Contents6"/>
            <w:tabs>
              <w:tab w:val="clear" w:pos="7609"/>
              <w:tab w:val="right" w:pos="9026" w:leader="dot"/>
            </w:tabs>
            <w:rPr/>
          </w:pPr>
          <w:hyperlink w:anchor="__RefHeading___Toc110540_2749589250">
            <w:r>
              <w:rPr>
                <w:webHidden/>
                <w:rStyle w:val="IndexLink"/>
                <w:rtl w:val="true"/>
              </w:rPr>
              <w:t>ضابطة التعارض والتزاحم</w:t>
            </w:r>
            <w:r>
              <w:rPr>
                <w:rStyle w:val="IndexLink"/>
                <w:rtl w:val="true"/>
              </w:rPr>
              <w:tab/>
            </w:r>
            <w:r>
              <w:rPr>
                <w:rStyle w:val="IndexLink"/>
              </w:rPr>
              <w:t>90</w:t>
            </w:r>
          </w:hyperlink>
        </w:p>
        <w:p>
          <w:pPr>
            <w:pStyle w:val="Contents4"/>
            <w:tabs>
              <w:tab w:val="clear" w:pos="8176"/>
              <w:tab w:val="right" w:pos="9026" w:leader="dot"/>
            </w:tabs>
            <w:rPr/>
          </w:pPr>
          <w:hyperlink w:anchor="__RefHeading___Toc110542_2749589250">
            <w:r>
              <w:rPr>
                <w:webHidden/>
                <w:rStyle w:val="IndexLink"/>
                <w:rtl w:val="true"/>
              </w:rPr>
              <w:t>الجواب التفصیلیّ الثانی</w:t>
            </w:r>
            <w:r>
              <w:rPr>
                <w:rStyle w:val="IndexLink"/>
                <w:rtl w:val="true"/>
              </w:rPr>
              <w:tab/>
            </w:r>
            <w:r>
              <w:rPr>
                <w:rStyle w:val="IndexLink"/>
              </w:rPr>
              <w:t>94</w:t>
            </w:r>
          </w:hyperlink>
        </w:p>
        <w:p>
          <w:pPr>
            <w:pStyle w:val="Contents5"/>
            <w:tabs>
              <w:tab w:val="clear" w:pos="7892"/>
              <w:tab w:val="right" w:pos="9026" w:leader="dot"/>
            </w:tabs>
            <w:rPr/>
          </w:pPr>
          <w:hyperlink w:anchor="__RefHeading___Toc110544_274958925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10546_2749589250">
            <w:r>
              <w:rPr>
                <w:webHidden/>
                <w:rStyle w:val="IndexLink"/>
                <w:rtl w:val="true"/>
              </w:rPr>
              <w:t>التشریع بین التطبیق والبدعة</w:t>
            </w:r>
            <w:r>
              <w:rPr>
                <w:rStyle w:val="IndexLink"/>
                <w:rtl w:val="true"/>
              </w:rPr>
              <w:tab/>
            </w:r>
            <w:r>
              <w:rPr>
                <w:rStyle w:val="IndexLink"/>
              </w:rPr>
              <w:t>95</w:t>
            </w:r>
          </w:hyperlink>
        </w:p>
        <w:p>
          <w:pPr>
            <w:pStyle w:val="Contents5"/>
            <w:tabs>
              <w:tab w:val="clear" w:pos="7892"/>
              <w:tab w:val="right" w:pos="9026" w:leader="dot"/>
            </w:tabs>
            <w:rPr/>
          </w:pPr>
          <w:hyperlink w:anchor="__RefHeading___Toc110548_2749589250">
            <w:r>
              <w:rPr>
                <w:webHidden/>
                <w:rStyle w:val="IndexLink"/>
                <w:rtl w:val="true"/>
              </w:rPr>
              <w:t>مراتب تنزّل القانون</w:t>
            </w:r>
            <w:r>
              <w:rPr>
                <w:rStyle w:val="IndexLink"/>
                <w:rtl w:val="true"/>
              </w:rPr>
              <w:tab/>
            </w:r>
            <w:r>
              <w:rPr>
                <w:rStyle w:val="IndexLink"/>
              </w:rPr>
              <w:t>97</w:t>
            </w:r>
          </w:hyperlink>
        </w:p>
        <w:p>
          <w:pPr>
            <w:pStyle w:val="Contents5"/>
            <w:tabs>
              <w:tab w:val="clear" w:pos="7892"/>
              <w:tab w:val="right" w:pos="9026" w:leader="dot"/>
            </w:tabs>
            <w:rPr/>
          </w:pPr>
          <w:hyperlink w:anchor="__RefHeading___Toc110550_2749589250">
            <w:r>
              <w:rPr>
                <w:webHidden/>
                <w:rStyle w:val="IndexLink"/>
                <w:rtl w:val="true"/>
              </w:rPr>
              <w:t>قاعدة اتّخاذ السُّنّة الحسنة</w:t>
            </w:r>
            <w:r>
              <w:rPr>
                <w:rStyle w:val="IndexLink"/>
                <w:rtl w:val="true"/>
              </w:rPr>
              <w:tab/>
            </w:r>
            <w:r>
              <w:rPr>
                <w:rStyle w:val="IndexLink"/>
              </w:rPr>
              <w:t>98</w:t>
            </w:r>
          </w:hyperlink>
        </w:p>
        <w:p>
          <w:pPr>
            <w:pStyle w:val="Contents5"/>
            <w:tabs>
              <w:tab w:val="clear" w:pos="7892"/>
              <w:tab w:val="right" w:pos="9026" w:leader="dot"/>
            </w:tabs>
            <w:rPr/>
          </w:pPr>
          <w:hyperlink w:anchor="__RefHeading___Toc110552_2749589250">
            <w:r>
              <w:rPr>
                <w:webHidden/>
                <w:rStyle w:val="IndexLink"/>
                <w:rtl w:val="true"/>
              </w:rPr>
              <w:t>لمحة حول الولایة التشریعیّة</w:t>
            </w:r>
            <w:r>
              <w:rPr>
                <w:rStyle w:val="IndexLink"/>
                <w:rtl w:val="true"/>
              </w:rPr>
              <w:tab/>
            </w:r>
            <w:r>
              <w:rPr>
                <w:rStyle w:val="IndexLink"/>
              </w:rPr>
              <w:t>99</w:t>
            </w:r>
          </w:hyperlink>
        </w:p>
        <w:p>
          <w:pPr>
            <w:pStyle w:val="Contents5"/>
            <w:tabs>
              <w:tab w:val="clear" w:pos="7892"/>
              <w:tab w:val="right" w:pos="9026" w:leader="dot"/>
            </w:tabs>
            <w:rPr/>
          </w:pPr>
          <w:hyperlink w:anchor="__RefHeading___Toc110554_2749589250">
            <w:r>
              <w:rPr>
                <w:webHidden/>
                <w:rStyle w:val="IndexLink"/>
                <w:rtl w:val="true"/>
              </w:rPr>
              <w:t>بعض الفوارق بین صلاحیّة التفویض للأئمّة علیهم السلام والقوانین الوضعیّة</w:t>
            </w:r>
            <w:r>
              <w:rPr>
                <w:rStyle w:val="IndexLink"/>
                <w:rtl w:val="true"/>
              </w:rPr>
              <w:tab/>
            </w:r>
            <w:r>
              <w:rPr>
                <w:rStyle w:val="IndexLink"/>
              </w:rPr>
              <w:t>101</w:t>
            </w:r>
          </w:hyperlink>
        </w:p>
        <w:p>
          <w:pPr>
            <w:pStyle w:val="Contents6"/>
            <w:tabs>
              <w:tab w:val="clear" w:pos="7609"/>
              <w:tab w:val="right" w:pos="9026" w:leader="dot"/>
            </w:tabs>
            <w:rPr/>
          </w:pPr>
          <w:hyperlink w:anchor="__RefHeading___Toc110556_274958925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110558_2749589250">
            <w:r>
              <w:rPr>
                <w:webHidden/>
                <w:rStyle w:val="IndexLink"/>
                <w:rtl w:val="true"/>
              </w:rPr>
              <w:t>تعریف البدعة</w:t>
            </w:r>
            <w:r>
              <w:rPr>
                <w:rStyle w:val="IndexLink"/>
                <w:rtl w:val="true"/>
              </w:rPr>
              <w:tab/>
            </w:r>
            <w:r>
              <w:rPr>
                <w:rStyle w:val="IndexLink"/>
              </w:rPr>
              <w:t>102</w:t>
            </w:r>
          </w:hyperlink>
        </w:p>
        <w:p>
          <w:pPr>
            <w:pStyle w:val="Contents5"/>
            <w:tabs>
              <w:tab w:val="clear" w:pos="7892"/>
              <w:tab w:val="right" w:pos="9026" w:leader="dot"/>
            </w:tabs>
            <w:rPr/>
          </w:pPr>
          <w:hyperlink w:anchor="__RefHeading___Toc110560_2749589250">
            <w:r>
              <w:rPr>
                <w:webHidden/>
                <w:rStyle w:val="IndexLink"/>
                <w:rtl w:val="true"/>
              </w:rPr>
              <w:t>جواب المحذور الثالث</w:t>
            </w:r>
            <w:r>
              <w:rPr>
                <w:rStyle w:val="IndexLink"/>
                <w:rtl w:val="true"/>
              </w:rPr>
              <w:tab/>
            </w:r>
            <w:r>
              <w:rPr>
                <w:rStyle w:val="IndexLink"/>
              </w:rPr>
              <w:t>103</w:t>
            </w:r>
          </w:hyperlink>
        </w:p>
        <w:p>
          <w:pPr>
            <w:pStyle w:val="Contents6"/>
            <w:tabs>
              <w:tab w:val="clear" w:pos="7609"/>
              <w:tab w:val="right" w:pos="9026" w:leader="dot"/>
            </w:tabs>
            <w:rPr/>
          </w:pPr>
          <w:hyperlink w:anchor="__RefHeading___Toc110562_274958925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10564_2749589250">
            <w:r>
              <w:rPr>
                <w:webHidden/>
                <w:rStyle w:val="IndexLink"/>
                <w:rtl w:val="true"/>
              </w:rPr>
              <w:t>الثابت والمتغیّر فی الشریعة</w:t>
            </w:r>
            <w:r>
              <w:rPr>
                <w:rStyle w:val="IndexLink"/>
                <w:rtl w:val="true"/>
              </w:rPr>
              <w:tab/>
            </w:r>
            <w:r>
              <w:rPr>
                <w:rStyle w:val="IndexLink"/>
              </w:rPr>
              <w:t>104</w:t>
            </w:r>
          </w:hyperlink>
        </w:p>
        <w:p>
          <w:pPr>
            <w:pStyle w:val="Contents6"/>
            <w:tabs>
              <w:tab w:val="clear" w:pos="7609"/>
              <w:tab w:val="right" w:pos="9026" w:leader="dot"/>
            </w:tabs>
            <w:rPr/>
          </w:pPr>
          <w:hyperlink w:anchor="__RefHeading___Toc110566_2749589250">
            <w:r>
              <w:rPr>
                <w:webHidden/>
                <w:rStyle w:val="IndexLink"/>
                <w:rtl w:val="true"/>
              </w:rPr>
              <w:t>الدلیل الاعتراضیّ الرابع والجواب عنه</w:t>
            </w:r>
            <w:r>
              <w:rPr>
                <w:rStyle w:val="IndexLink"/>
                <w:rtl w:val="true"/>
              </w:rPr>
              <w:tab/>
            </w:r>
            <w:r>
              <w:rPr>
                <w:rStyle w:val="IndexLink"/>
              </w:rPr>
              <w:t>107</w:t>
            </w:r>
          </w:hyperlink>
        </w:p>
        <w:p>
          <w:pPr>
            <w:pStyle w:val="Contents6"/>
            <w:tabs>
              <w:tab w:val="clear" w:pos="7609"/>
              <w:tab w:val="right" w:pos="9026" w:leader="dot"/>
            </w:tabs>
            <w:rPr/>
          </w:pPr>
          <w:hyperlink w:anchor="__RefHeading___Toc110568_2749589250">
            <w:r>
              <w:rPr>
                <w:webHidden/>
                <w:rStyle w:val="IndexLink"/>
                <w:rtl w:val="true"/>
              </w:rPr>
              <w:t>التوقیفیّة وحدود الدیانة</w:t>
            </w:r>
            <w:r>
              <w:rPr>
                <w:rStyle w:val="IndexLink"/>
                <w:rtl w:val="true"/>
              </w:rPr>
              <w:tab/>
            </w:r>
            <w:r>
              <w:rPr>
                <w:rStyle w:val="IndexLink"/>
              </w:rPr>
              <w:t>111</w:t>
            </w:r>
          </w:hyperlink>
        </w:p>
        <w:p>
          <w:pPr>
            <w:pStyle w:val="Contents6"/>
            <w:tabs>
              <w:tab w:val="clear" w:pos="7609"/>
              <w:tab w:val="right" w:pos="9026" w:leader="dot"/>
            </w:tabs>
            <w:rPr/>
          </w:pPr>
          <w:hyperlink w:anchor="__RefHeading___Toc110570_2749589250">
            <w:r>
              <w:rPr>
                <w:webHidden/>
                <w:rStyle w:val="IndexLink"/>
                <w:rtl w:val="true"/>
              </w:rPr>
              <w:t>الخلاصة</w:t>
            </w:r>
            <w:r>
              <w:rPr>
                <w:rStyle w:val="IndexLink"/>
                <w:rtl w:val="true"/>
              </w:rPr>
              <w:tab/>
            </w:r>
            <w:r>
              <w:rPr>
                <w:rStyle w:val="IndexLink"/>
              </w:rPr>
              <w:t>113</w:t>
            </w:r>
          </w:hyperlink>
        </w:p>
        <w:p>
          <w:pPr>
            <w:pStyle w:val="Contents6"/>
            <w:tabs>
              <w:tab w:val="clear" w:pos="7609"/>
              <w:tab w:val="right" w:pos="9026" w:leader="dot"/>
            </w:tabs>
            <w:rPr/>
          </w:pPr>
          <w:hyperlink w:anchor="__RefHeading___Toc110572_2749589250">
            <w:r>
              <w:rPr>
                <w:webHidden/>
                <w:rStyle w:val="IndexLink"/>
                <w:rtl w:val="true"/>
              </w:rPr>
              <w:t>التعبّد بالمصادیق</w:t>
            </w:r>
            <w:r>
              <w:rPr>
                <w:rStyle w:val="IndexLink"/>
                <w:rtl w:val="true"/>
              </w:rPr>
              <w:tab/>
            </w:r>
            <w:r>
              <w:rPr>
                <w:rStyle w:val="IndexLink"/>
              </w:rPr>
              <w:t>115</w:t>
            </w:r>
          </w:hyperlink>
        </w:p>
        <w:p>
          <w:pPr>
            <w:pStyle w:val="Contents3"/>
            <w:tabs>
              <w:tab w:val="clear" w:pos="8459"/>
              <w:tab w:val="right" w:pos="9026" w:leader="dot"/>
            </w:tabs>
            <w:rPr/>
          </w:pPr>
          <w:hyperlink w:anchor="__RefHeading___Toc110574_2749589250">
            <w:r>
              <w:rPr>
                <w:webHidden/>
                <w:rStyle w:val="IndexLink"/>
                <w:rtl w:val="true"/>
              </w:rPr>
              <w:t>الجهة الخامسة</w:t>
            </w:r>
            <w:r>
              <w:rPr>
                <w:rStyle w:val="IndexLink"/>
                <w:rtl w:val="true"/>
              </w:rPr>
              <w:t xml:space="preserve">: </w:t>
            </w:r>
            <w:r>
              <w:rPr>
                <w:rStyle w:val="IndexLink"/>
                <w:rtl w:val="true"/>
              </w:rPr>
              <w:t>متعلّق الحکم لقاعدة الشعائر</w:t>
            </w:r>
            <w:r>
              <w:rPr>
                <w:rStyle w:val="IndexLink"/>
                <w:rtl w:val="true"/>
              </w:rPr>
              <w:tab/>
            </w:r>
            <w:r>
              <w:rPr>
                <w:rStyle w:val="IndexLink"/>
              </w:rPr>
              <w:t>117</w:t>
            </w:r>
          </w:hyperlink>
        </w:p>
        <w:p>
          <w:pPr>
            <w:pStyle w:val="Contents4"/>
            <w:tabs>
              <w:tab w:val="clear" w:pos="8176"/>
              <w:tab w:val="right" w:pos="9026" w:leader="dot"/>
            </w:tabs>
            <w:rPr/>
          </w:pPr>
          <w:hyperlink w:anchor="__RefHeading___Toc110576_274958925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0578_2749589250">
            <w:r>
              <w:rPr>
                <w:webHidden/>
                <w:rStyle w:val="IndexLink"/>
                <w:rtl w:val="true"/>
              </w:rPr>
              <w:t>النقطة الأولی</w:t>
            </w:r>
            <w:r>
              <w:rPr>
                <w:rStyle w:val="IndexLink"/>
                <w:rtl w:val="true"/>
              </w:rPr>
              <w:tab/>
            </w:r>
            <w:r>
              <w:rPr>
                <w:rStyle w:val="IndexLink"/>
              </w:rPr>
              <w:t>118</w:t>
            </w:r>
          </w:hyperlink>
        </w:p>
        <w:p>
          <w:pPr>
            <w:pStyle w:val="Contents4"/>
            <w:tabs>
              <w:tab w:val="clear" w:pos="8176"/>
              <w:tab w:val="right" w:pos="9026" w:leader="dot"/>
            </w:tabs>
            <w:rPr/>
          </w:pPr>
          <w:hyperlink w:anchor="__RefHeading___Toc110580_2749589250">
            <w:r>
              <w:rPr>
                <w:webHidden/>
                <w:rStyle w:val="IndexLink"/>
                <w:rtl w:val="true"/>
              </w:rPr>
              <w:t>النقطة الثانی</w:t>
            </w:r>
            <w:r>
              <w:rPr>
                <w:rStyle w:val="IndexLink"/>
                <w:rtl w:val="true"/>
              </w:rPr>
              <w:tab/>
            </w:r>
            <w:r>
              <w:rPr>
                <w:rStyle w:val="IndexLink"/>
              </w:rPr>
              <w:t>120</w:t>
            </w:r>
          </w:hyperlink>
        </w:p>
        <w:p>
          <w:pPr>
            <w:pStyle w:val="Contents4"/>
            <w:tabs>
              <w:tab w:val="clear" w:pos="8176"/>
              <w:tab w:val="right" w:pos="9026" w:leader="dot"/>
            </w:tabs>
            <w:rPr/>
          </w:pPr>
          <w:hyperlink w:anchor="__RefHeading___Toc110582_2749589250">
            <w:r>
              <w:rPr>
                <w:webHidden/>
                <w:rStyle w:val="IndexLink"/>
                <w:rtl w:val="true"/>
              </w:rPr>
              <w:t>النقطة الثالثة</w:t>
            </w:r>
            <w:r>
              <w:rPr>
                <w:rStyle w:val="IndexLink"/>
                <w:rtl w:val="true"/>
              </w:rPr>
              <w:tab/>
            </w:r>
            <w:r>
              <w:rPr>
                <w:rStyle w:val="IndexLink"/>
              </w:rPr>
              <w:t>123</w:t>
            </w:r>
          </w:hyperlink>
        </w:p>
        <w:p>
          <w:pPr>
            <w:pStyle w:val="Contents3"/>
            <w:tabs>
              <w:tab w:val="clear" w:pos="8459"/>
              <w:tab w:val="right" w:pos="9026" w:leader="dot"/>
            </w:tabs>
            <w:rPr/>
          </w:pPr>
          <w:hyperlink w:anchor="__RefHeading___Toc110584_2749589250">
            <w:r>
              <w:rPr>
                <w:webHidden/>
                <w:rStyle w:val="IndexLink"/>
                <w:rtl w:val="true"/>
              </w:rPr>
              <w:t>الجهة السادسة</w:t>
            </w:r>
            <w:r>
              <w:rPr>
                <w:rStyle w:val="IndexLink"/>
                <w:rtl w:val="true"/>
              </w:rPr>
              <w:t xml:space="preserve">: </w:t>
            </w:r>
            <w:r>
              <w:rPr>
                <w:rStyle w:val="IndexLink"/>
                <w:rtl w:val="true"/>
              </w:rPr>
              <w:t>النسبة بین حکم القاعدة وبقیة الأحکام</w:t>
            </w:r>
            <w:r>
              <w:rPr>
                <w:rStyle w:val="IndexLink"/>
                <w:rtl w:val="true"/>
              </w:rPr>
              <w:tab/>
            </w:r>
            <w:r>
              <w:rPr>
                <w:rStyle w:val="IndexLink"/>
              </w:rPr>
              <w:t>126</w:t>
            </w:r>
          </w:hyperlink>
        </w:p>
        <w:p>
          <w:pPr>
            <w:pStyle w:val="Contents4"/>
            <w:tabs>
              <w:tab w:val="clear" w:pos="8176"/>
              <w:tab w:val="right" w:pos="9026" w:leader="dot"/>
            </w:tabs>
            <w:rPr/>
          </w:pPr>
          <w:hyperlink w:anchor="__RefHeading___Toc110586_274958925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0588_2749589250">
            <w:r>
              <w:rPr>
                <w:webHidden/>
                <w:rStyle w:val="IndexLink"/>
                <w:rtl w:val="true"/>
              </w:rPr>
              <w:t>النسبة بین حکم قاعدة الشعائر والأحکام الأوّلیّة</w:t>
            </w:r>
            <w:r>
              <w:rPr>
                <w:rStyle w:val="IndexLink"/>
                <w:rtl w:val="true"/>
              </w:rPr>
              <w:tab/>
            </w:r>
            <w:r>
              <w:rPr>
                <w:rStyle w:val="IndexLink"/>
              </w:rPr>
              <w:t>127</w:t>
            </w:r>
          </w:hyperlink>
        </w:p>
        <w:p>
          <w:pPr>
            <w:pStyle w:val="Contents4"/>
            <w:tabs>
              <w:tab w:val="clear" w:pos="8176"/>
              <w:tab w:val="right" w:pos="9026" w:leader="dot"/>
            </w:tabs>
            <w:rPr/>
          </w:pPr>
          <w:hyperlink w:anchor="__RefHeading___Toc110590_2749589250">
            <w:r>
              <w:rPr>
                <w:webHidden/>
                <w:rStyle w:val="IndexLink"/>
                <w:rtl w:val="true"/>
              </w:rPr>
              <w:t>تقسیم الأحکام الثانویّة فی جنبة الحکم</w:t>
            </w:r>
            <w:r>
              <w:rPr>
                <w:rStyle w:val="IndexLink"/>
                <w:rtl w:val="true"/>
              </w:rPr>
              <w:tab/>
            </w:r>
            <w:r>
              <w:rPr>
                <w:rStyle w:val="IndexLink"/>
              </w:rPr>
              <w:t>131</w:t>
            </w:r>
          </w:hyperlink>
        </w:p>
        <w:p>
          <w:pPr>
            <w:pStyle w:val="Contents5"/>
            <w:tabs>
              <w:tab w:val="clear" w:pos="7892"/>
              <w:tab w:val="right" w:pos="9026" w:leader="dot"/>
            </w:tabs>
            <w:rPr/>
          </w:pPr>
          <w:hyperlink w:anchor="__RefHeading___Toc110592_274958925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0594_2749589250">
            <w:r>
              <w:rPr>
                <w:webHidden/>
                <w:rStyle w:val="IndexLink"/>
                <w:rtl w:val="true"/>
              </w:rPr>
              <w:t>الأحکام الثانویّة المُثبتة</w:t>
            </w:r>
            <w:r>
              <w:rPr>
                <w:rStyle w:val="IndexLink"/>
                <w:rtl w:val="true"/>
              </w:rPr>
              <w:tab/>
            </w:r>
            <w:r>
              <w:rPr>
                <w:rStyle w:val="IndexLink"/>
              </w:rPr>
              <w:t>131</w:t>
            </w:r>
          </w:hyperlink>
        </w:p>
        <w:p>
          <w:pPr>
            <w:pStyle w:val="Contents5"/>
            <w:tabs>
              <w:tab w:val="clear" w:pos="7892"/>
              <w:tab w:val="right" w:pos="9026" w:leader="dot"/>
            </w:tabs>
            <w:rPr/>
          </w:pPr>
          <w:hyperlink w:anchor="__RefHeading___Toc110596_2749589250">
            <w:r>
              <w:rPr>
                <w:webHidden/>
                <w:rStyle w:val="IndexLink"/>
                <w:rtl w:val="true"/>
              </w:rPr>
              <w:t>الأحکام الثانویّة النافیة</w:t>
            </w:r>
            <w:r>
              <w:rPr>
                <w:rStyle w:val="IndexLink"/>
                <w:rtl w:val="true"/>
              </w:rPr>
              <w:tab/>
            </w:r>
            <w:r>
              <w:rPr>
                <w:rStyle w:val="IndexLink"/>
              </w:rPr>
              <w:t>131</w:t>
            </w:r>
          </w:hyperlink>
        </w:p>
        <w:p>
          <w:pPr>
            <w:pStyle w:val="Contents4"/>
            <w:tabs>
              <w:tab w:val="clear" w:pos="8176"/>
              <w:tab w:val="right" w:pos="9026" w:leader="dot"/>
            </w:tabs>
            <w:rPr/>
          </w:pPr>
          <w:hyperlink w:anchor="__RefHeading___Toc110598_2749589250">
            <w:r>
              <w:rPr>
                <w:webHidden/>
                <w:rStyle w:val="IndexLink"/>
                <w:rtl w:val="true"/>
              </w:rPr>
              <w:t>الفارق بین حکم القاعدة والأحکام الثانویّة المثبتة</w:t>
            </w:r>
            <w:r>
              <w:rPr>
                <w:rStyle w:val="IndexLink"/>
                <w:rtl w:val="true"/>
              </w:rPr>
              <w:tab/>
            </w:r>
            <w:r>
              <w:rPr>
                <w:rStyle w:val="IndexLink"/>
              </w:rPr>
              <w:t>132</w:t>
            </w:r>
          </w:hyperlink>
        </w:p>
        <w:p>
          <w:pPr>
            <w:pStyle w:val="Contents4"/>
            <w:tabs>
              <w:tab w:val="clear" w:pos="8176"/>
              <w:tab w:val="right" w:pos="9026" w:leader="dot"/>
            </w:tabs>
            <w:rPr/>
          </w:pPr>
          <w:hyperlink w:anchor="__RefHeading___Toc110600_2749589250">
            <w:r>
              <w:rPr>
                <w:webHidden/>
                <w:rStyle w:val="IndexLink"/>
                <w:rtl w:val="true"/>
              </w:rPr>
              <w:t>النسبة بین قاعدة الشعائر، والأحکام الثانویّة</w:t>
            </w:r>
            <w:r>
              <w:rPr>
                <w:rStyle w:val="IndexLink"/>
                <w:rtl w:val="true"/>
              </w:rPr>
              <w:tab/>
            </w:r>
            <w:r>
              <w:rPr>
                <w:rStyle w:val="IndexLink"/>
              </w:rPr>
              <w:t>133</w:t>
            </w:r>
          </w:hyperlink>
        </w:p>
        <w:p>
          <w:pPr>
            <w:pStyle w:val="Contents4"/>
            <w:tabs>
              <w:tab w:val="clear" w:pos="8176"/>
              <w:tab w:val="right" w:pos="9026" w:leader="dot"/>
            </w:tabs>
            <w:rPr/>
          </w:pPr>
          <w:hyperlink w:anchor="__RefHeading___Toc110602_2749589250">
            <w:r>
              <w:rPr>
                <w:webHidden/>
                <w:rStyle w:val="IndexLink"/>
                <w:rtl w:val="true"/>
              </w:rPr>
              <w:t>الخلاصة فی هذه الجهة</w:t>
            </w:r>
            <w:r>
              <w:rPr>
                <w:rStyle w:val="IndexLink"/>
                <w:rtl w:val="true"/>
              </w:rPr>
              <w:tab/>
            </w:r>
            <w:r>
              <w:rPr>
                <w:rStyle w:val="IndexLink"/>
              </w:rPr>
              <w:t>134</w:t>
            </w:r>
          </w:hyperlink>
        </w:p>
        <w:p>
          <w:pPr>
            <w:pStyle w:val="Contents4"/>
            <w:tabs>
              <w:tab w:val="clear" w:pos="8176"/>
              <w:tab w:val="right" w:pos="9026" w:leader="dot"/>
            </w:tabs>
            <w:rPr/>
          </w:pPr>
          <w:hyperlink w:anchor="__RefHeading___Toc110604_2749589250">
            <w:r>
              <w:rPr>
                <w:webHidden/>
                <w:rStyle w:val="IndexLink"/>
                <w:rtl w:val="true"/>
              </w:rPr>
              <w:t>إختلاف أحکام الشعائر شدّة وضعفاً</w:t>
            </w:r>
            <w:r>
              <w:rPr>
                <w:rStyle w:val="IndexLink"/>
                <w:rtl w:val="true"/>
              </w:rPr>
              <w:tab/>
            </w:r>
            <w:r>
              <w:rPr>
                <w:rStyle w:val="IndexLink"/>
              </w:rPr>
              <w:t>136</w:t>
            </w:r>
          </w:hyperlink>
        </w:p>
        <w:p>
          <w:pPr>
            <w:pStyle w:val="Contents3"/>
            <w:tabs>
              <w:tab w:val="clear" w:pos="8459"/>
              <w:tab w:val="right" w:pos="9026" w:leader="dot"/>
            </w:tabs>
            <w:rPr/>
          </w:pPr>
          <w:hyperlink w:anchor="__RefHeading___Toc110606_2749589250">
            <w:r>
              <w:rPr>
                <w:webHidden/>
                <w:rStyle w:val="IndexLink"/>
                <w:rtl w:val="true"/>
              </w:rPr>
              <w:t>الجهة السابعة</w:t>
            </w:r>
            <w:r>
              <w:rPr>
                <w:rStyle w:val="IndexLink"/>
                <w:rtl w:val="true"/>
              </w:rPr>
              <w:t xml:space="preserve">: </w:t>
            </w:r>
            <w:r>
              <w:rPr>
                <w:rStyle w:val="IndexLink"/>
                <w:rtl w:val="true"/>
              </w:rPr>
              <w:t>الموانع الطارئة علی قاعدة الشعائر</w:t>
            </w:r>
            <w:r>
              <w:rPr>
                <w:rStyle w:val="IndexLink"/>
                <w:rtl w:val="true"/>
              </w:rPr>
              <w:tab/>
            </w:r>
            <w:r>
              <w:rPr>
                <w:rStyle w:val="IndexLink"/>
              </w:rPr>
              <w:t>137</w:t>
            </w:r>
          </w:hyperlink>
        </w:p>
        <w:p>
          <w:pPr>
            <w:pStyle w:val="Contents4"/>
            <w:tabs>
              <w:tab w:val="clear" w:pos="8176"/>
              <w:tab w:val="right" w:pos="9026" w:leader="dot"/>
            </w:tabs>
            <w:rPr/>
          </w:pPr>
          <w:hyperlink w:anchor="__RefHeading___Toc110608_274958925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0610_2749589250">
            <w:r>
              <w:rPr>
                <w:webHidden/>
                <w:rStyle w:val="IndexLink"/>
                <w:rtl w:val="true"/>
              </w:rPr>
              <w:t>الخرافة والشعائر</w:t>
            </w:r>
            <w:r>
              <w:rPr>
                <w:rStyle w:val="IndexLink"/>
                <w:rtl w:val="true"/>
              </w:rPr>
              <w:tab/>
            </w:r>
            <w:r>
              <w:rPr>
                <w:rStyle w:val="IndexLink"/>
              </w:rPr>
              <w:t>138</w:t>
            </w:r>
          </w:hyperlink>
        </w:p>
        <w:p>
          <w:pPr>
            <w:pStyle w:val="Contents4"/>
            <w:tabs>
              <w:tab w:val="clear" w:pos="8176"/>
              <w:tab w:val="right" w:pos="9026" w:leader="dot"/>
            </w:tabs>
            <w:rPr/>
          </w:pPr>
          <w:hyperlink w:anchor="__RefHeading___Toc110612_2749589250">
            <w:r>
              <w:rPr>
                <w:webHidden/>
                <w:rStyle w:val="IndexLink"/>
                <w:rtl w:val="true"/>
              </w:rPr>
              <w:t>الوهم والخیال</w:t>
            </w:r>
            <w:r>
              <w:rPr>
                <w:rStyle w:val="IndexLink"/>
                <w:rtl w:val="true"/>
              </w:rPr>
              <w:tab/>
            </w:r>
            <w:r>
              <w:rPr>
                <w:rStyle w:val="IndexLink"/>
              </w:rPr>
              <w:t>139</w:t>
            </w:r>
          </w:hyperlink>
        </w:p>
        <w:p>
          <w:pPr>
            <w:pStyle w:val="Contents4"/>
            <w:tabs>
              <w:tab w:val="clear" w:pos="8176"/>
              <w:tab w:val="right" w:pos="9026" w:leader="dot"/>
            </w:tabs>
            <w:rPr/>
          </w:pPr>
          <w:hyperlink w:anchor="__RefHeading___Toc110614_2749589250">
            <w:r>
              <w:rPr>
                <w:webHidden/>
                <w:rStyle w:val="IndexLink"/>
                <w:rtl w:val="true"/>
              </w:rPr>
              <w:t>التضادّ بین الشعائر والخرافة</w:t>
            </w:r>
            <w:r>
              <w:rPr>
                <w:rStyle w:val="IndexLink"/>
                <w:rtl w:val="true"/>
              </w:rPr>
              <w:tab/>
            </w:r>
            <w:r>
              <w:rPr>
                <w:rStyle w:val="IndexLink"/>
              </w:rPr>
              <w:t>142</w:t>
            </w:r>
          </w:hyperlink>
        </w:p>
        <w:p>
          <w:pPr>
            <w:pStyle w:val="Contents4"/>
            <w:tabs>
              <w:tab w:val="clear" w:pos="8176"/>
              <w:tab w:val="right" w:pos="9026" w:leader="dot"/>
            </w:tabs>
            <w:rPr/>
          </w:pPr>
          <w:hyperlink w:anchor="__RefHeading___Toc110616_2749589250">
            <w:r>
              <w:rPr>
                <w:webHidden/>
                <w:rStyle w:val="IndexLink"/>
                <w:rtl w:val="true"/>
              </w:rPr>
              <w:t>ممیزات وخصوصیّات الشعائر</w:t>
            </w:r>
            <w:r>
              <w:rPr>
                <w:rStyle w:val="IndexLink"/>
                <w:rtl w:val="true"/>
              </w:rPr>
              <w:tab/>
            </w:r>
            <w:r>
              <w:rPr>
                <w:rStyle w:val="IndexLink"/>
              </w:rPr>
              <w:t>144</w:t>
            </w:r>
          </w:hyperlink>
        </w:p>
        <w:p>
          <w:pPr>
            <w:pStyle w:val="Contents5"/>
            <w:tabs>
              <w:tab w:val="clear" w:pos="7892"/>
              <w:tab w:val="right" w:pos="9026" w:leader="dot"/>
            </w:tabs>
            <w:rPr/>
          </w:pPr>
          <w:hyperlink w:anchor="__RefHeading___Toc110618_274958925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0620_2749589250">
            <w:r>
              <w:rPr>
                <w:webHidden/>
                <w:rStyle w:val="IndexLink"/>
                <w:rtl w:val="true"/>
              </w:rPr>
              <w:t>تنوع الشعائر</w:t>
            </w:r>
            <w:r>
              <w:rPr>
                <w:rStyle w:val="IndexLink"/>
                <w:rtl w:val="true"/>
              </w:rPr>
              <w:tab/>
            </w:r>
            <w:r>
              <w:rPr>
                <w:rStyle w:val="IndexLink"/>
              </w:rPr>
              <w:t>144</w:t>
            </w:r>
          </w:hyperlink>
        </w:p>
        <w:p>
          <w:pPr>
            <w:pStyle w:val="Contents5"/>
            <w:tabs>
              <w:tab w:val="clear" w:pos="7892"/>
              <w:tab w:val="right" w:pos="9026" w:leader="dot"/>
            </w:tabs>
            <w:rPr/>
          </w:pPr>
          <w:hyperlink w:anchor="__RefHeading___Toc110622_2749589250">
            <w:r>
              <w:rPr>
                <w:webHidden/>
                <w:rStyle w:val="IndexLink"/>
                <w:rtl w:val="true"/>
              </w:rPr>
              <w:t>منشأ الشعیرة وأبعادها الخطیرة</w:t>
            </w:r>
            <w:r>
              <w:rPr>
                <w:rStyle w:val="IndexLink"/>
                <w:rtl w:val="true"/>
              </w:rPr>
              <w:tab/>
            </w:r>
            <w:r>
              <w:rPr>
                <w:rStyle w:val="IndexLink"/>
              </w:rPr>
              <w:t>144</w:t>
            </w:r>
          </w:hyperlink>
        </w:p>
        <w:p>
          <w:pPr>
            <w:pStyle w:val="Contents5"/>
            <w:tabs>
              <w:tab w:val="clear" w:pos="7892"/>
              <w:tab w:val="right" w:pos="9026" w:leader="dot"/>
            </w:tabs>
            <w:rPr/>
          </w:pPr>
          <w:hyperlink w:anchor="__RefHeading___Toc110624_2749589250">
            <w:r>
              <w:rPr>
                <w:webHidden/>
                <w:rStyle w:val="IndexLink"/>
                <w:rtl w:val="true"/>
              </w:rPr>
              <w:t>دائرة الشعائر الدینیّة</w:t>
            </w:r>
            <w:r>
              <w:rPr>
                <w:rStyle w:val="IndexLink"/>
                <w:rtl w:val="true"/>
              </w:rPr>
              <w:tab/>
            </w:r>
            <w:r>
              <w:rPr>
                <w:rStyle w:val="IndexLink"/>
              </w:rPr>
              <w:t>147</w:t>
            </w:r>
          </w:hyperlink>
        </w:p>
        <w:p>
          <w:pPr>
            <w:pStyle w:val="Contents5"/>
            <w:tabs>
              <w:tab w:val="clear" w:pos="7892"/>
              <w:tab w:val="right" w:pos="9026" w:leader="dot"/>
            </w:tabs>
            <w:rPr/>
          </w:pPr>
          <w:hyperlink w:anchor="__RefHeading___Toc110626_2749589250">
            <w:r>
              <w:rPr>
                <w:webHidden/>
                <w:rStyle w:val="IndexLink"/>
                <w:rtl w:val="true"/>
              </w:rPr>
              <w:t>تباین مِلاکات الأقسام فی الشعائر</w:t>
            </w:r>
            <w:r>
              <w:rPr>
                <w:rStyle w:val="IndexLink"/>
                <w:rtl w:val="true"/>
              </w:rPr>
              <w:tab/>
            </w:r>
            <w:r>
              <w:rPr>
                <w:rStyle w:val="IndexLink"/>
              </w:rPr>
              <w:t>148</w:t>
            </w:r>
          </w:hyperlink>
        </w:p>
        <w:p>
          <w:pPr>
            <w:pStyle w:val="Contents5"/>
            <w:tabs>
              <w:tab w:val="clear" w:pos="7892"/>
              <w:tab w:val="right" w:pos="9026" w:leader="dot"/>
            </w:tabs>
            <w:rPr/>
          </w:pPr>
          <w:hyperlink w:anchor="__RefHeading___Toc110628_2749589250">
            <w:r>
              <w:rPr>
                <w:webHidden/>
                <w:rStyle w:val="IndexLink"/>
                <w:rtl w:val="true"/>
              </w:rPr>
              <w:t>الشعائر والهَتک</w:t>
            </w:r>
            <w:r>
              <w:rPr>
                <w:rStyle w:val="IndexLink"/>
                <w:rtl w:val="true"/>
              </w:rPr>
              <w:tab/>
            </w:r>
            <w:r>
              <w:rPr>
                <w:rStyle w:val="IndexLink"/>
              </w:rPr>
              <w:t>151</w:t>
            </w:r>
          </w:hyperlink>
        </w:p>
        <w:p>
          <w:pPr>
            <w:pStyle w:val="Contents5"/>
            <w:tabs>
              <w:tab w:val="clear" w:pos="7892"/>
              <w:tab w:val="right" w:pos="9026" w:leader="dot"/>
            </w:tabs>
            <w:rPr/>
          </w:pPr>
          <w:hyperlink w:anchor="__RefHeading___Toc110630_2749589250">
            <w:r>
              <w:rPr>
                <w:webHidden/>
                <w:rStyle w:val="IndexLink"/>
                <w:rtl w:val="true"/>
              </w:rPr>
              <w:t>أقسام الهتک والاستهزاء</w:t>
            </w:r>
            <w:r>
              <w:rPr>
                <w:rStyle w:val="IndexLink"/>
                <w:rtl w:val="true"/>
              </w:rPr>
              <w:tab/>
            </w:r>
            <w:r>
              <w:rPr>
                <w:rStyle w:val="IndexLink"/>
              </w:rPr>
              <w:t>152</w:t>
            </w:r>
          </w:hyperlink>
        </w:p>
        <w:p>
          <w:pPr>
            <w:pStyle w:val="Contents5"/>
            <w:tabs>
              <w:tab w:val="clear" w:pos="7892"/>
              <w:tab w:val="right" w:pos="9026" w:leader="dot"/>
            </w:tabs>
            <w:rPr/>
          </w:pPr>
          <w:hyperlink w:anchor="__RefHeading___Toc110632_2749589250">
            <w:r>
              <w:rPr>
                <w:webHidden/>
                <w:rStyle w:val="IndexLink"/>
                <w:rtl w:val="true"/>
              </w:rPr>
              <w:t>العقل العملیّ والعقل النظریّ</w:t>
            </w:r>
            <w:r>
              <w:rPr>
                <w:rStyle w:val="IndexLink"/>
                <w:rtl w:val="true"/>
              </w:rPr>
              <w:tab/>
            </w:r>
            <w:r>
              <w:rPr>
                <w:rStyle w:val="IndexLink"/>
              </w:rPr>
              <w:t>153</w:t>
            </w:r>
          </w:hyperlink>
        </w:p>
        <w:p>
          <w:pPr>
            <w:pStyle w:val="Contents4"/>
            <w:tabs>
              <w:tab w:val="clear" w:pos="8176"/>
              <w:tab w:val="right" w:pos="9026" w:leader="dot"/>
            </w:tabs>
            <w:rPr/>
          </w:pPr>
          <w:hyperlink w:anchor="__RefHeading___Toc110634_2749589250">
            <w:r>
              <w:rPr>
                <w:webHidden/>
                <w:rStyle w:val="IndexLink"/>
                <w:rtl w:val="true"/>
              </w:rPr>
              <w:t>الشعائر والآثار الإجتماعیّة</w:t>
            </w:r>
            <w:r>
              <w:rPr>
                <w:rStyle w:val="IndexLink"/>
                <w:rtl w:val="true"/>
              </w:rPr>
              <w:tab/>
            </w:r>
            <w:r>
              <w:rPr>
                <w:rStyle w:val="IndexLink"/>
              </w:rPr>
              <w:t>154</w:t>
            </w:r>
          </w:hyperlink>
        </w:p>
        <w:p>
          <w:pPr>
            <w:pStyle w:val="Contents5"/>
            <w:tabs>
              <w:tab w:val="clear" w:pos="7892"/>
              <w:tab w:val="right" w:pos="9026" w:leader="dot"/>
            </w:tabs>
            <w:rPr/>
          </w:pPr>
          <w:hyperlink w:anchor="__RefHeading___Toc110636_274958925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0638_2749589250">
            <w:r>
              <w:rPr>
                <w:webHidden/>
                <w:rStyle w:val="IndexLink"/>
                <w:rtl w:val="true"/>
              </w:rPr>
              <w:t>ممانعة بعض الشعائر تبعاً للمصلحة</w:t>
            </w:r>
            <w:r>
              <w:rPr>
                <w:rStyle w:val="IndexLink"/>
                <w:rtl w:val="true"/>
              </w:rPr>
              <w:tab/>
            </w:r>
            <w:r>
              <w:rPr>
                <w:rStyle w:val="IndexLink"/>
              </w:rPr>
              <w:t>156</w:t>
            </w:r>
          </w:hyperlink>
        </w:p>
        <w:p>
          <w:pPr>
            <w:pStyle w:val="Contents5"/>
            <w:tabs>
              <w:tab w:val="clear" w:pos="7892"/>
              <w:tab w:val="right" w:pos="9026" w:leader="dot"/>
            </w:tabs>
            <w:rPr/>
          </w:pPr>
          <w:hyperlink w:anchor="__RefHeading___Toc110640_2749589250">
            <w:r>
              <w:rPr>
                <w:webHidden/>
                <w:rStyle w:val="IndexLink"/>
                <w:rtl w:val="true"/>
              </w:rPr>
              <w:t>دواعی أخری لممانعة الشعیرة</w:t>
            </w:r>
            <w:r>
              <w:rPr>
                <w:rStyle w:val="IndexLink"/>
                <w:rtl w:val="true"/>
              </w:rPr>
              <w:tab/>
            </w:r>
            <w:r>
              <w:rPr>
                <w:rStyle w:val="IndexLink"/>
              </w:rPr>
              <w:t>156</w:t>
            </w:r>
          </w:hyperlink>
        </w:p>
        <w:p>
          <w:pPr>
            <w:pStyle w:val="Contents4"/>
            <w:tabs>
              <w:tab w:val="clear" w:pos="8176"/>
              <w:tab w:val="right" w:pos="9026" w:leader="dot"/>
            </w:tabs>
            <w:rPr/>
          </w:pPr>
          <w:hyperlink w:anchor="__RefHeading___Toc110642_2749589250">
            <w:r>
              <w:rPr>
                <w:webHidden/>
                <w:rStyle w:val="IndexLink"/>
                <w:rtl w:val="true"/>
              </w:rPr>
              <w:t>الشعائر والإصلاح الاجتماعیّ</w:t>
            </w:r>
            <w:r>
              <w:rPr>
                <w:rStyle w:val="IndexLink"/>
                <w:rtl w:val="true"/>
              </w:rPr>
              <w:tab/>
            </w:r>
            <w:r>
              <w:rPr>
                <w:rStyle w:val="IndexLink"/>
              </w:rPr>
              <w:t>158</w:t>
            </w:r>
          </w:hyperlink>
        </w:p>
        <w:p>
          <w:pPr>
            <w:pStyle w:val="Contents5"/>
            <w:tabs>
              <w:tab w:val="clear" w:pos="7892"/>
              <w:tab w:val="right" w:pos="9026" w:leader="dot"/>
            </w:tabs>
            <w:rPr/>
          </w:pPr>
          <w:hyperlink w:anchor="__RefHeading___Toc110644_274958925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0646_2749589250">
            <w:r>
              <w:rPr>
                <w:webHidden/>
                <w:rStyle w:val="IndexLink"/>
                <w:rtl w:val="true"/>
              </w:rPr>
              <w:t>الصورة الأولی</w:t>
            </w:r>
            <w:r>
              <w:rPr>
                <w:rStyle w:val="IndexLink"/>
                <w:rtl w:val="true"/>
              </w:rPr>
              <w:tab/>
            </w:r>
            <w:r>
              <w:rPr>
                <w:rStyle w:val="IndexLink"/>
              </w:rPr>
              <w:t>158</w:t>
            </w:r>
          </w:hyperlink>
        </w:p>
        <w:p>
          <w:pPr>
            <w:pStyle w:val="Contents5"/>
            <w:tabs>
              <w:tab w:val="clear" w:pos="7892"/>
              <w:tab w:val="right" w:pos="9026" w:leader="dot"/>
            </w:tabs>
            <w:rPr/>
          </w:pPr>
          <w:hyperlink w:anchor="__RefHeading___Toc110648_2749589250">
            <w:r>
              <w:rPr>
                <w:webHidden/>
                <w:rStyle w:val="IndexLink"/>
                <w:rtl w:val="true"/>
              </w:rPr>
              <w:t>الصورة الثانیة</w:t>
            </w:r>
            <w:r>
              <w:rPr>
                <w:rStyle w:val="IndexLink"/>
                <w:rtl w:val="true"/>
              </w:rPr>
              <w:tab/>
            </w:r>
            <w:r>
              <w:rPr>
                <w:rStyle w:val="IndexLink"/>
              </w:rPr>
              <w:t>159</w:t>
            </w:r>
          </w:hyperlink>
        </w:p>
        <w:p>
          <w:pPr>
            <w:pStyle w:val="Contents2"/>
            <w:tabs>
              <w:tab w:val="clear" w:pos="8743"/>
              <w:tab w:val="right" w:pos="9026" w:leader="dot"/>
            </w:tabs>
            <w:rPr/>
          </w:pPr>
          <w:hyperlink w:anchor="__RefHeading___Toc110650_2749589250">
            <w:r>
              <w:rPr>
                <w:webHidden/>
                <w:rStyle w:val="IndexLink"/>
                <w:rtl w:val="true"/>
              </w:rPr>
              <w:t>المقام الثانی</w:t>
            </w:r>
            <w:r>
              <w:rPr>
                <w:rStyle w:val="IndexLink"/>
                <w:rtl w:val="true"/>
              </w:rPr>
              <w:t xml:space="preserve">: </w:t>
            </w:r>
            <w:r>
              <w:rPr>
                <w:rStyle w:val="IndexLink"/>
                <w:rtl w:val="true"/>
              </w:rPr>
              <w:t>الشعائر الحسینیة</w:t>
            </w:r>
            <w:r>
              <w:rPr>
                <w:rStyle w:val="IndexLink"/>
                <w:rtl w:val="true"/>
              </w:rPr>
              <w:tab/>
            </w:r>
            <w:r>
              <w:rPr>
                <w:rStyle w:val="IndexLink"/>
              </w:rPr>
              <w:t>160</w:t>
            </w:r>
          </w:hyperlink>
        </w:p>
        <w:p>
          <w:pPr>
            <w:pStyle w:val="Contents3"/>
            <w:tabs>
              <w:tab w:val="clear" w:pos="8459"/>
              <w:tab w:val="right" w:pos="9026" w:leader="dot"/>
            </w:tabs>
            <w:rPr/>
          </w:pPr>
          <w:hyperlink w:anchor="__RefHeading___Toc110652_274958925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10654_2749589250">
            <w:r>
              <w:rPr>
                <w:webHidden/>
                <w:rStyle w:val="IndexLink"/>
                <w:rtl w:val="true"/>
              </w:rPr>
              <w:t>تمهید</w:t>
            </w:r>
            <w:r>
              <w:rPr>
                <w:rStyle w:val="IndexLink"/>
                <w:rtl w:val="true"/>
              </w:rPr>
              <w:tab/>
            </w:r>
            <w:r>
              <w:rPr>
                <w:rStyle w:val="IndexLink"/>
              </w:rPr>
              <w:t>161</w:t>
            </w:r>
          </w:hyperlink>
        </w:p>
        <w:p>
          <w:pPr>
            <w:pStyle w:val="Contents3"/>
            <w:tabs>
              <w:tab w:val="clear" w:pos="8459"/>
              <w:tab w:val="right" w:pos="9026" w:leader="dot"/>
            </w:tabs>
            <w:rPr/>
          </w:pPr>
          <w:hyperlink w:anchor="__RefHeading___Toc110656_2749589250">
            <w:r>
              <w:rPr>
                <w:webHidden/>
                <w:rStyle w:val="IndexLink"/>
                <w:rtl w:val="true"/>
              </w:rPr>
              <w:t>الجهة الأولی</w:t>
            </w:r>
            <w:r>
              <w:rPr>
                <w:rStyle w:val="IndexLink"/>
                <w:rtl w:val="true"/>
              </w:rPr>
              <w:t xml:space="preserve">: </w:t>
            </w:r>
            <w:r>
              <w:rPr>
                <w:rStyle w:val="IndexLink"/>
                <w:rtl w:val="true"/>
              </w:rPr>
              <w:t>أهداف النهضة الحسینیة</w:t>
            </w:r>
            <w:r>
              <w:rPr>
                <w:rStyle w:val="IndexLink"/>
                <w:rtl w:val="true"/>
              </w:rPr>
              <w:tab/>
            </w:r>
            <w:r>
              <w:rPr>
                <w:rStyle w:val="IndexLink"/>
              </w:rPr>
              <w:t>163</w:t>
            </w:r>
          </w:hyperlink>
        </w:p>
        <w:p>
          <w:pPr>
            <w:pStyle w:val="Contents4"/>
            <w:tabs>
              <w:tab w:val="clear" w:pos="8176"/>
              <w:tab w:val="right" w:pos="9026" w:leader="dot"/>
            </w:tabs>
            <w:rPr/>
          </w:pPr>
          <w:hyperlink w:anchor="__RefHeading___Toc110658_274958925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0660_2749589250">
            <w:r>
              <w:rPr>
                <w:webHidden/>
                <w:rStyle w:val="IndexLink"/>
                <w:rtl w:val="true"/>
              </w:rPr>
              <w:t>التحلیل الأول</w:t>
            </w:r>
            <w:r>
              <w:rPr>
                <w:rStyle w:val="IndexLink"/>
                <w:rtl w:val="true"/>
              </w:rPr>
              <w:tab/>
            </w:r>
            <w:r>
              <w:rPr>
                <w:rStyle w:val="IndexLink"/>
              </w:rPr>
              <w:t>164</w:t>
            </w:r>
          </w:hyperlink>
        </w:p>
        <w:p>
          <w:pPr>
            <w:pStyle w:val="Contents4"/>
            <w:tabs>
              <w:tab w:val="clear" w:pos="8176"/>
              <w:tab w:val="right" w:pos="9026" w:leader="dot"/>
            </w:tabs>
            <w:rPr/>
          </w:pPr>
          <w:hyperlink w:anchor="__RefHeading___Toc110662_2749589250">
            <w:r>
              <w:rPr>
                <w:webHidden/>
                <w:rStyle w:val="IndexLink"/>
                <w:rtl w:val="true"/>
              </w:rPr>
              <w:t>التحلیل الثانی</w:t>
            </w:r>
            <w:r>
              <w:rPr>
                <w:rStyle w:val="IndexLink"/>
                <w:rtl w:val="true"/>
              </w:rPr>
              <w:tab/>
            </w:r>
            <w:r>
              <w:rPr>
                <w:rStyle w:val="IndexLink"/>
              </w:rPr>
              <w:t>167</w:t>
            </w:r>
          </w:hyperlink>
        </w:p>
        <w:p>
          <w:pPr>
            <w:pStyle w:val="Contents4"/>
            <w:tabs>
              <w:tab w:val="clear" w:pos="8176"/>
              <w:tab w:val="right" w:pos="9026" w:leader="dot"/>
            </w:tabs>
            <w:rPr/>
          </w:pPr>
          <w:hyperlink w:anchor="__RefHeading___Toc110664_2749589250">
            <w:r>
              <w:rPr>
                <w:webHidden/>
                <w:rStyle w:val="IndexLink"/>
                <w:rtl w:val="true"/>
              </w:rPr>
              <w:t>التحلیل الثالث</w:t>
            </w:r>
            <w:r>
              <w:rPr>
                <w:rStyle w:val="IndexLink"/>
                <w:rtl w:val="true"/>
              </w:rPr>
              <w:tab/>
            </w:r>
            <w:r>
              <w:rPr>
                <w:rStyle w:val="IndexLink"/>
              </w:rPr>
              <w:t>168</w:t>
            </w:r>
          </w:hyperlink>
        </w:p>
        <w:p>
          <w:pPr>
            <w:pStyle w:val="Contents4"/>
            <w:tabs>
              <w:tab w:val="clear" w:pos="8176"/>
              <w:tab w:val="right" w:pos="9026" w:leader="dot"/>
            </w:tabs>
            <w:rPr/>
          </w:pPr>
          <w:hyperlink w:anchor="__RefHeading___Toc110666_2749589250">
            <w:r>
              <w:rPr>
                <w:webHidden/>
                <w:rStyle w:val="IndexLink"/>
                <w:rtl w:val="true"/>
              </w:rPr>
              <w:t>التحلیل الرابع</w:t>
            </w:r>
            <w:r>
              <w:rPr>
                <w:rStyle w:val="IndexLink"/>
                <w:rtl w:val="true"/>
              </w:rPr>
              <w:tab/>
            </w:r>
            <w:r>
              <w:rPr>
                <w:rStyle w:val="IndexLink"/>
              </w:rPr>
              <w:t>169</w:t>
            </w:r>
          </w:hyperlink>
        </w:p>
        <w:p>
          <w:pPr>
            <w:pStyle w:val="Contents4"/>
            <w:tabs>
              <w:tab w:val="clear" w:pos="8176"/>
              <w:tab w:val="right" w:pos="9026" w:leader="dot"/>
            </w:tabs>
            <w:rPr/>
          </w:pPr>
          <w:hyperlink w:anchor="__RefHeading___Toc110668_2749589250">
            <w:r>
              <w:rPr>
                <w:webHidden/>
                <w:rStyle w:val="IndexLink"/>
                <w:rtl w:val="true"/>
              </w:rPr>
              <w:t>التحلیل الخامس</w:t>
            </w:r>
            <w:r>
              <w:rPr>
                <w:rStyle w:val="IndexLink"/>
                <w:rtl w:val="true"/>
              </w:rPr>
              <w:tab/>
            </w:r>
            <w:r>
              <w:rPr>
                <w:rStyle w:val="IndexLink"/>
              </w:rPr>
              <w:t>170</w:t>
            </w:r>
          </w:hyperlink>
        </w:p>
        <w:p>
          <w:pPr>
            <w:pStyle w:val="Contents3"/>
            <w:tabs>
              <w:tab w:val="clear" w:pos="8459"/>
              <w:tab w:val="right" w:pos="9026" w:leader="dot"/>
            </w:tabs>
            <w:rPr/>
          </w:pPr>
          <w:hyperlink w:anchor="__RefHeading___Toc110670_2749589250">
            <w:r>
              <w:rPr>
                <w:webHidden/>
                <w:rStyle w:val="IndexLink"/>
                <w:rtl w:val="true"/>
              </w:rPr>
              <w:t>الجهة الثانیة</w:t>
            </w:r>
            <w:r>
              <w:rPr>
                <w:rStyle w:val="IndexLink"/>
                <w:rtl w:val="true"/>
              </w:rPr>
              <w:t xml:space="preserve">: </w:t>
            </w:r>
            <w:r>
              <w:rPr>
                <w:rStyle w:val="IndexLink"/>
                <w:rtl w:val="true"/>
              </w:rPr>
              <w:t>أدلة الشعائر الحسینیة</w:t>
            </w:r>
            <w:r>
              <w:rPr>
                <w:rStyle w:val="IndexLink"/>
                <w:rtl w:val="true"/>
              </w:rPr>
              <w:tab/>
            </w:r>
            <w:r>
              <w:rPr>
                <w:rStyle w:val="IndexLink"/>
              </w:rPr>
              <w:t>172</w:t>
            </w:r>
          </w:hyperlink>
        </w:p>
        <w:p>
          <w:pPr>
            <w:pStyle w:val="Contents4"/>
            <w:tabs>
              <w:tab w:val="clear" w:pos="8176"/>
              <w:tab w:val="right" w:pos="9026" w:leader="dot"/>
            </w:tabs>
            <w:rPr/>
          </w:pPr>
          <w:hyperlink w:anchor="__RefHeading___Toc110672_274958925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0674_2749589250">
            <w:r>
              <w:rPr>
                <w:webHidden/>
                <w:rStyle w:val="IndexLink"/>
                <w:rtl w:val="true"/>
              </w:rPr>
              <w:t>الدلیل الأول</w:t>
            </w:r>
            <w:r>
              <w:rPr>
                <w:rStyle w:val="IndexLink"/>
                <w:rtl w:val="true"/>
              </w:rPr>
              <w:tab/>
            </w:r>
            <w:r>
              <w:rPr>
                <w:rStyle w:val="IndexLink"/>
              </w:rPr>
              <w:t>174</w:t>
            </w:r>
          </w:hyperlink>
        </w:p>
        <w:p>
          <w:pPr>
            <w:pStyle w:val="Contents4"/>
            <w:tabs>
              <w:tab w:val="clear" w:pos="8176"/>
              <w:tab w:val="right" w:pos="9026" w:leader="dot"/>
            </w:tabs>
            <w:rPr/>
          </w:pPr>
          <w:hyperlink w:anchor="__RefHeading___Toc110676_2749589250">
            <w:r>
              <w:rPr>
                <w:webHidden/>
                <w:rStyle w:val="IndexLink"/>
                <w:rtl w:val="true"/>
              </w:rPr>
              <w:t>الدلیل الثانی</w:t>
            </w:r>
            <w:r>
              <w:rPr>
                <w:rStyle w:val="IndexLink"/>
                <w:rtl w:val="true"/>
              </w:rPr>
              <w:tab/>
            </w:r>
            <w:r>
              <w:rPr>
                <w:rStyle w:val="IndexLink"/>
              </w:rPr>
              <w:t>175</w:t>
            </w:r>
          </w:hyperlink>
        </w:p>
        <w:p>
          <w:pPr>
            <w:pStyle w:val="Contents4"/>
            <w:tabs>
              <w:tab w:val="clear" w:pos="8176"/>
              <w:tab w:val="right" w:pos="9026" w:leader="dot"/>
            </w:tabs>
            <w:rPr/>
          </w:pPr>
          <w:hyperlink w:anchor="__RefHeading___Toc110678_2749589250">
            <w:r>
              <w:rPr>
                <w:webHidden/>
                <w:rStyle w:val="IndexLink"/>
                <w:rtl w:val="true"/>
              </w:rPr>
              <w:t>الدلیل الثالث</w:t>
            </w:r>
            <w:r>
              <w:rPr>
                <w:rStyle w:val="IndexLink"/>
                <w:rtl w:val="true"/>
              </w:rPr>
              <w:tab/>
            </w:r>
            <w:r>
              <w:rPr>
                <w:rStyle w:val="IndexLink"/>
              </w:rPr>
              <w:t>179</w:t>
            </w:r>
          </w:hyperlink>
        </w:p>
        <w:p>
          <w:pPr>
            <w:pStyle w:val="Contents4"/>
            <w:tabs>
              <w:tab w:val="clear" w:pos="8176"/>
              <w:tab w:val="right" w:pos="9026" w:leader="dot"/>
            </w:tabs>
            <w:rPr/>
          </w:pPr>
          <w:hyperlink w:anchor="__RefHeading___Toc110680_2749589250">
            <w:r>
              <w:rPr>
                <w:webHidden/>
                <w:rStyle w:val="IndexLink"/>
                <w:rtl w:val="true"/>
              </w:rPr>
              <w:t>الدلیل الرابع</w:t>
            </w:r>
            <w:r>
              <w:rPr>
                <w:rStyle w:val="IndexLink"/>
                <w:rtl w:val="true"/>
              </w:rPr>
              <w:tab/>
            </w:r>
            <w:r>
              <w:rPr>
                <w:rStyle w:val="IndexLink"/>
              </w:rPr>
              <w:t>179</w:t>
            </w:r>
          </w:hyperlink>
        </w:p>
        <w:p>
          <w:pPr>
            <w:pStyle w:val="Contents3"/>
            <w:tabs>
              <w:tab w:val="clear" w:pos="8459"/>
              <w:tab w:val="right" w:pos="9026" w:leader="dot"/>
            </w:tabs>
            <w:rPr/>
          </w:pPr>
          <w:hyperlink w:anchor="__RefHeading___Toc110682_2749589250">
            <w:r>
              <w:rPr>
                <w:webHidden/>
                <w:rStyle w:val="IndexLink"/>
                <w:rtl w:val="true"/>
              </w:rPr>
              <w:t>الجهة الثالثة</w:t>
            </w:r>
            <w:r>
              <w:rPr>
                <w:rStyle w:val="IndexLink"/>
                <w:rtl w:val="true"/>
              </w:rPr>
              <w:t xml:space="preserve">: </w:t>
            </w:r>
            <w:r>
              <w:rPr>
                <w:rStyle w:val="IndexLink"/>
                <w:rtl w:val="true"/>
              </w:rPr>
              <w:t>أقسام الشعائر الحسینیّة</w:t>
            </w:r>
            <w:r>
              <w:rPr>
                <w:rStyle w:val="IndexLink"/>
                <w:rtl w:val="true"/>
              </w:rPr>
              <w:tab/>
            </w:r>
            <w:r>
              <w:rPr>
                <w:rStyle w:val="IndexLink"/>
              </w:rPr>
              <w:t>182</w:t>
            </w:r>
          </w:hyperlink>
        </w:p>
        <w:p>
          <w:pPr>
            <w:pStyle w:val="Contents3"/>
            <w:tabs>
              <w:tab w:val="clear" w:pos="8459"/>
              <w:tab w:val="right" w:pos="9026" w:leader="dot"/>
            </w:tabs>
            <w:rPr/>
          </w:pPr>
          <w:hyperlink w:anchor="__RefHeading___Toc110684_2749589250">
            <w:r>
              <w:rPr>
                <w:webHidden/>
                <w:rStyle w:val="IndexLink"/>
                <w:rtl w:val="true"/>
              </w:rPr>
              <w:t>الجهة الرابعة</w:t>
            </w:r>
            <w:r>
              <w:rPr>
                <w:rStyle w:val="IndexLink"/>
                <w:rtl w:val="true"/>
              </w:rPr>
              <w:t xml:space="preserve">: </w:t>
            </w:r>
            <w:r>
              <w:rPr>
                <w:rStyle w:val="IndexLink"/>
                <w:rtl w:val="true"/>
              </w:rPr>
              <w:t>الروایة فی الشعائر الحسینیة</w:t>
            </w:r>
            <w:r>
              <w:rPr>
                <w:rStyle w:val="IndexLink"/>
                <w:rtl w:val="true"/>
              </w:rPr>
              <w:tab/>
            </w:r>
            <w:r>
              <w:rPr>
                <w:rStyle w:val="IndexLink"/>
              </w:rPr>
              <w:t>185</w:t>
            </w:r>
          </w:hyperlink>
        </w:p>
        <w:p>
          <w:pPr>
            <w:pStyle w:val="Contents4"/>
            <w:tabs>
              <w:tab w:val="clear" w:pos="8176"/>
              <w:tab w:val="right" w:pos="9026" w:leader="dot"/>
            </w:tabs>
            <w:rPr/>
          </w:pPr>
          <w:hyperlink w:anchor="__RefHeading___Toc110686_274958925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0688_2749589250">
            <w:r>
              <w:rPr>
                <w:webHidden/>
                <w:rStyle w:val="IndexLink"/>
                <w:rtl w:val="true"/>
              </w:rPr>
              <w:t>أمّا المقام الأوّل</w:t>
            </w:r>
            <w:r>
              <w:rPr>
                <w:rStyle w:val="IndexLink"/>
                <w:rtl w:val="true"/>
              </w:rPr>
              <w:tab/>
            </w:r>
            <w:r>
              <w:rPr>
                <w:rStyle w:val="IndexLink"/>
              </w:rPr>
              <w:t>187</w:t>
            </w:r>
          </w:hyperlink>
        </w:p>
        <w:p>
          <w:pPr>
            <w:pStyle w:val="Contents5"/>
            <w:tabs>
              <w:tab w:val="clear" w:pos="7892"/>
              <w:tab w:val="right" w:pos="9026" w:leader="dot"/>
            </w:tabs>
            <w:rPr/>
          </w:pPr>
          <w:hyperlink w:anchor="__RefHeading___Toc110690_274958925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0692_2749589250">
            <w:r>
              <w:rPr>
                <w:webHidden/>
                <w:rStyle w:val="IndexLink"/>
                <w:rtl w:val="true"/>
              </w:rPr>
              <w:t>مبالغة الجهد علمیاً وعملیاً</w:t>
            </w:r>
            <w:r>
              <w:rPr>
                <w:rStyle w:val="IndexLink"/>
                <w:rtl w:val="true"/>
              </w:rPr>
              <w:tab/>
            </w:r>
            <w:r>
              <w:rPr>
                <w:rStyle w:val="IndexLink"/>
              </w:rPr>
              <w:t>189</w:t>
            </w:r>
          </w:hyperlink>
        </w:p>
        <w:p>
          <w:pPr>
            <w:pStyle w:val="Contents5"/>
            <w:tabs>
              <w:tab w:val="clear" w:pos="7892"/>
              <w:tab w:val="right" w:pos="9026" w:leader="dot"/>
            </w:tabs>
            <w:rPr/>
          </w:pPr>
          <w:hyperlink w:anchor="__RefHeading___Toc110694_2749589250">
            <w:r>
              <w:rPr>
                <w:webHidden/>
                <w:rStyle w:val="IndexLink"/>
                <w:rtl w:val="true"/>
              </w:rPr>
              <w:t>الروایة التاریخیّة</w:t>
            </w:r>
            <w:r>
              <w:rPr>
                <w:rStyle w:val="IndexLink"/>
                <w:rtl w:val="true"/>
              </w:rPr>
              <w:tab/>
            </w:r>
            <w:r>
              <w:rPr>
                <w:rStyle w:val="IndexLink"/>
              </w:rPr>
              <w:t>189</w:t>
            </w:r>
          </w:hyperlink>
        </w:p>
        <w:p>
          <w:pPr>
            <w:pStyle w:val="Contents5"/>
            <w:tabs>
              <w:tab w:val="clear" w:pos="7892"/>
              <w:tab w:val="right" w:pos="9026" w:leader="dot"/>
            </w:tabs>
            <w:rPr/>
          </w:pPr>
          <w:hyperlink w:anchor="__RefHeading___Toc110696_2749589250">
            <w:r>
              <w:rPr>
                <w:webHidden/>
                <w:rStyle w:val="IndexLink"/>
                <w:rtl w:val="true"/>
              </w:rPr>
              <w:t>ضابطة الروایة القصصیّة</w:t>
            </w:r>
            <w:r>
              <w:rPr>
                <w:rStyle w:val="IndexLink"/>
                <w:rtl w:val="true"/>
              </w:rPr>
              <w:tab/>
            </w:r>
            <w:r>
              <w:rPr>
                <w:rStyle w:val="IndexLink"/>
              </w:rPr>
              <w:t>192</w:t>
            </w:r>
          </w:hyperlink>
        </w:p>
        <w:p>
          <w:pPr>
            <w:pStyle w:val="Contents5"/>
            <w:tabs>
              <w:tab w:val="clear" w:pos="7892"/>
              <w:tab w:val="right" w:pos="9026" w:leader="dot"/>
            </w:tabs>
            <w:rPr/>
          </w:pPr>
          <w:hyperlink w:anchor="__RefHeading___Toc110698_2749589250">
            <w:r>
              <w:rPr>
                <w:webHidden/>
                <w:rStyle w:val="IndexLink"/>
                <w:rtl w:val="true"/>
              </w:rPr>
              <w:t>الروایة الشرعیّة</w:t>
            </w:r>
            <w:r>
              <w:rPr>
                <w:rStyle w:val="IndexLink"/>
                <w:rtl w:val="true"/>
              </w:rPr>
              <w:tab/>
            </w:r>
            <w:r>
              <w:rPr>
                <w:rStyle w:val="IndexLink"/>
              </w:rPr>
              <w:t>195</w:t>
            </w:r>
          </w:hyperlink>
        </w:p>
        <w:p>
          <w:pPr>
            <w:pStyle w:val="Contents5"/>
            <w:tabs>
              <w:tab w:val="clear" w:pos="7892"/>
              <w:tab w:val="right" w:pos="9026" w:leader="dot"/>
            </w:tabs>
            <w:rPr/>
          </w:pPr>
          <w:hyperlink w:anchor="__RefHeading___Toc110700_2749589250">
            <w:r>
              <w:rPr>
                <w:webHidden/>
                <w:rStyle w:val="IndexLink"/>
                <w:rtl w:val="true"/>
              </w:rPr>
              <w:t>عدم جواز ردّ الخبر الضعیف</w:t>
            </w:r>
            <w:r>
              <w:rPr>
                <w:rStyle w:val="IndexLink"/>
                <w:rtl w:val="true"/>
              </w:rPr>
              <w:tab/>
            </w:r>
            <w:r>
              <w:rPr>
                <w:rStyle w:val="IndexLink"/>
              </w:rPr>
              <w:t>196</w:t>
            </w:r>
          </w:hyperlink>
        </w:p>
        <w:p>
          <w:pPr>
            <w:pStyle w:val="Contents5"/>
            <w:tabs>
              <w:tab w:val="clear" w:pos="7892"/>
              <w:tab w:val="right" w:pos="9026" w:leader="dot"/>
            </w:tabs>
            <w:rPr/>
          </w:pPr>
          <w:hyperlink w:anchor="__RefHeading___Toc110702_2749589250">
            <w:r>
              <w:rPr>
                <w:webHidden/>
                <w:rStyle w:val="IndexLink"/>
                <w:rtl w:val="true"/>
              </w:rPr>
              <w:t>الروایة فی باب العقائد</w:t>
            </w:r>
            <w:r>
              <w:rPr>
                <w:rStyle w:val="IndexLink"/>
                <w:rtl w:val="true"/>
              </w:rPr>
              <w:tab/>
            </w:r>
            <w:r>
              <w:rPr>
                <w:rStyle w:val="IndexLink"/>
              </w:rPr>
              <w:t>197</w:t>
            </w:r>
          </w:hyperlink>
        </w:p>
        <w:p>
          <w:pPr>
            <w:pStyle w:val="Contents4"/>
            <w:tabs>
              <w:tab w:val="clear" w:pos="8176"/>
              <w:tab w:val="right" w:pos="9026" w:leader="dot"/>
            </w:tabs>
            <w:rPr/>
          </w:pPr>
          <w:hyperlink w:anchor="__RefHeading___Toc110704_2749589250">
            <w:r>
              <w:rPr>
                <w:webHidden/>
                <w:rStyle w:val="IndexLink"/>
                <w:rtl w:val="true"/>
              </w:rPr>
              <w:t>المقام الثانی</w:t>
            </w:r>
            <w:r>
              <w:rPr>
                <w:rStyle w:val="IndexLink"/>
                <w:rtl w:val="true"/>
              </w:rPr>
              <w:tab/>
            </w:r>
            <w:r>
              <w:rPr>
                <w:rStyle w:val="IndexLink"/>
              </w:rPr>
              <w:t>204</w:t>
            </w:r>
          </w:hyperlink>
        </w:p>
        <w:p>
          <w:pPr>
            <w:pStyle w:val="Contents5"/>
            <w:tabs>
              <w:tab w:val="clear" w:pos="7892"/>
              <w:tab w:val="right" w:pos="9026" w:leader="dot"/>
            </w:tabs>
            <w:rPr/>
          </w:pPr>
          <w:hyperlink w:anchor="__RefHeading___Toc110706_274958925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0708_2749589250">
            <w:r>
              <w:rPr>
                <w:webHidden/>
                <w:rStyle w:val="IndexLink"/>
                <w:rtl w:val="true"/>
              </w:rPr>
              <w:t>إشکال وجواب</w:t>
            </w:r>
            <w:r>
              <w:rPr>
                <w:rStyle w:val="IndexLink"/>
                <w:rtl w:val="true"/>
              </w:rPr>
              <w:tab/>
            </w:r>
            <w:r>
              <w:rPr>
                <w:rStyle w:val="IndexLink"/>
              </w:rPr>
              <w:t>207</w:t>
            </w:r>
          </w:hyperlink>
        </w:p>
        <w:p>
          <w:pPr>
            <w:pStyle w:val="Contents3"/>
            <w:tabs>
              <w:tab w:val="clear" w:pos="8459"/>
              <w:tab w:val="right" w:pos="9026" w:leader="dot"/>
            </w:tabs>
            <w:rPr/>
          </w:pPr>
          <w:hyperlink w:anchor="__RefHeading___Toc110710_2749589250">
            <w:r>
              <w:rPr>
                <w:webHidden/>
                <w:rStyle w:val="IndexLink"/>
                <w:rtl w:val="true"/>
              </w:rPr>
              <w:t>الجهة الخامسة</w:t>
            </w:r>
            <w:r>
              <w:rPr>
                <w:rStyle w:val="IndexLink"/>
                <w:rtl w:val="true"/>
              </w:rPr>
              <w:t xml:space="preserve">: </w:t>
            </w:r>
            <w:r>
              <w:rPr>
                <w:rStyle w:val="IndexLink"/>
                <w:rtl w:val="true"/>
              </w:rPr>
              <w:t>البکاء فی الشعائر الحسینیّة</w:t>
            </w:r>
            <w:r>
              <w:rPr>
                <w:rStyle w:val="IndexLink"/>
                <w:rtl w:val="true"/>
              </w:rPr>
              <w:tab/>
            </w:r>
            <w:r>
              <w:rPr>
                <w:rStyle w:val="IndexLink"/>
              </w:rPr>
              <w:t>209</w:t>
            </w:r>
          </w:hyperlink>
        </w:p>
        <w:p>
          <w:pPr>
            <w:pStyle w:val="Contents4"/>
            <w:tabs>
              <w:tab w:val="clear" w:pos="8176"/>
              <w:tab w:val="right" w:pos="9026" w:leader="dot"/>
            </w:tabs>
            <w:rPr/>
          </w:pPr>
          <w:hyperlink w:anchor="__RefHeading___Toc110712_274958925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0714_2749589250">
            <w:r>
              <w:rPr>
                <w:webHidden/>
                <w:rStyle w:val="IndexLink"/>
                <w:rtl w:val="true"/>
              </w:rPr>
              <w:t>البکاء فی المصادر المعتبرة</w:t>
            </w:r>
            <w:r>
              <w:rPr>
                <w:rStyle w:val="IndexLink"/>
                <w:rtl w:val="true"/>
              </w:rPr>
              <w:tab/>
            </w:r>
            <w:r>
              <w:rPr>
                <w:rStyle w:val="IndexLink"/>
              </w:rPr>
              <w:t>210</w:t>
            </w:r>
          </w:hyperlink>
        </w:p>
        <w:p>
          <w:pPr>
            <w:pStyle w:val="Contents4"/>
            <w:tabs>
              <w:tab w:val="clear" w:pos="8176"/>
              <w:tab w:val="right" w:pos="9026" w:leader="dot"/>
            </w:tabs>
            <w:rPr/>
          </w:pPr>
          <w:hyperlink w:anchor="__RefHeading___Toc110716_2749589250">
            <w:r>
              <w:rPr>
                <w:webHidden/>
                <w:rStyle w:val="IndexLink"/>
                <w:rtl w:val="true"/>
              </w:rPr>
              <w:t>البکاء ذروة الشعائر الحسینیّة</w:t>
            </w:r>
            <w:r>
              <w:rPr>
                <w:rStyle w:val="IndexLink"/>
                <w:rtl w:val="true"/>
              </w:rPr>
              <w:tab/>
            </w:r>
            <w:r>
              <w:rPr>
                <w:rStyle w:val="IndexLink"/>
              </w:rPr>
              <w:t>212</w:t>
            </w:r>
          </w:hyperlink>
        </w:p>
        <w:p>
          <w:pPr>
            <w:pStyle w:val="Contents4"/>
            <w:tabs>
              <w:tab w:val="clear" w:pos="8176"/>
              <w:tab w:val="right" w:pos="9026" w:leader="dot"/>
            </w:tabs>
            <w:rPr/>
          </w:pPr>
          <w:hyperlink w:anchor="__RefHeading___Toc110718_2749589250">
            <w:r>
              <w:rPr>
                <w:webHidden/>
                <w:rStyle w:val="IndexLink"/>
                <w:rtl w:val="true"/>
              </w:rPr>
              <w:t>الجزع فی الشعائر الحسینیّة</w:t>
            </w:r>
            <w:r>
              <w:rPr>
                <w:rStyle w:val="IndexLink"/>
                <w:rtl w:val="true"/>
              </w:rPr>
              <w:tab/>
            </w:r>
            <w:r>
              <w:rPr>
                <w:rStyle w:val="IndexLink"/>
              </w:rPr>
              <w:t>214</w:t>
            </w:r>
          </w:hyperlink>
        </w:p>
        <w:p>
          <w:pPr>
            <w:pStyle w:val="Contents4"/>
            <w:tabs>
              <w:tab w:val="clear" w:pos="8176"/>
              <w:tab w:val="right" w:pos="9026" w:leader="dot"/>
            </w:tabs>
            <w:rPr/>
          </w:pPr>
          <w:hyperlink w:anchor="__RefHeading___Toc110720_2749589250">
            <w:r>
              <w:rPr>
                <w:webHidden/>
                <w:rStyle w:val="IndexLink"/>
                <w:rtl w:val="true"/>
              </w:rPr>
              <w:t>حقیقة البکاء</w:t>
            </w:r>
            <w:r>
              <w:rPr>
                <w:rStyle w:val="IndexLink"/>
                <w:rtl w:val="true"/>
              </w:rPr>
              <w:tab/>
            </w:r>
            <w:r>
              <w:rPr>
                <w:rStyle w:val="IndexLink"/>
              </w:rPr>
              <w:t>217</w:t>
            </w:r>
          </w:hyperlink>
        </w:p>
        <w:p>
          <w:pPr>
            <w:pStyle w:val="Contents4"/>
            <w:tabs>
              <w:tab w:val="clear" w:pos="8176"/>
              <w:tab w:val="right" w:pos="9026" w:leader="dot"/>
            </w:tabs>
            <w:rPr/>
          </w:pPr>
          <w:hyperlink w:anchor="__RefHeading___Toc110722_2749589250">
            <w:r>
              <w:rPr>
                <w:webHidden/>
                <w:rStyle w:val="IndexLink"/>
                <w:rtl w:val="true"/>
              </w:rPr>
              <w:t>القوّة الادراکیّة والقوّة العملیّة</w:t>
            </w:r>
            <w:r>
              <w:rPr>
                <w:rStyle w:val="IndexLink"/>
                <w:rtl w:val="true"/>
              </w:rPr>
              <w:tab/>
            </w:r>
            <w:r>
              <w:rPr>
                <w:rStyle w:val="IndexLink"/>
              </w:rPr>
              <w:t>219</w:t>
            </w:r>
          </w:hyperlink>
        </w:p>
        <w:p>
          <w:pPr>
            <w:pStyle w:val="Contents4"/>
            <w:tabs>
              <w:tab w:val="clear" w:pos="8176"/>
              <w:tab w:val="right" w:pos="9026" w:leader="dot"/>
            </w:tabs>
            <w:rPr/>
          </w:pPr>
          <w:hyperlink w:anchor="__RefHeading___Toc110724_2749589250">
            <w:r>
              <w:rPr>
                <w:webHidden/>
                <w:rStyle w:val="IndexLink"/>
                <w:rtl w:val="true"/>
              </w:rPr>
              <w:t>ثوابت عن ظاهرة التقدیس</w:t>
            </w:r>
            <w:r>
              <w:rPr>
                <w:rStyle w:val="IndexLink"/>
                <w:rtl w:val="true"/>
              </w:rPr>
              <w:tab/>
            </w:r>
            <w:r>
              <w:rPr>
                <w:rStyle w:val="IndexLink"/>
              </w:rPr>
              <w:t>223</w:t>
            </w:r>
          </w:hyperlink>
        </w:p>
        <w:p>
          <w:pPr>
            <w:pStyle w:val="Contents4"/>
            <w:tabs>
              <w:tab w:val="clear" w:pos="8176"/>
              <w:tab w:val="right" w:pos="9026" w:leader="dot"/>
            </w:tabs>
            <w:rPr/>
          </w:pPr>
          <w:hyperlink w:anchor="__RefHeading___Toc110726_2749589250">
            <w:r>
              <w:rPr>
                <w:webHidden/>
                <w:rStyle w:val="IndexLink"/>
                <w:rtl w:val="true"/>
              </w:rPr>
              <w:t>المنطق الشرعیّ وظاهرة البکاء</w:t>
            </w:r>
            <w:r>
              <w:rPr>
                <w:rStyle w:val="IndexLink"/>
                <w:rtl w:val="true"/>
              </w:rPr>
              <w:tab/>
            </w:r>
            <w:r>
              <w:rPr>
                <w:rStyle w:val="IndexLink"/>
              </w:rPr>
              <w:t>226</w:t>
            </w:r>
          </w:hyperlink>
        </w:p>
        <w:p>
          <w:pPr>
            <w:pStyle w:val="Contents4"/>
            <w:tabs>
              <w:tab w:val="clear" w:pos="8176"/>
              <w:tab w:val="right" w:pos="9026" w:leader="dot"/>
            </w:tabs>
            <w:rPr/>
          </w:pPr>
          <w:hyperlink w:anchor="__RefHeading___Toc110728_2749589250">
            <w:r>
              <w:rPr>
                <w:webHidden/>
                <w:rStyle w:val="IndexLink"/>
                <w:rtl w:val="true"/>
              </w:rPr>
              <w:t>التشکیک سلاح ذو حَدّین</w:t>
            </w:r>
            <w:r>
              <w:rPr>
                <w:rStyle w:val="IndexLink"/>
                <w:rtl w:val="true"/>
              </w:rPr>
              <w:tab/>
            </w:r>
            <w:r>
              <w:rPr>
                <w:rStyle w:val="IndexLink"/>
              </w:rPr>
              <w:t>228</w:t>
            </w:r>
          </w:hyperlink>
        </w:p>
        <w:p>
          <w:pPr>
            <w:pStyle w:val="Contents5"/>
            <w:tabs>
              <w:tab w:val="clear" w:pos="7892"/>
              <w:tab w:val="right" w:pos="9026" w:leader="dot"/>
            </w:tabs>
            <w:rPr/>
          </w:pPr>
          <w:hyperlink w:anchor="__RefHeading___Toc110730_274958925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0732_2749589250">
            <w:r>
              <w:rPr>
                <w:webHidden/>
                <w:rStyle w:val="IndexLink"/>
                <w:rtl w:val="true"/>
              </w:rPr>
              <w:t>حصیلة المطاف</w:t>
            </w:r>
            <w:r>
              <w:rPr>
                <w:rStyle w:val="IndexLink"/>
                <w:rtl w:val="true"/>
              </w:rPr>
              <w:tab/>
            </w:r>
            <w:r>
              <w:rPr>
                <w:rStyle w:val="IndexLink"/>
              </w:rPr>
              <w:t>230</w:t>
            </w:r>
          </w:hyperlink>
        </w:p>
        <w:p>
          <w:pPr>
            <w:pStyle w:val="Contents4"/>
            <w:tabs>
              <w:tab w:val="clear" w:pos="8176"/>
              <w:tab w:val="right" w:pos="9026" w:leader="dot"/>
            </w:tabs>
            <w:rPr/>
          </w:pPr>
          <w:hyperlink w:anchor="__RefHeading___Toc110734_2749589250">
            <w:r>
              <w:rPr>
                <w:webHidden/>
                <w:rStyle w:val="IndexLink"/>
                <w:rtl w:val="true"/>
              </w:rPr>
              <w:t>تعریف البکاء</w:t>
            </w:r>
            <w:r>
              <w:rPr>
                <w:rStyle w:val="IndexLink"/>
                <w:rtl w:val="true"/>
              </w:rPr>
              <w:tab/>
            </w:r>
            <w:r>
              <w:rPr>
                <w:rStyle w:val="IndexLink"/>
              </w:rPr>
              <w:t>230</w:t>
            </w:r>
          </w:hyperlink>
        </w:p>
        <w:p>
          <w:pPr>
            <w:pStyle w:val="Contents4"/>
            <w:tabs>
              <w:tab w:val="clear" w:pos="8176"/>
              <w:tab w:val="right" w:pos="9026" w:leader="dot"/>
            </w:tabs>
            <w:rPr/>
          </w:pPr>
          <w:hyperlink w:anchor="__RefHeading___Toc110736_2749589250">
            <w:r>
              <w:rPr>
                <w:webHidden/>
                <w:rStyle w:val="IndexLink"/>
                <w:rtl w:val="true"/>
              </w:rPr>
              <w:t>التناسب الطردی بین المعلومة والعاطفة</w:t>
            </w:r>
            <w:r>
              <w:rPr>
                <w:rStyle w:val="IndexLink"/>
                <w:rtl w:val="true"/>
              </w:rPr>
              <w:tab/>
            </w:r>
            <w:r>
              <w:rPr>
                <w:rStyle w:val="IndexLink"/>
              </w:rPr>
              <w:t>240</w:t>
            </w:r>
          </w:hyperlink>
        </w:p>
        <w:p>
          <w:pPr>
            <w:pStyle w:val="Contents4"/>
            <w:tabs>
              <w:tab w:val="clear" w:pos="8176"/>
              <w:tab w:val="right" w:pos="9026" w:leader="dot"/>
            </w:tabs>
            <w:rPr/>
          </w:pPr>
          <w:hyperlink w:anchor="__RefHeading___Toc110738_2749589250">
            <w:r>
              <w:rPr>
                <w:webHidden/>
                <w:rStyle w:val="IndexLink"/>
                <w:rtl w:val="true"/>
              </w:rPr>
              <w:t>البکاء فی القرآن الکریم</w:t>
            </w:r>
            <w:r>
              <w:rPr>
                <w:rStyle w:val="IndexLink"/>
                <w:rtl w:val="true"/>
              </w:rPr>
              <w:tab/>
            </w:r>
            <w:r>
              <w:rPr>
                <w:rStyle w:val="IndexLink"/>
              </w:rPr>
              <w:t>242</w:t>
            </w:r>
          </w:hyperlink>
        </w:p>
        <w:p>
          <w:pPr>
            <w:pStyle w:val="Contents4"/>
            <w:tabs>
              <w:tab w:val="clear" w:pos="8176"/>
              <w:tab w:val="right" w:pos="9026" w:leader="dot"/>
            </w:tabs>
            <w:rPr/>
          </w:pPr>
          <w:hyperlink w:anchor="__RefHeading___Toc110740_2749589250">
            <w:r>
              <w:rPr>
                <w:webHidden/>
                <w:rStyle w:val="IndexLink"/>
                <w:rtl w:val="true"/>
              </w:rPr>
              <w:t>بعض الأدلّة الواردة فی البکاء</w:t>
            </w:r>
            <w:r>
              <w:rPr>
                <w:rStyle w:val="IndexLink"/>
                <w:rtl w:val="true"/>
              </w:rPr>
              <w:tab/>
            </w:r>
            <w:r>
              <w:rPr>
                <w:rStyle w:val="IndexLink"/>
              </w:rPr>
              <w:t>248</w:t>
            </w:r>
          </w:hyperlink>
        </w:p>
        <w:p>
          <w:pPr>
            <w:pStyle w:val="Contents4"/>
            <w:tabs>
              <w:tab w:val="clear" w:pos="8176"/>
              <w:tab w:val="right" w:pos="9026" w:leader="dot"/>
            </w:tabs>
            <w:rPr/>
          </w:pPr>
          <w:hyperlink w:anchor="__RefHeading___Toc110742_2749589250">
            <w:r>
              <w:rPr>
                <w:webHidden/>
                <w:rStyle w:val="IndexLink"/>
                <w:rtl w:val="true"/>
              </w:rPr>
              <w:t>أوجه الاعتراض علی ظاهرة البکاء والجواب علیها</w:t>
            </w:r>
            <w:r>
              <w:rPr>
                <w:rStyle w:val="IndexLink"/>
                <w:rtl w:val="true"/>
              </w:rPr>
              <w:tab/>
            </w:r>
            <w:r>
              <w:rPr>
                <w:rStyle w:val="IndexLink"/>
              </w:rPr>
              <w:t>255</w:t>
            </w:r>
          </w:hyperlink>
        </w:p>
        <w:p>
          <w:pPr>
            <w:pStyle w:val="Contents5"/>
            <w:tabs>
              <w:tab w:val="clear" w:pos="7892"/>
              <w:tab w:val="right" w:pos="9026" w:leader="dot"/>
            </w:tabs>
            <w:rPr/>
          </w:pPr>
          <w:hyperlink w:anchor="__RefHeading___Toc110744_274958925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0746_2749589250">
            <w:r>
              <w:rPr>
                <w:webHidden/>
                <w:rStyle w:val="IndexLink"/>
                <w:rtl w:val="true"/>
              </w:rPr>
              <w:t>الوجه الأوّل</w:t>
            </w:r>
            <w:r>
              <w:rPr>
                <w:rStyle w:val="IndexLink"/>
                <w:rtl w:val="true"/>
              </w:rPr>
              <w:tab/>
            </w:r>
            <w:r>
              <w:rPr>
                <w:rStyle w:val="IndexLink"/>
              </w:rPr>
              <w:t>255</w:t>
            </w:r>
          </w:hyperlink>
        </w:p>
        <w:p>
          <w:pPr>
            <w:pStyle w:val="Contents5"/>
            <w:tabs>
              <w:tab w:val="clear" w:pos="7892"/>
              <w:tab w:val="right" w:pos="9026" w:leader="dot"/>
            </w:tabs>
            <w:rPr/>
          </w:pPr>
          <w:hyperlink w:anchor="__RefHeading___Toc110748_2749589250">
            <w:r>
              <w:rPr>
                <w:webHidden/>
                <w:rStyle w:val="IndexLink"/>
                <w:rtl w:val="true"/>
              </w:rPr>
              <w:t>الجواب</w:t>
            </w:r>
            <w:r>
              <w:rPr>
                <w:rStyle w:val="IndexLink"/>
                <w:rtl w:val="true"/>
              </w:rPr>
              <w:tab/>
            </w:r>
            <w:r>
              <w:rPr>
                <w:rStyle w:val="IndexLink"/>
              </w:rPr>
              <w:t>255</w:t>
            </w:r>
          </w:hyperlink>
        </w:p>
        <w:p>
          <w:pPr>
            <w:pStyle w:val="Contents5"/>
            <w:tabs>
              <w:tab w:val="clear" w:pos="7892"/>
              <w:tab w:val="right" w:pos="9026" w:leader="dot"/>
            </w:tabs>
            <w:rPr/>
          </w:pPr>
          <w:hyperlink w:anchor="__RefHeading___Toc110750_2749589250">
            <w:r>
              <w:rPr>
                <w:webHidden/>
                <w:rStyle w:val="IndexLink"/>
                <w:rtl w:val="true"/>
              </w:rPr>
              <w:t>الوجه الثانی</w:t>
            </w:r>
            <w:r>
              <w:rPr>
                <w:rStyle w:val="IndexLink"/>
                <w:rtl w:val="true"/>
              </w:rPr>
              <w:tab/>
            </w:r>
            <w:r>
              <w:rPr>
                <w:rStyle w:val="IndexLink"/>
              </w:rPr>
              <w:t>260</w:t>
            </w:r>
          </w:hyperlink>
        </w:p>
        <w:p>
          <w:pPr>
            <w:pStyle w:val="Contents5"/>
            <w:tabs>
              <w:tab w:val="clear" w:pos="7892"/>
              <w:tab w:val="right" w:pos="9026" w:leader="dot"/>
            </w:tabs>
            <w:rPr/>
          </w:pPr>
          <w:hyperlink w:anchor="__RefHeading___Toc110752_2749589250">
            <w:r>
              <w:rPr>
                <w:webHidden/>
                <w:rStyle w:val="IndexLink"/>
                <w:rtl w:val="true"/>
              </w:rPr>
              <w:t>الجواب</w:t>
            </w:r>
            <w:r>
              <w:rPr>
                <w:rStyle w:val="IndexLink"/>
                <w:rtl w:val="true"/>
              </w:rPr>
              <w:tab/>
            </w:r>
            <w:r>
              <w:rPr>
                <w:rStyle w:val="IndexLink"/>
              </w:rPr>
              <w:t>261</w:t>
            </w:r>
          </w:hyperlink>
        </w:p>
        <w:p>
          <w:pPr>
            <w:pStyle w:val="Contents6"/>
            <w:tabs>
              <w:tab w:val="clear" w:pos="7609"/>
              <w:tab w:val="right" w:pos="9026" w:leader="dot"/>
            </w:tabs>
            <w:rPr/>
          </w:pPr>
          <w:hyperlink w:anchor="__RefHeading___Toc110754_274958925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10756_2749589250">
            <w:r>
              <w:rPr>
                <w:webHidden/>
                <w:rStyle w:val="IndexLink"/>
                <w:rtl w:val="true"/>
              </w:rPr>
              <w:t>اعتراض</w:t>
            </w:r>
            <w:r>
              <w:rPr>
                <w:rStyle w:val="IndexLink"/>
                <w:rtl w:val="true"/>
              </w:rPr>
              <w:tab/>
            </w:r>
            <w:r>
              <w:rPr>
                <w:rStyle w:val="IndexLink"/>
              </w:rPr>
              <w:t>261</w:t>
            </w:r>
          </w:hyperlink>
        </w:p>
        <w:p>
          <w:pPr>
            <w:pStyle w:val="Contents6"/>
            <w:tabs>
              <w:tab w:val="clear" w:pos="7609"/>
              <w:tab w:val="right" w:pos="9026" w:leader="dot"/>
            </w:tabs>
            <w:rPr/>
          </w:pPr>
          <w:hyperlink w:anchor="__RefHeading___Toc110758_2749589250">
            <w:r>
              <w:rPr>
                <w:webHidden/>
                <w:rStyle w:val="IndexLink"/>
                <w:rtl w:val="true"/>
              </w:rPr>
              <w:t>خلاصة القول</w:t>
            </w:r>
            <w:r>
              <w:rPr>
                <w:rStyle w:val="IndexLink"/>
                <w:rtl w:val="true"/>
              </w:rPr>
              <w:tab/>
            </w:r>
            <w:r>
              <w:rPr>
                <w:rStyle w:val="IndexLink"/>
              </w:rPr>
              <w:t>262</w:t>
            </w:r>
          </w:hyperlink>
        </w:p>
        <w:p>
          <w:pPr>
            <w:pStyle w:val="Contents5"/>
            <w:tabs>
              <w:tab w:val="clear" w:pos="7892"/>
              <w:tab w:val="right" w:pos="9026" w:leader="dot"/>
            </w:tabs>
            <w:rPr/>
          </w:pPr>
          <w:hyperlink w:anchor="__RefHeading___Toc110760_2749589250">
            <w:r>
              <w:rPr>
                <w:webHidden/>
                <w:rStyle w:val="IndexLink"/>
                <w:rtl w:val="true"/>
              </w:rPr>
              <w:t>الوجه الثالث</w:t>
            </w:r>
            <w:r>
              <w:rPr>
                <w:rStyle w:val="IndexLink"/>
                <w:rtl w:val="true"/>
              </w:rPr>
              <w:tab/>
            </w:r>
            <w:r>
              <w:rPr>
                <w:rStyle w:val="IndexLink"/>
              </w:rPr>
              <w:t>263</w:t>
            </w:r>
          </w:hyperlink>
        </w:p>
        <w:p>
          <w:pPr>
            <w:pStyle w:val="Contents5"/>
            <w:tabs>
              <w:tab w:val="clear" w:pos="7892"/>
              <w:tab w:val="right" w:pos="9026" w:leader="dot"/>
            </w:tabs>
            <w:rPr/>
          </w:pPr>
          <w:hyperlink w:anchor="__RefHeading___Toc110762_2749589250">
            <w:r>
              <w:rPr>
                <w:webHidden/>
                <w:rStyle w:val="IndexLink"/>
                <w:rtl w:val="true"/>
              </w:rPr>
              <w:t>الجواب</w:t>
            </w:r>
            <w:r>
              <w:rPr>
                <w:rStyle w:val="IndexLink"/>
                <w:rtl w:val="true"/>
              </w:rPr>
              <w:tab/>
            </w:r>
            <w:r>
              <w:rPr>
                <w:rStyle w:val="IndexLink"/>
              </w:rPr>
              <w:t>264</w:t>
            </w:r>
          </w:hyperlink>
        </w:p>
        <w:p>
          <w:pPr>
            <w:pStyle w:val="Contents5"/>
            <w:tabs>
              <w:tab w:val="clear" w:pos="7892"/>
              <w:tab w:val="right" w:pos="9026" w:leader="dot"/>
            </w:tabs>
            <w:rPr/>
          </w:pPr>
          <w:hyperlink w:anchor="__RefHeading___Toc110764_2749589250">
            <w:r>
              <w:rPr>
                <w:webHidden/>
                <w:rStyle w:val="IndexLink"/>
                <w:rtl w:val="true"/>
              </w:rPr>
              <w:t>الوجه الرابع</w:t>
            </w:r>
            <w:r>
              <w:rPr>
                <w:rStyle w:val="IndexLink"/>
                <w:rtl w:val="true"/>
              </w:rPr>
              <w:tab/>
            </w:r>
            <w:r>
              <w:rPr>
                <w:rStyle w:val="IndexLink"/>
              </w:rPr>
              <w:t>265</w:t>
            </w:r>
          </w:hyperlink>
        </w:p>
        <w:p>
          <w:pPr>
            <w:pStyle w:val="Contents5"/>
            <w:tabs>
              <w:tab w:val="clear" w:pos="7892"/>
              <w:tab w:val="right" w:pos="9026" w:leader="dot"/>
            </w:tabs>
            <w:rPr/>
          </w:pPr>
          <w:hyperlink w:anchor="__RefHeading___Toc110766_2749589250">
            <w:r>
              <w:rPr>
                <w:webHidden/>
                <w:rStyle w:val="IndexLink"/>
                <w:rtl w:val="true"/>
              </w:rPr>
              <w:t>الجواب</w:t>
            </w:r>
            <w:r>
              <w:rPr>
                <w:rStyle w:val="IndexLink"/>
                <w:rtl w:val="true"/>
              </w:rPr>
              <w:tab/>
            </w:r>
            <w:r>
              <w:rPr>
                <w:rStyle w:val="IndexLink"/>
              </w:rPr>
              <w:t>266</w:t>
            </w:r>
          </w:hyperlink>
        </w:p>
        <w:p>
          <w:pPr>
            <w:pStyle w:val="Contents5"/>
            <w:tabs>
              <w:tab w:val="clear" w:pos="7892"/>
              <w:tab w:val="right" w:pos="9026" w:leader="dot"/>
            </w:tabs>
            <w:rPr/>
          </w:pPr>
          <w:hyperlink w:anchor="__RefHeading___Toc110768_2749589250">
            <w:r>
              <w:rPr>
                <w:webHidden/>
                <w:rStyle w:val="IndexLink"/>
                <w:rtl w:val="true"/>
              </w:rPr>
              <w:t>الوجه الخامس</w:t>
            </w:r>
            <w:r>
              <w:rPr>
                <w:rStyle w:val="IndexLink"/>
                <w:rtl w:val="true"/>
              </w:rPr>
              <w:tab/>
            </w:r>
            <w:r>
              <w:rPr>
                <w:rStyle w:val="IndexLink"/>
              </w:rPr>
              <w:t>270</w:t>
            </w:r>
          </w:hyperlink>
        </w:p>
        <w:p>
          <w:pPr>
            <w:pStyle w:val="Contents5"/>
            <w:tabs>
              <w:tab w:val="clear" w:pos="7892"/>
              <w:tab w:val="right" w:pos="9026" w:leader="dot"/>
            </w:tabs>
            <w:rPr/>
          </w:pPr>
          <w:hyperlink w:anchor="__RefHeading___Toc110770_2749589250">
            <w:r>
              <w:rPr>
                <w:webHidden/>
                <w:rStyle w:val="IndexLink"/>
                <w:rtl w:val="true"/>
              </w:rPr>
              <w:t>الجواب</w:t>
            </w:r>
            <w:r>
              <w:rPr>
                <w:rStyle w:val="IndexLink"/>
                <w:rtl w:val="true"/>
              </w:rPr>
              <w:tab/>
            </w:r>
            <w:r>
              <w:rPr>
                <w:rStyle w:val="IndexLink"/>
              </w:rPr>
              <w:t>271</w:t>
            </w:r>
          </w:hyperlink>
        </w:p>
        <w:p>
          <w:pPr>
            <w:pStyle w:val="Contents5"/>
            <w:tabs>
              <w:tab w:val="clear" w:pos="7892"/>
              <w:tab w:val="right" w:pos="9026" w:leader="dot"/>
            </w:tabs>
            <w:rPr/>
          </w:pPr>
          <w:hyperlink w:anchor="__RefHeading___Toc110772_2749589250">
            <w:r>
              <w:rPr>
                <w:webHidden/>
                <w:rStyle w:val="IndexLink"/>
                <w:rtl w:val="true"/>
              </w:rPr>
              <w:t>الوجه السادس</w:t>
            </w:r>
            <w:r>
              <w:rPr>
                <w:rStyle w:val="IndexLink"/>
                <w:rtl w:val="true"/>
              </w:rPr>
              <w:tab/>
            </w:r>
            <w:r>
              <w:rPr>
                <w:rStyle w:val="IndexLink"/>
              </w:rPr>
              <w:t>273</w:t>
            </w:r>
          </w:hyperlink>
        </w:p>
        <w:p>
          <w:pPr>
            <w:pStyle w:val="Contents5"/>
            <w:tabs>
              <w:tab w:val="clear" w:pos="7892"/>
              <w:tab w:val="right" w:pos="9026" w:leader="dot"/>
            </w:tabs>
            <w:rPr/>
          </w:pPr>
          <w:hyperlink w:anchor="__RefHeading___Toc110774_2749589250">
            <w:r>
              <w:rPr>
                <w:webHidden/>
                <w:rStyle w:val="IndexLink"/>
                <w:rtl w:val="true"/>
              </w:rPr>
              <w:t>الجواب</w:t>
            </w:r>
            <w:r>
              <w:rPr>
                <w:rStyle w:val="IndexLink"/>
                <w:rtl w:val="true"/>
              </w:rPr>
              <w:tab/>
            </w:r>
            <w:r>
              <w:rPr>
                <w:rStyle w:val="IndexLink"/>
              </w:rPr>
              <w:t>274</w:t>
            </w:r>
          </w:hyperlink>
        </w:p>
        <w:p>
          <w:pPr>
            <w:pStyle w:val="Contents4"/>
            <w:tabs>
              <w:tab w:val="clear" w:pos="8176"/>
              <w:tab w:val="right" w:pos="9026" w:leader="dot"/>
            </w:tabs>
            <w:rPr/>
          </w:pPr>
          <w:hyperlink w:anchor="__RefHeading___Toc110776_2749589250">
            <w:r>
              <w:rPr>
                <w:webHidden/>
                <w:rStyle w:val="IndexLink"/>
                <w:rtl w:val="true"/>
              </w:rPr>
              <w:t>نظرة حول روایات البکاء</w:t>
            </w:r>
            <w:r>
              <w:rPr>
                <w:rStyle w:val="IndexLink"/>
                <w:rtl w:val="true"/>
              </w:rPr>
              <w:tab/>
            </w:r>
            <w:r>
              <w:rPr>
                <w:rStyle w:val="IndexLink"/>
              </w:rPr>
              <w:t>276</w:t>
            </w:r>
          </w:hyperlink>
        </w:p>
        <w:p>
          <w:pPr>
            <w:pStyle w:val="Contents5"/>
            <w:tabs>
              <w:tab w:val="clear" w:pos="7892"/>
              <w:tab w:val="right" w:pos="9026" w:leader="dot"/>
            </w:tabs>
            <w:rPr/>
          </w:pPr>
          <w:hyperlink w:anchor="__RefHeading___Toc110778_274958925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0780_2749589250">
            <w:r>
              <w:rPr>
                <w:webHidden/>
                <w:rStyle w:val="IndexLink"/>
                <w:rtl w:val="true"/>
              </w:rPr>
              <w:t>الروایة الأولی</w:t>
            </w:r>
            <w:r>
              <w:rPr>
                <w:rStyle w:val="IndexLink"/>
                <w:rtl w:val="true"/>
              </w:rPr>
              <w:tab/>
            </w:r>
            <w:r>
              <w:rPr>
                <w:rStyle w:val="IndexLink"/>
              </w:rPr>
              <w:t>276</w:t>
            </w:r>
          </w:hyperlink>
        </w:p>
        <w:p>
          <w:pPr>
            <w:pStyle w:val="Contents5"/>
            <w:tabs>
              <w:tab w:val="clear" w:pos="7892"/>
              <w:tab w:val="right" w:pos="9026" w:leader="dot"/>
            </w:tabs>
            <w:rPr/>
          </w:pPr>
          <w:hyperlink w:anchor="__RefHeading___Toc110782_2749589250">
            <w:r>
              <w:rPr>
                <w:webHidden/>
                <w:rStyle w:val="IndexLink"/>
                <w:rtl w:val="true"/>
              </w:rPr>
              <w:t>الروایة الثانیة</w:t>
            </w:r>
            <w:r>
              <w:rPr>
                <w:rStyle w:val="IndexLink"/>
                <w:rtl w:val="true"/>
              </w:rPr>
              <w:tab/>
            </w:r>
            <w:r>
              <w:rPr>
                <w:rStyle w:val="IndexLink"/>
              </w:rPr>
              <w:t>278</w:t>
            </w:r>
          </w:hyperlink>
        </w:p>
        <w:p>
          <w:pPr>
            <w:pStyle w:val="Contents5"/>
            <w:tabs>
              <w:tab w:val="clear" w:pos="7892"/>
              <w:tab w:val="right" w:pos="9026" w:leader="dot"/>
            </w:tabs>
            <w:rPr/>
          </w:pPr>
          <w:hyperlink w:anchor="__RefHeading___Toc110784_2749589250">
            <w:r>
              <w:rPr>
                <w:webHidden/>
                <w:rStyle w:val="IndexLink"/>
                <w:rtl w:val="true"/>
              </w:rPr>
              <w:t>الروایة الثالثة</w:t>
            </w:r>
            <w:r>
              <w:rPr>
                <w:rStyle w:val="IndexLink"/>
                <w:rtl w:val="true"/>
              </w:rPr>
              <w:tab/>
            </w:r>
            <w:r>
              <w:rPr>
                <w:rStyle w:val="IndexLink"/>
              </w:rPr>
              <w:t>279</w:t>
            </w:r>
          </w:hyperlink>
        </w:p>
        <w:p>
          <w:pPr>
            <w:pStyle w:val="Contents5"/>
            <w:tabs>
              <w:tab w:val="clear" w:pos="7892"/>
              <w:tab w:val="right" w:pos="9026" w:leader="dot"/>
            </w:tabs>
            <w:rPr/>
          </w:pPr>
          <w:hyperlink w:anchor="__RefHeading___Toc110786_2749589250">
            <w:r>
              <w:rPr>
                <w:webHidden/>
                <w:rStyle w:val="IndexLink"/>
                <w:rtl w:val="true"/>
              </w:rPr>
              <w:t>الروایة الرابعة</w:t>
            </w:r>
            <w:r>
              <w:rPr>
                <w:rStyle w:val="IndexLink"/>
                <w:rtl w:val="true"/>
              </w:rPr>
              <w:tab/>
            </w:r>
            <w:r>
              <w:rPr>
                <w:rStyle w:val="IndexLink"/>
              </w:rPr>
              <w:t>280</w:t>
            </w:r>
          </w:hyperlink>
        </w:p>
        <w:p>
          <w:pPr>
            <w:pStyle w:val="Contents3"/>
            <w:tabs>
              <w:tab w:val="clear" w:pos="8459"/>
              <w:tab w:val="right" w:pos="9026" w:leader="dot"/>
            </w:tabs>
            <w:rPr/>
          </w:pPr>
          <w:hyperlink w:anchor="__RefHeading___Toc110788_2749589250">
            <w:r>
              <w:rPr>
                <w:webHidden/>
                <w:rStyle w:val="IndexLink"/>
                <w:rtl w:val="true"/>
              </w:rPr>
              <w:t>الجهة السادسة</w:t>
            </w:r>
            <w:r>
              <w:rPr>
                <w:rStyle w:val="IndexLink"/>
                <w:rtl w:val="true"/>
              </w:rPr>
              <w:t xml:space="preserve">: </w:t>
            </w:r>
            <w:r>
              <w:rPr>
                <w:rStyle w:val="IndexLink"/>
                <w:rtl w:val="true"/>
              </w:rPr>
              <w:t>الشعائر الحسینیّة والضرر</w:t>
            </w:r>
            <w:r>
              <w:rPr>
                <w:rStyle w:val="IndexLink"/>
                <w:rtl w:val="true"/>
              </w:rPr>
              <w:tab/>
            </w:r>
            <w:r>
              <w:rPr>
                <w:rStyle w:val="IndexLink"/>
              </w:rPr>
              <w:t>283</w:t>
            </w:r>
          </w:hyperlink>
        </w:p>
        <w:p>
          <w:pPr>
            <w:pStyle w:val="Contents4"/>
            <w:tabs>
              <w:tab w:val="clear" w:pos="8176"/>
              <w:tab w:val="right" w:pos="9026" w:leader="dot"/>
            </w:tabs>
            <w:rPr/>
          </w:pPr>
          <w:hyperlink w:anchor="__RefHeading___Toc110790_2749589250">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10792_2749589250">
            <w:r>
              <w:rPr>
                <w:webHidden/>
                <w:rStyle w:val="IndexLink"/>
                <w:rtl w:val="true"/>
              </w:rPr>
              <w:t>الوجه الأوّل</w:t>
            </w:r>
            <w:r>
              <w:rPr>
                <w:rStyle w:val="IndexLink"/>
                <w:rtl w:val="true"/>
              </w:rPr>
              <w:tab/>
            </w:r>
            <w:r>
              <w:rPr>
                <w:rStyle w:val="IndexLink"/>
              </w:rPr>
              <w:t>285</w:t>
            </w:r>
          </w:hyperlink>
        </w:p>
        <w:p>
          <w:pPr>
            <w:pStyle w:val="Contents4"/>
            <w:tabs>
              <w:tab w:val="clear" w:pos="8176"/>
              <w:tab w:val="right" w:pos="9026" w:leader="dot"/>
            </w:tabs>
            <w:rPr/>
          </w:pPr>
          <w:hyperlink w:anchor="__RefHeading___Toc110794_2749589250">
            <w:r>
              <w:rPr>
                <w:webHidden/>
                <w:rStyle w:val="IndexLink"/>
                <w:rtl w:val="true"/>
              </w:rPr>
              <w:t>الوجه الثانی</w:t>
            </w:r>
            <w:r>
              <w:rPr>
                <w:rStyle w:val="IndexLink"/>
                <w:rtl w:val="true"/>
              </w:rPr>
              <w:tab/>
            </w:r>
            <w:r>
              <w:rPr>
                <w:rStyle w:val="IndexLink"/>
              </w:rPr>
              <w:t>285</w:t>
            </w:r>
          </w:hyperlink>
        </w:p>
        <w:p>
          <w:pPr>
            <w:pStyle w:val="Contents4"/>
            <w:tabs>
              <w:tab w:val="clear" w:pos="8176"/>
              <w:tab w:val="right" w:pos="9026" w:leader="dot"/>
            </w:tabs>
            <w:rPr/>
          </w:pPr>
          <w:hyperlink w:anchor="__RefHeading___Toc110796_2749589250">
            <w:r>
              <w:rPr>
                <w:webHidden/>
                <w:rStyle w:val="IndexLink"/>
                <w:rtl w:val="true"/>
              </w:rPr>
              <w:t>الوجه الثالث</w:t>
            </w:r>
            <w:r>
              <w:rPr>
                <w:rStyle w:val="IndexLink"/>
                <w:rtl w:val="true"/>
              </w:rPr>
              <w:tab/>
            </w:r>
            <w:r>
              <w:rPr>
                <w:rStyle w:val="IndexLink"/>
              </w:rPr>
              <w:t>287</w:t>
            </w:r>
          </w:hyperlink>
        </w:p>
        <w:p>
          <w:pPr>
            <w:pStyle w:val="Contents4"/>
            <w:tabs>
              <w:tab w:val="clear" w:pos="8176"/>
              <w:tab w:val="right" w:pos="9026" w:leader="dot"/>
            </w:tabs>
            <w:rPr/>
          </w:pPr>
          <w:hyperlink w:anchor="__RefHeading___Toc110798_2749589250">
            <w:r>
              <w:rPr>
                <w:webHidden/>
                <w:rStyle w:val="IndexLink"/>
                <w:rtl w:val="true"/>
              </w:rPr>
              <w:t>تفصیل الوجه الأوّل</w:t>
            </w:r>
            <w:r>
              <w:rPr>
                <w:rStyle w:val="IndexLink"/>
                <w:rtl w:val="true"/>
              </w:rPr>
              <w:tab/>
            </w:r>
            <w:r>
              <w:rPr>
                <w:rStyle w:val="IndexLink"/>
              </w:rPr>
              <w:t>287</w:t>
            </w:r>
          </w:hyperlink>
        </w:p>
        <w:p>
          <w:pPr>
            <w:pStyle w:val="Contents5"/>
            <w:tabs>
              <w:tab w:val="clear" w:pos="7892"/>
              <w:tab w:val="right" w:pos="9026" w:leader="dot"/>
            </w:tabs>
            <w:rPr/>
          </w:pPr>
          <w:hyperlink w:anchor="__RefHeading___Toc110800_274958925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0802_2749589250">
            <w:r>
              <w:rPr>
                <w:webHidden/>
                <w:rStyle w:val="IndexLink"/>
                <w:rtl w:val="true"/>
              </w:rPr>
              <w:t>قاعدة معرضیّة الهلکة فی سبیل الفضیلة</w:t>
            </w:r>
            <w:r>
              <w:rPr>
                <w:rStyle w:val="IndexLink"/>
                <w:rtl w:val="true"/>
              </w:rPr>
              <w:tab/>
            </w:r>
            <w:r>
              <w:rPr>
                <w:rStyle w:val="IndexLink"/>
              </w:rPr>
              <w:t>287</w:t>
            </w:r>
          </w:hyperlink>
        </w:p>
        <w:p>
          <w:pPr>
            <w:pStyle w:val="Contents6"/>
            <w:tabs>
              <w:tab w:val="clear" w:pos="7609"/>
              <w:tab w:val="right" w:pos="9026" w:leader="dot"/>
            </w:tabs>
            <w:rPr/>
          </w:pPr>
          <w:hyperlink w:anchor="__RefHeading___Toc110804_274958925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10806_2749589250">
            <w:r>
              <w:rPr>
                <w:webHidden/>
                <w:rStyle w:val="IndexLink"/>
                <w:rtl w:val="true"/>
              </w:rPr>
              <w:t>الشاهد الأول</w:t>
            </w:r>
            <w:r>
              <w:rPr>
                <w:rStyle w:val="IndexLink"/>
                <w:rtl w:val="true"/>
              </w:rPr>
              <w:tab/>
            </w:r>
            <w:r>
              <w:rPr>
                <w:rStyle w:val="IndexLink"/>
              </w:rPr>
              <w:t>288</w:t>
            </w:r>
          </w:hyperlink>
        </w:p>
        <w:p>
          <w:pPr>
            <w:pStyle w:val="Contents6"/>
            <w:tabs>
              <w:tab w:val="clear" w:pos="7609"/>
              <w:tab w:val="right" w:pos="9026" w:leader="dot"/>
            </w:tabs>
            <w:rPr/>
          </w:pPr>
          <w:hyperlink w:anchor="__RefHeading___Toc110808_2749589250">
            <w:r>
              <w:rPr>
                <w:webHidden/>
                <w:rStyle w:val="IndexLink"/>
                <w:rtl w:val="true"/>
              </w:rPr>
              <w:t>الشاهد الثانی</w:t>
            </w:r>
            <w:r>
              <w:rPr>
                <w:rStyle w:val="IndexLink"/>
                <w:rtl w:val="true"/>
              </w:rPr>
              <w:tab/>
            </w:r>
            <w:r>
              <w:rPr>
                <w:rStyle w:val="IndexLink"/>
              </w:rPr>
              <w:t>292</w:t>
            </w:r>
          </w:hyperlink>
        </w:p>
        <w:p>
          <w:pPr>
            <w:pStyle w:val="Contents6"/>
            <w:tabs>
              <w:tab w:val="clear" w:pos="7609"/>
              <w:tab w:val="right" w:pos="9026" w:leader="dot"/>
            </w:tabs>
            <w:rPr/>
          </w:pPr>
          <w:hyperlink w:anchor="__RefHeading___Toc110810_2749589250">
            <w:r>
              <w:rPr>
                <w:webHidden/>
                <w:rStyle w:val="IndexLink"/>
                <w:rtl w:val="true"/>
              </w:rPr>
              <w:t>الشاهد الثالث</w:t>
            </w:r>
            <w:r>
              <w:rPr>
                <w:rStyle w:val="IndexLink"/>
                <w:rtl w:val="true"/>
              </w:rPr>
              <w:tab/>
            </w:r>
            <w:r>
              <w:rPr>
                <w:rStyle w:val="IndexLink"/>
              </w:rPr>
              <w:t>292</w:t>
            </w:r>
          </w:hyperlink>
        </w:p>
        <w:p>
          <w:pPr>
            <w:pStyle w:val="Contents6"/>
            <w:tabs>
              <w:tab w:val="clear" w:pos="7609"/>
              <w:tab w:val="right" w:pos="9026" w:leader="dot"/>
            </w:tabs>
            <w:rPr/>
          </w:pPr>
          <w:hyperlink w:anchor="__RefHeading___Toc110812_2749589250">
            <w:r>
              <w:rPr>
                <w:webHidden/>
                <w:rStyle w:val="IndexLink"/>
                <w:rtl w:val="true"/>
              </w:rPr>
              <w:t>الشاهد الرابع</w:t>
            </w:r>
            <w:r>
              <w:rPr>
                <w:rStyle w:val="IndexLink"/>
                <w:rtl w:val="true"/>
              </w:rPr>
              <w:tab/>
            </w:r>
            <w:r>
              <w:rPr>
                <w:rStyle w:val="IndexLink"/>
              </w:rPr>
              <w:t>294</w:t>
            </w:r>
          </w:hyperlink>
        </w:p>
        <w:p>
          <w:pPr>
            <w:pStyle w:val="Contents6"/>
            <w:tabs>
              <w:tab w:val="clear" w:pos="7609"/>
              <w:tab w:val="right" w:pos="9026" w:leader="dot"/>
            </w:tabs>
            <w:rPr/>
          </w:pPr>
          <w:hyperlink w:anchor="__RefHeading___Toc110814_2749589250">
            <w:r>
              <w:rPr>
                <w:webHidden/>
                <w:rStyle w:val="IndexLink"/>
                <w:rtl w:val="true"/>
              </w:rPr>
              <w:t>الشاهد الخامس</w:t>
            </w:r>
            <w:r>
              <w:rPr>
                <w:rStyle w:val="IndexLink"/>
                <w:rtl w:val="true"/>
              </w:rPr>
              <w:tab/>
            </w:r>
            <w:r>
              <w:rPr>
                <w:rStyle w:val="IndexLink"/>
              </w:rPr>
              <w:t>296</w:t>
            </w:r>
          </w:hyperlink>
        </w:p>
        <w:p>
          <w:pPr>
            <w:pStyle w:val="Contents6"/>
            <w:tabs>
              <w:tab w:val="clear" w:pos="7609"/>
              <w:tab w:val="right" w:pos="9026" w:leader="dot"/>
            </w:tabs>
            <w:rPr/>
          </w:pPr>
          <w:hyperlink w:anchor="__RefHeading___Toc110816_2749589250">
            <w:r>
              <w:rPr>
                <w:webHidden/>
                <w:rStyle w:val="IndexLink"/>
                <w:rtl w:val="true"/>
              </w:rPr>
              <w:t>الشاهد السادس</w:t>
            </w:r>
            <w:r>
              <w:rPr>
                <w:rStyle w:val="IndexLink"/>
                <w:rtl w:val="true"/>
              </w:rPr>
              <w:tab/>
            </w:r>
            <w:r>
              <w:rPr>
                <w:rStyle w:val="IndexLink"/>
              </w:rPr>
              <w:t>297</w:t>
            </w:r>
          </w:hyperlink>
        </w:p>
        <w:p>
          <w:pPr>
            <w:pStyle w:val="Contents6"/>
            <w:tabs>
              <w:tab w:val="clear" w:pos="7609"/>
              <w:tab w:val="right" w:pos="9026" w:leader="dot"/>
            </w:tabs>
            <w:rPr/>
          </w:pPr>
          <w:hyperlink w:anchor="__RefHeading___Toc110818_2749589250">
            <w:r>
              <w:rPr>
                <w:webHidden/>
                <w:rStyle w:val="IndexLink"/>
                <w:rtl w:val="true"/>
              </w:rPr>
              <w:t>الشاهد السابع</w:t>
            </w:r>
            <w:r>
              <w:rPr>
                <w:rStyle w:val="IndexLink"/>
                <w:rtl w:val="true"/>
              </w:rPr>
              <w:tab/>
            </w:r>
            <w:r>
              <w:rPr>
                <w:rStyle w:val="IndexLink"/>
              </w:rPr>
              <w:t>298</w:t>
            </w:r>
          </w:hyperlink>
        </w:p>
        <w:p>
          <w:pPr>
            <w:pStyle w:val="Contents6"/>
            <w:tabs>
              <w:tab w:val="clear" w:pos="7609"/>
              <w:tab w:val="right" w:pos="9026" w:leader="dot"/>
            </w:tabs>
            <w:rPr/>
          </w:pPr>
          <w:hyperlink w:anchor="__RefHeading___Toc110820_2749589250">
            <w:r>
              <w:rPr>
                <w:webHidden/>
                <w:rStyle w:val="IndexLink"/>
                <w:rtl w:val="true"/>
              </w:rPr>
              <w:t>الشاهد الثامن</w:t>
            </w:r>
            <w:r>
              <w:rPr>
                <w:rStyle w:val="IndexLink"/>
                <w:rtl w:val="true"/>
              </w:rPr>
              <w:tab/>
            </w:r>
            <w:r>
              <w:rPr>
                <w:rStyle w:val="IndexLink"/>
              </w:rPr>
              <w:t>299</w:t>
            </w:r>
          </w:hyperlink>
        </w:p>
        <w:p>
          <w:pPr>
            <w:pStyle w:val="Contents6"/>
            <w:tabs>
              <w:tab w:val="clear" w:pos="7609"/>
              <w:tab w:val="right" w:pos="9026" w:leader="dot"/>
            </w:tabs>
            <w:rPr/>
          </w:pPr>
          <w:hyperlink w:anchor="__RefHeading___Toc110822_2749589250">
            <w:r>
              <w:rPr>
                <w:webHidden/>
                <w:rStyle w:val="IndexLink"/>
                <w:rtl w:val="true"/>
              </w:rPr>
              <w:t>الشاهد التاسع</w:t>
            </w:r>
            <w:r>
              <w:rPr>
                <w:rStyle w:val="IndexLink"/>
                <w:rtl w:val="true"/>
              </w:rPr>
              <w:tab/>
            </w:r>
            <w:r>
              <w:rPr>
                <w:rStyle w:val="IndexLink"/>
              </w:rPr>
              <w:t>300</w:t>
            </w:r>
          </w:hyperlink>
        </w:p>
        <w:p>
          <w:pPr>
            <w:pStyle w:val="Contents6"/>
            <w:tabs>
              <w:tab w:val="clear" w:pos="7609"/>
              <w:tab w:val="right" w:pos="9026" w:leader="dot"/>
            </w:tabs>
            <w:rPr/>
          </w:pPr>
          <w:hyperlink w:anchor="__RefHeading___Toc110824_2749589250">
            <w:r>
              <w:rPr>
                <w:webHidden/>
                <w:rStyle w:val="IndexLink"/>
                <w:rtl w:val="true"/>
              </w:rPr>
              <w:t>شواهد أخری</w:t>
            </w:r>
            <w:r>
              <w:rPr>
                <w:rStyle w:val="IndexLink"/>
                <w:rtl w:val="true"/>
              </w:rPr>
              <w:tab/>
            </w:r>
            <w:r>
              <w:rPr>
                <w:rStyle w:val="IndexLink"/>
              </w:rPr>
              <w:t>300</w:t>
            </w:r>
          </w:hyperlink>
        </w:p>
        <w:p>
          <w:pPr>
            <w:pStyle w:val="Contents4"/>
            <w:tabs>
              <w:tab w:val="clear" w:pos="8176"/>
              <w:tab w:val="right" w:pos="9026" w:leader="dot"/>
            </w:tabs>
            <w:rPr/>
          </w:pPr>
          <w:hyperlink w:anchor="__RefHeading___Toc110826_2749589250">
            <w:r>
              <w:rPr>
                <w:webHidden/>
                <w:rStyle w:val="IndexLink"/>
                <w:rtl w:val="true"/>
              </w:rPr>
              <w:t>تفصیل الوجه الثانی</w:t>
            </w:r>
            <w:r>
              <w:rPr>
                <w:rStyle w:val="IndexLink"/>
                <w:rtl w:val="true"/>
              </w:rPr>
              <w:tab/>
            </w:r>
            <w:r>
              <w:rPr>
                <w:rStyle w:val="IndexLink"/>
              </w:rPr>
              <w:t>301</w:t>
            </w:r>
          </w:hyperlink>
        </w:p>
        <w:p>
          <w:pPr>
            <w:pStyle w:val="Contents5"/>
            <w:tabs>
              <w:tab w:val="clear" w:pos="7892"/>
              <w:tab w:val="right" w:pos="9026" w:leader="dot"/>
            </w:tabs>
            <w:rPr/>
          </w:pPr>
          <w:hyperlink w:anchor="__RefHeading___Toc110828_274958925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0830_2749589250">
            <w:r>
              <w:rPr>
                <w:webHidden/>
                <w:rStyle w:val="IndexLink"/>
                <w:rtl w:val="true"/>
              </w:rPr>
              <w:t>الشعائر الحسینیّة أهمّ ملاکاً من الضرر الشخصیّ</w:t>
            </w:r>
            <w:r>
              <w:rPr>
                <w:rStyle w:val="IndexLink"/>
                <w:rtl w:val="true"/>
              </w:rPr>
              <w:tab/>
            </w:r>
            <w:r>
              <w:rPr>
                <w:rStyle w:val="IndexLink"/>
              </w:rPr>
              <w:t>303</w:t>
            </w:r>
          </w:hyperlink>
        </w:p>
        <w:p>
          <w:pPr>
            <w:pStyle w:val="Contents5"/>
            <w:tabs>
              <w:tab w:val="clear" w:pos="7892"/>
              <w:tab w:val="right" w:pos="9026" w:leader="dot"/>
            </w:tabs>
            <w:rPr/>
          </w:pPr>
          <w:hyperlink w:anchor="__RefHeading___Toc110832_2749589250">
            <w:r>
              <w:rPr>
                <w:webHidden/>
                <w:rStyle w:val="IndexLink"/>
                <w:rtl w:val="true"/>
              </w:rPr>
              <w:t>أرکان الشریعة الإسلامیة</w:t>
            </w:r>
            <w:r>
              <w:rPr>
                <w:rStyle w:val="IndexLink"/>
                <w:rtl w:val="true"/>
              </w:rPr>
              <w:tab/>
            </w:r>
            <w:r>
              <w:rPr>
                <w:rStyle w:val="IndexLink"/>
              </w:rPr>
              <w:t>321</w:t>
            </w:r>
          </w:hyperlink>
        </w:p>
        <w:p>
          <w:pPr>
            <w:pStyle w:val="Contents4"/>
            <w:tabs>
              <w:tab w:val="clear" w:pos="8176"/>
              <w:tab w:val="right" w:pos="9026" w:leader="dot"/>
            </w:tabs>
            <w:rPr/>
          </w:pPr>
          <w:hyperlink w:anchor="__RefHeading___Toc110834_2749589250">
            <w:r>
              <w:rPr>
                <w:webHidden/>
                <w:rStyle w:val="IndexLink"/>
                <w:rtl w:val="true"/>
              </w:rPr>
              <w:t>تفصیل الوجه الثالث</w:t>
            </w:r>
            <w:r>
              <w:rPr>
                <w:rStyle w:val="IndexLink"/>
                <w:rtl w:val="true"/>
              </w:rPr>
              <w:tab/>
            </w:r>
            <w:r>
              <w:rPr>
                <w:rStyle w:val="IndexLink"/>
              </w:rPr>
              <w:t>325</w:t>
            </w:r>
          </w:hyperlink>
        </w:p>
        <w:p>
          <w:pPr>
            <w:pStyle w:val="Contents3"/>
            <w:tabs>
              <w:tab w:val="clear" w:pos="8459"/>
              <w:tab w:val="right" w:pos="9026" w:leader="dot"/>
            </w:tabs>
            <w:rPr/>
          </w:pPr>
          <w:hyperlink w:anchor="__RefHeading___Toc110836_2749589250">
            <w:r>
              <w:rPr>
                <w:webHidden/>
                <w:rStyle w:val="IndexLink"/>
                <w:rtl w:val="true"/>
              </w:rPr>
              <w:t>الجهة السابعة</w:t>
            </w:r>
            <w:r>
              <w:rPr>
                <w:rStyle w:val="IndexLink"/>
                <w:rtl w:val="true"/>
              </w:rPr>
              <w:t xml:space="preserve">: </w:t>
            </w:r>
            <w:r>
              <w:rPr>
                <w:rStyle w:val="IndexLink"/>
                <w:rtl w:val="true"/>
              </w:rPr>
              <w:t>لُبس السواد حزناً علی الحسین علیه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110838_274958925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10840_2749589250">
            <w:r>
              <w:rPr>
                <w:webHidden/>
                <w:rStyle w:val="IndexLink"/>
                <w:rtl w:val="true"/>
              </w:rPr>
              <w:t>بعض الأدلة المنقولة فی لبس السواد</w:t>
            </w:r>
            <w:r>
              <w:rPr>
                <w:rStyle w:val="IndexLink"/>
                <w:rtl w:val="true"/>
              </w:rPr>
              <w:tab/>
            </w:r>
            <w:r>
              <w:rPr>
                <w:rStyle w:val="IndexLink"/>
              </w:rPr>
              <w:t>332</w:t>
            </w:r>
          </w:hyperlink>
        </w:p>
        <w:p>
          <w:pPr>
            <w:pStyle w:val="Contents3"/>
            <w:tabs>
              <w:tab w:val="clear" w:pos="8459"/>
              <w:tab w:val="right" w:pos="9026" w:leader="dot"/>
            </w:tabs>
            <w:rPr/>
          </w:pPr>
          <w:hyperlink w:anchor="__RefHeading___Toc110842_2749589250">
            <w:r>
              <w:rPr>
                <w:webHidden/>
                <w:rStyle w:val="IndexLink"/>
                <w:rtl w:val="true"/>
              </w:rPr>
              <w:t>الجهة الثامنة</w:t>
            </w:r>
            <w:r>
              <w:rPr>
                <w:rStyle w:val="IndexLink"/>
                <w:rtl w:val="true"/>
              </w:rPr>
              <w:t xml:space="preserve">: </w:t>
            </w:r>
            <w:r>
              <w:rPr>
                <w:rStyle w:val="IndexLink"/>
                <w:rtl w:val="true"/>
              </w:rPr>
              <w:t>ضرورة لعن أعداء الدین</w:t>
            </w:r>
            <w:r>
              <w:rPr>
                <w:rStyle w:val="IndexLink"/>
                <w:rtl w:val="true"/>
              </w:rPr>
              <w:tab/>
            </w:r>
            <w:r>
              <w:rPr>
                <w:rStyle w:val="IndexLink"/>
              </w:rPr>
              <w:t>337</w:t>
            </w:r>
          </w:hyperlink>
        </w:p>
        <w:p>
          <w:pPr>
            <w:pStyle w:val="Contents4"/>
            <w:tabs>
              <w:tab w:val="clear" w:pos="8176"/>
              <w:tab w:val="right" w:pos="9026" w:leader="dot"/>
            </w:tabs>
            <w:rPr/>
          </w:pPr>
          <w:hyperlink w:anchor="__RefHeading___Toc110844_274958925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10846_2749589250">
            <w:r>
              <w:rPr>
                <w:webHidden/>
                <w:rStyle w:val="IndexLink"/>
                <w:rtl w:val="true"/>
              </w:rPr>
              <w:t>اللعن من الآیات القرآنیة</w:t>
            </w:r>
            <w:r>
              <w:rPr>
                <w:rStyle w:val="IndexLink"/>
                <w:rtl w:val="true"/>
              </w:rPr>
              <w:tab/>
            </w:r>
            <w:r>
              <w:rPr>
                <w:rStyle w:val="IndexLink"/>
              </w:rPr>
              <w:t>341</w:t>
            </w:r>
          </w:hyperlink>
        </w:p>
        <w:p>
          <w:pPr>
            <w:pStyle w:val="Contents3"/>
            <w:tabs>
              <w:tab w:val="clear" w:pos="8459"/>
              <w:tab w:val="right" w:pos="9026" w:leader="dot"/>
            </w:tabs>
            <w:rPr/>
          </w:pPr>
          <w:hyperlink w:anchor="__RefHeading___Toc110848_2749589250">
            <w:r>
              <w:rPr>
                <w:webHidden/>
                <w:rStyle w:val="IndexLink"/>
                <w:rtl w:val="true"/>
              </w:rPr>
              <w:t>الجهة التاسعة</w:t>
            </w:r>
            <w:r>
              <w:rPr>
                <w:rStyle w:val="IndexLink"/>
                <w:rtl w:val="true"/>
              </w:rPr>
              <w:t xml:space="preserve">: </w:t>
            </w:r>
            <w:r>
              <w:rPr>
                <w:rStyle w:val="IndexLink"/>
                <w:rtl w:val="true"/>
              </w:rPr>
              <w:t>العَزاءُ والرّثاءُ سنّةٌ قرآنیةٌ</w:t>
            </w:r>
            <w:r>
              <w:rPr>
                <w:rStyle w:val="IndexLink"/>
                <w:rtl w:val="true"/>
              </w:rPr>
              <w:tab/>
            </w:r>
            <w:r>
              <w:rPr>
                <w:rStyle w:val="IndexLink"/>
              </w:rPr>
              <w:t>345</w:t>
            </w:r>
          </w:hyperlink>
        </w:p>
        <w:p>
          <w:pPr>
            <w:pStyle w:val="Contents4"/>
            <w:tabs>
              <w:tab w:val="clear" w:pos="8176"/>
              <w:tab w:val="right" w:pos="9026" w:leader="dot"/>
            </w:tabs>
            <w:rPr/>
          </w:pPr>
          <w:hyperlink w:anchor="__RefHeading___Toc110850_274958925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10852_2749589250">
            <w:r>
              <w:rPr>
                <w:webHidden/>
                <w:rStyle w:val="IndexLink"/>
                <w:rtl w:val="true"/>
              </w:rPr>
              <w:t>الأولی</w:t>
            </w:r>
            <w:r>
              <w:rPr>
                <w:rStyle w:val="IndexLink"/>
                <w:rtl w:val="true"/>
              </w:rPr>
              <w:t xml:space="preserve">: </w:t>
            </w:r>
            <w:r>
              <w:rPr>
                <w:rStyle w:val="IndexLink"/>
                <w:rtl w:val="true"/>
              </w:rPr>
              <w:t>قصّة أصحاب الأخدود</w:t>
            </w:r>
            <w:r>
              <w:rPr>
                <w:rStyle w:val="IndexLink"/>
                <w:rtl w:val="true"/>
              </w:rPr>
              <w:tab/>
            </w:r>
            <w:r>
              <w:rPr>
                <w:rStyle w:val="IndexLink"/>
              </w:rPr>
              <w:t>349</w:t>
            </w:r>
          </w:hyperlink>
        </w:p>
        <w:p>
          <w:pPr>
            <w:pStyle w:val="Contents4"/>
            <w:tabs>
              <w:tab w:val="clear" w:pos="8176"/>
              <w:tab w:val="right" w:pos="9026" w:leader="dot"/>
            </w:tabs>
            <w:rPr/>
          </w:pPr>
          <w:hyperlink w:anchor="__RefHeading___Toc110854_2749589250">
            <w:r>
              <w:rPr>
                <w:webHidden/>
                <w:rStyle w:val="IndexLink"/>
                <w:rtl w:val="true"/>
              </w:rPr>
              <w:t>الثانیة</w:t>
            </w:r>
            <w:r>
              <w:rPr>
                <w:rStyle w:val="IndexLink"/>
                <w:rtl w:val="true"/>
              </w:rPr>
              <w:t xml:space="preserve">: </w:t>
            </w:r>
            <w:r>
              <w:rPr>
                <w:rStyle w:val="IndexLink"/>
                <w:rtl w:val="true"/>
              </w:rPr>
              <w:t>قصّة یوسف علیه السلام ویعقوب علیه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110856_2749589250">
            <w:r>
              <w:rPr>
                <w:webHidden/>
                <w:rStyle w:val="IndexLink"/>
                <w:rtl w:val="true"/>
              </w:rPr>
              <w:t>الثالثة</w:t>
            </w:r>
            <w:r>
              <w:rPr>
                <w:rStyle w:val="IndexLink"/>
                <w:rtl w:val="true"/>
              </w:rPr>
              <w:t xml:space="preserve">: </w:t>
            </w:r>
            <w:r>
              <w:rPr>
                <w:rStyle w:val="IndexLink"/>
                <w:rtl w:val="true"/>
              </w:rPr>
              <w:t>قصّة قتل الأنبیاء</w:t>
            </w:r>
            <w:r>
              <w:rPr>
                <w:rStyle w:val="IndexLink"/>
                <w:rtl w:val="true"/>
              </w:rPr>
              <w:tab/>
            </w:r>
            <w:r>
              <w:rPr>
                <w:rStyle w:val="IndexLink"/>
              </w:rPr>
              <w:t>354</w:t>
            </w:r>
          </w:hyperlink>
        </w:p>
        <w:p>
          <w:pPr>
            <w:pStyle w:val="Contents4"/>
            <w:tabs>
              <w:tab w:val="clear" w:pos="8176"/>
              <w:tab w:val="right" w:pos="9026" w:leader="dot"/>
            </w:tabs>
            <w:rPr/>
          </w:pPr>
          <w:hyperlink w:anchor="__RefHeading___Toc110858_2749589250">
            <w:r>
              <w:rPr>
                <w:webHidden/>
                <w:rStyle w:val="IndexLink"/>
                <w:rtl w:val="true"/>
              </w:rPr>
              <w:t>الرابعة</w:t>
            </w:r>
            <w:r>
              <w:rPr>
                <w:rStyle w:val="IndexLink"/>
                <w:rtl w:val="true"/>
              </w:rPr>
              <w:t xml:space="preserve">: </w:t>
            </w:r>
            <w:r>
              <w:rPr>
                <w:rStyle w:val="IndexLink"/>
                <w:rtl w:val="true"/>
              </w:rPr>
              <w:t>ما فی سورة التکویر</w:t>
            </w:r>
            <w:r>
              <w:rPr>
                <w:rStyle w:val="IndexLink"/>
                <w:rtl w:val="true"/>
              </w:rPr>
              <w:tab/>
            </w:r>
            <w:r>
              <w:rPr>
                <w:rStyle w:val="IndexLink"/>
              </w:rPr>
              <w:t>354</w:t>
            </w:r>
          </w:hyperlink>
        </w:p>
        <w:p>
          <w:pPr>
            <w:pStyle w:val="Contents4"/>
            <w:tabs>
              <w:tab w:val="clear" w:pos="8176"/>
              <w:tab w:val="right" w:pos="9026" w:leader="dot"/>
            </w:tabs>
            <w:rPr/>
          </w:pPr>
          <w:hyperlink w:anchor="__RefHeading___Toc110860_2749589250">
            <w:r>
              <w:rPr>
                <w:webHidden/>
                <w:rStyle w:val="IndexLink"/>
                <w:rtl w:val="true"/>
              </w:rPr>
              <w:t>الخامسة</w:t>
            </w:r>
            <w:r>
              <w:rPr>
                <w:rStyle w:val="IndexLink"/>
                <w:rtl w:val="true"/>
              </w:rPr>
              <w:t xml:space="preserve">: </w:t>
            </w:r>
            <w:r>
              <w:rPr>
                <w:rStyle w:val="IndexLink"/>
                <w:rtl w:val="true"/>
              </w:rPr>
              <w:t>عزاء الشهداء فی سبیل الله تعالی</w:t>
            </w:r>
            <w:r>
              <w:rPr>
                <w:rStyle w:val="IndexLink"/>
                <w:rtl w:val="true"/>
              </w:rPr>
              <w:tab/>
            </w:r>
            <w:r>
              <w:rPr>
                <w:rStyle w:val="IndexLink"/>
              </w:rPr>
              <w:t>355</w:t>
            </w:r>
          </w:hyperlink>
        </w:p>
        <w:p>
          <w:pPr>
            <w:pStyle w:val="Contents4"/>
            <w:tabs>
              <w:tab w:val="clear" w:pos="8176"/>
              <w:tab w:val="right" w:pos="9026" w:leader="dot"/>
            </w:tabs>
            <w:rPr/>
          </w:pPr>
          <w:hyperlink w:anchor="__RefHeading___Toc110862_2749589250">
            <w:r>
              <w:rPr>
                <w:webHidden/>
                <w:rStyle w:val="IndexLink"/>
                <w:rtl w:val="true"/>
              </w:rPr>
              <w:t>السادسة</w:t>
            </w:r>
            <w:r>
              <w:rPr>
                <w:rStyle w:val="IndexLink"/>
                <w:rtl w:val="true"/>
              </w:rPr>
              <w:t xml:space="preserve">: </w:t>
            </w:r>
            <w:r>
              <w:rPr>
                <w:rStyle w:val="IndexLink"/>
                <w:rtl w:val="true"/>
              </w:rPr>
              <w:t>قصّة هابیل</w:t>
            </w:r>
            <w:r>
              <w:rPr>
                <w:rStyle w:val="IndexLink"/>
                <w:rtl w:val="true"/>
              </w:rPr>
              <w:tab/>
            </w:r>
            <w:r>
              <w:rPr>
                <w:rStyle w:val="IndexLink"/>
              </w:rPr>
              <w:t>355</w:t>
            </w:r>
          </w:hyperlink>
        </w:p>
        <w:p>
          <w:pPr>
            <w:pStyle w:val="Contents4"/>
            <w:tabs>
              <w:tab w:val="clear" w:pos="8176"/>
              <w:tab w:val="right" w:pos="9026" w:leader="dot"/>
            </w:tabs>
            <w:rPr/>
          </w:pPr>
          <w:hyperlink w:anchor="__RefHeading___Toc110864_2749589250">
            <w:r>
              <w:rPr>
                <w:webHidden/>
                <w:rStyle w:val="IndexLink"/>
                <w:rtl w:val="true"/>
              </w:rPr>
              <w:t>السابعة</w:t>
            </w:r>
            <w:r>
              <w:rPr>
                <w:rStyle w:val="IndexLink"/>
                <w:rtl w:val="true"/>
              </w:rPr>
              <w:t xml:space="preserve">: </w:t>
            </w:r>
            <w:r>
              <w:rPr>
                <w:rStyle w:val="IndexLink"/>
                <w:rtl w:val="true"/>
              </w:rPr>
              <w:t>ما ارتکبه فرعون وهامان من طغیانٍ</w:t>
            </w:r>
            <w:r>
              <w:rPr>
                <w:rStyle w:val="IndexLink"/>
                <w:rtl w:val="true"/>
              </w:rPr>
              <w:tab/>
            </w:r>
            <w:r>
              <w:rPr>
                <w:rStyle w:val="IndexLink"/>
              </w:rPr>
              <w:t>355</w:t>
            </w:r>
          </w:hyperlink>
        </w:p>
        <w:p>
          <w:pPr>
            <w:pStyle w:val="Contents4"/>
            <w:tabs>
              <w:tab w:val="clear" w:pos="8176"/>
              <w:tab w:val="right" w:pos="9026" w:leader="dot"/>
            </w:tabs>
            <w:rPr/>
          </w:pPr>
          <w:hyperlink w:anchor="__RefHeading___Toc110866_2749589250">
            <w:r>
              <w:rPr>
                <w:webHidden/>
                <w:rStyle w:val="IndexLink"/>
                <w:rtl w:val="true"/>
              </w:rPr>
              <w:t>الثامنة</w:t>
            </w:r>
            <w:r>
              <w:rPr>
                <w:rStyle w:val="IndexLink"/>
                <w:rtl w:val="true"/>
              </w:rPr>
              <w:t xml:space="preserve">: </w:t>
            </w:r>
            <w:r>
              <w:rPr>
                <w:rStyle w:val="IndexLink"/>
                <w:rtl w:val="true"/>
              </w:rPr>
              <w:t>ناقة صالح</w:t>
            </w:r>
            <w:r>
              <w:rPr>
                <w:rStyle w:val="IndexLink"/>
                <w:rtl w:val="true"/>
              </w:rPr>
              <w:tab/>
            </w:r>
            <w:r>
              <w:rPr>
                <w:rStyle w:val="IndexLink"/>
              </w:rPr>
              <w:t>356</w:t>
            </w:r>
          </w:hyperlink>
        </w:p>
        <w:p>
          <w:pPr>
            <w:pStyle w:val="Contents2"/>
            <w:tabs>
              <w:tab w:val="clear" w:pos="8743"/>
              <w:tab w:val="right" w:pos="9026" w:leader="dot"/>
            </w:tabs>
            <w:rPr/>
          </w:pPr>
          <w:hyperlink w:anchor="__RefHeading___Toc110868_2749589250">
            <w:r>
              <w:rPr>
                <w:webHidden/>
                <w:rStyle w:val="IndexLink"/>
                <w:rtl w:val="true"/>
              </w:rPr>
              <w:t>مسک الختام</w:t>
            </w:r>
            <w:r>
              <w:rPr>
                <w:rStyle w:val="IndexLink"/>
                <w:rtl w:val="true"/>
              </w:rPr>
              <w:tab/>
            </w:r>
            <w:r>
              <w:rPr>
                <w:rStyle w:val="IndexLink"/>
              </w:rPr>
              <w:t>358</w:t>
            </w:r>
          </w:hyperlink>
        </w:p>
        <w:p>
          <w:pPr>
            <w:pStyle w:val="Contents3"/>
            <w:tabs>
              <w:tab w:val="clear" w:pos="8459"/>
              <w:tab w:val="right" w:pos="9026" w:leader="dot"/>
            </w:tabs>
            <w:rPr/>
          </w:pPr>
          <w:hyperlink w:anchor="__RefHeading___Toc110870_274958925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10872_2749589250">
            <w:r>
              <w:rPr>
                <w:webHidden/>
                <w:rStyle w:val="IndexLink"/>
              </w:rPr>
              <w:t>1</w:t>
            </w:r>
            <w:r>
              <w:rPr>
                <w:rStyle w:val="IndexLink"/>
                <w:rtl w:val="true"/>
              </w:rPr>
              <w:t xml:space="preserve"> . </w:t>
            </w:r>
            <w:r>
              <w:rPr>
                <w:rStyle w:val="IndexLink"/>
                <w:rtl w:val="true"/>
              </w:rPr>
              <w:t>مأتم المیلاد</w:t>
            </w:r>
            <w:r>
              <w:rPr>
                <w:rStyle w:val="IndexLink"/>
                <w:rtl w:val="true"/>
              </w:rPr>
              <w:tab/>
            </w:r>
            <w:r>
              <w:rPr>
                <w:rStyle w:val="IndexLink"/>
              </w:rPr>
              <w:t>359</w:t>
            </w:r>
          </w:hyperlink>
        </w:p>
        <w:p>
          <w:pPr>
            <w:pStyle w:val="Contents3"/>
            <w:tabs>
              <w:tab w:val="clear" w:pos="8459"/>
              <w:tab w:val="right" w:pos="9026" w:leader="dot"/>
            </w:tabs>
            <w:rPr/>
          </w:pPr>
          <w:hyperlink w:anchor="__RefHeading___Toc110874_2749589250">
            <w:r>
              <w:rPr>
                <w:webHidden/>
                <w:rStyle w:val="IndexLink"/>
              </w:rPr>
              <w:t>2</w:t>
            </w:r>
            <w:r>
              <w:rPr>
                <w:rStyle w:val="IndexLink"/>
                <w:rtl w:val="true"/>
              </w:rPr>
              <w:t xml:space="preserve"> . </w:t>
            </w:r>
            <w:r>
              <w:rPr>
                <w:rStyle w:val="IndexLink"/>
                <w:rtl w:val="true"/>
              </w:rPr>
              <w:t>مأتم الرضوعة</w:t>
            </w:r>
            <w:r>
              <w:rPr>
                <w:rStyle w:val="IndexLink"/>
                <w:rtl w:val="true"/>
              </w:rPr>
              <w:tab/>
            </w:r>
            <w:r>
              <w:rPr>
                <w:rStyle w:val="IndexLink"/>
              </w:rPr>
              <w:t>359</w:t>
            </w:r>
          </w:hyperlink>
        </w:p>
        <w:p>
          <w:pPr>
            <w:pStyle w:val="Contents3"/>
            <w:tabs>
              <w:tab w:val="clear" w:pos="8459"/>
              <w:tab w:val="right" w:pos="9026" w:leader="dot"/>
            </w:tabs>
            <w:rPr/>
          </w:pPr>
          <w:hyperlink w:anchor="__RefHeading___Toc110876_2749589250">
            <w:r>
              <w:rPr>
                <w:webHidden/>
                <w:rStyle w:val="IndexLink"/>
              </w:rPr>
              <w:t>3</w:t>
            </w:r>
            <w:r>
              <w:rPr>
                <w:rStyle w:val="IndexLink"/>
                <w:rtl w:val="true"/>
              </w:rPr>
              <w:t xml:space="preserve"> . </w:t>
            </w:r>
            <w:r>
              <w:rPr>
                <w:rStyle w:val="IndexLink"/>
                <w:rtl w:val="true"/>
              </w:rPr>
              <w:t>مأتم رأس السنة</w:t>
            </w:r>
            <w:r>
              <w:rPr>
                <w:rStyle w:val="IndexLink"/>
                <w:rtl w:val="true"/>
              </w:rPr>
              <w:tab/>
            </w:r>
            <w:r>
              <w:rPr>
                <w:rStyle w:val="IndexLink"/>
              </w:rPr>
              <w:t>360</w:t>
            </w:r>
          </w:hyperlink>
        </w:p>
        <w:p>
          <w:pPr>
            <w:pStyle w:val="Contents3"/>
            <w:tabs>
              <w:tab w:val="clear" w:pos="8459"/>
              <w:tab w:val="right" w:pos="9026" w:leader="dot"/>
            </w:tabs>
            <w:rPr/>
          </w:pPr>
          <w:hyperlink w:anchor="__RefHeading___Toc110878_2749589250">
            <w:r>
              <w:rPr>
                <w:webHidden/>
                <w:rStyle w:val="IndexLink"/>
              </w:rPr>
              <w:t>4</w:t>
            </w:r>
            <w:r>
              <w:rPr>
                <w:rStyle w:val="IndexLink"/>
                <w:rtl w:val="true"/>
              </w:rPr>
              <w:t xml:space="preserve"> . </w:t>
            </w:r>
            <w:r>
              <w:rPr>
                <w:rStyle w:val="IndexLink"/>
                <w:rtl w:val="true"/>
              </w:rPr>
              <w:t>مأتم فی بیت السیّدة أمّ سلمة أمّ المؤمنین بنعی جبرئیل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110880_2749589250">
            <w:r>
              <w:rPr>
                <w:webHidden/>
                <w:rStyle w:val="IndexLink"/>
              </w:rPr>
              <w:t>5</w:t>
            </w:r>
            <w:r>
              <w:rPr>
                <w:rStyle w:val="IndexLink"/>
                <w:rtl w:val="true"/>
              </w:rPr>
              <w:t xml:space="preserve"> . </w:t>
            </w:r>
            <w:r>
              <w:rPr>
                <w:rStyle w:val="IndexLink"/>
                <w:rtl w:val="true"/>
              </w:rPr>
              <w:t>مأتم آخر فی بیت أمّ سلمة أمّ المؤمنین بنعی جبرئیل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110882_2749589250">
            <w:r>
              <w:rPr>
                <w:webHidden/>
                <w:rStyle w:val="IndexLink"/>
              </w:rPr>
              <w:t>6</w:t>
            </w:r>
            <w:r>
              <w:rPr>
                <w:rStyle w:val="IndexLink"/>
                <w:rtl w:val="true"/>
              </w:rPr>
              <w:t xml:space="preserve"> . </w:t>
            </w:r>
            <w:r>
              <w:rPr>
                <w:rStyle w:val="IndexLink"/>
                <w:rtl w:val="true"/>
              </w:rPr>
              <w:t>مأتم آخر فی بیت السیّدة أمّ سلمة بنعی ملک المطر</w:t>
            </w:r>
            <w:r>
              <w:rPr>
                <w:rStyle w:val="IndexLink"/>
                <w:rtl w:val="true"/>
              </w:rPr>
              <w:tab/>
            </w:r>
            <w:r>
              <w:rPr>
                <w:rStyle w:val="IndexLink"/>
              </w:rPr>
              <w:t>360</w:t>
            </w:r>
          </w:hyperlink>
        </w:p>
        <w:p>
          <w:pPr>
            <w:pStyle w:val="Contents3"/>
            <w:tabs>
              <w:tab w:val="clear" w:pos="8459"/>
              <w:tab w:val="right" w:pos="9026" w:leader="dot"/>
            </w:tabs>
            <w:rPr/>
          </w:pPr>
          <w:hyperlink w:anchor="__RefHeading___Toc110884_2749589250">
            <w:r>
              <w:rPr>
                <w:webHidden/>
                <w:rStyle w:val="IndexLink"/>
              </w:rPr>
              <w:t>7</w:t>
            </w:r>
            <w:r>
              <w:rPr>
                <w:rStyle w:val="IndexLink"/>
                <w:rtl w:val="true"/>
              </w:rPr>
              <w:t xml:space="preserve"> . </w:t>
            </w:r>
            <w:r>
              <w:rPr>
                <w:rStyle w:val="IndexLink"/>
                <w:rtl w:val="true"/>
              </w:rPr>
              <w:t>مأتم فی بیت عائشة بنعی جبرئیل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110886_2749589250">
            <w:r>
              <w:rPr>
                <w:webHidden/>
                <w:rStyle w:val="IndexLink"/>
              </w:rPr>
              <w:t>8</w:t>
            </w:r>
            <w:r>
              <w:rPr>
                <w:rStyle w:val="IndexLink"/>
                <w:rtl w:val="true"/>
              </w:rPr>
              <w:t xml:space="preserve"> . </w:t>
            </w:r>
            <w:r>
              <w:rPr>
                <w:rStyle w:val="IndexLink"/>
                <w:rtl w:val="true"/>
              </w:rPr>
              <w:t>مأتم فی بیت السیّدة أمّ سلمة أمّ المؤمنین</w:t>
            </w:r>
            <w:r>
              <w:rPr>
                <w:rStyle w:val="IndexLink"/>
                <w:rtl w:val="true"/>
              </w:rPr>
              <w:tab/>
            </w:r>
            <w:r>
              <w:rPr>
                <w:rStyle w:val="IndexLink"/>
              </w:rPr>
              <w:t>361</w:t>
            </w:r>
          </w:hyperlink>
        </w:p>
        <w:p>
          <w:pPr>
            <w:pStyle w:val="Contents3"/>
            <w:tabs>
              <w:tab w:val="clear" w:pos="8459"/>
              <w:tab w:val="right" w:pos="9026" w:leader="dot"/>
            </w:tabs>
            <w:rPr/>
          </w:pPr>
          <w:hyperlink w:anchor="__RefHeading___Toc110888_2749589250">
            <w:r>
              <w:rPr>
                <w:webHidden/>
                <w:rStyle w:val="IndexLink"/>
              </w:rPr>
              <w:t>9</w:t>
            </w:r>
            <w:r>
              <w:rPr>
                <w:rStyle w:val="IndexLink"/>
                <w:rtl w:val="true"/>
              </w:rPr>
              <w:t xml:space="preserve"> . </w:t>
            </w:r>
            <w:r>
              <w:rPr>
                <w:rStyle w:val="IndexLink"/>
                <w:rtl w:val="true"/>
              </w:rPr>
              <w:t>مأتم فی بیت السیّدة زینب بنت جحش أمّ المؤمنین</w:t>
            </w:r>
            <w:r>
              <w:rPr>
                <w:rStyle w:val="IndexLink"/>
                <w:rtl w:val="true"/>
              </w:rPr>
              <w:tab/>
            </w:r>
            <w:r>
              <w:rPr>
                <w:rStyle w:val="IndexLink"/>
              </w:rPr>
              <w:t>362</w:t>
            </w:r>
          </w:hyperlink>
        </w:p>
        <w:p>
          <w:pPr>
            <w:pStyle w:val="Contents3"/>
            <w:tabs>
              <w:tab w:val="clear" w:pos="8459"/>
              <w:tab w:val="right" w:pos="9026" w:leader="dot"/>
            </w:tabs>
            <w:rPr/>
          </w:pPr>
          <w:hyperlink w:anchor="__RefHeading___Toc110890_2749589250">
            <w:r>
              <w:rPr>
                <w:webHidden/>
                <w:rStyle w:val="IndexLink"/>
              </w:rPr>
              <w:t>10</w:t>
            </w:r>
            <w:r>
              <w:rPr>
                <w:rStyle w:val="IndexLink"/>
                <w:rtl w:val="true"/>
              </w:rPr>
              <w:t xml:space="preserve"> . </w:t>
            </w:r>
            <w:r>
              <w:rPr>
                <w:rStyle w:val="IndexLink"/>
                <w:rtl w:val="true"/>
              </w:rPr>
              <w:t>مأتم فی بیت أمّ سلمة أمّ المؤمنین</w:t>
            </w:r>
            <w:r>
              <w:rPr>
                <w:rStyle w:val="IndexLink"/>
                <w:rtl w:val="true"/>
              </w:rPr>
              <w:tab/>
            </w:r>
            <w:r>
              <w:rPr>
                <w:rStyle w:val="IndexLink"/>
              </w:rPr>
              <w:t>362</w:t>
            </w:r>
          </w:hyperlink>
        </w:p>
        <w:p>
          <w:pPr>
            <w:pStyle w:val="Contents3"/>
            <w:tabs>
              <w:tab w:val="clear" w:pos="8459"/>
              <w:tab w:val="right" w:pos="9026" w:leader="dot"/>
            </w:tabs>
            <w:rPr/>
          </w:pPr>
          <w:hyperlink w:anchor="__RefHeading___Toc110892_2749589250">
            <w:r>
              <w:rPr>
                <w:webHidden/>
                <w:rStyle w:val="IndexLink"/>
              </w:rPr>
              <w:t>11</w:t>
            </w:r>
            <w:r>
              <w:rPr>
                <w:rStyle w:val="IndexLink"/>
                <w:rtl w:val="true"/>
              </w:rPr>
              <w:t xml:space="preserve"> . </w:t>
            </w:r>
            <w:r>
              <w:rPr>
                <w:rStyle w:val="IndexLink"/>
                <w:rtl w:val="true"/>
              </w:rPr>
              <w:t>مأتم فی بیت السیّدة أمّ سلمة أمّ المؤمنین</w:t>
            </w:r>
            <w:r>
              <w:rPr>
                <w:rStyle w:val="IndexLink"/>
                <w:rtl w:val="true"/>
              </w:rPr>
              <w:tab/>
            </w:r>
            <w:r>
              <w:rPr>
                <w:rStyle w:val="IndexLink"/>
              </w:rPr>
              <w:t>362</w:t>
            </w:r>
          </w:hyperlink>
        </w:p>
        <w:p>
          <w:pPr>
            <w:pStyle w:val="Contents3"/>
            <w:tabs>
              <w:tab w:val="clear" w:pos="8459"/>
              <w:tab w:val="right" w:pos="9026" w:leader="dot"/>
            </w:tabs>
            <w:rPr/>
          </w:pPr>
          <w:hyperlink w:anchor="__RefHeading___Toc110894_2749589250">
            <w:r>
              <w:rPr>
                <w:webHidden/>
                <w:rStyle w:val="IndexLink"/>
              </w:rPr>
              <w:t>12</w:t>
            </w:r>
            <w:r>
              <w:rPr>
                <w:rStyle w:val="IndexLink"/>
                <w:rtl w:val="true"/>
              </w:rPr>
              <w:t xml:space="preserve"> . </w:t>
            </w:r>
            <w:r>
              <w:rPr>
                <w:rStyle w:val="IndexLink"/>
                <w:rtl w:val="true"/>
              </w:rPr>
              <w:t>مأتم فی بیت السیّدة أمّ سلمة أمّ المؤمنین</w:t>
            </w:r>
            <w:r>
              <w:rPr>
                <w:rStyle w:val="IndexLink"/>
                <w:rtl w:val="true"/>
              </w:rPr>
              <w:tab/>
            </w:r>
            <w:r>
              <w:rPr>
                <w:rStyle w:val="IndexLink"/>
              </w:rPr>
              <w:t>362</w:t>
            </w:r>
          </w:hyperlink>
        </w:p>
        <w:p>
          <w:pPr>
            <w:pStyle w:val="Contents3"/>
            <w:tabs>
              <w:tab w:val="clear" w:pos="8459"/>
              <w:tab w:val="right" w:pos="9026" w:leader="dot"/>
            </w:tabs>
            <w:rPr/>
          </w:pPr>
          <w:hyperlink w:anchor="__RefHeading___Toc110896_2749589250">
            <w:r>
              <w:rPr>
                <w:webHidden/>
                <w:rStyle w:val="IndexLink"/>
              </w:rPr>
              <w:t>13</w:t>
            </w:r>
            <w:r>
              <w:rPr>
                <w:rStyle w:val="IndexLink"/>
                <w:rtl w:val="true"/>
              </w:rPr>
              <w:t xml:space="preserve"> . </w:t>
            </w:r>
            <w:r>
              <w:rPr>
                <w:rStyle w:val="IndexLink"/>
                <w:rtl w:val="true"/>
              </w:rPr>
              <w:t>مأتم فی بیت عائشة بنعی مَلَکٍ ما دخل علی النبیّ صلی الله علیه وآله وسلم قط</w:t>
            </w:r>
            <w:r>
              <w:rPr>
                <w:rStyle w:val="IndexLink"/>
                <w:rtl w:val="true"/>
              </w:rPr>
              <w:tab/>
            </w:r>
            <w:r>
              <w:rPr>
                <w:rStyle w:val="IndexLink"/>
              </w:rPr>
              <w:t>362</w:t>
            </w:r>
          </w:hyperlink>
        </w:p>
        <w:p>
          <w:pPr>
            <w:pStyle w:val="Contents3"/>
            <w:tabs>
              <w:tab w:val="clear" w:pos="8459"/>
              <w:tab w:val="right" w:pos="9026" w:leader="dot"/>
            </w:tabs>
            <w:rPr/>
          </w:pPr>
          <w:hyperlink w:anchor="__RefHeading___Toc110898_2749589250">
            <w:r>
              <w:rPr>
                <w:webHidden/>
                <w:rStyle w:val="IndexLink"/>
              </w:rPr>
              <w:t>14</w:t>
            </w:r>
            <w:r>
              <w:rPr>
                <w:rStyle w:val="IndexLink"/>
                <w:rtl w:val="true"/>
              </w:rPr>
              <w:t xml:space="preserve"> . </w:t>
            </w:r>
            <w:r>
              <w:rPr>
                <w:rStyle w:val="IndexLink"/>
                <w:rtl w:val="true"/>
              </w:rPr>
              <w:t>مأتم فی بیت عائشة</w:t>
            </w:r>
            <w:r>
              <w:rPr>
                <w:rStyle w:val="IndexLink"/>
                <w:rtl w:val="true"/>
              </w:rPr>
              <w:tab/>
            </w:r>
            <w:r>
              <w:rPr>
                <w:rStyle w:val="IndexLink"/>
              </w:rPr>
              <w:t>363</w:t>
            </w:r>
          </w:hyperlink>
        </w:p>
        <w:p>
          <w:pPr>
            <w:pStyle w:val="Contents3"/>
            <w:tabs>
              <w:tab w:val="clear" w:pos="8459"/>
              <w:tab w:val="right" w:pos="9026" w:leader="dot"/>
            </w:tabs>
            <w:rPr/>
          </w:pPr>
          <w:hyperlink w:anchor="__RefHeading___Toc110900_2749589250">
            <w:r>
              <w:rPr>
                <w:webHidden/>
                <w:rStyle w:val="IndexLink"/>
              </w:rPr>
              <w:t>15</w:t>
            </w:r>
            <w:r>
              <w:rPr>
                <w:rStyle w:val="IndexLink"/>
                <w:rtl w:val="true"/>
              </w:rPr>
              <w:t xml:space="preserve"> . </w:t>
            </w:r>
            <w:r>
              <w:rPr>
                <w:rStyle w:val="IndexLink"/>
                <w:rtl w:val="true"/>
              </w:rPr>
              <w:t>مأتم فی دار أمیر المؤمنین علیّ بن أبی طالب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10902_2749589250">
            <w:r>
              <w:rPr>
                <w:webHidden/>
                <w:rStyle w:val="IndexLink"/>
              </w:rPr>
              <w:t>16</w:t>
            </w:r>
            <w:r>
              <w:rPr>
                <w:rStyle w:val="IndexLink"/>
                <w:rtl w:val="true"/>
              </w:rPr>
              <w:t xml:space="preserve"> . </w:t>
            </w:r>
            <w:r>
              <w:rPr>
                <w:rStyle w:val="IndexLink"/>
                <w:rtl w:val="true"/>
              </w:rPr>
              <w:t>مأتم فی مجمع الصحابة</w:t>
            </w:r>
            <w:r>
              <w:rPr>
                <w:rStyle w:val="IndexLink"/>
                <w:rtl w:val="true"/>
              </w:rPr>
              <w:tab/>
            </w:r>
            <w:r>
              <w:rPr>
                <w:rStyle w:val="IndexLink"/>
              </w:rPr>
              <w:t>363</w:t>
            </w:r>
          </w:hyperlink>
        </w:p>
        <w:p>
          <w:pPr>
            <w:pStyle w:val="Contents3"/>
            <w:tabs>
              <w:tab w:val="clear" w:pos="8459"/>
              <w:tab w:val="right" w:pos="9026" w:leader="dot"/>
            </w:tabs>
            <w:rPr/>
          </w:pPr>
          <w:hyperlink w:anchor="__RefHeading___Toc110904_2749589250">
            <w:r>
              <w:rPr>
                <w:webHidden/>
                <w:rStyle w:val="IndexLink"/>
              </w:rPr>
              <w:t>17</w:t>
            </w:r>
            <w:r>
              <w:rPr>
                <w:rStyle w:val="IndexLink"/>
                <w:rtl w:val="true"/>
              </w:rPr>
              <w:t xml:space="preserve"> . </w:t>
            </w:r>
            <w:r>
              <w:rPr>
                <w:rStyle w:val="IndexLink"/>
                <w:rtl w:val="true"/>
              </w:rPr>
              <w:t>مأتم فی حشد من الصحابة</w:t>
            </w:r>
            <w:r>
              <w:rPr>
                <w:rStyle w:val="IndexLink"/>
                <w:rtl w:val="true"/>
              </w:rPr>
              <w:tab/>
            </w:r>
            <w:r>
              <w:rPr>
                <w:rStyle w:val="IndexLink"/>
              </w:rPr>
              <w:t>363</w:t>
            </w:r>
          </w:hyperlink>
        </w:p>
        <w:p>
          <w:pPr>
            <w:pStyle w:val="Contents3"/>
            <w:tabs>
              <w:tab w:val="clear" w:pos="8459"/>
              <w:tab w:val="right" w:pos="9026" w:leader="dot"/>
            </w:tabs>
            <w:rPr/>
          </w:pPr>
          <w:hyperlink w:anchor="__RefHeading___Toc110906_2749589250">
            <w:r>
              <w:rPr>
                <w:webHidden/>
                <w:rStyle w:val="IndexLink"/>
              </w:rPr>
              <w:t>18</w:t>
            </w:r>
            <w:r>
              <w:rPr>
                <w:rStyle w:val="IndexLink"/>
                <w:rtl w:val="true"/>
              </w:rPr>
              <w:t xml:space="preserve"> . </w:t>
            </w:r>
            <w:r>
              <w:rPr>
                <w:rStyle w:val="IndexLink"/>
                <w:rtl w:val="true"/>
              </w:rPr>
              <w:t>مأتم فی دار رسول الله صلی الله علیه وآله وسلم</w:t>
            </w:r>
            <w:r>
              <w:rPr>
                <w:rStyle w:val="IndexLink"/>
                <w:rtl w:val="true"/>
              </w:rPr>
              <w:tab/>
            </w:r>
            <w:r>
              <w:rPr>
                <w:rStyle w:val="IndexLink"/>
              </w:rPr>
              <w:t>363</w:t>
            </w:r>
          </w:hyperlink>
        </w:p>
        <w:p>
          <w:pPr>
            <w:pStyle w:val="Contents3"/>
            <w:tabs>
              <w:tab w:val="clear" w:pos="8459"/>
              <w:tab w:val="right" w:pos="9026" w:leader="dot"/>
            </w:tabs>
            <w:rPr/>
          </w:pPr>
          <w:hyperlink w:anchor="__RefHeading___Toc110908_2749589250">
            <w:r>
              <w:rPr>
                <w:webHidden/>
                <w:rStyle w:val="IndexLink"/>
              </w:rPr>
              <w:t>19</w:t>
            </w:r>
            <w:r>
              <w:rPr>
                <w:rStyle w:val="IndexLink"/>
                <w:rtl w:val="true"/>
              </w:rPr>
              <w:t xml:space="preserve"> . </w:t>
            </w:r>
            <w:r>
              <w:rPr>
                <w:rStyle w:val="IndexLink"/>
                <w:rtl w:val="true"/>
              </w:rPr>
              <w:t>مأتم فی کربلاء أقامه أبو الشهید أمیر المؤمنین</w:t>
            </w:r>
            <w:r>
              <w:rPr>
                <w:rStyle w:val="IndexLink"/>
                <w:rtl w:val="true"/>
              </w:rPr>
              <w:tab/>
            </w:r>
            <w:r>
              <w:rPr>
                <w:rStyle w:val="IndexLink"/>
              </w:rPr>
              <w:t>363</w:t>
            </w:r>
          </w:hyperlink>
        </w:p>
        <w:p>
          <w:pPr>
            <w:pStyle w:val="Contents3"/>
            <w:tabs>
              <w:tab w:val="clear" w:pos="8459"/>
              <w:tab w:val="right" w:pos="9026" w:leader="dot"/>
            </w:tabs>
            <w:rPr/>
          </w:pPr>
          <w:hyperlink w:anchor="__RefHeading___Toc110910_2749589250">
            <w:r>
              <w:rPr>
                <w:webHidden/>
                <w:rStyle w:val="IndexLink"/>
              </w:rPr>
              <w:t>20</w:t>
            </w:r>
            <w:r>
              <w:rPr>
                <w:rStyle w:val="IndexLink"/>
                <w:rtl w:val="true"/>
              </w:rPr>
              <w:t xml:space="preserve"> . </w:t>
            </w:r>
            <w:r>
              <w:rPr>
                <w:rStyle w:val="IndexLink"/>
                <w:rtl w:val="true"/>
              </w:rPr>
              <w:t>مأتم یوم عاشوراء</w:t>
            </w:r>
            <w:r>
              <w:rPr>
                <w:rStyle w:val="IndexLink"/>
                <w:rtl w:val="true"/>
              </w:rPr>
              <w:tab/>
            </w:r>
            <w:r>
              <w:rPr>
                <w:rStyle w:val="IndexLink"/>
              </w:rPr>
              <w:t>364</w:t>
            </w:r>
          </w:hyperlink>
        </w:p>
        <w:p>
          <w:pPr>
            <w:pStyle w:val="Contents2"/>
            <w:tabs>
              <w:tab w:val="clear" w:pos="8743"/>
              <w:tab w:val="right" w:pos="9026" w:leader="dot"/>
            </w:tabs>
            <w:rPr/>
          </w:pPr>
          <w:hyperlink w:anchor="__RefHeading___Toc110912_2749589250">
            <w:r>
              <w:rPr>
                <w:webHidden/>
                <w:rStyle w:val="IndexLink"/>
                <w:rtl w:val="true"/>
              </w:rPr>
              <w:t>ملحق</w:t>
            </w:r>
            <w:r>
              <w:rPr>
                <w:rStyle w:val="IndexLink"/>
                <w:rtl w:val="true"/>
              </w:rPr>
              <w:tab/>
            </w:r>
            <w:r>
              <w:rPr>
                <w:rStyle w:val="IndexLink"/>
              </w:rPr>
              <w:t>365</w:t>
            </w:r>
          </w:hyperlink>
        </w:p>
        <w:p>
          <w:pPr>
            <w:pStyle w:val="Contents3"/>
            <w:tabs>
              <w:tab w:val="clear" w:pos="8459"/>
              <w:tab w:val="right" w:pos="9026" w:leader="dot"/>
            </w:tabs>
            <w:rPr/>
          </w:pPr>
          <w:hyperlink w:anchor="__RefHeading___Toc110914_2749589250">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10916_2749589250">
            <w:r>
              <w:rPr>
                <w:webHidden/>
                <w:rStyle w:val="IndexLink"/>
                <w:rtl w:val="true"/>
              </w:rPr>
              <w:t>فتوی الإمام النائینی قدس سره حول الشعائر الحسینیة</w:t>
            </w:r>
            <w:r>
              <w:rPr>
                <w:rStyle w:val="IndexLink"/>
                <w:rtl w:val="true"/>
              </w:rPr>
              <w:tab/>
            </w:r>
            <w:r>
              <w:rPr>
                <w:rStyle w:val="IndexLink"/>
              </w:rPr>
              <w:t>366</w:t>
            </w:r>
          </w:hyperlink>
        </w:p>
        <w:p>
          <w:pPr>
            <w:pStyle w:val="Contents3"/>
            <w:tabs>
              <w:tab w:val="clear" w:pos="8459"/>
              <w:tab w:val="right" w:pos="9026" w:leader="dot"/>
            </w:tabs>
            <w:rPr/>
          </w:pPr>
          <w:hyperlink w:anchor="__RefHeading___Toc110918_2749589250">
            <w:r>
              <w:rPr>
                <w:webHidden/>
                <w:rStyle w:val="IndexLink"/>
                <w:rtl w:val="true"/>
              </w:rPr>
              <w:t>(</w:t>
            </w:r>
            <w:r>
              <w:rPr>
                <w:rStyle w:val="IndexLink"/>
              </w:rPr>
              <w:t>1</w:t>
            </w:r>
            <w:r>
              <w:rPr>
                <w:rStyle w:val="IndexLink"/>
                <w:rtl w:val="true"/>
              </w:rPr>
              <w:t xml:space="preserve">) </w:t>
            </w:r>
            <w:r>
              <w:rPr>
                <w:rStyle w:val="IndexLink"/>
                <w:rtl w:val="true"/>
              </w:rPr>
              <w:t>الإمام الشیرازی قدس سره</w:t>
            </w:r>
            <w:r>
              <w:rPr>
                <w:rStyle w:val="IndexLink"/>
                <w:rtl w:val="true"/>
              </w:rPr>
              <w:tab/>
            </w:r>
            <w:r>
              <w:rPr>
                <w:rStyle w:val="IndexLink"/>
              </w:rPr>
              <w:t>368</w:t>
            </w:r>
          </w:hyperlink>
        </w:p>
        <w:p>
          <w:pPr>
            <w:pStyle w:val="Contents3"/>
            <w:tabs>
              <w:tab w:val="clear" w:pos="8459"/>
              <w:tab w:val="right" w:pos="9026" w:leader="dot"/>
            </w:tabs>
            <w:rPr/>
          </w:pPr>
          <w:hyperlink w:anchor="__RefHeading___Toc110920_2749589250">
            <w:r>
              <w:rPr>
                <w:webHidden/>
                <w:rStyle w:val="IndexLink"/>
                <w:rtl w:val="true"/>
              </w:rPr>
              <w:t>(</w:t>
            </w:r>
            <w:r>
              <w:rPr>
                <w:rStyle w:val="IndexLink"/>
              </w:rPr>
              <w:t>2</w:t>
            </w:r>
            <w:r>
              <w:rPr>
                <w:rStyle w:val="IndexLink"/>
                <w:rtl w:val="true"/>
              </w:rPr>
              <w:t xml:space="preserve">) </w:t>
            </w:r>
            <w:r>
              <w:rPr>
                <w:rStyle w:val="IndexLink"/>
                <w:rtl w:val="true"/>
              </w:rPr>
              <w:t>الإمام الحکیم قدس سره</w:t>
            </w:r>
            <w:r>
              <w:rPr>
                <w:rStyle w:val="IndexLink"/>
                <w:rtl w:val="true"/>
              </w:rPr>
              <w:tab/>
            </w:r>
            <w:r>
              <w:rPr>
                <w:rStyle w:val="IndexLink"/>
              </w:rPr>
              <w:t>369</w:t>
            </w:r>
          </w:hyperlink>
        </w:p>
        <w:p>
          <w:pPr>
            <w:pStyle w:val="Contents3"/>
            <w:tabs>
              <w:tab w:val="clear" w:pos="8459"/>
              <w:tab w:val="right" w:pos="9026" w:leader="dot"/>
            </w:tabs>
            <w:rPr/>
          </w:pPr>
          <w:hyperlink w:anchor="__RefHeading___Toc110922_2749589250">
            <w:r>
              <w:rPr>
                <w:webHidden/>
                <w:rStyle w:val="IndexLink"/>
                <w:rtl w:val="true"/>
              </w:rPr>
              <w:t>(</w:t>
            </w:r>
            <w:r>
              <w:rPr>
                <w:rStyle w:val="IndexLink"/>
              </w:rPr>
              <w:t>3</w:t>
            </w:r>
            <w:r>
              <w:rPr>
                <w:rStyle w:val="IndexLink"/>
                <w:rtl w:val="true"/>
              </w:rPr>
              <w:t xml:space="preserve">) </w:t>
            </w:r>
            <w:r>
              <w:rPr>
                <w:rStyle w:val="IndexLink"/>
                <w:rtl w:val="true"/>
              </w:rPr>
              <w:t>الإمام الخوئی قدس سره</w:t>
            </w:r>
            <w:r>
              <w:rPr>
                <w:rStyle w:val="IndexLink"/>
                <w:rtl w:val="true"/>
              </w:rPr>
              <w:tab/>
            </w:r>
            <w:r>
              <w:rPr>
                <w:rStyle w:val="IndexLink"/>
              </w:rPr>
              <w:t>369</w:t>
            </w:r>
          </w:hyperlink>
        </w:p>
        <w:p>
          <w:pPr>
            <w:pStyle w:val="Contents3"/>
            <w:tabs>
              <w:tab w:val="clear" w:pos="8459"/>
              <w:tab w:val="right" w:pos="9026" w:leader="dot"/>
            </w:tabs>
            <w:rPr/>
          </w:pPr>
          <w:hyperlink w:anchor="__RefHeading___Toc110924_2749589250">
            <w:r>
              <w:rPr>
                <w:webHidden/>
                <w:rStyle w:val="IndexLink"/>
                <w:rtl w:val="true"/>
              </w:rPr>
              <w:t>(</w:t>
            </w:r>
            <w:r>
              <w:rPr>
                <w:rStyle w:val="IndexLink"/>
              </w:rPr>
              <w:t>4</w:t>
            </w:r>
            <w:r>
              <w:rPr>
                <w:rStyle w:val="IndexLink"/>
                <w:rtl w:val="true"/>
              </w:rPr>
              <w:t xml:space="preserve">) </w:t>
            </w:r>
            <w:r>
              <w:rPr>
                <w:rStyle w:val="IndexLink"/>
                <w:rtl w:val="true"/>
              </w:rPr>
              <w:t>الإمام الشاهرودی قدس سره</w:t>
            </w:r>
            <w:r>
              <w:rPr>
                <w:rStyle w:val="IndexLink"/>
                <w:rtl w:val="true"/>
              </w:rPr>
              <w:tab/>
            </w:r>
            <w:r>
              <w:rPr>
                <w:rStyle w:val="IndexLink"/>
              </w:rPr>
              <w:t>370</w:t>
            </w:r>
          </w:hyperlink>
        </w:p>
        <w:p>
          <w:pPr>
            <w:pStyle w:val="Contents3"/>
            <w:tabs>
              <w:tab w:val="clear" w:pos="8459"/>
              <w:tab w:val="right" w:pos="9026" w:leader="dot"/>
            </w:tabs>
            <w:rPr/>
          </w:pPr>
          <w:hyperlink w:anchor="__RefHeading___Toc110926_2749589250">
            <w:r>
              <w:rPr>
                <w:webHidden/>
                <w:rStyle w:val="IndexLink"/>
                <w:rtl w:val="true"/>
              </w:rPr>
              <w:t>(</w:t>
            </w:r>
            <w:r>
              <w:rPr>
                <w:rStyle w:val="IndexLink"/>
              </w:rPr>
              <w:t>5</w:t>
            </w:r>
            <w:r>
              <w:rPr>
                <w:rStyle w:val="IndexLink"/>
                <w:rtl w:val="true"/>
              </w:rPr>
              <w:t xml:space="preserve">) </w:t>
            </w:r>
            <w:r>
              <w:rPr>
                <w:rStyle w:val="IndexLink"/>
                <w:rtl w:val="true"/>
              </w:rPr>
              <w:t>آیة الله المظفر قدس سره</w:t>
            </w:r>
            <w:r>
              <w:rPr>
                <w:rStyle w:val="IndexLink"/>
                <w:rtl w:val="true"/>
              </w:rPr>
              <w:tab/>
            </w:r>
            <w:r>
              <w:rPr>
                <w:rStyle w:val="IndexLink"/>
              </w:rPr>
              <w:t>370</w:t>
            </w:r>
          </w:hyperlink>
        </w:p>
        <w:p>
          <w:pPr>
            <w:pStyle w:val="Contents3"/>
            <w:tabs>
              <w:tab w:val="clear" w:pos="8459"/>
              <w:tab w:val="right" w:pos="9026" w:leader="dot"/>
            </w:tabs>
            <w:rPr/>
          </w:pPr>
          <w:hyperlink w:anchor="__RefHeading___Toc110928_2749589250">
            <w:r>
              <w:rPr>
                <w:webHidden/>
                <w:rStyle w:val="IndexLink"/>
                <w:rtl w:val="true"/>
              </w:rPr>
              <w:t>(</w:t>
            </w:r>
            <w:r>
              <w:rPr>
                <w:rStyle w:val="IndexLink"/>
              </w:rPr>
              <w:t>6</w:t>
            </w:r>
            <w:r>
              <w:rPr>
                <w:rStyle w:val="IndexLink"/>
                <w:rtl w:val="true"/>
              </w:rPr>
              <w:t xml:space="preserve">) </w:t>
            </w:r>
            <w:r>
              <w:rPr>
                <w:rStyle w:val="IndexLink"/>
                <w:rtl w:val="true"/>
              </w:rPr>
              <w:t>الإمام الحمّامی قدس سره</w:t>
            </w:r>
            <w:r>
              <w:rPr>
                <w:rStyle w:val="IndexLink"/>
                <w:rtl w:val="true"/>
              </w:rPr>
              <w:tab/>
            </w:r>
            <w:r>
              <w:rPr>
                <w:rStyle w:val="IndexLink"/>
              </w:rPr>
              <w:t>371</w:t>
            </w:r>
          </w:hyperlink>
        </w:p>
        <w:p>
          <w:pPr>
            <w:pStyle w:val="Contents3"/>
            <w:tabs>
              <w:tab w:val="clear" w:pos="8459"/>
              <w:tab w:val="right" w:pos="9026" w:leader="dot"/>
            </w:tabs>
            <w:rPr/>
          </w:pPr>
          <w:hyperlink w:anchor="__RefHeading___Toc110930_2749589250">
            <w:r>
              <w:rPr>
                <w:webHidden/>
                <w:rStyle w:val="IndexLink"/>
                <w:rtl w:val="true"/>
              </w:rPr>
              <w:t>(</w:t>
            </w:r>
            <w:r>
              <w:rPr>
                <w:rStyle w:val="IndexLink"/>
              </w:rPr>
              <w:t>7</w:t>
            </w:r>
            <w:r>
              <w:rPr>
                <w:rStyle w:val="IndexLink"/>
                <w:rtl w:val="true"/>
              </w:rPr>
              <w:t xml:space="preserve">) </w:t>
            </w:r>
            <w:r>
              <w:rPr>
                <w:rStyle w:val="IndexLink"/>
                <w:rtl w:val="true"/>
              </w:rPr>
              <w:t>الإمام کاشف الغطاء قدس سره</w:t>
            </w:r>
            <w:r>
              <w:rPr>
                <w:rStyle w:val="IndexLink"/>
                <w:rtl w:val="true"/>
              </w:rPr>
              <w:tab/>
            </w:r>
            <w:r>
              <w:rPr>
                <w:rStyle w:val="IndexLink"/>
              </w:rPr>
              <w:t>371</w:t>
            </w:r>
          </w:hyperlink>
        </w:p>
        <w:p>
          <w:pPr>
            <w:pStyle w:val="Contents3"/>
            <w:tabs>
              <w:tab w:val="clear" w:pos="8459"/>
              <w:tab w:val="right" w:pos="9026" w:leader="dot"/>
            </w:tabs>
            <w:rPr/>
          </w:pPr>
          <w:hyperlink w:anchor="__RefHeading___Toc110932_2749589250">
            <w:r>
              <w:rPr>
                <w:webHidden/>
                <w:rStyle w:val="IndexLink"/>
                <w:rtl w:val="true"/>
              </w:rPr>
              <w:t>(</w:t>
            </w:r>
            <w:r>
              <w:rPr>
                <w:rStyle w:val="IndexLink"/>
              </w:rPr>
              <w:t>8</w:t>
            </w:r>
            <w:r>
              <w:rPr>
                <w:rStyle w:val="IndexLink"/>
                <w:rtl w:val="true"/>
              </w:rPr>
              <w:t xml:space="preserve">) </w:t>
            </w:r>
            <w:r>
              <w:rPr>
                <w:rStyle w:val="IndexLink"/>
                <w:rtl w:val="true"/>
              </w:rPr>
              <w:t>الإمام الشیرازی قدس سره</w:t>
            </w:r>
            <w:r>
              <w:rPr>
                <w:rStyle w:val="IndexLink"/>
                <w:rtl w:val="true"/>
              </w:rPr>
              <w:tab/>
            </w:r>
            <w:r>
              <w:rPr>
                <w:rStyle w:val="IndexLink"/>
              </w:rPr>
              <w:t>371</w:t>
            </w:r>
          </w:hyperlink>
        </w:p>
        <w:p>
          <w:pPr>
            <w:pStyle w:val="Contents3"/>
            <w:tabs>
              <w:tab w:val="clear" w:pos="8459"/>
              <w:tab w:val="right" w:pos="9026" w:leader="dot"/>
            </w:tabs>
            <w:rPr/>
          </w:pPr>
          <w:hyperlink w:anchor="__RefHeading___Toc110934_2749589250">
            <w:r>
              <w:rPr>
                <w:webHidden/>
                <w:rStyle w:val="IndexLink"/>
                <w:rtl w:val="true"/>
              </w:rPr>
              <w:t>(</w:t>
            </w:r>
            <w:r>
              <w:rPr>
                <w:rStyle w:val="IndexLink"/>
              </w:rPr>
              <w:t>9</w:t>
            </w:r>
            <w:r>
              <w:rPr>
                <w:rStyle w:val="IndexLink"/>
                <w:rtl w:val="true"/>
              </w:rPr>
              <w:t xml:space="preserve">) </w:t>
            </w:r>
            <w:r>
              <w:rPr>
                <w:rStyle w:val="IndexLink"/>
                <w:rtl w:val="true"/>
              </w:rPr>
              <w:t>الإمام الکلبایکانی قدس سره</w:t>
            </w:r>
            <w:r>
              <w:rPr>
                <w:rStyle w:val="IndexLink"/>
                <w:rtl w:val="true"/>
              </w:rPr>
              <w:tab/>
            </w:r>
            <w:r>
              <w:rPr>
                <w:rStyle w:val="IndexLink"/>
              </w:rPr>
              <w:t>372</w:t>
            </w:r>
          </w:hyperlink>
        </w:p>
        <w:p>
          <w:pPr>
            <w:pStyle w:val="Contents3"/>
            <w:tabs>
              <w:tab w:val="clear" w:pos="8459"/>
              <w:tab w:val="right" w:pos="9026" w:leader="dot"/>
            </w:tabs>
            <w:rPr/>
          </w:pPr>
          <w:hyperlink w:anchor="__RefHeading___Toc110936_2749589250">
            <w:r>
              <w:rPr>
                <w:webHidden/>
                <w:rStyle w:val="IndexLink"/>
                <w:rtl w:val="true"/>
              </w:rPr>
              <w:t>(</w:t>
            </w:r>
            <w:r>
              <w:rPr>
                <w:rStyle w:val="IndexLink"/>
              </w:rPr>
              <w:t>10</w:t>
            </w:r>
            <w:r>
              <w:rPr>
                <w:rStyle w:val="IndexLink"/>
                <w:rtl w:val="true"/>
              </w:rPr>
              <w:t xml:space="preserve">) </w:t>
            </w:r>
            <w:r>
              <w:rPr>
                <w:rStyle w:val="IndexLink"/>
                <w:rtl w:val="true"/>
              </w:rPr>
              <w:t>آیة الله المرعشی</w:t>
            </w:r>
            <w:r>
              <w:rPr>
                <w:rStyle w:val="IndexLink"/>
                <w:rtl w:val="true"/>
              </w:rPr>
              <w:tab/>
            </w:r>
            <w:r>
              <w:rPr>
                <w:rStyle w:val="IndexLink"/>
              </w:rPr>
              <w:t>372</w:t>
            </w:r>
          </w:hyperlink>
        </w:p>
        <w:p>
          <w:pPr>
            <w:pStyle w:val="Contents3"/>
            <w:tabs>
              <w:tab w:val="clear" w:pos="8459"/>
              <w:tab w:val="right" w:pos="9026" w:leader="dot"/>
            </w:tabs>
            <w:rPr/>
          </w:pPr>
          <w:hyperlink w:anchor="__RefHeading___Toc110938_2749589250">
            <w:r>
              <w:rPr>
                <w:webHidden/>
                <w:rStyle w:val="IndexLink"/>
                <w:rtl w:val="true"/>
              </w:rPr>
              <w:t>(</w:t>
            </w:r>
            <w:r>
              <w:rPr>
                <w:rStyle w:val="IndexLink"/>
              </w:rPr>
              <w:t>11</w:t>
            </w:r>
            <w:r>
              <w:rPr>
                <w:rStyle w:val="IndexLink"/>
                <w:rtl w:val="true"/>
              </w:rPr>
              <w:t xml:space="preserve">) </w:t>
            </w:r>
            <w:r>
              <w:rPr>
                <w:rStyle w:val="IndexLink"/>
                <w:rtl w:val="true"/>
              </w:rPr>
              <w:t>وآیة الله المرعشیّ</w:t>
            </w:r>
            <w:r>
              <w:rPr>
                <w:rStyle w:val="IndexLink"/>
                <w:rtl w:val="true"/>
              </w:rPr>
              <w:tab/>
            </w:r>
            <w:r>
              <w:rPr>
                <w:rStyle w:val="IndexLink"/>
              </w:rPr>
              <w:t>373</w:t>
            </w:r>
          </w:hyperlink>
        </w:p>
        <w:p>
          <w:pPr>
            <w:pStyle w:val="Contents3"/>
            <w:tabs>
              <w:tab w:val="clear" w:pos="8459"/>
              <w:tab w:val="right" w:pos="9026" w:leader="dot"/>
            </w:tabs>
            <w:rPr/>
          </w:pPr>
          <w:hyperlink w:anchor="__RefHeading___Toc110940_2749589250">
            <w:r>
              <w:rPr>
                <w:webHidden/>
                <w:rStyle w:val="IndexLink"/>
                <w:rtl w:val="true"/>
              </w:rPr>
              <w:t>(</w:t>
            </w:r>
            <w:r>
              <w:rPr>
                <w:rStyle w:val="IndexLink"/>
              </w:rPr>
              <w:t>12</w:t>
            </w:r>
            <w:r>
              <w:rPr>
                <w:rStyle w:val="IndexLink"/>
                <w:rtl w:val="true"/>
              </w:rPr>
              <w:t xml:space="preserve">) </w:t>
            </w:r>
            <w:r>
              <w:rPr>
                <w:rStyle w:val="IndexLink"/>
                <w:rtl w:val="true"/>
              </w:rPr>
              <w:t>آیة الله المدد قدس سره</w:t>
            </w:r>
            <w:r>
              <w:rPr>
                <w:rStyle w:val="IndexLink"/>
                <w:rtl w:val="true"/>
              </w:rPr>
              <w:tab/>
            </w:r>
            <w:r>
              <w:rPr>
                <w:rStyle w:val="IndexLink"/>
              </w:rPr>
              <w:t>374</w:t>
            </w:r>
          </w:hyperlink>
        </w:p>
        <w:p>
          <w:pPr>
            <w:pStyle w:val="Contents3"/>
            <w:tabs>
              <w:tab w:val="clear" w:pos="8459"/>
              <w:tab w:val="right" w:pos="9026" w:leader="dot"/>
            </w:tabs>
            <w:rPr/>
          </w:pPr>
          <w:hyperlink w:anchor="__RefHeading___Toc110942_2749589250">
            <w:r>
              <w:rPr>
                <w:webHidden/>
                <w:rStyle w:val="IndexLink"/>
                <w:rtl w:val="true"/>
              </w:rPr>
              <w:t>(</w:t>
            </w:r>
            <w:r>
              <w:rPr>
                <w:rStyle w:val="IndexLink"/>
              </w:rPr>
              <w:t>13</w:t>
            </w:r>
            <w:r>
              <w:rPr>
                <w:rStyle w:val="IndexLink"/>
                <w:rtl w:val="true"/>
              </w:rPr>
              <w:t xml:space="preserve">) </w:t>
            </w:r>
            <w:r>
              <w:rPr>
                <w:rStyle w:val="IndexLink"/>
                <w:rtl w:val="true"/>
              </w:rPr>
              <w:t>آیة الله النوری</w:t>
            </w:r>
            <w:r>
              <w:rPr>
                <w:rStyle w:val="IndexLink"/>
                <w:rtl w:val="true"/>
              </w:rPr>
              <w:tab/>
            </w:r>
            <w:r>
              <w:rPr>
                <w:rStyle w:val="IndexLink"/>
              </w:rPr>
              <w:t>374</w:t>
            </w:r>
          </w:hyperlink>
        </w:p>
        <w:p>
          <w:pPr>
            <w:pStyle w:val="Contents2"/>
            <w:tabs>
              <w:tab w:val="clear" w:pos="8743"/>
              <w:tab w:val="right" w:pos="9026" w:leader="dot"/>
            </w:tabs>
            <w:rPr/>
          </w:pPr>
          <w:hyperlink w:anchor="__RefHeading___Toc110944_2749589250">
            <w:r>
              <w:rPr>
                <w:webHidden/>
                <w:rStyle w:val="IndexLink"/>
                <w:rtl w:val="true"/>
              </w:rPr>
              <w:t>المصادر</w:t>
            </w:r>
            <w:r>
              <w:rPr>
                <w:rStyle w:val="IndexLink"/>
                <w:rtl w:val="true"/>
              </w:rPr>
              <w:tab/>
            </w:r>
            <w:r>
              <w:rPr>
                <w:rStyle w:val="IndexLink"/>
              </w:rPr>
              <w:t>375</w:t>
            </w:r>
          </w:hyperlink>
        </w:p>
        <w:p>
          <w:pPr>
            <w:pStyle w:val="Contents2"/>
            <w:tabs>
              <w:tab w:val="clear" w:pos="8743"/>
              <w:tab w:val="right" w:pos="9026" w:leader="dot"/>
            </w:tabs>
            <w:rPr/>
          </w:pPr>
          <w:hyperlink w:anchor="__RefHeading___Toc110946_2749589250">
            <w:r>
              <w:rPr>
                <w:webHidden/>
                <w:rStyle w:val="IndexLink"/>
                <w:rtl w:val="true"/>
              </w:rPr>
              <w:t>المحتویات</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44_24353"/>
      <w:bookmarkStart w:id="1" w:name="pg2944_24353"/>
      <w:bookmarkEnd w:id="1"/>
    </w:p>
    <w:p>
      <w:pPr>
        <w:pStyle w:val="Heading2"/>
        <w:numPr>
          <w:ilvl w:val="1"/>
          <w:numId w:val="1"/>
        </w:numPr>
        <w:rPr/>
      </w:pPr>
      <w:bookmarkStart w:id="2" w:name="pg2944_24353"/>
      <w:bookmarkStart w:id="3" w:name="__RefHeading___Toc110398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ــ وزارة الثقافة العراقیة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p>
    <w:p>
      <w:pPr>
        <w:pStyle w:val="BookText"/>
        <w:rPr/>
      </w:pPr>
      <w:r>
        <w:rPr>
          <w:rFonts w:ascii="IRNazanin" w:hAnsi="IRNazanin" w:eastAsia="IRNazanin"/>
          <w:color w:val="111111"/>
          <w:sz w:val="28"/>
          <w:sz w:val="28"/>
          <w:szCs w:val="28"/>
          <w:rtl w:val="true"/>
          <w:lang w:bidi="fa-IR"/>
        </w:rPr>
        <w:t xml:space="preserve">السند، محمد،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الشعائر الحسینیة بین الأصالة والتجدید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محمد السند؛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الکتاب فی آخره علی ملحق فیه فتوی الإمام النائینی قدس سره حول الشعائر الحسینیة، وتعلیقات العلماء علی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مراسیم العزاء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مراسیم العزاء – شبهات وردرود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والمراسیم المذهبیة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والمراسیم المذهبیة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مراسیم العزاء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المراقد – زیارة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ریاض،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النائینی، محمد حسین،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110400_27495892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الشعائر الحسینیة</w:t>
      </w:r>
    </w:p>
    <w:p>
      <w:pPr>
        <w:pStyle w:val="BookText"/>
        <w:rPr/>
      </w:pPr>
      <w:r>
        <w:rPr>
          <w:rFonts w:ascii="IRNazanin" w:hAnsi="IRNazanin" w:eastAsia="IRNazanin"/>
          <w:color w:val="111111"/>
          <w:sz w:val="28"/>
          <w:sz w:val="28"/>
          <w:szCs w:val="28"/>
          <w:rtl w:val="true"/>
          <w:lang w:bidi="fa-IR"/>
        </w:rPr>
        <w:t>بین الأصالة والتجدید</w:t>
      </w:r>
    </w:p>
    <w:p>
      <w:pPr>
        <w:pStyle w:val="BookText"/>
        <w:rPr/>
      </w:pPr>
      <w:r>
        <w:rPr>
          <w:rFonts w:ascii="Amiri" w:hAnsi="Amiri" w:eastAsia="Amiri" w:cs="Amiri"/>
          <w:color w:val="111111"/>
          <w:sz w:val="28"/>
          <w:sz w:val="28"/>
          <w:szCs w:val="28"/>
          <w:rtl w:val="true"/>
          <w:lang w:bidi="ar-SA"/>
        </w:rPr>
        <w:t>محاضرات سماحة الأستاذ محمد السند</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الموسوی</w:t>
      </w:r>
    </w:p>
    <w:p>
      <w:pPr>
        <w:pStyle w:val="BookText"/>
        <w:rPr/>
      </w:pPr>
      <w:r>
        <w:rPr>
          <w:rFonts w:ascii="IRNazanin" w:hAnsi="IRNazanin" w:eastAsia="IRNazanin"/>
          <w:color w:val="111111"/>
          <w:sz w:val="28"/>
          <w:sz w:val="28"/>
          <w:szCs w:val="28"/>
          <w:rtl w:val="true"/>
          <w:lang w:bidi="fa-IR"/>
        </w:rPr>
        <w:t>اصدار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التخصصیة فی الإمام الحسین صلوات الله علیه وعلی آله</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44_24357"/>
    </w:p>
    <w:p>
      <w:pPr>
        <w:pStyle w:val="Heading2"/>
        <w:numPr>
          <w:ilvl w:val="1"/>
          <w:numId w:val="1"/>
        </w:numPr>
        <w:rPr/>
      </w:pPr>
      <w:bookmarkStart w:id="8" w:name="__RefHeading___Toc110402_2749589250"/>
      <w:bookmarkStart w:id="9" w:name="_Toc3"/>
      <w:bookmarkEnd w:id="7"/>
      <w:bookmarkEnd w:id="8"/>
      <w:r>
        <w:rPr>
          <w:rtl w:val="true"/>
        </w:rPr>
        <w:t>مقدمة القسم</w:t>
      </w:r>
      <w:bookmarkEnd w:id="9"/>
    </w:p>
    <w:p>
      <w:pPr>
        <w:pStyle w:val="BookText"/>
        <w:rPr/>
      </w:pPr>
      <w:r>
        <w:rPr>
          <w:rFonts w:ascii="IRNazanin" w:hAnsi="IRNazanin" w:eastAsia="IRNazanin"/>
          <w:color w:val="111111"/>
          <w:sz w:val="28"/>
          <w:sz w:val="28"/>
          <w:szCs w:val="28"/>
          <w:rtl w:val="true"/>
          <w:lang w:bidi="fa-IR"/>
        </w:rPr>
        <w:t>الحمد لله الذی خلق الإنسان وعلّمه البیان وجعل القلم وسیلة لترجمان الفکر ودلیلاً علی رتبة العلم، والصلاة والسلام علی معدن العلم وینابیعه وترجمان الوحی وحافظیه محمد وآل محمد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دأب قسم الشؤون الفکریة والثقافیة فی العتبة الحسینیة المقدسة علی تقدیم الموائد العلمیة ورفد الباحثین والمثقفین بالغذاء الروحی والمعنوی، فأصدر الکتاب تلو الآخر لیبرهن علی اهتمامه بنشر الثقافة الإسلامیة ولاسیما الثقافة الحسینیة، ومما ارتأ القسم نشره هذا الکتاب القیّم لسماحة الأستاذ الشیخ محمد السند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بین الأصالة والتجدید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الذی یحاکی المثقف الإسلامی فضلاً عن غیره ویخاطب مشاعره وعقله، ویرسخ العقیدة الصحیحة فی ذهن أصحاب الیقین ویرفع الشک عن قلوب المشکلین بصحة الشعائر مستنداً فی ذلک إلی الکتاب الکریم والسنة الشریفة، کما ویقوم الکتاب بدفع الشبهات التی تثار علی هذه الشعائر ورد الإعتراضات والإنتقادات التی تواجه الممارسین لهذه الشعائر، ولکی لا أسبق الکتاب فی الکشف عن مضمونه، أری أن أترک القارئ الکریم یتجول فی هذا البستان لیقطف من الثمرات، ونسأل الله التوفیق لنا ولکم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الشؤون الفکریة</w:t>
      </w:r>
      <w:bookmarkStart w:id="10" w:name="pg2944_24359"/>
    </w:p>
    <w:p>
      <w:pPr>
        <w:pStyle w:val="Heading2"/>
        <w:numPr>
          <w:ilvl w:val="1"/>
          <w:numId w:val="1"/>
        </w:numPr>
        <w:rPr/>
      </w:pPr>
      <w:bookmarkStart w:id="11" w:name="__RefHeading___Toc110404_2749589250"/>
      <w:bookmarkStart w:id="12" w:name="_Toc4"/>
      <w:bookmarkEnd w:id="10"/>
      <w:bookmarkEnd w:id="11"/>
      <w:r>
        <w:rPr>
          <w:rtl w:val="true"/>
        </w:rPr>
        <w:t>تقریض</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شعّر المشاعر وجعلها أعلاماً لدینه، وأمر بتعظیمها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وحرّم إحلالها بالامتهان لها،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صاحب الشریعة الخاتمة، الموعود بإظهار دینه علی الدین کله ولو کره المشرکون، وعلی آله نور الله الذی لا یُطفأ</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فإنّ الشعیرة الدینیّة ذات صلة وثیقة بهویّة المجتمع المسلم والمؤمن، فإنّها تعکس تراث الملّة، وهی شعار ورمز وصورة ومحتوی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بوتقة لتربیة المجتمع المسلم علی المعارف الإلهیّة والأحکام والآداب الشرعیّة، وهی إشعاع لنشر معالم الدین والدعوة له سواء للنسل والجیل الناشئ أو للأمم الأخری، لا علی أن یکون الموقع الثانی علی حساب الأوّل، بل لکلّ من الموقعَین أدواته وأسلوبه، کما إنّ إقامتها إقامة لصرح الدین الحنیف الذی ترتبط حیاته بحیاتها، فهی ظاهرة السلوک الاجتماعیّ علی منهاج الهُدی، وهی العقیدة المتجسّدة والأدب المتمثّل، فمن ذلک حرص التشریع الإسلامیّ علی تعظیمها وإحیائها وإقامتها ونشرها بالأشکال والأسالیب المتعدّدة لتسری فی غالب سیرة الأفراد والجماعات وحیث احتلّت هذه الأهمیة والخطورة فی الأداء الدینیّ، احتدم الحدیث عن ضوابطها وموازینها وأصولها التی تبتنی علیها، وعن معیار الثابت التشریعیّ والمتغیّر الزمنیّ فیها، فجاءت هذه الأبحاث التی ألقیناها علی جمع من الفضلاء بجوار حرم الحوراء عقیلة بنی هاشم السیّدة زینب الکبری علیها السلام فی ربیع الثانی صیف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وقام السیّد النجیب والفاضل اللبیب ریاض الموسوی بتقریرها وتنقیحها مکدّاً جهده فی ضبط مادّة البحث ونکات الاستدلال، فأسأل الله تعالی له دوام التوفیق فی نشر مذهب أهل البیت علیهم السلام وبثّ علومه وإقامة أعلامه، إنه ولیّ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عشّ آل محمّد علیهم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944_24361"/>
    </w:p>
    <w:p>
      <w:pPr>
        <w:pStyle w:val="Heading2"/>
        <w:numPr>
          <w:ilvl w:val="1"/>
          <w:numId w:val="1"/>
        </w:numPr>
        <w:rPr/>
      </w:pPr>
      <w:bookmarkStart w:id="14" w:name="__RefHeading___Toc110406_2749589250"/>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للَّه‌الذی جعل تعظیمَ شعائره من تقوی القلوب، وکتب لمن قدّس حُرماته محوَ الذنوب، وشاء أن یَتمّ نورُه ویعلو ذِکرُه علی مرّ الدهور وتصرّف الخُطوب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وأفضل الصلاة والسلام علی نبیّ الرحمة، وشفیع الأمّة، خیر البریّة، وأفضل الخلیقة، خاتم الأنبیاء، وسیّد المُرسَلین أبی القاسم محمّد وعلی آله الطیّبین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 اللَّه علی الدِّین، والکهف الحصین، وغیاث المضطرّ المستکین، الذین مَن والاهم فقد والی اللَّه، ومن عاداهم فقد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الکتاب یَمثُل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بحوثٍ حول موضوع الشعائر الحسینیّة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یتألّف من مقامَین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البحث فیه عن الشعائر الدینیّة بصورة عامّة، ویَجد القارئ فی هذا المقام الأدلّة الإجمالیّة من الکتاب العزیز والسنّة الشریفة علی عموم قاعدة الشعائر الدینیّة، وبعد ذلک یصل البحث إلی تفاصیل قاعدة الشعائر موضوعاً وحکماً، والجواب عن الاعتراضات والانتقادات المختلفة التی تثار حول دائرة الشعائر المختلفة، ثمّ إلی بیان العلاقة بین قاعدة الشعائر الدینیّة والأحکام الشرعیّة الأخری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مع بحوث فرعیّة فقهیّة وأصولیّة وکلامیّة تَطّلِع علیها فی هذا المقام من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الأمور الواضحة فی هذا المقام، أن یجری إلقاء الضوء علی أهمیّة قاعدة الشعائر الدینیّة، وبیان أنّها تُجسّد نظام الإعلام الدینیّ، والقاعدة التی تتکفّل الإنذار والتبلیغ والتعلیم؛ وتتحمّل مسؤولیة النشر والبثّ الإسلامیّ؛ وذلک عن طریق توفّر الرکنَین الأساسیَّین فی هذه القاعدة،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البثّ والإعلام؛ ورکن الإعلاء والإعزاز لمعانی الدین ومقدّساته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بیت القصید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فیتعلّق بالشعائر الحسینیّة، والحدیث عن نهضة سیّد الشهداء أبی عبد الله الحسین علیه السلام بقدر من التفصیل والشمولیّة لکلّ ما یتعلّق بمظاهر الشعائر الحسینیّة، مع التوقّف عند الزوایا المهمّة لنهضته، والمعطیات الخالدة لثورته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استمراریّة المحافظة علی تلک الأهداف والغایات السامیة إنّما یتحقّق تحت ظلّ الشعائر الحسینیّة المختلفة والواعیة من قبل شیعة الحسین علیه السلام وأولیائه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وشعائر الحسین علیه السلام، من مجالس ومواکب ومراثی ومسیراتِ حزنٍ وغیرها هی مدارس یتعلّم المسلم فیها نصرةَ الدین والإحساس بالمسؤولیة الشرعیّة للحفاظ علی رسالة السماء؛ ویتلقّن فیها صور الجهاد، ویتعرّف علی أشکال التضحیة لنُصرة القِیَم الفاضلة والمبادی السامیة للدین الحنیف، ویعیش بکلّ تصمیم وإرادة لترک الدنیا، والتغلّب علی ملاذها وشهواتها المؤقتة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مدارس الحسین علیه السلام یعی فیها المسلم کیف یقدّم کلّ ما یملک فی سبیل عقیدته وفی طریق تضمید بدن الإسلام الجریح، ویبذل أغلی ما یملک للدفاع عن حریم المبدأ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المقام، تطرّق سماحة الشیخ الأستاذ المحاضر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مصادیق الشعائر الحسینیّة، وأشبع البحث بالأدلّة القرآنیّة، والسنّة النبویّة والعلویّة ممّا لا یُبقی مجالًا للشکّ فی کون تلک الشعائر والمظاهر الحسینیّة من أرکان الشریعة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أتْحَفَنا به فی بحث البکاء علی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بحث لبس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بحث إثبات ضرورة التندید بأعداء الدین من القرآن الکریم وجعلهم فی دائرة لعنة الأجیال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إثبات أنّ العزاء والرثاء سنّة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البحوث الحیویّة والشیّقة المؤیَّدة بالحُجج والأدلّة والبراهین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لهذا الکتاب مزیّة علی بعض الکتب الأخری التی تعرّضت لهذا الموضوع وبحثت حول الشعائر الدینیّة والحسینیّة، وهو أنّه یتضمّن بحوثاً فقهیّة وأصولیّة دقیقة حاول سماحة الشیخ الأستاذ المحاضر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یُحرّرها مع شی من التفصیل والتحقیق کما تجد ذلک فی طیّ أبحاث الکتاب فی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ملاحظة عناوین هذه الأبحاث فی أحد الفهارس الملحقة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یُعتبر حلقةً ضمن سلسلة من جهود لبیان وتثبیت العقائد الدینیّة بالدلیل العلمیّ والأسلوب 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إعطاء القوّة الکافیة للدفاع عن تلک المبادئ الحقّة، ولردّ الشبهات والانتقادات التی تُثار حول الشعائر الدینیّة عُموماً والحسینیّة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أسأل، وببرکة سیّد الشهداء علیه السلام وبمقامه ودرجته الرفیعة عند اللَّه أتوسّل أن یجعل هذا الجهد ذُخراً لأستاذنا العزیز سماحة الشیخ محمد السند حفظه اللَّه، ولی، یوم لا ینفع مالٌ ولا بَنون إلاّ مَن أتی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یُحسب من العِلم النافع الذی لا ینقطع أثره، ولا تخبو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علی محمّد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الموسوی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صفر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bookmarkStart w:id="16" w:name="pg2944_24365"/>
    </w:p>
    <w:p>
      <w:pPr>
        <w:pStyle w:val="Heading2"/>
        <w:numPr>
          <w:ilvl w:val="1"/>
          <w:numId w:val="1"/>
        </w:numPr>
        <w:rPr/>
      </w:pPr>
      <w:bookmarkStart w:id="17" w:name="__RefHeading___Toc110408_2749589250"/>
      <w:bookmarkStart w:id="18" w:name="_Toc6"/>
      <w:bookmarkEnd w:id="16"/>
      <w:bookmarkEnd w:id="17"/>
      <w:r>
        <w:rPr>
          <w:rtl w:val="true"/>
        </w:rPr>
        <w:t>الإهداء</w:t>
      </w:r>
      <w:bookmarkEnd w:id="18"/>
    </w:p>
    <w:p>
      <w:pPr>
        <w:pStyle w:val="BookText"/>
        <w:rPr/>
      </w:pPr>
      <w:r>
        <w:rPr>
          <w:rFonts w:ascii="IRNazanin" w:hAnsi="IRNazanin" w:eastAsia="IRNazanin"/>
          <w:color w:val="111111"/>
          <w:sz w:val="28"/>
          <w:sz w:val="28"/>
          <w:szCs w:val="28"/>
          <w:rtl w:val="true"/>
          <w:lang w:bidi="fa-IR"/>
        </w:rPr>
        <w:t>إلی سلیلة النبوة ونبعة الإمامة وریحانة الزهراء وأخت المجتبی الزکی</w:t>
      </w:r>
    </w:p>
    <w:p>
      <w:pPr>
        <w:pStyle w:val="BookText"/>
        <w:rPr/>
      </w:pPr>
      <w:r>
        <w:rPr>
          <w:rFonts w:ascii="Amiri" w:hAnsi="Amiri" w:eastAsia="Amiri" w:cs="Amiri"/>
          <w:color w:val="111111"/>
          <w:sz w:val="28"/>
          <w:sz w:val="28"/>
          <w:szCs w:val="28"/>
          <w:rtl w:val="true"/>
          <w:lang w:bidi="ar-SA"/>
        </w:rPr>
        <w:t xml:space="preserve">وشریکة الحسین فی 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کا بَدَتْ المِحَن وتحدَّت الزَمن</w:t>
      </w:r>
    </w:p>
    <w:p>
      <w:pPr>
        <w:pStyle w:val="BookText"/>
        <w:rPr/>
      </w:pPr>
      <w:r>
        <w:rPr>
          <w:rFonts w:ascii="IRNazanin" w:hAnsi="IRNazanin" w:eastAsia="IRNazanin"/>
          <w:color w:val="111111"/>
          <w:sz w:val="28"/>
          <w:sz w:val="28"/>
          <w:szCs w:val="28"/>
          <w:rtl w:val="true"/>
          <w:lang w:bidi="fa-IR"/>
        </w:rPr>
        <w:t>ووَرِثت الحسین والحسن إلی مَن حَملت أسرار النبوة</w:t>
      </w:r>
    </w:p>
    <w:p>
      <w:pPr>
        <w:pStyle w:val="BookText"/>
        <w:rPr/>
      </w:pPr>
      <w:r>
        <w:rPr>
          <w:rFonts w:ascii="IRNazanin" w:hAnsi="IRNazanin" w:eastAsia="IRNazanin"/>
          <w:color w:val="111111"/>
          <w:sz w:val="28"/>
          <w:sz w:val="28"/>
          <w:szCs w:val="28"/>
          <w:rtl w:val="true"/>
          <w:lang w:bidi="fa-IR"/>
        </w:rPr>
        <w:t>وحفِظت أرکان الإمامة وسطّرت أروع مواقف التحدّی بوجه الظُلم والتعدّی</w:t>
      </w:r>
    </w:p>
    <w:p>
      <w:pPr>
        <w:pStyle w:val="BookText"/>
        <w:rPr/>
      </w:pPr>
      <w:r>
        <w:rPr>
          <w:rFonts w:ascii="IRNazanin" w:hAnsi="IRNazanin" w:eastAsia="IRNazanin"/>
          <w:color w:val="111111"/>
          <w:sz w:val="28"/>
          <w:sz w:val="28"/>
          <w:szCs w:val="28"/>
          <w:rtl w:val="true"/>
          <w:lang w:bidi="fa-IR"/>
        </w:rPr>
        <w:t>إلی العقیلة الکبری، زینب بنت علی علیهما السلام</w:t>
      </w:r>
    </w:p>
    <w:p>
      <w:pPr>
        <w:pStyle w:val="BookText"/>
        <w:rPr/>
      </w:pPr>
      <w:r>
        <w:rPr>
          <w:rFonts w:ascii="IRNazanin" w:hAnsi="IRNazanin" w:eastAsia="IRNazanin"/>
          <w:color w:val="111111"/>
          <w:sz w:val="28"/>
          <w:sz w:val="28"/>
          <w:szCs w:val="28"/>
          <w:rtl w:val="true"/>
          <w:lang w:bidi="fa-IR"/>
        </w:rPr>
        <w:t>إلیکِ یا مولاتی وسیدتی وشفیعتی</w:t>
      </w:r>
    </w:p>
    <w:p>
      <w:pPr>
        <w:pStyle w:val="BookText"/>
        <w:rPr/>
      </w:pPr>
      <w:r>
        <w:rPr>
          <w:rFonts w:ascii="IRNazanin" w:hAnsi="IRNazanin" w:eastAsia="IRNazanin"/>
          <w:color w:val="111111"/>
          <w:sz w:val="28"/>
          <w:sz w:val="28"/>
          <w:szCs w:val="28"/>
          <w:rtl w:val="true"/>
          <w:lang w:bidi="fa-IR"/>
        </w:rPr>
        <w:t>أهدی هذا الجهد المتواضع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w:t>
      </w:r>
      <w:bookmarkStart w:id="19" w:name="pg2944_24367"/>
    </w:p>
    <w:p>
      <w:pPr>
        <w:pStyle w:val="Heading2"/>
        <w:numPr>
          <w:ilvl w:val="1"/>
          <w:numId w:val="1"/>
        </w:numPr>
        <w:rPr/>
      </w:pPr>
      <w:bookmarkStart w:id="20" w:name="__RefHeading___Toc110410_2749589250"/>
      <w:bookmarkStart w:id="21" w:name="_Toc7"/>
      <w:bookmarkEnd w:id="19"/>
      <w:bookmarkEnd w:id="20"/>
      <w:r>
        <w:rPr>
          <w:rtl w:val="true"/>
        </w:rPr>
        <w:t>دیباجة الکتاب</w:t>
      </w:r>
      <w:bookmarkEnd w:id="21"/>
    </w:p>
    <w:p>
      <w:pPr>
        <w:pStyle w:val="Heading3"/>
        <w:numPr>
          <w:ilvl w:val="2"/>
          <w:numId w:val="1"/>
        </w:numPr>
        <w:rPr/>
      </w:pPr>
      <w:bookmarkStart w:id="22" w:name="__RefHeading___Toc110412_2749589250"/>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قد کثر الکلام حول الشعائر الدینیّة، واختلفت أطراف الکلام فی بحثها بین النقض والإبرام والتأیید والانتقاد وقبل الخوض فی تفاصیل البحث وفروعه المختلفة، لا بأس بذِکر جوانبٍ لها ارتباط بالبحث</w:t>
      </w:r>
      <w:r>
        <w:rPr>
          <w:rFonts w:eastAsia="IRNazanin" w:cs="IRNazanin"/>
          <w:color w:val="111111"/>
          <w:sz w:val="28"/>
          <w:szCs w:val="28"/>
          <w:rtl w:val="true"/>
          <w:lang w:bidi="fa-IR"/>
        </w:rPr>
        <w:t>:</w:t>
      </w:r>
    </w:p>
    <w:p>
      <w:pPr>
        <w:pStyle w:val="Heading3"/>
        <w:numPr>
          <w:ilvl w:val="2"/>
          <w:numId w:val="1"/>
        </w:numPr>
        <w:rPr/>
      </w:pPr>
      <w:bookmarkStart w:id="24" w:name="__RefHeading___Toc110414_2749589250"/>
      <w:bookmarkStart w:id="25" w:name="_Toc9"/>
      <w:bookmarkEnd w:id="24"/>
      <w:r>
        <w:rPr>
          <w:rtl w:val="true"/>
        </w:rPr>
        <w:t>الجانب الأوّل</w:t>
      </w:r>
      <w:r>
        <w:rPr>
          <w:rtl w:val="true"/>
        </w:rPr>
        <w:t xml:space="preserve">: </w:t>
      </w:r>
      <w:r>
        <w:rPr>
          <w:rtl w:val="true"/>
        </w:rPr>
        <w:t>تنوّع موارد الشعائر</w:t>
      </w:r>
      <w:bookmarkEnd w:id="25"/>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یُثار من قِبَل أتباع بعض الفرق الإسلامیّة حول إحیاء الموالید والذکریات، حیث ینتقدون المظاهر لإحیاء الموالید ومراسم الاحتفالات والمناسبات الدینیّة العامّة ویطعنون علیها بأنّها مُستحدَثة، وکلُّ مُستحدَث بِدعة، وکلّ بِدعة ضَلالة؛ وکلّ ضَلالة فی النار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إنکار ضرورة الاهتمام بأیّام الإسلام الخالدة الأخری التی وقعت فیها حوادث هامّة وانتصارات خالدة،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الکبری، غزوة الخندق، فتح مکّة، ذکری المبعث النبوی الشریف، ذکری الإسراء والمعراج، ذکری هجرة النبیّ صلی الله علیه وآله وسلم، ذکری یوم المباهلة، وذکری واقعة الغدیر وغیر ذلک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بدرجة من الشدّة والخطورة بین المسلمین حول مسألة بناء القبور وعمرانها وتَعاهُدها ومن المعلوم أنّ أتباع بعض الفرق یحاربون ظاهرة عمران القبور وتعاهدها، ویتّهمون زوّارها بالضَّلال، بل یُکفِّرون عُمّارها حتّی لو کانت تلک القبور هی قبور النبیّ صلی الله علیه وآله وسلم وأهل بیته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بالأماکن الجغرافیّة، والآثار المکانیّة الخالدة لمواضع النبیّ صلی الله علیه وآله وسلم ولمواقع إسلامیة مشهورة والاختلاف إلیها،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غزوة بدر، وموضع غدیر خُمّ وغار حراء والمساجد الّتی تشرّفت بصلاة النبیّ،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وتُثار الشکوک ویتوجّه الطعن حول تکریم تلک البقاع، تذرّعاً بما یُروی عن عمر بن الخطاب بأنّه أمر بقطع الشجرة التی بویع رسول الله صلی الله علیه وآله وسلم تحتها بیعة الرضوان فی عُمرة الحُدَیبیة</w:t>
      </w:r>
      <w:r>
        <w:rPr>
          <w:rStyle w:val="FootnoteAnchor"/>
          <w:rtl w:val="true"/>
        </w:rPr>
        <w:footnoteReference w:id="7"/>
      </w:r>
      <w:r>
        <w:rPr>
          <w:rFonts w:ascii="IRNazanin" w:hAnsi="IRNazanin" w:eastAsia="IRNazanin"/>
          <w:color w:val="111111"/>
          <w:sz w:val="28"/>
          <w:sz w:val="28"/>
          <w:szCs w:val="28"/>
          <w:rtl w:val="true"/>
          <w:lang w:bidi="fa-IR"/>
        </w:rPr>
        <w:t>واستفادوا من ذلک أنّ زیارة تلک الآثار المکانیة أو الجغرافیّة یسبّب إزواء المسجد الحرام أو بیت الله الحرام أو المسجد النبویّ والتقلیل من أهمّیّتها فتجنّباً عن خمول الذکر، وإهمال العمران للمسجدَین، تُشَنّ حملة عشواء لمحاربة الأماکن المقدّسة الأخری وفی هذه الذریعة یتمسّکون بعموم الحدیث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الرسول والمسجد الأقصی</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نجد المحاولات الحثیثة والمستمرة لطمس تلک الآثار المکانیّة والمواقع الجغرافیّة فی المدینة المنوّرة، وفی مکّة المکرّمة أو فی غیرها</w:t>
      </w:r>
      <w:r>
        <w:rPr>
          <w:rFonts w:eastAsia="IRNazanin" w:cs="IRNazanin"/>
          <w:color w:val="111111"/>
          <w:sz w:val="28"/>
          <w:szCs w:val="28"/>
          <w:rtl w:val="true"/>
          <w:lang w:bidi="fa-IR"/>
        </w:rPr>
        <w:t>.</w:t>
      </w:r>
      <w:bookmarkStart w:id="26" w:name="pg2944_24369"/>
    </w:p>
    <w:p>
      <w:pPr>
        <w:pStyle w:val="BookText"/>
        <w:rPr/>
      </w:pPr>
      <w:bookmarkEnd w:id="2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محلّ البحث فی نفس الوسط الداخلیّ للطائفة من جهة وکذلک بینها وبین الطوائف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أُثیرت حول هذا المورد بالخصوص کثیر من التساؤلات، واحتفّ به المزید من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والأوراد، والختومات، إذا عُقدت وأقیمت علی نحو جماعیّ مشترک؛ فتکون شعیرة تُتّخَذ، وطقساً من الطقوس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تُستجدّ وتُستحدث طقوس ورسوم شعیریّة تتّخَذ من أبناء الطائفة الواحدة فی مراسم أخری غیر الشعائر الحسینیّة، مثل شعائر ذکریات ومناسبات تتعلّق بإحیاء أمر أهل البیت علیهم السلام، فتُواجه بالنکیر من الوسط الخاصّ للطائفة نفسه، أو من الوسط الإسلامیّ العام</w:t>
      </w:r>
      <w:r>
        <w:rPr>
          <w:rFonts w:eastAsia="IRNazanin" w:cs="IRNazanin"/>
          <w:color w:val="111111"/>
          <w:sz w:val="28"/>
          <w:szCs w:val="28"/>
          <w:rtl w:val="true"/>
          <w:lang w:bidi="fa-IR"/>
        </w:rPr>
        <w:t>.</w:t>
      </w:r>
    </w:p>
    <w:p>
      <w:pPr>
        <w:pStyle w:val="Heading3"/>
        <w:numPr>
          <w:ilvl w:val="2"/>
          <w:numId w:val="1"/>
        </w:numPr>
        <w:rPr/>
      </w:pPr>
      <w:bookmarkStart w:id="27" w:name="__RefHeading___Toc110416_2749589250"/>
      <w:bookmarkStart w:id="28" w:name="_Toc10"/>
      <w:bookmarkEnd w:id="27"/>
      <w:r>
        <w:rPr>
          <w:rtl w:val="true"/>
        </w:rPr>
        <w:t>الجانب الثانی</w:t>
      </w:r>
      <w:r>
        <w:rPr>
          <w:rtl w:val="true"/>
        </w:rPr>
        <w:t xml:space="preserve">: </w:t>
      </w:r>
      <w:r>
        <w:rPr>
          <w:rtl w:val="true"/>
        </w:rPr>
        <w:t>الإشکالات حول الشعائر الدینیّة</w:t>
      </w:r>
      <w:bookmarkEnd w:id="28"/>
    </w:p>
    <w:p>
      <w:pPr>
        <w:pStyle w:val="Heading4"/>
        <w:numPr>
          <w:ilvl w:val="3"/>
          <w:numId w:val="1"/>
        </w:numPr>
        <w:rPr/>
      </w:pPr>
      <w:bookmarkStart w:id="29" w:name="__RefHeading___Toc110418_2749589250"/>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نذکر الانتقادات والإشکالات الّتی توجّه أو تُثار حول الشعائر الدینیّة لنعرف مدی جدّیّة البحث وحسّاسیّته وحیویّته، إضافةً إلی خطورته فی الممارسات والانتقادات الدینیّة وأهمّ هذه الإشکالات</w:t>
      </w:r>
      <w:r>
        <w:rPr>
          <w:rFonts w:eastAsia="IRNazanin" w:cs="IRNazanin"/>
          <w:color w:val="111111"/>
          <w:sz w:val="28"/>
          <w:szCs w:val="28"/>
          <w:rtl w:val="true"/>
          <w:lang w:bidi="fa-IR"/>
        </w:rPr>
        <w:t>:</w:t>
      </w:r>
    </w:p>
    <w:p>
      <w:pPr>
        <w:pStyle w:val="Heading4"/>
        <w:numPr>
          <w:ilvl w:val="3"/>
          <w:numId w:val="1"/>
        </w:numPr>
        <w:rPr/>
      </w:pPr>
      <w:bookmarkStart w:id="31" w:name="__RefHeading___Toc110420_2749589250"/>
      <w:bookmarkStart w:id="32" w:name="_Toc12"/>
      <w:bookmarkEnd w:id="31"/>
      <w:r>
        <w:rPr>
          <w:rtl w:val="true"/>
        </w:rPr>
        <w:t>الإشکال الأوّل</w:t>
      </w:r>
      <w:bookmarkEnd w:id="32"/>
    </w:p>
    <w:p>
      <w:pPr>
        <w:pStyle w:val="BookText"/>
        <w:rPr/>
      </w:pPr>
      <w:r>
        <w:rPr>
          <w:rFonts w:ascii="Amiri" w:hAnsi="Amiri" w:eastAsia="Amiri" w:cs="Amiri"/>
          <w:color w:val="111111"/>
          <w:sz w:val="28"/>
          <w:sz w:val="28"/>
          <w:szCs w:val="28"/>
          <w:rtl w:val="true"/>
          <w:lang w:bidi="ar-SA"/>
        </w:rPr>
        <w:t>وهو الّذی یوجّه النکیر والانتقاد إلی الرسوم والشعائر، معتمداً علی مبنیً معیّن وقاعدة محدّدة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شعیرة ورسم وطَقْس یُتَّخذ، ینبغی أن یکون جَعْلُه واتّخاذُه من الشارع نفسِه وإلاّ فهو بِدعة وضلال، وافتراء علی الله سبحانه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المبنی، أو هذه المقولة، أعمّ من کونه إشکالاً موجّهاً من قِبل الطوائف الأخری، أو أنّه موجّه من طائفة خاصة متعصّبة، أو لعلّه ینقدح فی انتقادات الوسط الداخلیّ للطائفة</w:t>
      </w:r>
      <w:r>
        <w:rPr>
          <w:rFonts w:eastAsia="IRNazanin" w:cs="IRNazanin"/>
          <w:color w:val="111111"/>
          <w:sz w:val="28"/>
          <w:szCs w:val="28"/>
          <w:rtl w:val="true"/>
          <w:lang w:bidi="fa-IR"/>
        </w:rPr>
        <w:t>.</w:t>
      </w:r>
      <w:bookmarkStart w:id="33" w:name="pg2944_24370"/>
    </w:p>
    <w:p>
      <w:pPr>
        <w:pStyle w:val="BookText"/>
        <w:rPr/>
      </w:pPr>
      <w:bookmarkEnd w:id="33"/>
      <w:r>
        <w:rPr>
          <w:rFonts w:ascii="IRNazanin" w:hAnsi="IRNazanin" w:eastAsia="IRNazanin"/>
          <w:color w:val="111111"/>
          <w:sz w:val="28"/>
          <w:sz w:val="28"/>
          <w:szCs w:val="28"/>
          <w:rtl w:val="true"/>
          <w:lang w:bidi="fa-IR"/>
        </w:rPr>
        <w:t>وهذا النمط من الإشکال معتمد علی هذه القاعدة أو هذا المبنی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أیّ شعیرة أو رسم أو طقس من الطقوس یجب أن یستند بخصوصیّاته إلی جَعل الشارع وتشریعه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فهو ممّا یصدق علیه البدعة والضلالة</w:t>
      </w:r>
      <w:r>
        <w:rPr>
          <w:rFonts w:eastAsia="IRNazanin" w:cs="IRNazanin"/>
          <w:color w:val="111111"/>
          <w:sz w:val="28"/>
          <w:szCs w:val="28"/>
          <w:rtl w:val="true"/>
          <w:lang w:bidi="fa-IR"/>
        </w:rPr>
        <w:t>.</w:t>
      </w:r>
    </w:p>
    <w:p>
      <w:pPr>
        <w:pStyle w:val="Heading4"/>
        <w:numPr>
          <w:ilvl w:val="3"/>
          <w:numId w:val="1"/>
        </w:numPr>
        <w:rPr/>
      </w:pPr>
      <w:bookmarkStart w:id="34" w:name="__RefHeading___Toc110422_2749589250"/>
      <w:bookmarkStart w:id="35" w:name="_Toc13"/>
      <w:bookmarkEnd w:id="34"/>
      <w:r>
        <w:rPr>
          <w:rtl w:val="true"/>
        </w:rPr>
        <w:t>الإشکال الثانی</w:t>
      </w:r>
      <w:bookmarkEnd w:id="35"/>
    </w:p>
    <w:p>
      <w:pPr>
        <w:pStyle w:val="BookText"/>
        <w:rPr/>
      </w:pPr>
      <w:r>
        <w:rPr>
          <w:rFonts w:ascii="IRNazanin" w:hAnsi="IRNazanin" w:eastAsia="IRNazanin"/>
          <w:color w:val="111111"/>
          <w:sz w:val="28"/>
          <w:sz w:val="28"/>
          <w:szCs w:val="28"/>
          <w:rtl w:val="true"/>
          <w:lang w:bidi="fa-IR"/>
        </w:rPr>
        <w:t>أنّ الشارع المقدّس لو فوّض أمر الشعائر والطقوس وأوکَلها إلی العُرف والمتشرّعة، لنتج من ذلک أنّهم سیتحوّلون إلی مشرّعین، حیث فوّض أمر التشریع إلیهم وهذا التفویض غیر صحیح وهو ممتنع</w:t>
      </w:r>
      <w:r>
        <w:rPr>
          <w:rFonts w:eastAsia="IRNazanin" w:cs="IRNazanin"/>
          <w:color w:val="111111"/>
          <w:sz w:val="28"/>
          <w:szCs w:val="28"/>
          <w:rtl w:val="true"/>
          <w:lang w:bidi="fa-IR"/>
        </w:rPr>
        <w:t>.</w:t>
      </w:r>
    </w:p>
    <w:p>
      <w:pPr>
        <w:pStyle w:val="Heading4"/>
        <w:numPr>
          <w:ilvl w:val="3"/>
          <w:numId w:val="1"/>
        </w:numPr>
        <w:rPr/>
      </w:pPr>
      <w:bookmarkStart w:id="36" w:name="__RefHeading___Toc110424_2749589250"/>
      <w:bookmarkStart w:id="37" w:name="_Toc14"/>
      <w:bookmarkEnd w:id="36"/>
      <w:r>
        <w:rPr>
          <w:rtl w:val="true"/>
        </w:rPr>
        <w:t>الإشکال الثالث</w:t>
      </w:r>
      <w:bookmarkEnd w:id="37"/>
    </w:p>
    <w:p>
      <w:pPr>
        <w:pStyle w:val="BookText"/>
        <w:rPr/>
      </w:pPr>
      <w:r>
        <w:rPr>
          <w:rFonts w:ascii="IRNazanin" w:hAnsi="IRNazanin" w:eastAsia="IRNazanin"/>
          <w:color w:val="111111"/>
          <w:sz w:val="28"/>
          <w:sz w:val="28"/>
          <w:szCs w:val="28"/>
          <w:rtl w:val="true"/>
          <w:lang w:bidi="fa-IR"/>
        </w:rPr>
        <w:t>لو أوکل الشارعُ المقدّس أمر الشعائر والرسوم الدینیّة إلی العُرف، لنتج من ذلک تحلیل الحرام، وتحریم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العُرف قد یتّخذ ما هو محرّم ومبغوض للشرع شعیرةً، وقد یتّخذ ما هو محلّل شعیرة یجب احترامها ویحرم هتکها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من ذلک تحلیل الحرام، وتحریم الحلال</w:t>
      </w:r>
      <w:r>
        <w:rPr>
          <w:rFonts w:eastAsia="IRNazanin" w:cs="IRNazanin"/>
          <w:color w:val="111111"/>
          <w:sz w:val="28"/>
          <w:szCs w:val="28"/>
          <w:rtl w:val="true"/>
          <w:lang w:bidi="fa-IR"/>
        </w:rPr>
        <w:t>.</w:t>
      </w:r>
    </w:p>
    <w:p>
      <w:pPr>
        <w:pStyle w:val="Heading4"/>
        <w:numPr>
          <w:ilvl w:val="3"/>
          <w:numId w:val="1"/>
        </w:numPr>
        <w:rPr/>
      </w:pPr>
      <w:bookmarkStart w:id="38" w:name="__RefHeading___Toc110426_2749589250"/>
      <w:bookmarkStart w:id="39" w:name="_Toc15"/>
      <w:bookmarkEnd w:id="38"/>
      <w:r>
        <w:rPr>
          <w:rtl w:val="true"/>
        </w:rPr>
        <w:t>الإشکال الرابع</w:t>
      </w:r>
      <w:bookmarkEnd w:id="39"/>
    </w:p>
    <w:p>
      <w:pPr>
        <w:pStyle w:val="BookText"/>
        <w:rPr/>
      </w:pPr>
      <w:r>
        <w:rPr>
          <w:rFonts w:ascii="IRNazanin" w:hAnsi="IRNazanin" w:eastAsia="IRNazanin"/>
          <w:color w:val="111111"/>
          <w:sz w:val="28"/>
          <w:sz w:val="28"/>
          <w:szCs w:val="28"/>
          <w:rtl w:val="true"/>
          <w:lang w:bidi="fa-IR"/>
        </w:rPr>
        <w:t>وهذا من سنخ الإشکالَین السابقَین،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أنّنا جعلنا اتّخاذ الشعائر والرسوم والطقوس بید العُرف للزم من ذلک العبث بثوابت الشریعة الناتج من قِبَل العُرف والمتشرّعة بسبب اختلاف الظروف الزمنیّة والبیئیّة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 ما مزاراً، لأنّ النبیّ صلی الله علیه وآله وسلم قد صلّی فیه أو انتصر فیه</w:t>
      </w:r>
      <w:r>
        <w:rPr>
          <w:rFonts w:eastAsia="IRNazanin" w:cs="IRNazanin"/>
          <w:color w:val="111111"/>
          <w:sz w:val="28"/>
          <w:szCs w:val="28"/>
          <w:rtl w:val="true"/>
          <w:lang w:bidi="fa-IR"/>
        </w:rPr>
        <w:t>.</w:t>
      </w:r>
      <w:bookmarkStart w:id="40" w:name="pg2944_24371"/>
    </w:p>
    <w:p>
      <w:pPr>
        <w:pStyle w:val="BookText"/>
        <w:rPr/>
      </w:pPr>
      <w:bookmarkEnd w:id="40"/>
      <w:r>
        <w:rPr>
          <w:rFonts w:ascii="IRNazanin" w:hAnsi="IRNazanin" w:eastAsia="IRNazanin"/>
          <w:color w:val="111111"/>
          <w:sz w:val="28"/>
          <w:sz w:val="28"/>
          <w:szCs w:val="28"/>
          <w:rtl w:val="true"/>
          <w:lang w:bidi="fa-IR"/>
        </w:rPr>
        <w:t>وهکذا سوف تحصل مزارات عدیدة وکثیرة جدّاً وسوف یصعب الموازنة بین هذه المزارات العدیدة وبین ما جعله الشارع المقدّس وحثّ علیه بالخصوص</w:t>
      </w:r>
      <w:r>
        <w:rPr>
          <w:rFonts w:eastAsia="IRNazanin" w:cs="IRNazanin"/>
          <w:color w:val="111111"/>
          <w:sz w:val="28"/>
          <w:szCs w:val="28"/>
          <w:rtl w:val="true"/>
          <w:lang w:bidi="fa-IR"/>
        </w:rPr>
        <w:t>.</w:t>
      </w:r>
    </w:p>
    <w:p>
      <w:pPr>
        <w:pStyle w:val="Heading4"/>
        <w:numPr>
          <w:ilvl w:val="3"/>
          <w:numId w:val="1"/>
        </w:numPr>
        <w:rPr/>
      </w:pPr>
      <w:bookmarkStart w:id="41" w:name="__RefHeading___Toc110428_2749589250"/>
      <w:bookmarkStart w:id="42" w:name="_Toc16"/>
      <w:bookmarkEnd w:id="41"/>
      <w:r>
        <w:rPr>
          <w:rtl w:val="true"/>
        </w:rPr>
        <w:t>الإشکال الخامس</w:t>
      </w:r>
      <w:bookmarkEnd w:id="42"/>
    </w:p>
    <w:p>
      <w:pPr>
        <w:pStyle w:val="BookText"/>
        <w:rPr/>
      </w:pPr>
      <w:r>
        <w:rPr>
          <w:rFonts w:ascii="IRNazanin" w:hAnsi="IRNazanin" w:eastAsia="IRNazanin"/>
          <w:color w:val="111111"/>
          <w:sz w:val="28"/>
          <w:sz w:val="28"/>
          <w:szCs w:val="28"/>
          <w:rtl w:val="true"/>
          <w:lang w:bidi="fa-IR"/>
        </w:rPr>
        <w:t>لا وَجه فی تخصیص صلاحیّة المتشرّعة باتّخاذ الشعائر والرسوم والطقوس الدینیّة فی‌أبواب خاصّة، وعدم تسویغ ذلک فی أبواب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ذلک الأمر جائزاً وسائغاً، لأجریناه فی أبواب الصلاة، والصیام، والحجّ، والزکاة، والخُمس ولاتَّخذ المتشرّعة فی هذه الأبواب شرائط وقیود وموانع حسب ما یرونه مناسباً، ثمّ یتشکّل فی بوتقة الشعائر ویَتَعَنْوَن بعِنوان 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دلیل علی التفکیک بین الأبواب المختلفة</w:t>
      </w:r>
      <w:r>
        <w:rPr>
          <w:rFonts w:eastAsia="IRNazanin" w:cs="IRNazanin"/>
          <w:color w:val="111111"/>
          <w:sz w:val="28"/>
          <w:szCs w:val="28"/>
          <w:rtl w:val="true"/>
          <w:lang w:bidi="fa-IR"/>
        </w:rPr>
        <w:t>.</w:t>
      </w:r>
    </w:p>
    <w:p>
      <w:pPr>
        <w:pStyle w:val="Heading4"/>
        <w:numPr>
          <w:ilvl w:val="3"/>
          <w:numId w:val="1"/>
        </w:numPr>
        <w:rPr/>
      </w:pPr>
      <w:bookmarkStart w:id="43" w:name="__RefHeading___Toc110430_2749589250"/>
      <w:bookmarkStart w:id="44" w:name="_Toc17"/>
      <w:bookmarkEnd w:id="43"/>
      <w:r>
        <w:rPr>
          <w:rtl w:val="true"/>
        </w:rPr>
        <w:t>الإشکال السادس</w:t>
      </w:r>
      <w:bookmarkEnd w:id="44"/>
    </w:p>
    <w:p>
      <w:pPr>
        <w:pStyle w:val="BookText"/>
        <w:rPr/>
      </w:pPr>
      <w:r>
        <w:rPr>
          <w:rFonts w:ascii="IRNazanin" w:hAnsi="IRNazanin" w:eastAsia="IRNazanin"/>
          <w:color w:val="111111"/>
          <w:sz w:val="28"/>
          <w:sz w:val="28"/>
          <w:szCs w:val="28"/>
          <w:rtl w:val="true"/>
          <w:lang w:bidi="fa-IR"/>
        </w:rPr>
        <w:t>الهتک والإساءة لمبانی الإسلام وأرکان الشریعة ومعانی الدین والمذهب العالیة الشامخة؛ فقد یقال بأنّ مقتضی هذا الرسم أو الطقس أو الشعیرة الّتی أوکَلْناها إلی العُرف قد لا تناسب مُجریات العصر ولا تتّفق مع لُغة العصر؛ وقد یکون فیها إساءة لذات المضامین الشامخة والتعالیم الإسلامیّة الفاضلة</w:t>
      </w:r>
      <w:r>
        <w:rPr>
          <w:rFonts w:eastAsia="IRNazanin" w:cs="IRNazanin"/>
          <w:color w:val="111111"/>
          <w:sz w:val="28"/>
          <w:szCs w:val="28"/>
          <w:rtl w:val="true"/>
          <w:lang w:bidi="fa-IR"/>
        </w:rPr>
        <w:t>.</w:t>
      </w:r>
    </w:p>
    <w:p>
      <w:pPr>
        <w:pStyle w:val="Heading4"/>
        <w:numPr>
          <w:ilvl w:val="3"/>
          <w:numId w:val="1"/>
        </w:numPr>
        <w:rPr/>
      </w:pPr>
      <w:bookmarkStart w:id="45" w:name="__RefHeading___Toc110432_2749589250"/>
      <w:bookmarkStart w:id="46" w:name="_Toc18"/>
      <w:bookmarkEnd w:id="45"/>
      <w:r>
        <w:rPr>
          <w:rtl w:val="true"/>
        </w:rPr>
        <w:t>الإشکال السابع</w:t>
      </w:r>
      <w:bookmarkEnd w:id="46"/>
    </w:p>
    <w:p>
      <w:pPr>
        <w:pStyle w:val="BookText"/>
        <w:rPr/>
      </w:pPr>
      <w:r>
        <w:rPr>
          <w:rFonts w:ascii="IRNazanin" w:hAnsi="IRNazanin" w:eastAsia="IRNazanin"/>
          <w:color w:val="111111"/>
          <w:sz w:val="28"/>
          <w:sz w:val="28"/>
          <w:szCs w:val="28"/>
          <w:rtl w:val="true"/>
          <w:lang w:bidi="fa-IR"/>
        </w:rPr>
        <w:t>لزوم الضرر من بعض الطقوس خصوصاً بعض الشعائر الحسینیّة أو غیرها ویجب شرعاً دفع الضرر بکلّ درجاته ومراتبه وأشکاله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أهمّ الإشکالات والانتقادات والتشکیکات التی تُثار حول الشعائر الدینیّة، وسنحاول معالجة ذلک بالتفصیل من خلال طیّات البحث</w:t>
      </w:r>
      <w:r>
        <w:rPr>
          <w:rFonts w:eastAsia="IRNazanin" w:cs="IRNazanin"/>
          <w:color w:val="111111"/>
          <w:sz w:val="28"/>
          <w:szCs w:val="28"/>
          <w:rtl w:val="true"/>
          <w:lang w:bidi="fa-IR"/>
        </w:rPr>
        <w:t>.</w:t>
      </w:r>
      <w:bookmarkStart w:id="47" w:name="pg2944_24372"/>
    </w:p>
    <w:p>
      <w:pPr>
        <w:pStyle w:val="Heading3"/>
        <w:numPr>
          <w:ilvl w:val="2"/>
          <w:numId w:val="1"/>
        </w:numPr>
        <w:rPr/>
      </w:pPr>
      <w:bookmarkStart w:id="48" w:name="__RefHeading___Toc110434_2749589250"/>
      <w:bookmarkStart w:id="49" w:name="_Toc19"/>
      <w:bookmarkEnd w:id="47"/>
      <w:bookmarkEnd w:id="48"/>
      <w:r>
        <w:rPr>
          <w:rtl w:val="true"/>
        </w:rPr>
        <w:t>الجانب الثالث</w:t>
      </w:r>
      <w:bookmarkEnd w:id="49"/>
    </w:p>
    <w:p>
      <w:pPr>
        <w:pStyle w:val="BookText"/>
        <w:rPr/>
      </w:pPr>
      <w:r>
        <w:rPr>
          <w:rFonts w:ascii="Amiri" w:hAnsi="Amiri" w:eastAsia="Amiri" w:cs="Amiri"/>
          <w:color w:val="111111"/>
          <w:sz w:val="28"/>
          <w:sz w:val="28"/>
          <w:szCs w:val="28"/>
          <w:rtl w:val="true"/>
          <w:lang w:bidi="ar-SA"/>
        </w:rPr>
        <w:t>أنّ بحث الشعائر لم یُبحث بالتفصیل کقاعدةٍ فقهیّة أو کلامیّة من قِبَل العلماء والمحققین إلاّ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تظهر الإشارة إلیه من خلال کلمات العلماء بشکل متناثر وفی أبواب متعدّدة مع ما له من الأهمیّته القصوی فی حفظ العناوین الخالدة والرموز السامیة للدین الحنیف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البحث، وإن کان بالنظر الأوّلیّ واضحاً وجلیّاً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بالنظر الدقیق العلمیّ فهو یفتقر إلی الموازین الاستدلالیّة، وإعمال الخبرة الأصولیّة والفقهیّة فی أبوابه المختلفة وموارده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تبدو فی أفق بحث الشعائر الدینیّة التساؤلات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الشعائر الدینیّة هی من مقولة العناوین الثانویّة، أم من مقولة العناوین الأوّلیّة؟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هی حقیقة شرعیّة، أم هی حقیقة 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حکمها؟ وما هی حدود موضوعها؟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الحُکم فیها یُغایر حکم الأبواب الفقهیّة، أم هو حکم مندمج ومتّحد مع حکم الأبواب الفقهیّة المتنوّعة؟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الشعائر فی الحجّ تحمل نفس حکم أعمال الحجّ، أم لها حکم آخر متمیّز ومنفرد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النسبة بین بحث الشعائر، کعنوان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جعلناه حکماً أوّلیّاً، أو</w:t>
      </w:r>
    </w:p>
    <w:p>
      <w:pPr>
        <w:pStyle w:val="BookText"/>
        <w:rPr/>
      </w:pPr>
      <w:r>
        <w:rPr>
          <w:rFonts w:ascii="IRNazanin" w:hAnsi="IRNazanin" w:eastAsia="IRNazanin"/>
          <w:color w:val="111111"/>
          <w:sz w:val="28"/>
          <w:sz w:val="28"/>
          <w:szCs w:val="28"/>
          <w:rtl w:val="true"/>
          <w:lang w:bidi="fa-IR"/>
        </w:rPr>
        <w:t xml:space="preserve">جعلناه حکماً ثانویّاً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العناوین الأوّلیّة من جهة، وبینه وبین العناوین الثانویّة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الأبحاث الکثیرة والمتعدّدة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الأمور والاحتمالات التی طرحناها لم تُعرض ضمن بحث مستقلٍ منفرد ومتمیّز فی الکتب، أو الأبواب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یجدها المتتبّع فی طیّات کلمات الفقهاء وأبحاثهم هنا وهناک فی موارد متفرّقة ومواضع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یجدها المتتبّع فی موضوع حرمة تنجیس القرآن أو وجوب تطهیره إذا لاقته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بحث الوقف والصدقات وإحیاء الموات، وقضیّة حُرمة المؤمن، وحُرمة الکعبة، وفی باب الحدود، فی حکم سبّ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هتک مقدّسات الدین حیث یبحث العلماء فی هذه الموارد عن الشعائر الدینیّة وأنّ هتکها هل هو موجب للکفر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ذلک، هناک بعض الکتب والرسائل الّتی أُلّفت فی بحث الشعائر الحسینیّة</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فی المیزان الفقهیّ لآیة اللَّه الشیخ عبد الحسین الحلّیّ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المظلوم لآیة اللَّه الشیخ حسن المظفّر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سماحة السید حسن الشیرازیّ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الأمّة فی إقامة العزاء الحاج السیّد محمّد رضا الحسینیّ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الشعائر الحسینیّة سُنّة أم بدعة الشیخ أحمد الماحوزیّ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ذکروا فیها بعض الضوابط الشرعیّة إلی حدّ ما، فمن الجدیر مراجعة تلک الکتب وملاحظة الخطوط العامّة لهذا البحث، وما تتضمّنه من نقض وإبرام</w:t>
      </w:r>
      <w:r>
        <w:rPr>
          <w:rFonts w:eastAsia="IRNazanin" w:cs="IRNazanin"/>
          <w:color w:val="111111"/>
          <w:sz w:val="28"/>
          <w:szCs w:val="28"/>
          <w:rtl w:val="true"/>
          <w:lang w:bidi="fa-IR"/>
        </w:rPr>
        <w:t>.</w:t>
      </w:r>
      <w:bookmarkStart w:id="50" w:name="pg2944_24374"/>
    </w:p>
    <w:p>
      <w:pPr>
        <w:pStyle w:val="Heading3"/>
        <w:numPr>
          <w:ilvl w:val="2"/>
          <w:numId w:val="1"/>
        </w:numPr>
        <w:rPr/>
      </w:pPr>
      <w:bookmarkStart w:id="51" w:name="__RefHeading___Toc110436_2749589250"/>
      <w:bookmarkStart w:id="52" w:name="_Toc20"/>
      <w:bookmarkEnd w:id="50"/>
      <w:bookmarkEnd w:id="51"/>
      <w:r>
        <w:rPr>
          <w:rtl w:val="true"/>
        </w:rPr>
        <w:t>الجانب الرابع</w:t>
      </w:r>
      <w:r>
        <w:rPr>
          <w:rtl w:val="true"/>
        </w:rPr>
        <w:t xml:space="preserve">: </w:t>
      </w:r>
      <w:r>
        <w:rPr>
          <w:rtl w:val="true"/>
        </w:rPr>
        <w:t>إطار موضوع القاعدة</w:t>
      </w:r>
      <w:bookmarkEnd w:id="52"/>
    </w:p>
    <w:p>
      <w:pPr>
        <w:pStyle w:val="BookText"/>
        <w:rPr/>
      </w:pPr>
      <w:r>
        <w:rPr>
          <w:rFonts w:ascii="IRNazanin" w:hAnsi="IRNazanin" w:eastAsia="IRNazanin"/>
          <w:color w:val="111111"/>
          <w:sz w:val="28"/>
          <w:sz w:val="28"/>
          <w:szCs w:val="28"/>
          <w:rtl w:val="true"/>
          <w:lang w:bidi="fa-IR"/>
        </w:rPr>
        <w:t xml:space="preserve">قد تُضافُ الشعائر إلی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الآیات الکریمة</w:t>
      </w:r>
      <w:r>
        <w:rPr>
          <w:rStyle w:val="FootnoteAnchor"/>
          <w:rtl w:val="true"/>
        </w:rPr>
        <w:footnoteReference w:id="10"/>
      </w: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الشعائر أو الشعیرة أو الشعارة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هیئات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تضاف إلی المذهب،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تضاف إلی الحسین علیه السلام باسم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تضاف إلی الدین، فتُعرف باسم شعائر الدین وشعائر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وسیتبیّن أنّ هذه الإضافات ما هی إلاّ تفریعات وتطبیقات لنفس القاعدة الواحدة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أو یقال شعائر المذهب،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الإسلام، أو شعائر الدین،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تبویبات وتصنیفات لذِکر فروعٍ لأصل واحد أو تکون مرادفات لنفس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وسیظهر ما فی هذا التعبیر من نَوَاحٍ تربویّة متعددة وتفریعات لنکاتٍ فقهیّة مختلفة</w:t>
      </w:r>
      <w:r>
        <w:rPr>
          <w:rFonts w:eastAsia="IRNazanin" w:cs="IRNazanin"/>
          <w:color w:val="111111"/>
          <w:sz w:val="28"/>
          <w:szCs w:val="28"/>
          <w:rtl w:val="true"/>
          <w:lang w:bidi="fa-IR"/>
        </w:rPr>
        <w:t>.</w:t>
      </w:r>
    </w:p>
    <w:p>
      <w:pPr>
        <w:pStyle w:val="Heading3"/>
        <w:numPr>
          <w:ilvl w:val="2"/>
          <w:numId w:val="1"/>
        </w:numPr>
        <w:rPr/>
      </w:pPr>
      <w:bookmarkStart w:id="53" w:name="__RefHeading___Toc110438_2749589250"/>
      <w:bookmarkStart w:id="54" w:name="_Toc21"/>
      <w:bookmarkEnd w:id="53"/>
      <w:r>
        <w:rPr>
          <w:rtl w:val="true"/>
        </w:rPr>
        <w:t>الجانب الخامس</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 علی دَیدن العلماء فی تصنیف کلّ مسألة بإدراجها فی باب من الأبواب الفقهیة ففی أیّ باب من الأبواب یمکن دَرج هذه القاعدة؟ هل فی باب الفقه السیاسیّ، أم فی باب الفقه الاجتماعی، أم باب فقه القضاء أم فقه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وسیظهر خلال مراحل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خصائص هذه القاعدة وهذا الواجب الدینیّ العظیم، أنّ هذا الواجب لیس واجباً ملقی علی عاتق رموز الدولة الإسلامیّة أو الحکومة الإسلامیة فحسب ولیس ملقی علی عاتق المرجعیّة فقط، الّتی قد تُسمّی بالاصطلاح الأکادیمیّ الحدیث حکومة المرجع، ولا علی عاتق الهیئات الدینیّة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هذا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 کفائیّ یُلقی علی عاتق عموم المسلمین، ویتحمّل مسؤولیّة إقامته جمیع طبقات وشرائح المجتمع الإسلامیّ، ومن ثَمّ کان الأولی إدراج هذه القاعدة فی أبواب فقه الاجتماع، من قبیل باب الأمر بالمعروف والنهی عن المنکر لا فی خصوص الفقه السیاسیّ، ولا فی خصوص فقه الأبواب الأُخری بل یکون انضمامها تحت باب الفقه الاجتماعی هو الأنسب لهذه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جوانب ذکرناها بعنوان دیباجة وتمهید للبحث، أمّا بالنسبة إلی تبویب وتصنیف جهات البحث، فإنّ البحث سیقع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قاعدة الشعائر الدینیّة</w:t>
      </w:r>
    </w:p>
    <w:p>
      <w:pPr>
        <w:pStyle w:val="BookText"/>
        <w:rPr/>
      </w:pPr>
      <w:r>
        <w:rPr>
          <w:rFonts w:ascii="IRNazanin" w:hAnsi="IRNazanin" w:eastAsia="IRNazanin"/>
          <w:color w:val="111111"/>
          <w:sz w:val="28"/>
          <w:sz w:val="28"/>
          <w:szCs w:val="28"/>
          <w:rtl w:val="true"/>
          <w:lang w:bidi="fa-IR"/>
        </w:rPr>
        <w:t>وهذا المقام یتألّف من الجهات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الإجمالیة الواردة فی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الفقهاء والمتکلّمین والمفسّرین والمحدّثین حول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معنی وماهیّة الموضوع، وهو الشعیرة والشعائر من الناحیة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تحقّق الموضوع، وهو الشعیرة والشعائر ومعالجة العدید من قواعد التشریع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متعلّق الحکم لقاعدة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حکم الشعائر مع العناوین الأوّلیّة للأحکام من جهة، ومع العناوین الثانویّة للأحکام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الطارئة علی الشعائر، کالخرافة والاستهزاء والهتک والشَنعة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w:t>
      </w:r>
    </w:p>
    <w:p>
      <w:pPr>
        <w:pStyle w:val="BookText"/>
        <w:rPr/>
      </w:pPr>
      <w:r>
        <w:rPr>
          <w:rFonts w:ascii="IRNazanin" w:hAnsi="IRNazanin" w:eastAsia="IRNazanin"/>
          <w:color w:val="111111"/>
          <w:sz w:val="28"/>
          <w:sz w:val="28"/>
          <w:szCs w:val="28"/>
          <w:rtl w:val="true"/>
          <w:lang w:bidi="fa-IR"/>
        </w:rPr>
        <w:t>یقع البحث فی خصوصیات الشعائر الحسینیّة؛ ودراسة قوّة وتمامیّة الأدلّة الخاصة الواردة فیها، وردّ الإشکالات والانتقادات التی وُجّهت لها، وأُثیرَت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یختلف حکمها عن الأحکام العامّة فی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تتضمّن الأحکام العامّة للشعائر وزیادة؟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البحث خلال الجهات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والضرر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لعن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العزاء والرثاء سُنّة 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مآتم العزاء التی أقامها النبیّ صلی الله علیه وآله وسلم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سنتطرّق إلیها مفصّلاً فیما یأتی من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ونبدأ البحث فی جهات المقام الأول</w:t>
      </w:r>
      <w:r>
        <w:rPr>
          <w:rFonts w:eastAsia="IRNazanin" w:cs="IRNazanin"/>
          <w:color w:val="111111"/>
          <w:sz w:val="28"/>
          <w:szCs w:val="28"/>
          <w:rtl w:val="true"/>
          <w:lang w:bidi="fa-IR"/>
        </w:rPr>
        <w:t>.</w:t>
      </w:r>
      <w:bookmarkStart w:id="55" w:name="pg2944_24377"/>
    </w:p>
    <w:p>
      <w:pPr>
        <w:pStyle w:val="Heading2"/>
        <w:numPr>
          <w:ilvl w:val="1"/>
          <w:numId w:val="1"/>
        </w:numPr>
        <w:rPr/>
      </w:pPr>
      <w:bookmarkStart w:id="56" w:name="__RefHeading___Toc110440_2749589250"/>
      <w:bookmarkStart w:id="57" w:name="_Toc22"/>
      <w:bookmarkEnd w:id="55"/>
      <w:bookmarkEnd w:id="56"/>
      <w:r>
        <w:rPr>
          <w:rtl w:val="true"/>
        </w:rPr>
        <w:t>المقام الأول</w:t>
      </w:r>
      <w:r>
        <w:rPr>
          <w:rtl w:val="true"/>
        </w:rPr>
        <w:t xml:space="preserve">: </w:t>
      </w:r>
      <w:r>
        <w:rPr>
          <w:rtl w:val="true"/>
        </w:rPr>
        <w:t>الشعائر الدینیة</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10442_2749589250"/>
      <w:bookmarkStart w:id="59" w:name="_Toc23"/>
      <w:bookmarkEnd w:id="58"/>
      <w:r>
        <w:rPr>
          <w:rtl w:val="true"/>
        </w:rPr>
        <w:t>اشارة</w:t>
      </w:r>
      <w:bookmarkStart w:id="60" w:name="pg2944_24379"/>
      <w:bookmarkEnd w:id="59"/>
    </w:p>
    <w:p>
      <w:pPr>
        <w:pStyle w:val="Heading3"/>
        <w:numPr>
          <w:ilvl w:val="2"/>
          <w:numId w:val="1"/>
        </w:numPr>
        <w:rPr/>
      </w:pPr>
      <w:bookmarkStart w:id="61" w:name="__RefHeading___Toc110444_2749589250"/>
      <w:bookmarkStart w:id="62" w:name="_Toc24"/>
      <w:bookmarkEnd w:id="60"/>
      <w:bookmarkEnd w:id="61"/>
      <w:r>
        <w:rPr>
          <w:rtl w:val="true"/>
        </w:rPr>
        <w:t>الجهة الأُولی</w:t>
      </w:r>
      <w:r>
        <w:rPr>
          <w:rtl w:val="true"/>
        </w:rPr>
        <w:t xml:space="preserve">: </w:t>
      </w:r>
      <w:r>
        <w:rPr>
          <w:rtl w:val="true"/>
        </w:rPr>
        <w:t>الأدلّةُ الإجمالیّة</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10446_2749589250"/>
      <w:bookmarkStart w:id="64" w:name="_Toc25"/>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فی بدایة کلّ بحث لا بدّ أن یعثر الفقیه أو المجتهد علی أدلّة معینة لعنوان البحث وهذه الأدلّة حسب قواعد علم الفقه والأصول لها ثلاثة محاور،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والمحمول، والمتعلّق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یُشار به إلی قیود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الحکم الشرعیّ، إمّا وجوب أو حرمة أو ملکیّة أو غیر ذلک، بمعنی الحکم الشرعی الشامل للحکم التکلیفیّ وللحکم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الفعل المطلوب حصوله فی الخارج إذا کان الحکم وجوباً، أو الفعل اللازم ترکه إذا کان الحکم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هذه المحاور الثلاثة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وهو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صلاة الظهر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ومحور الموضوع الذی هو قیود الوجوب، ویُطلق علی قیود أیّ حکم تکلیفیّ أو وضعیّ بأنّه موضوع أصولیّ أو موضوع فقهیّ وفی مثالنا السابق یعتبر الزوال من قیود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استعراض الأدلّة الواردة فی قاعدة الشعائر وتقریر مفادها علی ضوء هذا التثلیث</w:t>
      </w:r>
      <w:r>
        <w:rPr>
          <w:rFonts w:eastAsia="IRNazanin" w:cs="IRNazanin"/>
          <w:color w:val="111111"/>
          <w:sz w:val="28"/>
          <w:szCs w:val="28"/>
          <w:rtl w:val="true"/>
          <w:lang w:bidi="fa-IR"/>
        </w:rPr>
        <w:t>.</w:t>
      </w:r>
      <w:bookmarkStart w:id="65" w:name="pg2944_24382"/>
    </w:p>
    <w:p>
      <w:pPr>
        <w:pStyle w:val="Heading4"/>
        <w:numPr>
          <w:ilvl w:val="3"/>
          <w:numId w:val="1"/>
        </w:numPr>
        <w:rPr/>
      </w:pPr>
      <w:bookmarkStart w:id="66" w:name="__RefHeading___Toc110448_2749589250"/>
      <w:bookmarkStart w:id="67" w:name="_Toc26"/>
      <w:bookmarkEnd w:id="65"/>
      <w:bookmarkEnd w:id="66"/>
      <w:r>
        <w:rPr>
          <w:rtl w:val="true"/>
        </w:rPr>
        <w:t>الطائفة الأولی من الأدلّة</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فی الآیة عموم لفظ الشعائر، وهو حکم من الأحکام القرآنیّة، فلنتعرّف علی موضوع ومتعلّق هذا المورد، وعلی حکمه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الشعائر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التعظیم إن جُعِل الحکم إیجابیّاً؛ أو التهاون ان جُعِل الحکم تحریمیّاً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التحلیل وحرمة التهاون، ویمکن جعل الحکم وجوب التعظیم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فَکُلُوا مِنْهَا وَأَطْعِمُوا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وَمَنْ یُعَظِّمْ حُرُمَاتِ اللَّهِ فَهُوَ خَیْرٌ لَهُ عِنْدَ رَبِّهِ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المقطع من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أدرَجه کثیر من العلماء ضِمن آیات الشعائر أیضاً مع أنّه لم یرد فیه لفظة الشعائر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ذلک هو الاعتماد علی قاعدة معروفة ومشهورة لدی أساطین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 الموضوع أو المتعلّق کما یمکن الاستدلال له بالأدلّة الوارد فیها العنوان نفسه أو المتضمّنة له، أو مرادفاته کذلک یمکن الاستدلال له بما یشترک معه فی الماهیّة النوعیّة أو الجنسیّة، أی المماثل أو المجانس؛ بشرط أن یکون الحُکم مُنصبّاً علی تلک الماهیّة وإلاّ کان التّعدی قیاساً باطلاً کما یمکن الاستدلال له بالدلیل الذی یتضمّن جزء الماهیّة، کذلک یمکن الاستدلال له بما یدلّ علی اللازم له أو الملزوم له، فتتوسع دائرة دلالة الأدلّة الدالّة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أی وجوب التعظیم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من أوضح الآیات علی إثبات المطلوب، حیت تدلّ علی محبوبیّة ورجحان التعظیم لشعائر الله حسب التقسیم الثلاثیّ المذکور من الموضوع والمتعلّق والحکم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لَکُمْ مِنْ شَعَائِرِ اللَّهِ لَکُمْ فِیهَا خَیْرٌ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البُدن من مصادیق الشعائر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68" w:name="pg2944_24384"/>
    </w:p>
    <w:p>
      <w:pPr>
        <w:pStyle w:val="BookText"/>
        <w:rPr/>
      </w:pPr>
      <w:bookmarkEnd w:id="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الشریفة تعرّضت للشعائر، ولکن بصیغة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الطائفة من الأدلّة وافیة فی المقام، وعلینا أن نسبر غورها لنصل إلی المحاور الأساسیّة فیها، ولنتعرّف علی مفادها ودلالتها</w:t>
      </w:r>
      <w:r>
        <w:rPr>
          <w:rFonts w:eastAsia="IRNazanin" w:cs="IRNazanin"/>
          <w:color w:val="111111"/>
          <w:sz w:val="28"/>
          <w:szCs w:val="28"/>
          <w:rtl w:val="true"/>
          <w:lang w:bidi="fa-IR"/>
        </w:rPr>
        <w:t>.</w:t>
      </w:r>
    </w:p>
    <w:p>
      <w:pPr>
        <w:pStyle w:val="Heading4"/>
        <w:numPr>
          <w:ilvl w:val="3"/>
          <w:numId w:val="1"/>
        </w:numPr>
        <w:rPr/>
      </w:pPr>
      <w:bookmarkStart w:id="69" w:name="__RefHeading___Toc110450_2749589250"/>
      <w:bookmarkStart w:id="70" w:name="_Toc27"/>
      <w:bookmarkEnd w:id="69"/>
      <w:r>
        <w:rPr>
          <w:rtl w:val="true"/>
        </w:rPr>
        <w:t>الطائفة الثانیة من الأدلّة</w:t>
      </w:r>
      <w:bookmarkEnd w:id="70"/>
    </w:p>
    <w:p>
      <w:pPr>
        <w:pStyle w:val="BookText"/>
        <w:rPr/>
      </w:pPr>
      <w:r>
        <w:rPr>
          <w:rFonts w:ascii="IRNazanin" w:hAnsi="IRNazanin" w:eastAsia="IRNazanin"/>
          <w:color w:val="111111"/>
          <w:sz w:val="28"/>
          <w:sz w:val="28"/>
          <w:szCs w:val="28"/>
          <w:rtl w:val="true"/>
          <w:lang w:bidi="fa-IR"/>
        </w:rPr>
        <w:t xml:space="preserve">هذه الأدلّة لم یرد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بعض العلماء والمحقّقین  ذهبوا إلی استفادة حکم الشعائر منها،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سیاق الآیات التی قبلها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یفهم أنّ الآیات بصدد بیان مسألة وجوب الجهاد، وضرورة المعرفة الحقّة والتوحید ونشر الدین وتبلیغه ثمّ بعد ذلک تبیّن الآیة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أهمیّةَ النور الإلهیّ، ومحاولات أعداء الدین لإطفاء ذلک النور ولکنّ الله سبحانه کتب علی نفسه إحباط تلک المحاولات الشیطانیّة، ویأبی سبحانه إلاّ إتمام النور ونشر الصلاح والهدی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الله سبحانه وهو 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ونور الله سبحانه عامّ یشمل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والتبلیغ والبیان؛ وهو بدل التعظیم فی تلک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الوجوب وجوب النشر أو حرمة الإطفاء والکتمان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مرادفاً ومکافئاً للآیة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أنّنا لا نقتصر فی إثبات هذه القاعدة علی الآیات من الطائفة الأولی من الأدلّة بل یمکن الاستدلال أیضاً بما یفید مفادها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بملاحظة الآیات التی تسبق هذه الآیة من سورة النور، وهی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أَنْزَلْنَا إِلَیْکُمْ آَیَاتٍ مُبَیِّنَاتٍ وَمَثَلًا مِنَ الَّذِینَ خَلَوْا مِنْ قَبْلِکُمْ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w:t>
      </w:r>
    </w:p>
    <w:p>
      <w:pPr>
        <w:pStyle w:val="BookText"/>
        <w:rPr/>
      </w:pPr>
      <w:r>
        <w:rPr>
          <w:rFonts w:ascii="Amiri" w:hAnsi="Amiri" w:eastAsia="Amiri" w:cs="Amiri"/>
          <w:color w:val="111111"/>
          <w:sz w:val="28"/>
          <w:sz w:val="28"/>
          <w:szCs w:val="28"/>
          <w:rtl w:val="true"/>
          <w:lang w:bidi="ar-SA"/>
        </w:rPr>
        <w:t>اللَّهُ الْأَمْثَالَ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سیاق هذه الآیات، یظهر أنّ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البیوت التی فیها نور الله والمراکز التی تکون مصادر إشعاع الدین ومحالّ نشر الهدایة والحق ومحطّات بیان أحکام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النوریّة والباعثة للنور، شاء الله وأراد أن تُرفع وتکرّم، وأن تُبجّل وتُحترم وینبغی أن یستمر ویدوم فیها ذِکر الله وعبادته وطاعته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من سورة النور، مرادفة لآیة تعظیم الشعائر</w:t>
      </w:r>
      <w:r>
        <w:rPr>
          <w:rStyle w:val="FootnoteAnchor"/>
          <w:rtl w:val="true"/>
        </w:rPr>
        <w:footnoteReference w:id="22"/>
      </w:r>
      <w:r>
        <w:rPr>
          <w:rFonts w:ascii="Amiri" w:hAnsi="Amiri" w:eastAsia="Amiri" w:cs="Amiri"/>
          <w:color w:val="111111"/>
          <w:sz w:val="28"/>
          <w:sz w:val="28"/>
          <w:szCs w:val="28"/>
          <w:rtl w:val="true"/>
          <w:lang w:bidi="ar-SA"/>
        </w:rPr>
        <w:t xml:space="preserve">، ولآیة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الشریفة تدلّ علی وجوب نشر ورفع کلّ موطن ومرکز ومحلّ یتکفّل ببیان أحکام الله وتعالیم رسالة السماء، المکنّی عنه فی الآیة الشریفة بنور الله ومن ذلک یظهر أنّ الشعائر لا تَختصّ ببابٍ دون آخر فهی لا تختصّ بمناسک الحجّ، ولا بالعبادات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تشمل کلَّ ما فیه نشرٌ لأحکام الدین، وتعمّ جمیع ما به بیان وتبلیغ للمعارف الإسلامیّة المختلفة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تدلّ علی أنّ حفظ الدین وحفظ ذکر الله سبحانه، وکذلک حفظ رسول الله صلی الله علیه وآله وسلم الذی هو قوام الدین، وحفظ ذِکر أهل البیت علیهم السلام الذین هم العِدل الآخر للقرآن کلّ ذلک یُعتبر من الأغراض الشرعیّة</w:t>
      </w:r>
    </w:p>
    <w:p>
      <w:pPr>
        <w:pStyle w:val="BookText"/>
        <w:rPr/>
      </w:pPr>
      <w:r>
        <w:rPr>
          <w:rFonts w:ascii="IRNazanin" w:hAnsi="IRNazanin" w:eastAsia="IRNazanin"/>
          <w:color w:val="111111"/>
          <w:sz w:val="28"/>
          <w:sz w:val="28"/>
          <w:szCs w:val="28"/>
          <w:rtl w:val="true"/>
          <w:lang w:bidi="fa-IR"/>
        </w:rPr>
        <w:t>العلیا للحقِّ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کَلِمَةَ الَّذِینَ کَفَرُوا السُّفْلَی وَکَلِمَةُ اللَّهِ هِیَ الْعُلْیَا وَاللَّهُ عَزِیزٌ حَکِیمٌ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کلّ ما یؤول إلی إعلاء کلمة الله سبحانه وإزهاق کلمة الکافرین، فهو من الأغراض الشرعیّة والمقاصد الدینیّة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تُقرِّر الآیة الکریمة وجوب التفقّه علی المسلمین بعد الهجرة، ثمّ الرجوع إلی بلادهم ووجوب التبلیغ والإنذار، مقدمةً لحصول حالة الحذر، فهذا الإنذار لنشر معالم الدین وترسیخ قواعده یبیّن فی الواقع ماهیّة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المبیّن والمفسِّر لأحد أرکان ماهیّة العناوین التی وردت فی الألسنة الأخری من الأدلّة وهو التبلیغ، والنشر للدین الحنیف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یَحْکُمُ بَیْنَکُمْ یَوْمَ الْقِیَامَةِ 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هذه الآیة، یوضّح بُعداً آخر فی حقیقة الشعائر؛ حیث تتضمّن فی متعلّقها جنبة أخری غیر الأحکام الأوّلیّة ألا وهی جنبة ازدیاد العلو والسُموّ للإسلام والمسلمین وهذه غیر جهة الإعلام، وإن کانت هی أحد نتائج الإعلام والنشر والإنذار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فالبُعد الآخر الذی تتضمّنه قاعدة الشعائر الدینیّة هو جنبة إعلاء کلمة الله سبحانه، وإعزاز کلمة المسلمین وقد توفّرت الأدلّة فی إثبات ذلک بقدر وافٍ</w:t>
      </w:r>
      <w:r>
        <w:rPr>
          <w:rFonts w:eastAsia="IRNazanin" w:cs="IRNazanin"/>
          <w:color w:val="111111"/>
          <w:sz w:val="28"/>
          <w:szCs w:val="28"/>
          <w:rtl w:val="true"/>
          <w:lang w:bidi="fa-IR"/>
        </w:rPr>
        <w:t>.</w:t>
      </w:r>
      <w:bookmarkStart w:id="71" w:name="pg2944_24388"/>
    </w:p>
    <w:p>
      <w:pPr>
        <w:pStyle w:val="Heading4"/>
        <w:numPr>
          <w:ilvl w:val="3"/>
          <w:numId w:val="1"/>
        </w:numPr>
        <w:rPr/>
      </w:pPr>
      <w:bookmarkStart w:id="72" w:name="__RefHeading___Toc110452_2749589250"/>
      <w:bookmarkStart w:id="73" w:name="_Toc28"/>
      <w:bookmarkEnd w:id="71"/>
      <w:bookmarkEnd w:id="72"/>
      <w:r>
        <w:rPr>
          <w:rtl w:val="true"/>
        </w:rPr>
        <w:t>الطائفة الثالثة من الأدلّة</w:t>
      </w:r>
      <w:bookmarkEnd w:id="73"/>
    </w:p>
    <w:p>
      <w:pPr>
        <w:pStyle w:val="BookText"/>
        <w:rPr/>
      </w:pPr>
      <w:r>
        <w:rPr>
          <w:rFonts w:ascii="IRNazanin" w:hAnsi="IRNazanin" w:eastAsia="IRNazanin"/>
          <w:color w:val="111111"/>
          <w:sz w:val="28"/>
          <w:sz w:val="28"/>
          <w:szCs w:val="28"/>
          <w:rtl w:val="true"/>
          <w:lang w:bidi="fa-IR"/>
        </w:rPr>
        <w:t>وقد استُدلّ أیضاً علی هذه القاعدة بما ورد فی الأبواب الخاصّة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أدلّة خاصّة فی مناسک الحجّ أو أدلّة خاصّة فی الشعائر الحسینیّة وغیر ذلک مثل قول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أحیا أمرنا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عَمّر قبورَکم، وتعاهَدها، فکأنّما أعانَ سلیمان بن داوود علی بناء بیت المقدس</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شابه ذلک، أو ما ورد علی لسان العقیلة زینب الکبری علیها السلام بالنسبة لعزاء سیّد الشهداء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وسیوکل الله مَن یُجدّد له العزاء فی کلّ عام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العناوین خاصّة فی أبواب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اللسان الثالث من الأدلّة هو عبارة عن أحکام خاصّة فی الموارد الأخری، الّتی مفادها هو عین مفاد الشعائر، من لزوم البثّ والإعلان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فزبدة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لدینا ثلاثة أشکال من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عامّة ورَد فیها لفظ الشعائر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عامّة ومطلقة یظهر منها جانب الإعلام والإعلاء للدین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مختصّة ببعض الأبواب، وتکون مرادفة لتعظیم الشعائر ولنشر الدین وإعلاء کلمته</w:t>
      </w:r>
      <w:r>
        <w:rPr>
          <w:rFonts w:eastAsia="IRNazanin" w:cs="IRNazanin"/>
          <w:color w:val="111111"/>
          <w:sz w:val="28"/>
          <w:szCs w:val="28"/>
          <w:rtl w:val="true"/>
          <w:lang w:bidi="fa-IR"/>
        </w:rPr>
        <w:t>.</w:t>
      </w:r>
      <w:bookmarkStart w:id="74" w:name="pg2944_24389"/>
    </w:p>
    <w:p>
      <w:pPr>
        <w:pStyle w:val="Heading3"/>
        <w:numPr>
          <w:ilvl w:val="2"/>
          <w:numId w:val="1"/>
        </w:numPr>
        <w:rPr/>
      </w:pPr>
      <w:bookmarkStart w:id="75" w:name="__RefHeading___Toc110454_2749589250"/>
      <w:bookmarkStart w:id="76" w:name="_Toc29"/>
      <w:bookmarkEnd w:id="74"/>
      <w:bookmarkEnd w:id="75"/>
      <w:r>
        <w:rPr>
          <w:rtl w:val="true"/>
        </w:rPr>
        <w:t>الجهة الثانیة</w:t>
      </w:r>
      <w:r>
        <w:rPr>
          <w:rtl w:val="true"/>
        </w:rPr>
        <w:t xml:space="preserve">: </w:t>
      </w:r>
      <w:r>
        <w:rPr>
          <w:rtl w:val="true"/>
        </w:rPr>
        <w:t>أقوال العامّة والخاصّة حول هذه القاعدة</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110456_2749589250"/>
      <w:bookmarkStart w:id="78" w:name="_Toc30"/>
      <w:bookmarkEnd w:id="77"/>
      <w:r>
        <w:rPr>
          <w:rtl w:val="true"/>
        </w:rPr>
        <w:t>اشارة</w:t>
      </w:r>
      <w:bookmarkStart w:id="79" w:name="pg2944_24391"/>
      <w:bookmarkEnd w:id="78"/>
    </w:p>
    <w:p>
      <w:pPr>
        <w:pStyle w:val="Heading4"/>
        <w:numPr>
          <w:ilvl w:val="3"/>
          <w:numId w:val="1"/>
        </w:numPr>
        <w:rPr/>
      </w:pPr>
      <w:bookmarkStart w:id="80" w:name="__RefHeading___Toc110458_2749589250"/>
      <w:bookmarkStart w:id="81" w:name="_Toc31"/>
      <w:bookmarkEnd w:id="79"/>
      <w:bookmarkEnd w:id="80"/>
      <w:r>
        <w:rPr>
          <w:rtl w:val="true"/>
        </w:rPr>
        <w:t>أقوال العامة</w:t>
      </w:r>
      <w:bookmarkEnd w:id="8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أنّه فسّر الشعائر</w:t>
      </w:r>
      <w:r>
        <w:rPr>
          <w:rStyle w:val="FootnoteAnchor"/>
          <w:rtl w:val="true"/>
        </w:rPr>
        <w:footnoteReference w:id="30"/>
      </w:r>
      <w:r>
        <w:rPr>
          <w:rFonts w:ascii="Amiri" w:hAnsi="Amiri" w:eastAsia="Amiri" w:cs="Amiri"/>
          <w:color w:val="111111"/>
          <w:sz w:val="28"/>
          <w:sz w:val="28"/>
          <w:szCs w:val="28"/>
          <w:rtl w:val="true"/>
          <w:lang w:bidi="ar-SA"/>
        </w:rPr>
        <w:t xml:space="preserve">، سواء فی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فسّرها بأنّها جمیع ما أمر الله به ونهی عنه، أی جمیع فرائضه ولم یخصّصه ببابٍ دون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الدین کلّه</w:t>
      </w:r>
      <w:r>
        <w:rPr>
          <w:rStyle w:val="FootnoteAnchor"/>
          <w:rtl w:val="true"/>
        </w:rPr>
        <w:footnoteReference w:id="31"/>
      </w:r>
      <w:r>
        <w:rPr>
          <w:rFonts w:ascii="IRNazanin" w:hAnsi="IRNazanin" w:eastAsia="IRNazanin"/>
          <w:color w:val="111111"/>
          <w:sz w:val="28"/>
          <w:sz w:val="28"/>
          <w:szCs w:val="28"/>
          <w:rtl w:val="true"/>
          <w:lang w:bidi="fa-IR"/>
        </w:rPr>
        <w:t>هذا أیضاً قولٌ بالتعمیم وهذا تعمیم فی الموضوع، فهذان القولان یتّفقان علی تعمیم موضوع الشعائر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فی أحکام القرآن یذهب إلی أنّ المراد من الشعائر هی جمیع العبادات ولم یعمّمها لجمیع أحکام الدین، وإنّما خصّصها بالعبادات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المتعبّدات الّتی أشعَرها الله تعالی، أی جعلها أعلاماً للناس هذا قول آخر، وهو یحدّد دائرة الموضوع</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قول آخر لدیهم، هو أنّ المراد من شعائر الله بقرینة السیاق فی الآیات الواردة فی سورة الحجّ وفی أوائل سورة المائدة، وتلک التی فی سورة البقرة کلّها فی سیاق أعمال مناسک الحجّ فمن ثَمّ ذهب هذا القائل إلی أنّ المراد منها جمیع مناسک الحجّ</w:t>
      </w:r>
      <w:r>
        <w:rPr>
          <w:rStyle w:val="FootnoteAnchor"/>
          <w:rtl w:val="true"/>
        </w:rPr>
        <w:footnoteReference w:id="33"/>
      </w:r>
      <w:bookmarkStart w:id="82" w:name="pg2944_24392"/>
    </w:p>
    <w:p>
      <w:pPr>
        <w:pStyle w:val="BookText"/>
        <w:rPr/>
      </w:pPr>
      <w:bookmarkEnd w:id="82"/>
      <w:r>
        <w:rPr>
          <w:rFonts w:ascii="IRNazanin" w:hAnsi="IRNazanin" w:eastAsia="IRNazanin"/>
          <w:color w:val="111111"/>
          <w:sz w:val="28"/>
          <w:sz w:val="28"/>
          <w:szCs w:val="28"/>
          <w:rtl w:val="true"/>
          <w:lang w:bidi="fa-IR"/>
        </w:rPr>
        <w:t>لیس إلاّ ولا تشمل هذه القاعدة بقیّة الأبواب</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ذهب إلیه أبوعبیدة بأنّ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الهَدایا المُشعَرة لبیت اللَّه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الماوردیّ والقاضی أبویعلی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الشعائر هی أعلام الحرم، نهاهم أن یتجاوزوها غیر مُحرِمین إذا أرادوا دخول مکّة تجد هذه الأقوال وغیرها فی کتاب زاد المسیر لابن الجوزیّ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لزبدة أقوال العامّة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10460_2749589250"/>
      <w:bookmarkStart w:id="84" w:name="_Toc32"/>
      <w:bookmarkEnd w:id="83"/>
      <w:r>
        <w:rPr>
          <w:rtl w:val="true"/>
        </w:rPr>
        <w:t>أقوال الخاصّة</w:t>
      </w:r>
      <w:bookmarkEnd w:id="84"/>
    </w:p>
    <w:p>
      <w:pPr>
        <w:pStyle w:val="BookText"/>
        <w:rPr/>
      </w:pPr>
      <w:r>
        <w:rPr>
          <w:rFonts w:ascii="IRNazanin" w:hAnsi="IRNazanin" w:eastAsia="IRNazanin"/>
          <w:color w:val="111111"/>
          <w:sz w:val="28"/>
          <w:sz w:val="28"/>
          <w:szCs w:val="28"/>
          <w:rtl w:val="true"/>
          <w:lang w:bidi="fa-IR"/>
        </w:rPr>
        <w:t>أمّا بالنسبة لأقوال الخاصّة، فلم نعثر علی قول من أقوال الخاصّة یقیِّد القاعدة بمناسک الحجّ أو یُخصّصها بالعبادات، عدا ما قد یظهر من الشیخ النراقیّ فی عوائده، بل دیدن علماء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بالتعمیم، فمثلاً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الکبیر کاشف الغطاء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ذهب إلی أنّ قبور الأئمة علیهم السلام قد شُعِّرت، فهی مشاعِر، ومن ثَمّ تجری علیها أحکام المساجد، یذکر ذلک فی بحث الطهارة، فی مناسبة معینة، فی تطهیر المسجد وحُرمة تنجیسه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تمیّز الشیخ الکبیر کاشف الغطاء بهذا الاستدلال عن بقیّة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بالإشارة إلی أنّ وجه إلحاق قبور الأئمّة علیهم السلام بالمساجد هو کونها شُعِّرت مشاعر فهو إذن یذهب إلی أنّ المشاعر لا تختصّ بأفعال الحجّ، ولا تختصّ بالعبادات، بل تشمل دائرةً أوسع من 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الرشاد لمن أراد السداد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یشیر الشیخ الأکبر کاشف</w:t>
      </w:r>
    </w:p>
    <w:p>
      <w:pPr>
        <w:pStyle w:val="BookText"/>
        <w:rPr/>
      </w:pPr>
      <w:r>
        <w:rPr>
          <w:rFonts w:ascii="IRNazanin" w:hAnsi="IRNazanin" w:eastAsia="IRNazanin"/>
          <w:color w:val="111111"/>
          <w:sz w:val="28"/>
          <w:sz w:val="28"/>
          <w:szCs w:val="28"/>
          <w:rtl w:val="true"/>
          <w:lang w:bidi="fa-IR"/>
        </w:rPr>
        <w:t>الغطاء إلی هذه النکتة، وهی تشعیر قبور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یشیر أیضاً إلی أنّ حُرمة المؤمن أیضاً من شعائر الدین فهو یعمّم موضوع الشعائر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ذهب إلی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فی بحث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حرمة تنجیس القرآن، أو وجوب تطهیر القرآن إذا وقعت علیه نجاسة ویشیر إلی أنّ حرمة الهتک ووجوب التعظیم شاملان لکلّ حُرُمات الدین وعبارته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ما عُلم من الشریعة وجوب تعظیمه وحُرمة إهانته وتحقیره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وهذا التعبیر کأنّما اقتبسه صاحب الجواهر من الآیة فی سورة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 فَهُوَ خَیْرٌ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ذلک بآیتین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کأنّما الآیتان متوازیتان فی المعنی، ومتعاضدتان فی شرح بعضهما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الکلمات الّتی یستفاد منها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المحقق الکبیر المیرزا النائینیّ، الّتی صَدرت حول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عَن الشعائر الحسینیّة بأنّها شعائر الله واستدلاله بالآیة یعمّم هذه القاعدة الفقهیّة، ولا یخصّصها بالمناسک ولا بالعبادات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الشیخ محمّد حسین کاشف الغطاء، قال بالتعمیم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فتاواه وفی کتبه وفی رسائل الأسئلة والأجوبة حیث یذکر دخول الشعائر الحسینیّة فی عنوان شعائر الله، وفی شعائر الدین، ووجوب تعظیمها بنفس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الحکیم رحمه الله فی المستمسک</w:t>
      </w:r>
      <w:r>
        <w:rPr>
          <w:rStyle w:val="FootnoteAnchor"/>
          <w:rtl w:val="true"/>
        </w:rPr>
        <w:footnoteReference w:id="38"/>
      </w:r>
      <w:r>
        <w:rPr>
          <w:rFonts w:ascii="IRNazanin" w:hAnsi="IRNazanin" w:eastAsia="IRNazanin"/>
          <w:color w:val="111111"/>
          <w:sz w:val="28"/>
          <w:sz w:val="28"/>
          <w:szCs w:val="28"/>
          <w:rtl w:val="true"/>
          <w:lang w:bidi="fa-IR"/>
        </w:rPr>
        <w:t xml:space="preserve">فی بحث الشهادة الثالثة حیث تمایل إلی وجوب 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 لا من باب الجزئیّة، بل من باب استحباب الأمر باقترانها بالشهادة الثانیة، ومن ثمّ طبّق علیها عنوان شعائر الله، وبالتالی ذهب إلی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فباعتبار أنّ الحکم الأوّلیّ لها هو الاستحباب، وإن کان بنحو التعمیم إلاّ أنّها اتُّخذت شعاراً للمذهب والطائفة، فذهب إلی حصول وتحقّق الشعیرة بها فالّذی یظهر منه ذهابه إلی تعمیم شعائر الله، وعدم تخصیصها بمناسک الحجّ، ولا بالعبادات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أقوال الخاصّة الّتی تعرَّضَتْ صریحاً إلی تعمیم شعائر الله، ولم نجد من یخصّص الشعائر بخصوص مناسک الحجّ، أو خصوص العبادات بل الجمیع یعمّم الشعائر إلی مطلق ما یُظهر المعالم الرئیسیّة للشریعة ویَنشُر 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والمتتبّع لفتاوی المتأخّرین فی الشعائر الحسینیّة یلاحظ تعمیم عنوان وقاعدة شعائر الله، إلی عموم أبواب وأحکام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الفقهاء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استدلالهم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القاعدة، إلی حقیقة وجود أدلّة أخری بلسان آخر یُرادف معنی ومدلول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یرادفها من الآیات القرآنیّة کثیر من الموارد وقد ذکرنا فی الجهة الأولی أنّ الطائفتَین الثانیة والثالثة من الأدلّة تدلاّن علی نفس مضمون قاعدة الشعائر</w:t>
      </w:r>
      <w:r>
        <w:rPr>
          <w:rFonts w:eastAsia="IRNazanin" w:cs="IRNazanin"/>
          <w:color w:val="111111"/>
          <w:sz w:val="28"/>
          <w:szCs w:val="28"/>
          <w:rtl w:val="true"/>
          <w:lang w:bidi="fa-IR"/>
        </w:rPr>
        <w:t>.</w:t>
      </w:r>
      <w:bookmarkStart w:id="85" w:name="pg2944_24395"/>
    </w:p>
    <w:p>
      <w:pPr>
        <w:pStyle w:val="Heading4"/>
        <w:numPr>
          <w:ilvl w:val="3"/>
          <w:numId w:val="1"/>
        </w:numPr>
        <w:rPr/>
      </w:pPr>
      <w:bookmarkStart w:id="86" w:name="__RefHeading___Toc110462_2749589250"/>
      <w:bookmarkStart w:id="87" w:name="_Toc33"/>
      <w:bookmarkEnd w:id="85"/>
      <w:bookmarkEnd w:id="86"/>
      <w:r>
        <w:rPr>
          <w:rtl w:val="true"/>
        </w:rPr>
        <w:t>فائدة</w:t>
      </w:r>
      <w:bookmarkEnd w:id="87"/>
    </w:p>
    <w:p>
      <w:pPr>
        <w:pStyle w:val="BookText"/>
        <w:rPr/>
      </w:pPr>
      <w:r>
        <w:rPr>
          <w:rFonts w:ascii="IRNazanin" w:hAnsi="IRNazanin" w:eastAsia="IRNazanin"/>
          <w:color w:val="111111"/>
          <w:sz w:val="28"/>
          <w:sz w:val="28"/>
          <w:szCs w:val="28"/>
          <w:rtl w:val="true"/>
          <w:lang w:bidi="fa-IR"/>
        </w:rPr>
        <w:t>أن تتبّع الفقهاء للعثور علی ألْسِنة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مسألة وقاعدة فقهیّة، أو قاعدة کلامیّة إنّما یحصل من أجل إعطاء الباحث الفقهیّ، أو المستنبط الفقهیّ سعة فی البحث، ما لا یعطیه اللسان الواحد والدلیل الفارد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یحصل الاختلاف فی اللسان الواحد، هل هو باق علی حقیقته اللغویّة أو نُقل إلی الحقیقة الشرعیّة مثلاً؟ هل هو مبهم أم مجمل أم مبیّن؟ هل فیه إطلاق أم لا؟ وإلی غیر ذلک من الحالات التی تنتاب اللسان الواحد فی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عثر الباحث أو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حتّی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أدلّة متعددة محتویة علی ألسنة أخری وقد تکون تلک الألسنة متضمّنة لأرقام أجلی وأوضح، بحیث لا یقع الاختلاف فیها، وتختصر علی الباحث الطریق للوصول إلی ضالّته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ثمّ ذکرنا أنّ الآیَتین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استند إلیهما الفقهاء، لیس فی بحث الشعائر فحسب، بل فی مسائل فقهیّة وعقائدیّة وتاریخیّة أخری فی وقائع تحتاج لمواقف شرعیّة حازمة وصارمة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وجوب نشر نور الدین ونور الإسلام، ونور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أنّ الفقهاء یلاحظون فی کلّ دلیل ثلاثة محاور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الموضوع، ومحور المحمول، ومحور المتعلّق وإلاّ یکون البحث عقیماً فلا بدّ من تمییز هذه المحاور الثلاثة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عناوین هذه المحاور تختلف من لسان إلی لسان آخر فلا بدّ من تمییز الألسنة وتصنیفها فبعد قیام الأدلة المختلفة وتمامیّتها یمکن القول أنّ قاعدة الشعائر الدینیّة عبارة عن جملة من قوانین الإعلام فی الدین الإسلامیّ لها أهمّیّتها ولها حکمها المتمیّز والمغایر للأحکام الأخری ولیس کما فُسِّر من أنّ حکمها هو عین أحکام الدین أو أن الشعائر هی الدین کلّه کما نقلنا ذلک أو أنّها تختصّ بمناسک الحجّ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فالشعائر لها حکم مغایر للأحکام الأخری، ومتعلّقه مغایر أیضاً وإن ارتبط وتعلّق بنحوٍ أو بآخر بالأحکام الأوّلیّة بل هو حکم آخر وهو نشر الدین وإعلام الدین کما ذکرنا أنّ قاعدة الشعائر هی بمثابة فقرة الإعلام فی الفقه أو فی الدین الإسلامیّ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جانب النشر والإعلام للأحکام علی غرار الإنذار فی آیة النفر</w:t>
      </w:r>
      <w:r>
        <w:rPr>
          <w:rStyle w:val="FootnoteAnchor"/>
          <w:rtl w:val="true"/>
        </w:rPr>
        <w:footnoteReference w:id="41"/>
      </w:r>
      <w:r>
        <w:rPr>
          <w:rFonts w:ascii="IRNazanin" w:hAnsi="IRNazanin" w:eastAsia="IRNazanin"/>
          <w:color w:val="111111"/>
          <w:sz w:val="28"/>
          <w:sz w:val="28"/>
          <w:szCs w:val="28"/>
          <w:rtl w:val="true"/>
          <w:lang w:bidi="fa-IR"/>
        </w:rPr>
        <w:t>، حیث إنّ الإنذار واجب مستقل غیر وجوب الصلاة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الإنذار بالصلاة غیر نفس الصلاة والإنذار بالحجّ لیس هو نفس مناسک الحجّ؛ فبالإجمال نستنتج أنّ الشعائر لها موضوع ومتعلّق وحُکم یتمیّز ویختلف عن بقیّة الأحکام مضافاً إلی الغایة الأخری التی دلّت علیها الآیات الشریفة، وهی إعلاء الدین وإقامة معالمه فی النفوس والسلوک الاجتماعیّ ولا خفاء فی الأثر التربویّ البالغ لأسلوب الشعیرة وممارستها فی عطاء هاتین الغایتَین السامیتَین</w:t>
      </w:r>
      <w:r>
        <w:rPr>
          <w:rFonts w:eastAsia="IRNazanin" w:cs="IRNazanin"/>
          <w:color w:val="111111"/>
          <w:sz w:val="28"/>
          <w:szCs w:val="28"/>
          <w:rtl w:val="true"/>
          <w:lang w:bidi="fa-IR"/>
        </w:rPr>
        <w:t>.</w:t>
      </w:r>
      <w:bookmarkStart w:id="88" w:name="pg2944_24397"/>
    </w:p>
    <w:p>
      <w:pPr>
        <w:pStyle w:val="Heading3"/>
        <w:numPr>
          <w:ilvl w:val="2"/>
          <w:numId w:val="1"/>
        </w:numPr>
        <w:rPr/>
      </w:pPr>
      <w:bookmarkStart w:id="89" w:name="__RefHeading___Toc110464_2749589250"/>
      <w:bookmarkStart w:id="90" w:name="_Toc34"/>
      <w:bookmarkEnd w:id="88"/>
      <w:bookmarkEnd w:id="89"/>
      <w:r>
        <w:rPr>
          <w:rtl w:val="true"/>
        </w:rPr>
        <w:t>الجهة الثالثة</w:t>
      </w:r>
      <w:r>
        <w:rPr>
          <w:rtl w:val="true"/>
        </w:rPr>
        <w:t xml:space="preserve">: </w:t>
      </w:r>
      <w:r>
        <w:rPr>
          <w:rtl w:val="true"/>
        </w:rPr>
        <w:t xml:space="preserve">فی معنی وماهیة الموضوع </w:t>
      </w:r>
      <w:r>
        <w:rPr>
          <w:rtl w:val="true"/>
        </w:rPr>
        <w:t>(</w:t>
      </w:r>
      <w:r>
        <w:rPr>
          <w:rtl w:val="true"/>
        </w:rPr>
        <w:t>وهو الشعائر</w:t>
      </w:r>
      <w:r>
        <w:rPr>
          <w:rtl w:val="true"/>
        </w:rPr>
        <w:t xml:space="preserve">) </w:t>
      </w:r>
      <w:r>
        <w:rPr>
          <w:rtl w:val="true"/>
        </w:rPr>
        <w:t>لغةً</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10466_2749589250"/>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إنّ معرفة الحکم الإجمالیّ للشعائر یتوقّف علی تحریر معنی الشعیرة أو الشعائر فی الوضع اللغویّ فیجب التأمّل فی العناوین الواردة فی الأدلّة، وهی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بموضوعات المسألة، وقد تقدّم أنّ المقصود من الموضوع هو قیود الحکم، وقیود الحکم فی اصطلاح علم أصول الفقه،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لوجوب صلاة الظهر، ومن قبیل الخمر لحرمة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عناوین بمتعلّقات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حینئذٍ، فی أیّ مبحثٍ فقهیّ من تحرّی معنی تلک العناوین الواردة، هل هی باقیة علی وضعها اللغویّ، أو أنها نُقِلت إلی معنی وضعیّ آخر بوضع الشارع، والّذی یُسمّی فی الاصطلاح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بدایة ما أفرزه البحث من استطراد الأدلة، هو التأمّل فی الألفاظ الواردة فیها، هل هی باقیة علی وضعها اللغویّ أو أنّها حقیقة شرعیّة؟ ووجه أهمیّة هذا الجانب هو أنّه إذا کان العنوان باقیاً علی وضعه اللغویّ، فنتمسّک بإطلاقه، وبماهیّته اللغویّة المقرّرة فی اللغة وفی الوضع العُرفیّ وأمّا إذا نُقل من قبل الشارع إلی معنی آخر، وحقیقة معیّنة جدیدة،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معرفة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ألسنة الشارع، ولیس لنا الرجوع إلی الوضع اللغویّ الأوّلیّ</w:t>
      </w:r>
      <w:r>
        <w:rPr>
          <w:rFonts w:eastAsia="IRNazanin" w:cs="IRNazanin"/>
          <w:color w:val="111111"/>
          <w:sz w:val="28"/>
          <w:szCs w:val="28"/>
          <w:rtl w:val="true"/>
          <w:lang w:bidi="fa-IR"/>
        </w:rPr>
        <w:t>.</w:t>
      </w:r>
      <w:bookmarkStart w:id="93" w:name="pg2944_24400"/>
    </w:p>
    <w:p>
      <w:pPr>
        <w:pStyle w:val="BookText"/>
        <w:rPr/>
      </w:pPr>
      <w:bookmarkEnd w:id="93"/>
      <w:r>
        <w:rPr>
          <w:rFonts w:ascii="IRNazanin" w:hAnsi="IRNazanin" w:eastAsia="IRNazanin"/>
          <w:color w:val="111111"/>
          <w:sz w:val="28"/>
          <w:sz w:val="28"/>
          <w:szCs w:val="28"/>
          <w:rtl w:val="true"/>
          <w:lang w:bidi="fa-IR"/>
        </w:rPr>
        <w:t>وقد ذکر علماء الأصول أنّ العناوین الّتی ترد فی الأدلة، إذا لم یدلّ دلیل علی کونها نُقلت إلی معنی آخر؛ فهی باقیة علی معناها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استعمال شائع لأیّ لفظةٍ، ولأیّ عنوان ورد فی الأدلّة الشرعیّة، ولم تَقُم قرینة أو لم یَقیم دلیل معین علی أنّه نُقل من معناه اللغویّ إلی معنی جدید، فإنّه یبقی علی وضعه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البحث فی تحریر معنی الشعیرة، أو الشعائر فی الوضع اللغویّ؛ ثم بعد ذلک نبحث عن مدی وجود دلیلٍ أو موجبٍ لنقل هذه اللفظة من وضعها اللغویّ، إلی وضع شرعیّ، وحقیقة شرعیّة</w:t>
      </w:r>
      <w:r>
        <w:rPr>
          <w:rFonts w:eastAsia="IRNazanin" w:cs="IRNazanin"/>
          <w:color w:val="111111"/>
          <w:sz w:val="28"/>
          <w:szCs w:val="28"/>
          <w:rtl w:val="true"/>
          <w:lang w:bidi="fa-IR"/>
        </w:rPr>
        <w:t>.</w:t>
      </w:r>
    </w:p>
    <w:p>
      <w:pPr>
        <w:pStyle w:val="Heading4"/>
        <w:numPr>
          <w:ilvl w:val="3"/>
          <w:numId w:val="1"/>
        </w:numPr>
        <w:rPr/>
      </w:pPr>
      <w:bookmarkStart w:id="94" w:name="__RefHeading___Toc110468_2749589250"/>
      <w:bookmarkStart w:id="95" w:name="_Toc36"/>
      <w:bookmarkEnd w:id="94"/>
      <w:r>
        <w:rPr>
          <w:rtl w:val="true"/>
        </w:rPr>
        <w:t>الشعائر فی کتب اللغة</w:t>
      </w:r>
      <w:bookmarkEnd w:id="95"/>
    </w:p>
    <w:p>
      <w:pPr>
        <w:pStyle w:val="BookText"/>
        <w:rPr/>
      </w:pPr>
      <w:r>
        <w:rPr>
          <w:rFonts w:ascii="IRNazanin" w:hAnsi="IRNazanin" w:eastAsia="IRNazanin"/>
          <w:color w:val="111111"/>
          <w:sz w:val="28"/>
          <w:sz w:val="28"/>
          <w:szCs w:val="28"/>
          <w:rtl w:val="true"/>
          <w:lang w:bidi="fa-IR"/>
        </w:rPr>
        <w:t>بالنسبة إلی لفظة الشعائر، أو الشعیرة، کما وردت فی المعاجم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العین للخلیل بن أحمد الفراهیدیّ؛</w:t>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الشِّعار دون الدِّثار، تصفه بالقُرب والمودة، وأَشْعَرَ فلانٌ قلبی همّاً، ألبسه بالهمّ حتی جعله شعاراً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أی عِلمی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یُشْعِرُکَ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عقلتُه وفهمتُه والمشعَر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المنسک من مشاعر الحجّ 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 من شعائر الحجّ والشعیرة من شعائر الحجّ</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فالخلیل بن أحمد أثبت کلتا اللغتَین فی اللفظة المفردة، مفرد الشعائر، فجعلها شعیرة، وجعلها أیضاً شعاراً ثم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والشعیرة البُدن، وأشعرتُ هذه البُدن نُسکاً أی جعلتُها شعیرة تُهدی، وإشعارها</w:t>
      </w:r>
    </w:p>
    <w:p>
      <w:pPr>
        <w:pStyle w:val="BookText"/>
        <w:rPr/>
      </w:pPr>
      <w:r>
        <w:rPr>
          <w:rFonts w:ascii="Amiri" w:hAnsi="Amiri" w:eastAsia="Amiri" w:cs="Amiri"/>
          <w:color w:val="111111"/>
          <w:sz w:val="28"/>
          <w:sz w:val="28"/>
          <w:szCs w:val="28"/>
          <w:rtl w:val="true"/>
          <w:lang w:bidi="ar-SA"/>
        </w:rPr>
        <w:t>أن یُوجأ سِنامها بسکّین فیسیل الدم علی جانبها فتُعرف أنّها بدنةُ هَدْی وسبب تسمیة البُدن بالشعیرة أو بالشعار أنّها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یُعلم أنّها بُدن للهَدی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أنَّ هناک معنی مشترکاً بین موارد استعمال الشعائر، حیث نراها تستعمل بکثرة بمعنی العلامة والاستعلام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والشعائر أعمال الحجّ، وکلّ ما جُعل عَلَماً لطاعة الله تعالی، والمشاعر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المناسک، والمشاعر الحواسّ؛ والشَعار ما ولی الجسد من الثیاب، وشعار القوم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علامتهم لیعرف بعضهم بعضاً، وأشعر الرجل هماً، إذا لزق بمکان الشعار من الثیاب فی الجسد وأشعرتُه فشَعر، أی أدریتُه فدری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 أیضاً لم یزد علی ما ذکره الخلیل، والجوهریّ فی صحاحه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أشعَرَه الأمر أی أعلمه، وأشعرَها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لها شعیرة، وشعار الحجّ مناسکه وعلاماته، والشعیرة والشعارة والمشعر موضعها أو شعائره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 الّتی ندب الله الیها وأمر بالقیام بها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 هذا التعبیر أیضاً یُقال للواحدة شعارَة وهو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یدلّ علی أنّ شعیرة صحیحة، ولکن الأصحّ والأحسن شعارة والإشعار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من طریق الحسّ ومنه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واحدها مَشعر، وهی المواضع التی قد أُشعرت بعلامات؛ ومنه الشعر، لأنّه بحیث یقع الشعور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الشاعر، لأنّه یشعر بفطنته بما لا یفطن له غیره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96" w:name="pg2944_24402"/>
    </w:p>
    <w:p>
      <w:pPr>
        <w:pStyle w:val="BookText"/>
        <w:rPr/>
      </w:pPr>
      <w:bookmarkEnd w:id="9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لله‌تعالی فیه أمرٌ أشعَر به وأعلم یقال له شعاره، أو 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وأشعرتُ أعلمتُ الشعیرة العلامة، وشعائر الله أعلام دینه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10470_2749589250"/>
      <w:bookmarkStart w:id="98" w:name="_Toc37"/>
      <w:bookmarkEnd w:id="97"/>
      <w:r>
        <w:rPr>
          <w:rtl w:val="true"/>
        </w:rPr>
        <w:t>نتیجة المطاف</w:t>
      </w:r>
      <w:bookmarkEnd w:id="98"/>
    </w:p>
    <w:p>
      <w:pPr>
        <w:pStyle w:val="Heading5"/>
        <w:numPr>
          <w:ilvl w:val="4"/>
          <w:numId w:val="1"/>
        </w:numPr>
        <w:rPr/>
      </w:pPr>
      <w:bookmarkStart w:id="99" w:name="__RefHeading___Toc110472_2749589250"/>
      <w:bookmarkStart w:id="100" w:name="_Toc38"/>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تحصّل من مجموع کلمات اللغویّین والمفسّرین أنّ موارد استعمال هذه المادّة وهذه اللفظة فی موارد الإعلام الحسّیّ وهی جنبة إعلامیّة کما یظهر من أدلّة اللسان الثانی للأدلة القرآنیّة الواردة بغیر لفظة الشعائر، وهی ترکّز علی جانب الإعلام الدینیّ، أو نشر الدین وبثّ نور الله سبحانه وعدم إطفائه هذه التعابیر کلّها عبارة عن المراد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جنبة أخری فی الشعائر، وهی جنبة الإعلاء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موجودة فی لسان الأدلّة أیضاً بید أنّها غیر موجودة فی ماهیّة الشعائر وإنّما هی موجودة فی ماهیّة المتعلّق الّذی تعلّق بالشعائر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التعظیم هو العلوّ والرفعة والسموّ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تبتذلوها، ولا تستهینوا بها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اللسان الأوّل الّذی ورد فیه لفظة الشعائر فی الموضوع رکّز علی جنبة الإعلام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ما استخلصناه من أنّ معنی الشعیرة والشعائر عند اللغویین هو</w:t>
      </w:r>
    </w:p>
    <w:p>
      <w:pPr>
        <w:pStyle w:val="BookText"/>
        <w:rPr/>
      </w:pPr>
      <w:r>
        <w:rPr>
          <w:rFonts w:ascii="IRNazanin" w:hAnsi="IRNazanin" w:eastAsia="IRNazanin"/>
          <w:color w:val="111111"/>
          <w:sz w:val="28"/>
          <w:sz w:val="28"/>
          <w:szCs w:val="28"/>
          <w:rtl w:val="true"/>
          <w:lang w:bidi="fa-IR"/>
        </w:rPr>
        <w:t>الإعلام الحسّیّ ولیس هو الإعلام الفکریّ المحض الّذی یکون من وراء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فالإعلام الفکری لا یسمّی شعائر بل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العلامة الحسّیّة الموضوعة الّتی تشیر وتُنبی‌ء عن معنی دینیّ له نسبةٌ ما إلی الله عزّ وجلّ وإلی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جنبة الإعلام الموجودة فی اللسان الأوّل من الآیات والجَنبة الثانیة الّتی تظهر من خلال لسان الدلیل الثانی، وهی جنبة الإعلاء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وَکَلِمَةُ اللَّهِ هِیَ الْعُلْیَا</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أنّ کلتا الجنبتَین، حاصلتان فی اللسان الأوّل؛ غایة الأمر أنّ جنبة الإعلام والنشر والبثّ ظاهرة فی موضوع الدلیل وهو الشعائر وجنبة الإعلاء والتعظیم وعدم الاستهانة مطویّة فی متعلّق الدلیل وهو التعظیم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خُلّینا وهذا المعنی اللغویّ فالمعنی عامّ؛ کما ذکر القرطبی أیضاً تبعاً لبعض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أعلَمَ بالله عزّ وجل أو أعلَم بمعنیً من المعانی المنتسِبة إلی الله عزّ وجل فهو شعار، وشعائر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حیث الوضع اللغویّ، والماهیّة اللغویّة فإنّ الشعائر والشعار والشَعارة هو کلّ ما له إعلام حسّیّ بمعنی من المعانی الدینیّة، وله إضافة ما بالله عزّ وجلّ، وبدینه وبأمره وبإرادته وبأحکامه وبمراضیه</w:t>
      </w:r>
      <w:r>
        <w:rPr>
          <w:rFonts w:eastAsia="IRNazanin" w:cs="IRNazanin"/>
          <w:color w:val="111111"/>
          <w:sz w:val="28"/>
          <w:szCs w:val="28"/>
          <w:rtl w:val="true"/>
          <w:lang w:bidi="fa-IR"/>
        </w:rPr>
        <w:t>.</w:t>
      </w:r>
      <w:bookmarkStart w:id="101" w:name="pg2944_24404"/>
    </w:p>
    <w:p>
      <w:pPr>
        <w:pStyle w:val="Heading5"/>
        <w:numPr>
          <w:ilvl w:val="4"/>
          <w:numId w:val="1"/>
        </w:numPr>
        <w:rPr/>
      </w:pPr>
      <w:bookmarkStart w:id="102" w:name="__RefHeading___Toc110474_2749589250"/>
      <w:bookmarkStart w:id="103" w:name="_Toc39"/>
      <w:bookmarkEnd w:id="101"/>
      <w:bookmarkEnd w:id="102"/>
      <w:r>
        <w:rPr>
          <w:rtl w:val="true"/>
        </w:rPr>
        <w:t>الفرق بین النُسک والشعائر</w:t>
      </w:r>
      <w:bookmarkEnd w:id="103"/>
    </w:p>
    <w:p>
      <w:pPr>
        <w:pStyle w:val="BookText"/>
        <w:rPr/>
      </w:pPr>
      <w:r>
        <w:rPr>
          <w:rFonts w:ascii="IRNazanin" w:hAnsi="IRNazanin" w:eastAsia="IRNazanin"/>
          <w:color w:val="111111"/>
          <w:sz w:val="28"/>
          <w:sz w:val="28"/>
          <w:szCs w:val="28"/>
          <w:rtl w:val="true"/>
          <w:lang w:bidi="fa-IR"/>
        </w:rPr>
        <w:t>فإذن الشعار لیس هو النُسک من حیث هو نُسک قد سُمّیت النُسک مشاعر لأنّ فیها جنبة إعلام نُسک الحجّ تسمّی مشاعر بتطبیق المعنی اللغویّ علیها، من جهة أنّ الحجّ یمثّل مؤتمراً ومَجمَعاً ومحلاً لالتقاء وتقارب الأهداف المشترکة والغایات الموحّدة لهم فحینئذٍ کلّ ما یمارسوه من أعمال بالرسم المجموعیّ یکون فیه جنبة إعلان للدین ولعظمة الدین، وفیه دلالة واضحة للوحدة والألفة للأمّة الإسلامیّة؛ ومن ثمّ سمّیت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بالمشعر باعتبار أنّ فیها جنبة الإعلام دون غیرها وربما تسمّی صلاة الجماعة أیضاً بالمشعر وتسمّی مساجد الله، بالمشعر، والسرّ فی ذلک هو ما ذکرنا من أنّ هذه القاعدة الشرعیّة الفقهیّة، لها حکمٌ متمیز ومغایر لبقیّة الأحکام ولیس کما قال بعض علماء العامّة بأنّ الشعائر تعنی دین الله لأنّ الشعائر هی الإعلام لدین الله، وإعلاءُ دین الله وبالتالی إحیاء معالم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فلها متعلّق خاصّ وحکم خاصّ وموضوع خاصّ وسیتبیّن أیضاً أن جعل الشعائر وحکمها لیس ثانویّاً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10476_2749589250"/>
      <w:bookmarkStart w:id="105" w:name="_Toc40"/>
      <w:bookmarkEnd w:id="104"/>
      <w:r>
        <w:rPr>
          <w:rtl w:val="true"/>
        </w:rPr>
        <w:t>المعنی الجامع بین اللغویّین</w:t>
      </w:r>
      <w:bookmarkEnd w:id="10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المعنی الجامع العامّ الّذی یقف عنده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ماهیّة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جنبة الإعلام الحسّیّ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 شی‌ء أو أمر تظهر فیه مبارزة دینیّة وفیه جنبة إعلام عن معنی من المعانی الدینیّة، أو حکمٍ من الأحکام الدینیّة، أو سلوکٍ من القیم الدینیّة وما شابه ذلک یسمّی شعاراً أو شعائر</w:t>
      </w:r>
      <w:r>
        <w:rPr>
          <w:rFonts w:eastAsia="IRNazanin" w:cs="IRNazanin"/>
          <w:color w:val="111111"/>
          <w:sz w:val="28"/>
          <w:szCs w:val="28"/>
          <w:rtl w:val="true"/>
          <w:lang w:bidi="fa-IR"/>
        </w:rPr>
        <w:t>.</w:t>
      </w:r>
      <w:bookmarkStart w:id="106" w:name="pg2944_24405"/>
    </w:p>
    <w:p>
      <w:pPr>
        <w:pStyle w:val="Heading3"/>
        <w:numPr>
          <w:ilvl w:val="2"/>
          <w:numId w:val="1"/>
        </w:numPr>
        <w:rPr/>
      </w:pPr>
      <w:bookmarkStart w:id="107" w:name="__RefHeading___Toc110478_2749589250"/>
      <w:bookmarkStart w:id="108" w:name="_Toc41"/>
      <w:bookmarkEnd w:id="106"/>
      <w:bookmarkEnd w:id="107"/>
      <w:r>
        <w:rPr>
          <w:rtl w:val="true"/>
        </w:rPr>
        <w:t>الجهة الرابعة</w:t>
      </w:r>
      <w:r>
        <w:rPr>
          <w:rtl w:val="true"/>
        </w:rPr>
        <w:t xml:space="preserve">: </w:t>
      </w:r>
      <w:r>
        <w:rPr>
          <w:rtl w:val="true"/>
        </w:rPr>
        <w:t>فی کیفیّة تحقّق الموضوع ومعالجة بعض قواعد التشریع</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110480_2749589250"/>
      <w:bookmarkStart w:id="110" w:name="_Toc42"/>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بعد معرفة أنّ الأصل الأوّلیّ ومقتضی القاعدة الأوّلیّة هو أنّ الشارع إذا أورد عنواناً معیّناً فی دلیلٍ من الأدلّة فإنّه یجب أن یبقی علی معناه اللغویّ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کلّ دلیل ورد من الشارع یبقی علی معناه اللغویّ ما لم ینقله الشارع إلی الحقیقة الشرعیّة؛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هناک أمر آخر یضیفه الأصولیّون، وهو تحقّق هذا العنوان وحصوله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تارة نتکلّم فی مرحلة التأطیر والتنظیر وفی أفق الذهن، أو فی أفق اللوح باعتباره القانون، فحینئذ یبقی المعنی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نتکلّم عن مرحلة أخری هی غیر التنظیر القانونیّ، بل هی مرحلة التطبیق فی الخارج والوجود فی الخارج فی هذه المرحلة أیضاً، فما لم یعبّدْنا الشارع ویتصرّف فی الوجود الخارجیّ لأیّ عنوان؛ فالأصل الأوّلیّ هو أن یکون وجوده ومجاله أیضاً عُرفیّاً سواء کان له وجودٌ تکوینیٌ، أو کان له وجود اعتباریٌ لدی العُرف إلاّ أن یجعل الشارع له وجوداً خاصّاً بأن ینصب دلیلاً علی ذلک</w:t>
      </w:r>
    </w:p>
    <w:p>
      <w:pPr>
        <w:pStyle w:val="BookText"/>
        <w:rPr/>
      </w:pPr>
      <w:r>
        <w:rPr>
          <w:rFonts w:ascii="IRNazanin" w:hAnsi="IRNazanin" w:eastAsia="IRNazanin"/>
          <w:color w:val="111111"/>
          <w:sz w:val="28"/>
          <w:sz w:val="28"/>
          <w:szCs w:val="28"/>
          <w:rtl w:val="true"/>
          <w:lang w:bidi="fa-IR"/>
        </w:rPr>
        <w:t>أمثلة علی تحدید الوجود الخارجیّ للموضوع من الشارع المقدّس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الطلاق، لو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امرأتی، أو أطلّقُکِ، أو سأُطلّقک فکلّ هذه الصیغ لا یُمضیها الشارع ولا یقرّها، وهی غیر مُحقّقة، ولا موجِدة للطلاق، وإن کانت فی العرف موجِدةً له لکن عند الشارع لا أثر لها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بلفظ اسم الفاعل المراد منه اسم المفعول</w:t>
      </w:r>
      <w:r>
        <w:rPr>
          <w:rFonts w:eastAsia="IRNazanin" w:cs="IRNazanin"/>
          <w:color w:val="111111"/>
          <w:sz w:val="28"/>
          <w:szCs w:val="28"/>
          <w:rtl w:val="true"/>
          <w:lang w:bidi="fa-IR"/>
        </w:rPr>
        <w:t>.</w:t>
      </w:r>
      <w:bookmarkStart w:id="111" w:name="pg2944_24408"/>
    </w:p>
    <w:p>
      <w:pPr>
        <w:pStyle w:val="BookText"/>
        <w:rPr/>
      </w:pPr>
      <w:bookmarkEnd w:id="111"/>
      <w:r>
        <w:rPr>
          <w:rFonts w:ascii="IRNazanin" w:hAnsi="IRNazanin" w:eastAsia="IRNazanin"/>
          <w:color w:val="111111"/>
          <w:sz w:val="28"/>
          <w:sz w:val="28"/>
          <w:szCs w:val="28"/>
          <w:rtl w:val="true"/>
          <w:lang w:bidi="fa-IR"/>
        </w:rPr>
        <w:t>هنا الشارع وإن لم یتصرّف فی ماهیّة الطلاق ولم یتصرّف فی عنوانه، بل أبقاه علی معناه اللغویّ، لکنّه تصرّف فی کیفیّة وجوده وحصوله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لا یکون حلفاً شرعیّاً بالله، والنذر لا یکون نذراً لله‌إلاّ أن تأتی به بالصیغة الخاصة، فهذا تصرّف فی کیفیّة الوجود فإن دلّ الدلیل علی کیفیّة تصرّف خاصّة من الشارع وفی کیفیّة الوجود، فلا یتحقّق ذلک الأمر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یَقُم الدلیل من الشارع علی ذلک، فمقتضی القاعدة الأوّلیّة أنّ وجوده یکون وجوداً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تکوینیّاً کان أو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یرد دلیل من الشارع لتحدید وجوده وحصوله فی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نرجع إلی محلّ البحث؛ لو لم یکن دلیل إلاّ عموم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وعموم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وقلنا أنّ المعنی یبقی علی حاله، حیث إنّ الشارع لم یتصرّف فی معناه اللغویّ الّذی هو ما یقال عنه مرحلة تقنین القانون ولم یتصرّف أیضاً فی مرحلة التطبیق الخارجیّ من جهة خارجیّة فما یتّفق علیه العُرف بحیث یُصبح تبیاناً وإضاءةً لمعنی من المعانی الدینیّة، یُصبح شعیرةً وشَعاراً ویجدر التنبیه هنا علی أنّ وجودات الأشیاء علی قسمَین</w:t>
      </w:r>
      <w:r>
        <w:rPr>
          <w:rFonts w:eastAsia="IRNazanin" w:cs="IRNazanin"/>
          <w:color w:val="111111"/>
          <w:sz w:val="28"/>
          <w:szCs w:val="28"/>
          <w:rtl w:val="true"/>
          <w:lang w:bidi="fa-IR"/>
        </w:rPr>
        <w:t>:</w:t>
      </w:r>
    </w:p>
    <w:p>
      <w:pPr>
        <w:pStyle w:val="Heading4"/>
        <w:numPr>
          <w:ilvl w:val="3"/>
          <w:numId w:val="1"/>
        </w:numPr>
        <w:rPr/>
      </w:pPr>
      <w:bookmarkStart w:id="112" w:name="__RefHeading___Toc110482_2749589250"/>
      <w:bookmarkStart w:id="113" w:name="_Toc43"/>
      <w:bookmarkEnd w:id="112"/>
      <w:r>
        <w:rPr>
          <w:rtl w:val="true"/>
        </w:rPr>
        <w:t>الوجود التکوینیّ والوجود الإعتباریّ للأشیاء</w:t>
      </w:r>
      <w:bookmarkEnd w:id="113"/>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التکوینیّ؛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الماء، الحجر، الشجر، الإنسان، الحیوان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غیر تکوینیّ، بل هو إعتباریّ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فرضیّ، ولو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فالبائع والمشتری یتّفقان علی البیع بخصوصیّاته فیتقیّدان بألفاظ</w:t>
      </w:r>
      <w:bookmarkStart w:id="114" w:name="pg2944_24409"/>
    </w:p>
    <w:p>
      <w:pPr>
        <w:pStyle w:val="BookText"/>
        <w:rPr/>
      </w:pPr>
      <w:bookmarkEnd w:id="114"/>
      <w:r>
        <w:rPr>
          <w:rFonts w:ascii="IRNazanin" w:hAnsi="IRNazanin" w:eastAsia="IRNazanin"/>
          <w:color w:val="111111"/>
          <w:sz w:val="28"/>
          <w:sz w:val="28"/>
          <w:szCs w:val="28"/>
          <w:rtl w:val="true"/>
          <w:lang w:bidi="fa-IR"/>
        </w:rPr>
        <w:t>الإیجاب والقبول فیها 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البیع أو الإجارة أو الوصیّة أو المعاملة لیس لها وجود حسّیّ خارجیّ وإنّما وجودها بکیفیّات إعتباریّة فرضیّة فی عالم فرضیّ یمثّل القانون سواء قانون الوضع البشریّ، أو حتّی قانون الوضع الشرعیّ عند الفقهاء، إذ یحملون هذا علی الاعتبار الفرضیّ فهو عالَم اعتبار لما یتّخذه العقلاء من فرضیّات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العقلاء یفترضون عالماً فرضیّاً معیّناً لوحة خاصّة بالعقلاء، لوحة القانون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فوجودات الأشیاء علی أنحاء تارةً نسق الوجود التکوینیّ، وتارة نسق الوجود الاعتباری، وإن کان اعتبارات الشارع وتقنینات الشارع وفرضیّات الشارع وقوانینه یُطلق علیها أیضاً اعتبار شرعیّ ولکن من الشارع</w:t>
      </w:r>
      <w:r>
        <w:rPr>
          <w:rFonts w:eastAsia="IRNazanin" w:cs="IRNazanin"/>
          <w:color w:val="111111"/>
          <w:sz w:val="28"/>
          <w:szCs w:val="28"/>
          <w:rtl w:val="true"/>
          <w:lang w:bidi="fa-IR"/>
        </w:rPr>
        <w:t>.</w:t>
      </w:r>
    </w:p>
    <w:p>
      <w:pPr>
        <w:pStyle w:val="Heading4"/>
        <w:numPr>
          <w:ilvl w:val="3"/>
          <w:numId w:val="1"/>
        </w:numPr>
        <w:rPr/>
      </w:pPr>
      <w:bookmarkStart w:id="115" w:name="__RefHeading___Toc110484_2749589250"/>
      <w:bookmarkStart w:id="116" w:name="_Toc44"/>
      <w:bookmarkEnd w:id="115"/>
      <w:r>
        <w:rPr>
          <w:rtl w:val="true"/>
        </w:rPr>
        <w:t>خلاصة القول</w:t>
      </w:r>
      <w:bookmarkEnd w:id="116"/>
    </w:p>
    <w:p>
      <w:pPr>
        <w:pStyle w:val="BookText"/>
        <w:rPr/>
      </w:pPr>
      <w:r>
        <w:rPr>
          <w:rFonts w:ascii="IRNazanin" w:hAnsi="IRNazanin" w:eastAsia="IRNazanin"/>
          <w:color w:val="111111"/>
          <w:sz w:val="28"/>
          <w:sz w:val="28"/>
          <w:szCs w:val="28"/>
          <w:rtl w:val="true"/>
          <w:lang w:bidi="fa-IR"/>
        </w:rPr>
        <w:t>أنّ کلّ عنوان أُخذ فی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أو الهبة، أو الوصیّة، أو الشعائر، أو الطلاق، أو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أُبقی علی معناه اللغویّ؛ وأیضاً أُبقی علی ما هو علیه من الوجود عند العرف فبها غایة الأمر أنّ الوجود عند العرف لیس وجوداً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وجودٌ طاری‌ءٌ اعتباریّ فی لوحة تقنیناتهم وفی لوحة اعتبارهم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یقول الشارع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الّذی هو بیعٌ عند الشارع قد أحلّه الله، لأن ذلک یکون تحصیل الحاصل، لأنّ البیع الّذی عند الشارع هو حلالٌ من أساسه بل المقصود مِن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17" w:name="pg2944_24410"/>
    </w:p>
    <w:p>
      <w:pPr>
        <w:pStyle w:val="BookText"/>
        <w:rPr/>
      </w:pPr>
      <w:bookmarkEnd w:id="117"/>
      <w:r>
        <w:rPr>
          <w:rFonts w:ascii="IRNazanin" w:hAnsi="IRNazanin" w:eastAsia="IRNazanin"/>
          <w:color w:val="111111"/>
          <w:sz w:val="28"/>
          <w:sz w:val="28"/>
          <w:szCs w:val="28"/>
          <w:rtl w:val="true"/>
          <w:lang w:bidi="fa-IR"/>
        </w:rPr>
        <w:t>المراد أنّ البیع والعقود الّتی تکون متداولة فی أفق اعتبارکم أنتم أیها العقلاء قد 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بها وقد أحللتها لکم فإذن قد أبقاها الشارع علی ما هی علیه من وجود ومعنیً لغویّ عند العقلاء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یتصرّف الشارع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یقیّدها بوجود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یتبیّن أنّ الأشیاء قد یبقیها الشارع علی معناها اللغویّ، ویبقی وجودها فی المقام الآخر علی ما هی علیه من وجود إمّا تکوینیّ أو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فإنّ العلامة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عقلیّة أو طبعیّة، أو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الشعائر أو الشعیرة هی علامة تکوینیّة أم عقلیة أم طبعیّة أم هی وضعیّة؟</w:t>
      </w:r>
      <w:r>
        <w:rPr>
          <w:rFonts w:eastAsia="IRNazanin" w:cs="IRNazanin"/>
          <w:color w:val="111111"/>
          <w:sz w:val="28"/>
          <w:szCs w:val="28"/>
          <w:rtl w:val="true"/>
          <w:lang w:bidi="fa-IR"/>
        </w:rPr>
        <w:t>.</w:t>
      </w:r>
    </w:p>
    <w:p>
      <w:pPr>
        <w:pStyle w:val="Heading4"/>
        <w:numPr>
          <w:ilvl w:val="3"/>
          <w:numId w:val="1"/>
        </w:numPr>
        <w:rPr/>
      </w:pPr>
      <w:bookmarkStart w:id="118" w:name="__RefHeading___Toc110486_2749589250"/>
      <w:bookmarkStart w:id="119" w:name="_Toc45"/>
      <w:bookmarkEnd w:id="118"/>
      <w:r>
        <w:rPr>
          <w:rtl w:val="true"/>
        </w:rPr>
        <w:t>الشعیرة علامة وضعیّة</w:t>
      </w:r>
      <w:bookmarkEnd w:id="119"/>
    </w:p>
    <w:p>
      <w:pPr>
        <w:pStyle w:val="BookText"/>
        <w:rPr/>
      </w:pPr>
      <w:r>
        <w:rPr>
          <w:rFonts w:ascii="IRNazanin" w:hAnsi="IRNazanin" w:eastAsia="IRNazanin"/>
          <w:color w:val="111111"/>
          <w:sz w:val="28"/>
          <w:sz w:val="28"/>
          <w:szCs w:val="28"/>
          <w:rtl w:val="true"/>
          <w:lang w:bidi="fa-IR"/>
        </w:rPr>
        <w:t>نری أنّ الشعیرة والشعار هی علامة وضعیّة ولیست عقلیّة ولا طبعیّة وهنا مفترق خطیر فی تحلیل الماهیّة للتصدّی للکثیر من الإشکالات أو النظریّات الّتی تُقال فی قاعدة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أنّ الشعیرة هی علامة وضعیّة بمعنی أنّ لها نوعاً من الاقتران والربط والعُلقة الاعتباریّة فالوضع هو اعتباری وفرضیّ بین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کذلک فی الأمور الدینیّة أیضاً مثلاً کان شعار المسلمین فی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حیث یستحب فی باب الجهاد أن یضع قائد جیش المسلمین علامة وشعاراً معیّناً للجیش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الشعائر أو الشعارة هی ربط اعتباریّ ووضع جعلیّ فطبیعتها عند العرف هو</w:t>
      </w:r>
    </w:p>
    <w:p>
      <w:pPr>
        <w:pStyle w:val="BookText"/>
        <w:rPr/>
      </w:pPr>
      <w:r>
        <w:rPr>
          <w:rFonts w:ascii="IRNazanin" w:hAnsi="IRNazanin" w:eastAsia="IRNazanin"/>
          <w:color w:val="111111"/>
          <w:sz w:val="28"/>
          <w:sz w:val="28"/>
          <w:szCs w:val="28"/>
          <w:rtl w:val="true"/>
          <w:lang w:bidi="fa-IR"/>
        </w:rPr>
        <w:t>الاعتبار؛ حتّی شعار الدولة وشعار المؤسسات وشعار الأندیة، والوزارات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والشرکات التجاریة، والفرق الریاضیة لکنّ کلّ ذلک أمر اعتباری فهو علامة حسّیّة دالّة علی معنی معین لکنّ الوضع والعلقة فیه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الالتفات إلی تحلیل أعمق لماهیّة الشعائر والشعیرة فماهیّة الشعار والشعیرة علامة حسّیّة لمعنی من المعانی الدینیّة ولکنّ هذه العلامة لیست تکوینیّة، ولا عقلیّة، ولا طبعیّة وإنّما هی علامة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فالشعائر هی التی تفید الإعلام، وکلّ ما یُعلِم علی معنی من المعانی الدینیّة، أو یدلّ علی شی‌ء له نسبة إلی الله عزّ وجل، فإنّ هذا الإعلام والربط بین المَعْلَم والمُعلَم به وهذا الربط هو فی الماهیّة وضعیّ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یتحقّق بالعُلقة والوضع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تحقّق ماهیّة الشعائر والشعیرة بالعُلقة الوضعیّة الاعتباریة، وافتراضنا أنّ الشارع لم یتصرّف فی کیفیّة الوجود بمعنی أنّ المتشرّعة إذا اختاروا واتّخذوا سلوکاً ما علامة لمعنی دینیّ معیّن فبالتالی یکون ذلک السلوک من مصادیق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أنّ ماهیة الشعائر تتجسّد فی کلّ ما یوجب الإعلام والدلالة فیها وضعیّة والواضع لیس هو الشارع، لأنه لم یتصرّف بالموضوع فبذلک یکون الوضع قد أُجیز للعرف والعقلاء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فی البیع أنّ له ماهیّة معیّنة، وکیفیّة خاصّة حسب ما یقرّره العقلاء وکیفیّة وجوده اعتباریة وذکرنا أنّ الشارع إن لم یتصرّف فی الماهیّة والمعنی فی الدلیل الشرعیّ، ولم یتصرّف فی کیفیّة الوجود فالماهیّة تبقی علی حالها عند العقلاء؛ بخلاف الطلاق الذی تصرّف الشارع فی کیفیّة وجوده فی الخارج</w:t>
      </w:r>
      <w:r>
        <w:rPr>
          <w:rFonts w:eastAsia="IRNazanin" w:cs="IRNazanin"/>
          <w:color w:val="111111"/>
          <w:sz w:val="28"/>
          <w:szCs w:val="28"/>
          <w:rtl w:val="true"/>
          <w:lang w:bidi="fa-IR"/>
        </w:rPr>
        <w:t>.</w:t>
      </w:r>
      <w:bookmarkStart w:id="120" w:name="pg2944_24412"/>
    </w:p>
    <w:p>
      <w:pPr>
        <w:pStyle w:val="Heading4"/>
        <w:numPr>
          <w:ilvl w:val="3"/>
          <w:numId w:val="1"/>
        </w:numPr>
        <w:rPr/>
      </w:pPr>
      <w:bookmarkStart w:id="121" w:name="__RefHeading___Toc110488_2749589250"/>
      <w:bookmarkStart w:id="122" w:name="_Toc46"/>
      <w:bookmarkEnd w:id="120"/>
      <w:bookmarkEnd w:id="121"/>
      <w:r>
        <w:rPr>
          <w:rtl w:val="true"/>
        </w:rPr>
        <w:t>الشعائر ومناسک الحجّ</w:t>
      </w:r>
      <w:bookmarkEnd w:id="122"/>
    </w:p>
    <w:p>
      <w:pPr>
        <w:pStyle w:val="BookText"/>
        <w:rPr/>
      </w:pPr>
      <w:r>
        <w:rPr>
          <w:rFonts w:ascii="Amiri" w:hAnsi="Amiri" w:eastAsia="Amiri" w:cs="Amiri"/>
          <w:color w:val="111111"/>
          <w:sz w:val="28"/>
          <w:sz w:val="28"/>
          <w:szCs w:val="28"/>
          <w:rtl w:val="true"/>
          <w:lang w:bidi="ar-SA"/>
        </w:rPr>
        <w:t>وممّا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خطأ عدّ مناسک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هی مناسک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الشعائر صفة عارضة لها ولیست الشعائر هی عین مناسک الحجّ کما فسّرها بعض اللغویّین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یعنی أن الماهیّة النوعیّة للإنسان هی البیاض کلاّ أو حین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یعنی أنّ الماهیّة النوعیّة للإنسان هی القیام کلاّ، إذ القیام والبیاض أو السمرة، أو السواد لیست ماهیةً للإنسان، وإنّما هذه عوارض قد تَعرض علی الماهیّة وقد تزول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کُنه الإنسان وماهیّته بشی‌ء آخر، لا بهذه العوارض وکذلک مناسک الحجّ، إذ لیست ماهیّة المنسک هی الشعار بل الشعار هو ما یکمُن وینطوی فیه جنبة الإعلام والعلانیة لشی‌ء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کُنهها لیس أنّها سِمة لهذا الإنسان کنهها هو صوت متموّج یترکّب من حروف معیّنة نعم من عوارضها الطارئة علیها أنّها سِمة واسم وعلامة لهذا الإنسان وهذا من عوارضها الاعتباریة لا الحقیقیّة، حیث إنّها علامة علی ذلک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جنبة العَلامیّة لون عارض علی أعمال الحجّ، أو علی العبادات، أو علی الموارد الأخری لا أنّها عین کُنه أعمال الحجّ ولیس کون الشعائر هی نفس العبادیّة، ولا کون العبادیّة هی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یسمح الشارع فی أن یتصرف العُرف بوضع الشعائر أو غیر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سنقف علیه لاحقاً إن شاء الله تعالی</w:t>
      </w:r>
      <w:r>
        <w:rPr>
          <w:rFonts w:eastAsia="IRNazanin" w:cs="IRNazanin"/>
          <w:color w:val="111111"/>
          <w:sz w:val="28"/>
          <w:szCs w:val="28"/>
          <w:rtl w:val="true"/>
          <w:lang w:bidi="fa-IR"/>
        </w:rPr>
        <w:t>.</w:t>
      </w:r>
      <w:bookmarkStart w:id="123" w:name="pg2944_24413"/>
    </w:p>
    <w:p>
      <w:pPr>
        <w:pStyle w:val="Heading4"/>
        <w:numPr>
          <w:ilvl w:val="3"/>
          <w:numId w:val="1"/>
        </w:numPr>
        <w:rPr/>
      </w:pPr>
      <w:bookmarkStart w:id="124" w:name="__RefHeading___Toc110490_2749589250"/>
      <w:bookmarkStart w:id="125" w:name="_Toc47"/>
      <w:bookmarkEnd w:id="123"/>
      <w:bookmarkEnd w:id="124"/>
      <w:r>
        <w:rPr>
          <w:rtl w:val="true"/>
        </w:rPr>
        <w:t>الترخیص فی جعل الشعائر بید العرف</w:t>
      </w:r>
      <w:bookmarkEnd w:id="125"/>
    </w:p>
    <w:p>
      <w:pPr>
        <w:pStyle w:val="Heading5"/>
        <w:numPr>
          <w:ilvl w:val="4"/>
          <w:numId w:val="1"/>
        </w:numPr>
        <w:rPr/>
      </w:pPr>
      <w:bookmarkStart w:id="126" w:name="__RefHeading___Toc110492_2749589250"/>
      <w:bookmarkStart w:id="127" w:name="_Toc48"/>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إنّ الشارع حینما لا یتصرّف فی معنی معین ولا فی وجوده فی الخارج، فهل یعنی هذا تسویغاً من الشارع فی أن یتّخذ العُرف والعقلاء ما شاءوا من علامة لمعانی الدین وبشکل مطلق؟ أم هناک حدود وقیود وما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اتّخاذ المسلمین لهذه المعالم الحسّیّة مَعلَماً وشعاراً، سواء کانت معالم جغرافیة، کموقع بدر وغدیر خُمّ أو معلماً زمنیّاً، کمولد النبی صلی الله علیه وآله وسلم وهجرته صلی الله علیه وآله وسلم وتواریخ الوقائع المهمة أو مَعْلَماً آخر غیر زمانیّ ولا مکانیّ، کأن یکون ممارسةً فعلیّة هل هذا فیه ترخیص من الشارع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للإجابة علی هذا السؤال المهمّ لا بدّ من تحریر النقاط التالیة</w:t>
      </w:r>
      <w:r>
        <w:rPr>
          <w:rFonts w:eastAsia="IRNazanin" w:cs="IRNazanin"/>
          <w:color w:val="111111"/>
          <w:sz w:val="28"/>
          <w:szCs w:val="28"/>
          <w:rtl w:val="true"/>
          <w:lang w:bidi="fa-IR"/>
        </w:rPr>
        <w:t>:</w:t>
      </w:r>
    </w:p>
    <w:p>
      <w:pPr>
        <w:pStyle w:val="Heading5"/>
        <w:numPr>
          <w:ilvl w:val="4"/>
          <w:numId w:val="1"/>
        </w:numPr>
        <w:rPr/>
      </w:pPr>
      <w:bookmarkStart w:id="128" w:name="__RefHeading___Toc110494_2749589250"/>
      <w:bookmarkStart w:id="129" w:name="_Toc49"/>
      <w:bookmarkEnd w:id="128"/>
      <w:r>
        <w:rPr>
          <w:rtl w:val="true"/>
        </w:rPr>
        <w:t>النقطة الأولی</w:t>
      </w:r>
      <w:bookmarkEnd w:id="129"/>
    </w:p>
    <w:p>
      <w:pPr>
        <w:pStyle w:val="BookText"/>
        <w:rPr/>
      </w:pPr>
      <w:r>
        <w:rPr>
          <w:rFonts w:ascii="IRNazanin" w:hAnsi="IRNazanin" w:eastAsia="IRNazanin"/>
          <w:color w:val="111111"/>
          <w:sz w:val="28"/>
          <w:sz w:val="28"/>
          <w:szCs w:val="28"/>
          <w:rtl w:val="true"/>
          <w:lang w:bidi="fa-IR"/>
        </w:rPr>
        <w:t>وهذه هی جهة الموضوع فی قاعدة الشعائر الدینیّة، وهی أنّ العناوین الّتی ترد فی لسان الشارع إذا لم یرد دلیلٌ آخر یدلّ علی نقلها من الوضع اللغویّ إلی الوضع الجدید والمعنی الجدید، فهی تبقی علی حالها، وعلی معانیها الأوّلیّة اللغویّة</w:t>
      </w:r>
      <w:r>
        <w:rPr>
          <w:rFonts w:eastAsia="IRNazanin" w:cs="IRNazanin"/>
          <w:color w:val="111111"/>
          <w:sz w:val="28"/>
          <w:szCs w:val="28"/>
          <w:rtl w:val="true"/>
          <w:lang w:bidi="fa-IR"/>
        </w:rPr>
        <w:t>.</w:t>
      </w:r>
    </w:p>
    <w:p>
      <w:pPr>
        <w:pStyle w:val="Heading5"/>
        <w:numPr>
          <w:ilvl w:val="4"/>
          <w:numId w:val="1"/>
        </w:numPr>
        <w:rPr/>
      </w:pPr>
      <w:bookmarkStart w:id="130" w:name="__RefHeading___Toc110496_2749589250"/>
      <w:bookmarkStart w:id="131" w:name="_Toc50"/>
      <w:bookmarkEnd w:id="130"/>
      <w:r>
        <w:rPr>
          <w:rtl w:val="true"/>
        </w:rPr>
        <w:t>النقطة الثانیة</w:t>
      </w:r>
      <w:bookmarkEnd w:id="131"/>
    </w:p>
    <w:p>
      <w:pPr>
        <w:pStyle w:val="BookText"/>
        <w:rPr/>
      </w:pPr>
      <w:r>
        <w:rPr>
          <w:rFonts w:ascii="IRNazanin" w:hAnsi="IRNazanin" w:eastAsia="IRNazanin"/>
          <w:color w:val="111111"/>
          <w:sz w:val="28"/>
          <w:sz w:val="28"/>
          <w:szCs w:val="28"/>
          <w:rtl w:val="true"/>
          <w:lang w:bidi="fa-IR"/>
        </w:rPr>
        <w:t>أنّ تحقّق تلک الموضوعات وکیفیّة وجودها فی الخارج إن کان الشارع صرّح وتصرّف بها فنأخذ بذلک، وإلاّ فإنّها ینبغی أن تبقی علی کیفیّة وجودها العرفیّ أو التکوینیّ</w:t>
      </w:r>
      <w:r>
        <w:rPr>
          <w:rFonts w:eastAsia="IRNazanin" w:cs="IRNazanin"/>
          <w:color w:val="111111"/>
          <w:sz w:val="28"/>
          <w:szCs w:val="28"/>
          <w:rtl w:val="true"/>
          <w:lang w:bidi="fa-IR"/>
        </w:rPr>
        <w:t>.</w:t>
      </w:r>
    </w:p>
    <w:p>
      <w:pPr>
        <w:pStyle w:val="Heading5"/>
        <w:numPr>
          <w:ilvl w:val="4"/>
          <w:numId w:val="1"/>
        </w:numPr>
        <w:rPr/>
      </w:pPr>
      <w:bookmarkStart w:id="132" w:name="__RefHeading___Toc110498_2749589250"/>
      <w:bookmarkStart w:id="133" w:name="_Toc51"/>
      <w:bookmarkEnd w:id="132"/>
      <w:r>
        <w:rPr>
          <w:rtl w:val="true"/>
        </w:rPr>
        <w:t>النقطة الثالثة</w:t>
      </w:r>
      <w:bookmarkEnd w:id="133"/>
    </w:p>
    <w:p>
      <w:pPr>
        <w:pStyle w:val="BookText"/>
        <w:rPr/>
      </w:pPr>
      <w:r>
        <w:rPr>
          <w:rFonts w:ascii="IRNazanin" w:hAnsi="IRNazanin" w:eastAsia="IRNazanin"/>
          <w:color w:val="111111"/>
          <w:sz w:val="28"/>
          <w:sz w:val="28"/>
          <w:szCs w:val="28"/>
          <w:rtl w:val="true"/>
          <w:lang w:bidi="fa-IR"/>
        </w:rPr>
        <w:t>أنّ وجودات الأشیاء علی نسقَین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الوجودات وجودات تکوینیّة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الوجودات وجودات إعتباریّة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سابقاً لذلک، ولکن لزیادة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عناوین أغلب المعاملات وجودها إعتباریّ کالبیع والإجارة، والهبة والوصیّة والطَلاق والنِکاح وما شابه ذلک کلّ هذه العناوین کانت وجودات لدی العرف والعقلاء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العناوین فآیة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شرعیّ وقضیّة شرعیّة تتضمّن حکماً شرعیّاً وهو الحِلّیّة، بمعنی حلّیّة البیع وصحّته وجوازه ولم یتصرّف الشارع بماهیّة البیع ولا بکیفیّة وجوده، إلاّ ما استُثنی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فکیفیّة وجوده عند العُرف والعقلاء تکون معتبرة فما یصدق علیه وما یسمّی وما یُطلق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عُرف العقلاء جُعِل موضوعاً لقضیّة شرعیّة، وهی حلّیة ذلک البیع وإلاّ فإنّ هذا الدلیل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المقصود منه البیع الشرعیّ، إذ البیع الشرعیّ أحلّه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البیع المراد فی هذا اللسان هو البیع الشرعیّ، لما کان هناک معنیً لحلّیّته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سوف یکون تحصیلاً للحاصل البیع الشرعیّ إذا کان شرعیّاً فهو حلالٌ بذاته فکیف یرتّب علیه الشارع حکماً زائداً وهو الحلّیّة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فلسان الأدلّة الشرعیّة والّتی وردت فیها عناوین معینة إذا لم یتصرّف الشارع بها ولم یتعبّد بدلالة زائدة، تبقی علی ما هی علیه من المعانی الأوّلیّة، وتبقی علی ما هی علیه عند عُرف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یأتی البیان المزبور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عموم الآیات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بنا أنّ ماهیّة الشعیرة، أو الشعائر التی هی بمعنی العلامة إذا أضیفت إلی الله عزّ وجل أو أضیفت إلی الدین الإسلامیّ، أو أضیفت إلی باب من أبواب الشریعة، فإنّها تعنی علامة ذلک الباب، أو علامة أمر الله أو علامة أحکام الله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عین المنسک، ولیست عین العبادة، ولیست عین الأحکام الأخری فی الأبواب المختلفة وإنّما العلامة أو الإعلام شی‌ء طاری‌ء زائد علی هذه الأمور، کاللّون الّذی یکون عارضاً وطارئاً علی الأشیاء؛ فیکون طارئاً علی العبادة أو المنسک أو الحکم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فجنبة الإعلام والنشر فی ذلک الحکم أو فی تلک العبادة أو ذلک المنسک تتمثّل بالشعیرة والشعائر وبهذا النحو أیضاً تُستعمل فی شعائر الدولة أو شعائر المؤسسة والوزارة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جزءاً من أجزاء الوزارة أو المؤسّسة مثلاً وإنما هی علامةٌ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الشعیرة والشعائر والشِعار تبقی علی حالها دون تغییر فی کلا الصعیدَین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 المعنی اللغویّ، وصعید کیفیّة 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فإطلاق الشعائر علی مناسک الحجّ لیس من جهة وجودها التکوینیّ أو الطبعیّ بل من جهة الجعل والاتّخاذ من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 لَکُمْ فِیهَا خَیْرٌ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باتّخاذ وضعیّ واعتباریّ أصبحت علامة ونبراساً للدین</w:t>
      </w:r>
      <w:r>
        <w:rPr>
          <w:rFonts w:eastAsia="IRNazanin" w:cs="IRNazanin"/>
          <w:color w:val="111111"/>
          <w:sz w:val="28"/>
          <w:szCs w:val="28"/>
          <w:rtl w:val="true"/>
          <w:lang w:bidi="fa-IR"/>
        </w:rPr>
        <w:t>.</w:t>
      </w:r>
      <w:bookmarkStart w:id="134" w:name="pg2944_24416"/>
    </w:p>
    <w:p>
      <w:pPr>
        <w:pStyle w:val="BookText"/>
        <w:rPr/>
      </w:pPr>
      <w:bookmarkEnd w:id="134"/>
      <w:r>
        <w:rPr>
          <w:rFonts w:ascii="IRNazanin" w:hAnsi="IRNazanin" w:eastAsia="IRNazanin"/>
          <w:color w:val="111111"/>
          <w:sz w:val="28"/>
          <w:sz w:val="28"/>
          <w:szCs w:val="28"/>
          <w:rtl w:val="true"/>
          <w:lang w:bidi="fa-IR"/>
        </w:rPr>
        <w:t>هذه الشعائر فی مناسک الحجّ،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للدین، ولعلوّ الدین، ولرقیّه وانتشاره وعزّته ونشر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البسط یتّضح من ماهیة الشعیرة ومن وجود الشعیرة، أنّ وجودها لیس تکوینیّاً والمقصود لیس نفی تکوینیّة وجود ذات الشعیرة بل إنّ تَعَنْوُن الشی‌ء بأنّه شعیرة وجعله علامة علی شی‌ء آخر تَعنونه هذا؛ وجَعْله کذلک لیس تکوینیّاً بل اعتباریا وإلاّ فالبُدن هی من الإبل، ووجودها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کونها شعیرة وعلامة علی حُکم من أحکام الدین أو علی عزّة الإسلام شی‌ء اعتباری، نظیر بقیة الدلالات الّتی تدلّ علی مدلولات أخری بالاعتبار والجعل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فالشعائر وإن کانت وجودات فی أنفسها تکوینیّة، ولکن عُلقتها ودلالتها علی المعانی إتّخاذیة واعتباریة، بواسطة عُلقة وضعیّة ربطیّة اعتباریة؛ هذا من جهة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فقد دلّلنا علی أنّ الشعائر والشعیرة تکون بحسب ما تُضاف إلیه کما قد یتّخذ المسلمون الشعائر فی الحرب مثلاً، کما ورد دلیل خاصّ فی باب الجهاد علی استحباب اتّخاذ المسلمین شعاراً لهم مثل ما اتّخذه المسلمون فی غزوة بدر، وهو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فالمقصود، إذا لم یرد لدینا دلیل خاصّ علی التصرّف فی معنی الشعائر أو الشعیرة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بمعنی العلامة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یبقی علی معناه اللغوی الأوّلی</w:t>
      </w:r>
      <w:r>
        <w:rPr>
          <w:rFonts w:eastAsia="IRNazanin" w:cs="IRNazanin"/>
          <w:color w:val="111111"/>
          <w:sz w:val="28"/>
          <w:szCs w:val="28"/>
          <w:rtl w:val="true"/>
          <w:lang w:bidi="fa-IR"/>
        </w:rPr>
        <w:t>.</w:t>
      </w:r>
    </w:p>
    <w:p>
      <w:pPr>
        <w:pStyle w:val="Heading4"/>
        <w:numPr>
          <w:ilvl w:val="3"/>
          <w:numId w:val="1"/>
        </w:numPr>
        <w:rPr/>
      </w:pPr>
      <w:bookmarkStart w:id="135" w:name="__RefHeading___Toc110500_2749589250"/>
      <w:bookmarkStart w:id="136" w:name="_Toc52"/>
      <w:bookmarkEnd w:id="135"/>
      <w:r>
        <w:rPr>
          <w:rtl w:val="true"/>
        </w:rPr>
        <w:t>الوجود الاعتباری للشعیرة</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الوجود الخارجیّ إذ المفروض أنّ المتشرّعة إذا اتّخذوا شیئاً ما کشعیرة، یعنی علامة علی معنی دینیّ سامی معنیً من المعانی الدینیّة السامیة، أو حکماً من الأحکام العالیة، وجعلوا له علامة شعیرة وشعار وشعائر فالمفروض جعل ذلک بما هی</w:t>
      </w:r>
      <w:bookmarkStart w:id="137" w:name="pg2944_24417"/>
    </w:p>
    <w:p>
      <w:pPr>
        <w:pStyle w:val="BookText"/>
        <w:rPr/>
      </w:pPr>
      <w:bookmarkEnd w:id="137"/>
      <w:r>
        <w:rPr>
          <w:rFonts w:ascii="IRNazanin" w:hAnsi="IRNazanin" w:eastAsia="IRNazanin"/>
          <w:color w:val="111111"/>
          <w:sz w:val="28"/>
          <w:sz w:val="28"/>
          <w:szCs w:val="28"/>
          <w:rtl w:val="true"/>
          <w:lang w:bidi="fa-IR"/>
        </w:rPr>
        <w:t xml:space="preserve">شعیرة لا بما هی هی أی بوجودها النفسیّ، لکن بما هی شعیرة،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کاللفظ بما هو دال علی المعنی لا یکون دالاً علی المعنی إلاّ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فالشعیرة بما هی شعیرة، أی بما هی علامة دالّة علی معنی سامی من المعانی الدینیّة وتشیر بما هی علامة علی حکم من الأحکام الدینیّة الرکنیّة مثلاً، أو الأصلیّة وهی دلالة اعتباریة، اتّخاذیّة،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أنّها مجعولة فی ذهن الجاعل، وبالتبادل وبالاتفاق تصبح شیئاً فشیئاً شعیرة وشعار مثل ما یجری فی العُرف بأن یضعوا للمنطقة الفلانیة اسماً معیّناً مثلاً وبکثرة الاستعمال؛ شیئاً فشیئاً ینتشر بینهم ذلک الاسم فیتواضعون علیه، ویتعارف بینهم أنّ هذه المنطقة تُعرف باسم کذا، ویحصل الاستئناس فی استعمال اللفظ فی ذلک المعنی فینتشر ویتداول فحینئذٍ یکون اللفظ المخصوص له دلالة علی المعنی المعیّن دلالةً وضعیةً</w:t>
      </w:r>
      <w:r>
        <w:rPr>
          <w:rFonts w:eastAsia="IRNazanin" w:cs="IRNazanin"/>
          <w:color w:val="111111"/>
          <w:sz w:val="28"/>
          <w:szCs w:val="28"/>
          <w:rtl w:val="true"/>
          <w:lang w:bidi="fa-IR"/>
        </w:rPr>
        <w:t>.</w:t>
      </w:r>
    </w:p>
    <w:p>
      <w:pPr>
        <w:pStyle w:val="Heading4"/>
        <w:numPr>
          <w:ilvl w:val="3"/>
          <w:numId w:val="1"/>
        </w:numPr>
        <w:rPr/>
      </w:pPr>
      <w:bookmarkStart w:id="138" w:name="__RefHeading___Toc110502_2749589250"/>
      <w:bookmarkStart w:id="139" w:name="_Toc53"/>
      <w:bookmarkEnd w:id="138"/>
      <w:r>
        <w:rPr>
          <w:rtl w:val="true"/>
        </w:rPr>
        <w:t>خلاصة القول</w:t>
      </w:r>
      <w:bookmarkEnd w:id="139"/>
    </w:p>
    <w:p>
      <w:pPr>
        <w:pStyle w:val="BookText"/>
        <w:rPr/>
      </w:pPr>
      <w:r>
        <w:rPr>
          <w:rFonts w:ascii="IRNazanin" w:hAnsi="IRNazanin" w:eastAsia="IRNazanin"/>
          <w:color w:val="111111"/>
          <w:sz w:val="28"/>
          <w:sz w:val="28"/>
          <w:szCs w:val="28"/>
          <w:rtl w:val="true"/>
          <w:lang w:bidi="fa-IR"/>
        </w:rPr>
        <w:t>إلی هنا عرفنا أنّ فی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الحکم، ومحور المتعلّق، ومحور الموضوع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نحن ومقتضی القاعدة، لو کنّا نحن وهاتَین الآیتَین الشریفتَین فقط وفقط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لشعائر الله، کالزوال، وکدلوک الشمس بقی علی ما هو علیه فی المعنی ووجوده أیضاً علی ما هو علیه من وجود، وقد بیّنّا فی کیفیّة وجوده</w:t>
      </w:r>
    </w:p>
    <w:p>
      <w:pPr>
        <w:pStyle w:val="BookText"/>
        <w:rPr/>
      </w:pPr>
      <w:r>
        <w:rPr>
          <w:rFonts w:ascii="Amiri" w:hAnsi="Amiri" w:eastAsia="Amiri" w:cs="Amiri"/>
          <w:color w:val="111111"/>
          <w:sz w:val="28"/>
          <w:sz w:val="28"/>
          <w:szCs w:val="28"/>
          <w:rtl w:val="true"/>
          <w:lang w:bidi="ar-SA"/>
        </w:rPr>
        <w:t xml:space="preserve">أنّها لیست تکوینیّة، بل هی وضعیّة واعتباریة واتّخاذیة کما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نُبقیه علی ما هو علیه من معنی، ونبقیه علی ما هو علیه من وجود ووجوده هو وجود اعتباری لدی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الأمر فی شعائر الله، حیث هناک موارد قد تصرَّف فیها الشارع بنفسه وجعلَ شیئاً ما علامة، وغایة هذا التصرّف هو جعل أحد مصادیق الشعائر کالمناسک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موارد لم یتصرّف الشارع بها ولم یتّخذ بخصوصها علامات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اتّخذ المتشرّعة والمکلّفون شیئاً فشیئاً فِعلاً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وشعاراً علی معنی من المعانی الإسلامیّة فتلک الموارد یشملها عموم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یشملها 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کنّا نحن وهاتین الآیتین فقط یتقرّر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الشعائر ووجودها هو اتّخاذی بحسب اتّخاذ العرف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قبل أن یتّخذها العرف شعیرة ومشاعر، وقبل أن یتواضع علیها العُرف، والمتشرّعة والعقلاء والمکلّفون لا تکون شعیرة وإنّما تتحقّق شعیریّتها بعد أن تتفشّی وتنتشر ویُتداول استعمالها، فتُصبح رسماً شعیرة وشعائر، ویشملها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أنّ المعنی اللغویّ لشعائر الله هو معنیً عامّ طُبّق فی آیة سورة المائدة أو فی آیة سورة الحجّ علی مناسک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لم تُحصَر الشعائر بمناسک الحجّ بل الآیة الکریمة دالّة علی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 لَکُمْ فِیهَا خَیْرٌ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التبعیض والتعمیم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اللفظ حسب معناه اللغویّ عامّ، ونفس السیاق الّذی هو سیاق تطبیقی لیس من أدوات الحصر کما ذکر علماء البلاغة، فإنّهم لم یجعلوا تطبیق العام علی المصداق من أدوات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عُلّل تعظیم مناسک الحج لکونها من الشعائر، فیکون من باب تطبیق العامّ علی أفراده وذکرنا أنّ أغلب علماء الإمامیّة من مفسّریهم وفقهائهم ومحدّثیهم ذهبوا فی فتاواهم وتفاسیرهم إلی عموم الآیة لا إلی خصوصها، ومنهم الشیخ الطوسیّ فی التبیان، حیث ذکر أقوالاً کثیرة نقلاً عن علماء العامّة، ثمّ بعد ذلک ذهب إلی أقوائیّة عموم الآیة، وأنّه لا دلیل علی تخصیصها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هناک دلیلاً علی ذلک من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 عِنْدَ رَبِّهِ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حیث إنّ من الواضح أنّ حرمات الله أعمّ من حرمات الحجّ، هنا الموضوع للحکم هو مُطلق حرمات الله وکذلک الأمر بالنسبة لشعائر الله فی الآیة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لو کنّا نحن ومقتضی هاتین الآیتین، فهاتان الآیتان بحسب معناهما اللغویّ وبحسب وجودهما بین العقلاء وعُرف المکلّفین وجودهما اعتباری اتخاذی، ولو من قِبَل المتشرّعة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بحسب اللسان الأوّلیّ فی أدلّة الشعائر وقاعدة الشعائر، أمّا بحسب اللسان الإلتزامیّ، فالأمر أوضح بکثیر کما سنتعرّض إلیه</w:t>
      </w:r>
      <w:r>
        <w:rPr>
          <w:rFonts w:eastAsia="IRNazanin" w:cs="IRNazanin"/>
          <w:color w:val="111111"/>
          <w:sz w:val="28"/>
          <w:szCs w:val="28"/>
          <w:rtl w:val="true"/>
          <w:lang w:bidi="fa-IR"/>
        </w:rPr>
        <w:t>.</w:t>
      </w:r>
      <w:bookmarkStart w:id="140" w:name="pg2944_24420"/>
    </w:p>
    <w:p>
      <w:pPr>
        <w:pStyle w:val="Heading4"/>
        <w:numPr>
          <w:ilvl w:val="3"/>
          <w:numId w:val="1"/>
        </w:numPr>
        <w:rPr/>
      </w:pPr>
      <w:bookmarkStart w:id="141" w:name="__RefHeading___Toc110504_2749589250"/>
      <w:bookmarkStart w:id="142" w:name="_Toc54"/>
      <w:bookmarkEnd w:id="140"/>
      <w:bookmarkEnd w:id="141"/>
      <w:r>
        <w:rPr>
          <w:rtl w:val="true"/>
        </w:rPr>
        <w:t>الاعتراض بتوقیفیّة الشعائر</w:t>
      </w:r>
      <w:bookmarkEnd w:id="142"/>
    </w:p>
    <w:p>
      <w:pPr>
        <w:pStyle w:val="Heading5"/>
        <w:numPr>
          <w:ilvl w:val="4"/>
          <w:numId w:val="1"/>
        </w:numPr>
        <w:rPr/>
      </w:pPr>
      <w:bookmarkStart w:id="143" w:name="__RefHeading___Toc110506_2749589250"/>
      <w:bookmarkStart w:id="144" w:name="_Toc55"/>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فی مقابل ذلک، أدُّعی وجود أدلّة تُثبت اختصاص جعل الشعائر بید الشارع المقدَّس من حیث تطبیق وجودها کما أنّ الشارع حینما جعل البیع، صار له وجود وکیفیّة خاصّة وهو ذلک الوجود الّذی رتّب علیه الحلّیّة وأخذ فیه قیوداً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ذلک بعینه فی بحث الشعائر کما هو الحال فی الطلاق؛ حیث إنّ الشارع جعل له کیفیّة وجود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فالشعائر لابد أن تُتّخذ وتُجعَل من قِبَل الشارع، ومن ثمّ یحرم انتهاکها أمّا مجرّد اتّخاذها والتعارف علیها والتراضی بها من قبل العُرف والعقلاء لا یجعلها شعیرة ولا یترتّب علیها الحکم، أی وجوب التعظیم وحرمة الهتک</w:t>
      </w:r>
      <w:r>
        <w:rPr>
          <w:rFonts w:eastAsia="IRNazanin" w:cs="IRNazanin"/>
          <w:color w:val="111111"/>
          <w:sz w:val="28"/>
          <w:szCs w:val="28"/>
          <w:rtl w:val="true"/>
          <w:lang w:bidi="fa-IR"/>
        </w:rPr>
        <w:t>.</w:t>
      </w:r>
    </w:p>
    <w:p>
      <w:pPr>
        <w:pStyle w:val="Heading5"/>
        <w:numPr>
          <w:ilvl w:val="4"/>
          <w:numId w:val="1"/>
        </w:numPr>
        <w:rPr/>
      </w:pPr>
      <w:bookmarkStart w:id="145" w:name="__RefHeading___Toc110508_2749589250"/>
      <w:bookmarkStart w:id="146" w:name="_Toc56"/>
      <w:bookmarkEnd w:id="145"/>
      <w:r>
        <w:rPr>
          <w:rtl w:val="true"/>
        </w:rPr>
        <w:t>أدلّة المعترض</w:t>
      </w:r>
      <w:bookmarkEnd w:id="1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الشعائر تعنی أوامر الله ونواهی الله، وأحکام الله، فلابدّ أن تکون الشعائر من الله، فکیف یوکَّل تشریعها إلی غیر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الآیة من سورة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 لَکُمْ فِیهَا خَیْرٌ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کونها شعائر الله، إنّما هو بجعل الشارع لا بجعل المتشرّعة وآیة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 فَهُوَ خَیْرٌ لَهُ عِنْدَ رَبِّهِ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ترتبط کلّ منها بموارد مناسک الحجّ، ومناسک الحجّ مجعولة 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ألفاظ الآیات ظاهرة فی أنّ جَعْل الشعائر إنّما هو جعلٌ من الله ولیس هو جعلٌ وإنشاءٌ واتخاذٌ حسب قریحة واختیار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الشعائر بید العُرف لاتّسع هذا الباب وترامی، ولما حُدّ بحدّ بحیث یُعطی الزمام للعُرف وللمتشرّعة بأن یجعلوا لأنفسهم شعائر کیف ما اختاروا واقترحوا، وبالتالی سوف تطرأ علی الدین تشریعات جدیدة وأحکام مُستحدَثة ورسوم وطقوس متعدّدة حسب ما یراه العرف والمتشرّعة، فتُجعل شعائر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فإیکال الشعائر إلی العرف والمتشرّعة وإلی عامّة الناس المتدیّنین سوف یستلزم إنشاء تشریع دین جدید وفق ما تُملیه علیهم رغباتهم وخلفیّاتهم الذهنیّة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ذلک تحلیل الحرام، وتحریم الحلال، حیث سیتّخذون بعض ما هو محرّم شعائر فیجعلونها عَلَماً وعلامة علی أمر دینیّ، وهذا تحلیلٌ للحرام؛ أو قد یجعلون لأشیاء محلّلة حرمة معینة مثلاً، لأنّها إذا اتُّخذت شعیرة وعُظِّمت فسوف یُجعل لها حُرمة مع أنّ حکمها فی الأصل کان جواز الإحلال والابتذال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اتّخاذها شعیرة فقد أصبح ابتذالها حراماً وتعظیمها واجباً، فیلزم من ذلک تحریم الحلال</w:t>
      </w:r>
      <w:r>
        <w:rPr>
          <w:rFonts w:eastAsia="IRNazanin" w:cs="IRNazanin"/>
          <w:color w:val="111111"/>
          <w:sz w:val="28"/>
          <w:szCs w:val="28"/>
          <w:rtl w:val="true"/>
          <w:lang w:bidi="fa-IR"/>
        </w:rPr>
        <w:t>.</w:t>
      </w:r>
      <w:bookmarkStart w:id="147" w:name="pg2944_24422"/>
    </w:p>
    <w:p>
      <w:pPr>
        <w:pStyle w:val="Heading5"/>
        <w:numPr>
          <w:ilvl w:val="4"/>
          <w:numId w:val="1"/>
        </w:numPr>
        <w:rPr/>
      </w:pPr>
      <w:bookmarkStart w:id="148" w:name="__RefHeading___Toc110510_2749589250"/>
      <w:bookmarkStart w:id="149" w:name="_Toc57"/>
      <w:bookmarkEnd w:id="147"/>
      <w:bookmarkEnd w:id="148"/>
      <w:r>
        <w:rPr>
          <w:rtl w:val="true"/>
        </w:rPr>
        <w:t>جواب الاعتراض</w:t>
      </w:r>
      <w:bookmarkEnd w:id="149"/>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إجمالاً وأخری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وجود طائفة الأدلّة من النوع الثانی والثالث، حیث مرّ أنّ لقاعدة الشعائر الدینیّة ثلاثة أنواع من الأدلّة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الآیات الّتی وردت فیها نفس لفظة الشعیرة والشعائر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الآیات الّتی وردت فی وجوب نشر الدین، وإعلاء کلمة الله سبحانه وبثّ الشریعة السمحاء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قلنا أنّ قاعدة الشعائر الدینیّة تتقوّم برُکنَین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رکن الإعلام والنشر والبثّ، والانتشار لتلک العلامة الدینیّة ولذِیها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ورکن علوّ الدین واعتزازه وهذا اللسان نلاحظه فی جمیع الألسن لبیان القاعدة، سواء کان فی اللسان الأول الّذی وردت فیه بلفظ الشعائر، أو فی اللسان الثانی الّذی لم یرد فیه لفظ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أو اللسان الثالث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بأنّه العناوین الخاصّة فی الألفاظ الخاصّة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بنینا علی نظریّة هذا المعترض فإنّنا لن ننتهی إلی النتیجة الّتی یتوخّاها بأنّ الشعائر حقیقة شرعیّة أو وجودها حقیقة شرعیّة، لأنّ النتیجة الّتی یرید أن یتوصّل إلیها هی الحکم ببدعیّة کثیر من الرسوم والطقوس الّتی تُمارَس باسم الشعائر الدینیّة المستجدّة والمستحدَثة وهذه النتیجة سوف لا یصل إلیها حتّی لو سلّمنا بأنّ الشعائر الدینیّة هی بوضع الشارع وبتدخّله لعدم انسجام ذلک مع النمطَین الأخیرَین من لسان أدلّة الشعائر والوجه فی ذلک یتّضح بتقریر الجواب التفصیلیّ علی إشکالات المعترض</w:t>
      </w:r>
      <w:r>
        <w:rPr>
          <w:rFonts w:eastAsia="IRNazanin" w:cs="IRNazanin"/>
          <w:color w:val="111111"/>
          <w:sz w:val="28"/>
          <w:szCs w:val="28"/>
          <w:rtl w:val="true"/>
          <w:lang w:bidi="fa-IR"/>
        </w:rPr>
        <w:t>.</w:t>
      </w:r>
      <w:bookmarkStart w:id="150" w:name="pg2944_24423"/>
    </w:p>
    <w:p>
      <w:pPr>
        <w:pStyle w:val="Heading4"/>
        <w:numPr>
          <w:ilvl w:val="3"/>
          <w:numId w:val="1"/>
        </w:numPr>
        <w:rPr/>
      </w:pPr>
      <w:bookmarkStart w:id="151" w:name="__RefHeading___Toc110512_2749589250"/>
      <w:bookmarkStart w:id="152" w:name="_Toc58"/>
      <w:bookmarkEnd w:id="150"/>
      <w:bookmarkEnd w:id="151"/>
      <w:r>
        <w:rPr>
          <w:rtl w:val="true"/>
        </w:rPr>
        <w:t>الجواب التفصیلی الأول</w:t>
      </w:r>
      <w:bookmarkEnd w:id="152"/>
    </w:p>
    <w:p>
      <w:pPr>
        <w:pStyle w:val="Heading5"/>
        <w:numPr>
          <w:ilvl w:val="4"/>
          <w:numId w:val="1"/>
        </w:numPr>
        <w:rPr/>
      </w:pPr>
      <w:bookmarkStart w:id="153" w:name="__RefHeading___Toc110514_2749589250"/>
      <w:bookmarkStart w:id="154" w:name="_Toc59"/>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یتمّ بیانه عبر ثلاث نقاط</w:t>
      </w:r>
      <w:r>
        <w:rPr>
          <w:rFonts w:eastAsia="IRNazanin" w:cs="IRNazanin"/>
          <w:color w:val="111111"/>
          <w:sz w:val="28"/>
          <w:szCs w:val="28"/>
          <w:rtl w:val="true"/>
          <w:lang w:bidi="fa-IR"/>
        </w:rPr>
        <w:t>:</w:t>
      </w:r>
    </w:p>
    <w:p>
      <w:pPr>
        <w:pStyle w:val="Heading5"/>
        <w:numPr>
          <w:ilvl w:val="4"/>
          <w:numId w:val="1"/>
        </w:numPr>
        <w:rPr/>
      </w:pPr>
      <w:bookmarkStart w:id="155" w:name="__RefHeading___Toc110516_2749589250"/>
      <w:bookmarkStart w:id="156" w:name="_Toc60"/>
      <w:bookmarkEnd w:id="155"/>
      <w:r>
        <w:rPr>
          <w:rtl w:val="true"/>
        </w:rPr>
        <w:t>النقطة الأولی</w:t>
      </w:r>
      <w:r>
        <w:rPr>
          <w:rtl w:val="true"/>
        </w:rPr>
        <w:t xml:space="preserve">: </w:t>
      </w:r>
      <w:r>
        <w:rPr>
          <w:rtl w:val="true"/>
        </w:rPr>
        <w:t>تعلّق الأوامر بطبیعة الکلّیّ</w:t>
      </w:r>
      <w:bookmarkEnd w:id="156"/>
    </w:p>
    <w:p>
      <w:pPr>
        <w:pStyle w:val="BookText"/>
        <w:rPr/>
      </w:pPr>
      <w:r>
        <w:rPr>
          <w:rFonts w:ascii="Amiri" w:hAnsi="Amiri" w:eastAsia="Amiri" w:cs="Amiri"/>
          <w:color w:val="111111"/>
          <w:sz w:val="28"/>
          <w:sz w:val="28"/>
          <w:szCs w:val="28"/>
          <w:rtl w:val="true"/>
          <w:lang w:bidi="ar-SA"/>
        </w:rPr>
        <w:t>ما ذکره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الشارع إذا أَمر بفعل کلّی،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أو الأمر بعتق رقبة، أو الاعتکاف، ولم یخصِّص ذلک الفعل بزمن معین أو بمکان معین أو بعوامل معینة، وإنّما أمر بهذه الطبیعة علی حدودها الکلّیّة؛ کأن یأمر الشارع مثلاً بصلاة الظهرَین بین الحدّین، أی بین الزوال والغروب، فالمکلّف یختار الصلاة فی أیّ فردٍ زمنیّ من هذه الأفراد، وإن کان بعض الأفراد له فضیلة، إلاّ أنّ المکلّف مفوّض فی إیجاد طبیعة الصلاة وماهیّة الصلاة وفِعل الصلاة فی أیّ فرد شاء وفی أیّ آنٍ من الآنات بین الزوال والغروب؛ سواء فی أوّل الوقت أو وسط الوقت أو آخر الوقت، کما أنّه مفوّض ومخیّر فی إیقاع الصلاة فی هذا المسجد أو فی ذلک المسجد أو فی منزل جماعة أو فرادی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المکلَّف مخیّر بین الأفراد الطولیّة للصلاة والأفراد العرضیّة لها أیضاً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مثال عتق الرقبة، فالاختیار بید المکلّف لعتق أیّ رقبة شاء، سواء کان المُعتَق رجلاً أو امرأة، مُسنّاً أو شاباً، أسود أم أبیض وغیر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تطبیق هذه الماهیة وهذا العنوان الکلّی علی الأفراد قد جعله الشارع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الجواز فی تطبیق الطبیعة الکلّیّة علی الأفراد یسمّونه فی اصطلاح علم أصول الفقه بالتخییر العقلیّ، یعنی هناک جواز عقلیّ یتّبع حکم الشارع والأمر بالطبیعة الکلّیّة، والمکلَّف مخوّل بالتطبیق والتخییر بین الأفراد، وهو ما یُسمّی تخییراً عقلیّاً، لیمتاز عن التخییر الشرعیّ، والّذی هو أن ینصّ الشارع بنفسه علی التخییر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لا یُعدّ تشریعاً، أو إبداعاً، أو إحداثاً فی الدین من قِبل المکلف لأن المکلّف إذا أتی بصلاة الظهر فی هذا المسجد دون ذاک المسجد، أو أتی بالصلاة بثوب مطیّب بطیب أو لم یأت به، أو إذا أتی بالصلاة فی أوّل الوقت أو فی وسط الوقت أو فی آخر الوقت، فإنّ هذه الخصوصیات فی الواقع هی تطبیق لذلک الکلّیّ الطبیعیّ، وتطبیق لذلک الکلّیّ فی ضمن هذه الأفراد والمصادیق والخصوصیّات ولا یقال أنّه نوع من البدعیّة أو التشریع أو الإحداث فی الدین من قِبل المکلّف، لأنّ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رسم وحدّد للمکلّف طبیعة کلّیّة من خلال الأمر بها، وخوّله أن یُوجِد هذه الطبیعة فی أیّ مصداق من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 فی موارد وجود التخییر العقلیّ والجواز العقلیّ فی تطبیق الطبیعة علی الأفراد والمصادیق أنّ هذا التطبیق إنّما هو من تشریع المکلّف، إذ المفروض أنّ الشارع سوّغ له أن یطبّق طبیعة الصلاة هذه فی ضمن أیّ فرد، وجعله مختاراً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هو أنّ المکلّف حین إتیانه بهذه الطبیعة فی ضمن تلک الأفراد لا یتدیّن بتلک الخصوصیّة، وإنّما یتدیّن بذلک المعنی الکلّیّ والفعل الکلّیّ الذّی یطبّقه فی موارد الأفراد لا أنّه یتدیّن ویتعبّد بخصوصیّة من خصوصیّات الفرد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هو یتعبّد بتلک الطبیعة الکلّیّة وبذلک المعنی الکلّیّ الّذی یعمّ الموارد والأفراد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بخلاف ما إذا أراد المکلّف أداء الصلاة ونوی الفرد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الأفراد الطولیّة والعرضیّة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نوی الصلاة المخصوصة فی أوّل الوقت بدل أن ینوی الطبیعة فی الفرد المزبور، أو نوی الصلاة فی المکان الخاص بأنّه یتقرّب إلی الله بالفرد من الصلاة المخصوصة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یتحقّق التشریع المحرّم؛ لأنّ المکلّف یتقرب ویتعبّد ویتدیّن بفرد الصلاة المخصوصة ذات المواصفات المعیّنة، والحال أنّ الشارع لم یأمر بهذا الفرد بخصوصه وبل أمره بالطبیعة الصادقة والمنطبقة علی هذه الأفراد فالإتیان بالأفراد یقع علی نحوَین، والنحو الأول الذی ذکرناه هو الطریقة المتبعة، والمشی المرتکز لدی المتشرّعة، حیث یقصدون الطبایع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أمر الشارع بطبیعة معینة أو سوّغ امتثالها وتطبیقها لا یقال أنّ المکلّف فی ضمن هذا الفرد قد أبدع أو قد أحدث فمرتکز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خواصّهم وعوامّهم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التأمّل والتوقّف فی المصادیق المُستحدَثة وفی تطبیق الطبیعة علی الأفراد المختلفة تحت ذریعة وطائلة الابتعاد عن التشریع المحرّم، بل هم یرون أنّ هذا نوع من امتثال أوامر الشریعة ونوع من التدیّن بما تحدّده لنا الشریعة المقدّسة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ترتسم لنا من هذه النقطة الأولی أنّ فی کلّ مورد یأمر الشارع بطبیعة کلّیّة ولا یقیّد بخصوصیّة معیّنة فالمستفاد من ذلک الأمر هو الجواز الشرعیّ، أو قُل الجواز العقلیّ التبعیّ بتطبیق هذه الطبیعة الکلّیّة بالمعنی الکلّیّ فی ضمن أیّ فردٍ من الأفراد؛ ویکون التدیّن فی تلک الأفراد والتعبّد والتقرّب بالطبیعة الکلّیّة والمعنی الکلّیّ الموجود والمتکرّر فی ضمن تلک الأفراد والخصوصیّات، ولا یکون ذلک تعدّیاً علی ما رسم الشارع ولیس إحداثاً فی الدین ولا ابتداعاً ولا غیر ذلک من المعانی</w:t>
      </w:r>
      <w:r>
        <w:rPr>
          <w:rFonts w:eastAsia="IRNazanin" w:cs="IRNazanin"/>
          <w:color w:val="111111"/>
          <w:sz w:val="28"/>
          <w:szCs w:val="28"/>
          <w:rtl w:val="true"/>
          <w:lang w:bidi="fa-IR"/>
        </w:rPr>
        <w:t>.</w:t>
      </w:r>
      <w:bookmarkStart w:id="157" w:name="pg2944_24426"/>
    </w:p>
    <w:p>
      <w:pPr>
        <w:pStyle w:val="Heading5"/>
        <w:numPr>
          <w:ilvl w:val="4"/>
          <w:numId w:val="1"/>
        </w:numPr>
        <w:rPr/>
      </w:pPr>
      <w:bookmarkStart w:id="158" w:name="__RefHeading___Toc110518_2749589250"/>
      <w:bookmarkStart w:id="159" w:name="_Toc61"/>
      <w:bookmarkEnd w:id="157"/>
      <w:bookmarkEnd w:id="158"/>
      <w:r>
        <w:rPr>
          <w:rtl w:val="true"/>
        </w:rPr>
        <w:t>النقطة الثانیة</w:t>
      </w:r>
      <w:r>
        <w:rPr>
          <w:rtl w:val="true"/>
        </w:rPr>
        <w:t xml:space="preserve">: </w:t>
      </w:r>
      <w:r>
        <w:rPr>
          <w:rtl w:val="true"/>
        </w:rPr>
        <w:t>تقسیم العناوین الثانویّة</w:t>
      </w:r>
      <w:bookmarkEnd w:id="159"/>
    </w:p>
    <w:p>
      <w:pPr>
        <w:pStyle w:val="Heading6"/>
        <w:numPr>
          <w:ilvl w:val="5"/>
          <w:numId w:val="1"/>
        </w:numPr>
        <w:rPr/>
      </w:pPr>
      <w:bookmarkStart w:id="160" w:name="__RefHeading___Toc110520_2749589250"/>
      <w:bookmarkStart w:id="161" w:name="_Toc62"/>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العناوین الثانویّة لها تقسیمات عدیدة؛ والذی یهمّنا فی المقام هو تقسیم العنوان الثانویّ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فی الحُکم، وعنوان ثانویّ فی الموضوع</w:t>
      </w:r>
      <w:r>
        <w:rPr>
          <w:rFonts w:eastAsia="IRNazanin" w:cs="IRNazanin"/>
          <w:color w:val="111111"/>
          <w:sz w:val="28"/>
          <w:szCs w:val="28"/>
          <w:rtl w:val="true"/>
          <w:lang w:bidi="fa-IR"/>
        </w:rPr>
        <w:t>.</w:t>
      </w:r>
    </w:p>
    <w:p>
      <w:pPr>
        <w:pStyle w:val="Heading6"/>
        <w:numPr>
          <w:ilvl w:val="5"/>
          <w:numId w:val="1"/>
        </w:numPr>
        <w:rPr/>
      </w:pPr>
      <w:bookmarkStart w:id="162" w:name="__RefHeading___Toc110522_2749589250"/>
      <w:bookmarkStart w:id="163" w:name="_Toc63"/>
      <w:bookmarkEnd w:id="162"/>
      <w:r>
        <w:rPr>
          <w:rtl w:val="true"/>
        </w:rPr>
        <w:t>العنوان الثانویّ فی جنبة الحُکم</w:t>
      </w:r>
      <w:bookmarkEnd w:id="163"/>
    </w:p>
    <w:p>
      <w:pPr>
        <w:pStyle w:val="BookText"/>
        <w:rPr/>
      </w:pPr>
      <w:r>
        <w:rPr>
          <w:rFonts w:ascii="IRNazanin" w:hAnsi="IRNazanin" w:eastAsia="IRNazanin"/>
          <w:color w:val="111111"/>
          <w:sz w:val="28"/>
          <w:sz w:val="28"/>
          <w:szCs w:val="28"/>
          <w:rtl w:val="true"/>
          <w:lang w:bidi="fa-IR"/>
        </w:rPr>
        <w:t>وهو ما یکون ملاکه ثانویّاً، ومن ثمّ یکون حکمه ثانویّاً، من قبیل عناوین الضَرر، والحَرج والنسیان والإکراه، والاضطرار والجهل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العناوین الثانویّة یقال لها أنّها عناوین ثانویّة فی جانب الحکم، لأنّها حینما تطرأ سوف تغیّر الحکم الأوّلیّ فی المورد الذی تطرأ علیه بسبب طروّ ملاک جدید، فهذه العناوین ملاکاتها ثانویّة، ونقصد من قولنا ثانویّة هو الطروّ الثانویّ للملاکات علی الأفعال، فتغیّر ملاکها الأولیّ</w:t>
      </w:r>
      <w:r>
        <w:rPr>
          <w:rFonts w:eastAsia="IRNazanin" w:cs="IRNazanin"/>
          <w:color w:val="111111"/>
          <w:sz w:val="28"/>
          <w:szCs w:val="28"/>
          <w:rtl w:val="true"/>
          <w:lang w:bidi="fa-IR"/>
        </w:rPr>
        <w:t>.</w:t>
      </w:r>
    </w:p>
    <w:p>
      <w:pPr>
        <w:pStyle w:val="Heading6"/>
        <w:numPr>
          <w:ilvl w:val="5"/>
          <w:numId w:val="1"/>
        </w:numPr>
        <w:rPr/>
      </w:pPr>
      <w:bookmarkStart w:id="164" w:name="__RefHeading___Toc110524_2749589250"/>
      <w:bookmarkStart w:id="165" w:name="_Toc64"/>
      <w:bookmarkEnd w:id="164"/>
      <w:r>
        <w:rPr>
          <w:rtl w:val="true"/>
        </w:rPr>
        <w:t>العنوان الثانویّ فی جنبة الموضوع</w:t>
      </w:r>
      <w:bookmarkEnd w:id="165"/>
    </w:p>
    <w:p>
      <w:pPr>
        <w:pStyle w:val="BookText"/>
        <w:rPr/>
      </w:pPr>
      <w:r>
        <w:rPr>
          <w:rFonts w:ascii="IRNazanin" w:hAnsi="IRNazanin" w:eastAsia="IRNazanin"/>
          <w:color w:val="111111"/>
          <w:sz w:val="28"/>
          <w:sz w:val="28"/>
          <w:szCs w:val="28"/>
          <w:rtl w:val="true"/>
          <w:lang w:bidi="fa-IR"/>
        </w:rPr>
        <w:t>وهی حالات نسمّیها حالات طارئة، ولکن لیست حالات طارئة فی الحکم والقانون بل حالات طارئة وعناوین ثانویّة فی جنبة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الحالات الطارئة لا یکون ملاکها طارئاً ثانویّاً، بل ملاکها وحکمها أوّلیّ، إنّما موضوعها ثانویّ، فهی ثانویّة بلحاظ الموضوع أی أنّها ثانویّة وطارئة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احتراماً للقادم أو مصافحته أو توسعة المجلس له؛ أو أیّ نوع من آداب الاحترام ربّما لم تکن هذه المظاهر أو بعضها فیما مضی من عهود البشریّة، ولم تُستخدم هذه الرسوم والتقالید لإبداء الاحترام، لکن شیئاً فشیئاً، صارت الأجیال المتعاقبة تستخدم أشکالاً أخری فی الاحترام والتعظیم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فأخذوا یجعلون القیام وسیلة وعلامة لإبداء الاحترام والتعظیم فهنا الاحترام والتعظیم بین الجنس البشریّ لیس حکماً طارئاً، ولیس ملاکه استثنائیّاً، بلی هو حکمٌ</w:t>
      </w:r>
    </w:p>
    <w:p>
      <w:pPr>
        <w:pStyle w:val="BookText"/>
        <w:rPr/>
      </w:pPr>
      <w:r>
        <w:rPr>
          <w:rFonts w:ascii="IRNazanin" w:hAnsi="IRNazanin" w:eastAsia="IRNazanin"/>
          <w:color w:val="111111"/>
          <w:sz w:val="28"/>
          <w:sz w:val="28"/>
          <w:szCs w:val="28"/>
          <w:rtl w:val="true"/>
          <w:lang w:bidi="fa-IR"/>
        </w:rPr>
        <w:t>أوّلیّ من ضمن الأحکام الأوّلیّة المقرّرة فی الشرع، سواء شرع السماء أم شرع العقل أی ما یحکم به العقل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فالاحترام حکم أوّلیّ یحکم به العقل، ویحکم به الشرع لکنّ المصادیق المستجدّة المُستحدَثة من أنحاء الاحترام، کالمصافحة بالید والقیام، والإیماء بالرأس، وما شابه ذلک هذه المصادیق المتعدّدة المختلفة من إظهار الاحترام إنّما هی مصادیق طارئة للاحترام فهنا الطروّ والحالة الاستثنائیة والحالة المستجدّة لیست فی الحکم، وإنّما هی مستجدّة فی نفس الموضوع القیام مثلاً لم یکن متّخذاً عند العقلاء أو عند البشریّة کوسیلة لإبداء الاحترام، لکنّه أصبح فی العصور اللاحقة وسیلة لإبداء الاحترام مثلاً کما کان علی صورة السجود فی بعض العصور المتقادمة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فتلبّس القیام بکونه وسیلة لإبداء الاحترام، هو نوع من الطروّ والحالة الاستثنائیة والحالة غیر الأوّلیّة، ولکن هذه الحالة الطارئة فی علم القانون الوضعیّ أو الشرعیّ لیست طارئة فی جانب الحکم بل فی جانب الموضوع، وإلاّ فحکم الاحترام والتعظیم حکم أوّلیّ ولیس حکماً ثانویّاً لکن إیجاد الاحترام فی ضمن هذا المصداق أو هذا الموضوع حالة طارئة ولیست حالة 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ماهیّة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استواء صُلب الإنسان علی رجلَیه، فالاحترام لیس مخبوّاً ومطویّاً فی ماهیّته بل هو عنوان طارئ استثنائیّ حالّ علی القیام، وهذا معنی أنّه عنوان ثانویّ وحالة طارئة، ولکن لیس ملاکه ثانویّاً للحکم، بل ملاک الحکم فیه أوّلیّ وحکمه ثابت؛ وإنّما کیفیّة الاحترام تکون طارئة وثانویّة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علم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الوضعیّ أو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قسمان من الحالات الطارئة وقسمان من العناوین الثانویّة عناوین ثانویّة فی طرف الموضوع، وعناوین ثانویّة فی‌طرف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bookmarkStart w:id="166" w:name="pg2944_24428"/>
    </w:p>
    <w:p>
      <w:pPr>
        <w:pStyle w:val="Heading6"/>
        <w:numPr>
          <w:ilvl w:val="5"/>
          <w:numId w:val="1"/>
        </w:numPr>
        <w:rPr/>
      </w:pPr>
      <w:bookmarkStart w:id="167" w:name="__RefHeading___Toc110526_2749589250"/>
      <w:bookmarkStart w:id="168" w:name="_Toc65"/>
      <w:bookmarkEnd w:id="166"/>
      <w:bookmarkEnd w:id="167"/>
      <w:r>
        <w:rPr>
          <w:rtl w:val="true"/>
        </w:rPr>
        <w:t>الفوارق بین العناوین الثانویّة فی جنبة الحکم وفی جنبة الموضوع</w:t>
      </w:r>
      <w:bookmarkEnd w:id="16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الطروّ فی العناوین الثانویّة فی جنبة الحکم هو طروّ بلحاظ المحمول، أی بلحاظ الحکم والقانون والتقنین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العناوین الثانویّة الطارئة فی الموضوع، فإنّ الطروّ فیها والاستثناء فی نفس الوجود الخارجیّ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الثانویّة فی جنبة الحکم أو الحالات الطارئة فی التقنین حالات طارئة فی التقنین فی الملاک؛ وأمّا الحالات الطارئة والعناوین العارضة علی الموضوع فمَلاکها أوّلیّ ولیس بطارئ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تشریعات أیّ قانون سواء من القوانین الوضعیة أو السماویة، عندما تُشرّع لا یُراد منها أن تکون جامدة، ولا أن تبقی فی دائرة عدم التفعیل، بل الغایة المنشودة من تشریع القوانین الأوّلیّة هو أن تُجری وأن تطبّق، وأن تکون فعلیّة فی مجال التطبیق والممارسة، وتوصل إلی الملاکات وتحقّق الأغراض الّتی رسمها المقنّن والمشرِّع من تشریعاته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الانتباه إلی أنّ العناوین الثانویّة والحالات الطارئة فی قسم المحمول أو جانب الحکم یجب أن لا تأخذ مأخذاً واسعاً فی التطبیق والمصداق الخارجیّ والتنفیذ وإلاّ لعاد الحکم الثانوی أوّلیّاً وعاد الحکم الأوّلیّ حکماً ثانویّاً، وهذا أمر مهمّ ینبغی الالتفات إلیه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ماجری بواسطة العناوین الثانویّة، وبذریعة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الاضطرار والنسیان وغیر ذلک الاجتراء علی إسقاط الأحکام الأوّلیّة واحدة تلو الأخری، فتُجعل الحالات الثانویّة حالات دائمة، بینما تُجعل الحالات الأوّلیّة حالات استثنائیة شاذّة فإنّ ذلک نقض أصول أغراض التشریع إذ المفروض أنّ الأحکام الأوّلیّة</w:t>
      </w:r>
    </w:p>
    <w:p>
      <w:pPr>
        <w:pStyle w:val="BookText"/>
        <w:rPr/>
      </w:pPr>
      <w:r>
        <w:rPr>
          <w:rFonts w:ascii="IRNazanin" w:hAnsi="IRNazanin" w:eastAsia="IRNazanin"/>
          <w:color w:val="111111"/>
          <w:sz w:val="28"/>
          <w:sz w:val="28"/>
          <w:szCs w:val="28"/>
          <w:rtl w:val="true"/>
          <w:lang w:bidi="fa-IR"/>
        </w:rPr>
        <w:t>تبقی علی حالتها الأوّلیّة، یعنی أن تکون هی غالبة ودائمة وأکثریّة، والحالات الثانویّة الاستثنائیة هی طارئة ونادرة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بعینه مُراعی فی القوانین الوضعیّة أیضاً، حیث یحاول المنفّذ أو المدیر لأیّ شعبة إداریة أو وزاریّة أن لا یفتح المجال للاستفادة من استثناءات القانون إذ المفروض أنّ الاستثناء حالة غیر طبیعیّة ولیس حالة أوّلیّة دائمة، بل حالة طارئة ولو فُتح الباب للحالة الاستثنائیة فی القانون، لانقلب الوضع وانعکس الأمر، حیث یُصبح القانون هو الحالة الاستثنائیة، وتصبح الحالات الاستثنائیة هی القانون، فالحذر من وقوع هذه الحالة یکون من باب المحافظة علی أغراض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الکلام هو أنّ العناوین الثانویّة للحکم ینبغی أن لا تنقلب إلی أحکام أوّلیّة، بل تبقی حالة شاذّة ومن ثمّ نجد الفقهاء فی فتاواهم فیما یرد علیهم من أسئلة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الوسع والإمکان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یفتحون المجال لذریعة المستفتی فی الضرر والاضطرار والحرج لتسویغ رفع الأحکام الأوّلیّة بل یدقّقون ویفتّشون ویتحرّون فی الحالة التّی یُستفتی عنها فی العثور علی مخرج غیر ثانویّ ویَسعَوْن فی تطبیق الأحکام الأوّلیّة والتأکّد مما یدّعیه السائل فقد تکون حالة الاضطرار أو الإکراه أو الإلجاء أو النسیان غیر موجودة بل مجرّد إدعاء أو وهم وجهالة لا واقع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الحالة الطارئة والعناوین الثانویّة فی الموضوع فلا مانع من أن تصبح دائمة ومستمرة؛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القیام وسیلة للاحترام والتعظیم حیث یصبح القیام وسیلة دائمة للاحترام والتعظیم، دون أن یکون فیه نقض لغرض التَقنین الشرعیّ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المفروض أنّ التعظیم والاحترام المتبادَل بین الإنسان وبنی جنسه له ملاکٌ أوّلیّ ولیس ملاکه ثانویّاً، بل هناک غرض ومصلحة فی تقنینه أوّلیّاً إنّما یکون الطروّ أو الاستثناء فی تحقّق موضوعه فی هذا المصداق أو ذاک، لا أنّ حُکمَهُ وملاکه وغرضه</w:t>
      </w:r>
    </w:p>
    <w:p>
      <w:pPr>
        <w:pStyle w:val="BookText"/>
        <w:rPr/>
      </w:pPr>
      <w:r>
        <w:rPr>
          <w:rFonts w:ascii="IRNazanin" w:hAnsi="IRNazanin" w:eastAsia="IRNazanin"/>
          <w:color w:val="111111"/>
          <w:sz w:val="28"/>
          <w:sz w:val="28"/>
          <w:szCs w:val="28"/>
          <w:rtl w:val="true"/>
          <w:lang w:bidi="fa-IR"/>
        </w:rPr>
        <w:t>ثانویّ استثنائیّ إنّما طریقة وجوده فی الخارج حصل بها طروٌ تکوینیّ، فهی حالة طارئة تکوینیّة ولیست حالة طارئة فی فلسفة الحکم والملاک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الحالات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فی جانب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فیها نقض للغرض حتّی لو کانت دائمیّة غالبة</w:t>
      </w:r>
    </w:p>
    <w:p>
      <w:pPr>
        <w:pStyle w:val="BookText"/>
        <w:rPr/>
      </w:pPr>
      <w:r>
        <w:rPr>
          <w:rFonts w:ascii="IRNazanin" w:hAnsi="IRNazanin" w:eastAsia="IRNazanin"/>
          <w:color w:val="111111"/>
          <w:sz w:val="28"/>
          <w:sz w:val="28"/>
          <w:szCs w:val="28"/>
          <w:rtl w:val="true"/>
          <w:lang w:bidi="fa-IR"/>
        </w:rPr>
        <w:t>الخلاصة ضرورة التمییز بین شکلَین ونحوَین من العناوین الثانویّة والطارئة؛ فالعناوین الثانویّة الحُکمیّة لو انقلبت إلی دائمیّة لکان ذلک نقضاً لغرض التقنین، ولکان إبداعاً وتشریعاً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الحالات الثانویّة فی طرف الموضوع، فمع کون ملاکاتها أوّلیّة، فإنّها إذا کانت دائمة وغالبة فی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مثّلنا لذلک بالقیام دلالةً علی الاحترام والتعظیم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ذلک ولیس فیه أیّ نقض لفلسفة التقنین أو منافاة لما یسمّی بالحکم أو الملاک، لأنّ المفروض أنّ فلسفة الحکم فی التعظیم والاحترام أوّلیّة ودائمة، ولیست استثنائیة شاذّة 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هذا المصداق أصبحت طارئة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فارق مهمّ جدّاً بین العناوین الثانویّة فی جانب الموضوع، والعناوین الثانویّة فی جانب الحُکم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الحالات الطارئة فی جانب الموضوع والحالات الطارئة فی جانب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الفرق بین النوعَین وهناک ثمرات عدیدة فی الأبواب الفقهیّة لهذه الفوارق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یأمر الشارع فی الآیة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یقیّد الإنذار بأشکال معیّنة، وکذلک الأمر فی نَشر الدین، والإعلام، حیث لم یأمر الشارع بوسیلة وبأسلوب وبمصداق وبخصوصیّة معیّنة فی الإنذار فحینئذٍ یتّخذ الإنذار أسالیب تختلف کلّما استجدّت الأعصار، فلا یتحرّج أحد من نشر أحکام الدین بواسطة وسائل الإعلام الحدیثة من قبیل الإذاعة والتلفزیون أو الصحف والمجلاّت أو الإنترنت والقنوات الفضائیّة والبرید الإلکترونیّ وغیر ذلک إذ بمقتضی النقطة الأولی لم یقیّد الشارع الإنذار ولم یخصّصه بأسلوب معین فالشارع حینئذ سمح وجَوّز کلّ المصادیق الّتی تُحقّق هذا العنوان فی الخارج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العقلیّ فی محلّ البحث وهو الشعائر حاصل ومتحقّق حیث إنّ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أنّ غرض الشارع هو إتمام نوره وانتشاره واتساعه وعلوّه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نتّخذه نحن من أسالیب ومصادیق وأشکال لنشر الدین ورفع بیوت الله سبحانه وما فیه إعلاء لکلمة المؤمنین تکون جائزة وصحیحة ولا یُتطرّق إلیها شبهة البِدعة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سلّمنا القول بأنّ الشارع قد جعل للشعائر حقیقة شرعیّة ووجوداً شرعیّاً اعتماداً علی الصنف الأول من الأدلة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الأدلّة من الصنف الثانی والصنف الثالث</w:t>
      </w:r>
      <w:r>
        <w:rPr>
          <w:rStyle w:val="FootnoteAnchor"/>
          <w:rtl w:val="true"/>
        </w:rPr>
        <w:footnoteReference w:id="75"/>
      </w:r>
      <w:r>
        <w:rPr>
          <w:rFonts w:ascii="IRNazanin" w:hAnsi="IRNazanin" w:eastAsia="IRNazanin"/>
          <w:color w:val="111111"/>
          <w:sz w:val="28"/>
          <w:sz w:val="28"/>
          <w:szCs w:val="28"/>
          <w:rtl w:val="true"/>
          <w:lang w:bidi="fa-IR"/>
        </w:rPr>
        <w:t>لم یحدّد الشارع فیها أسلوباً أو مصداقاً معیناً للشعائر فإذا استحدث المسلمون وسائل وخصوصیات ومصادیق معیّنة ینشأ منها زیادة ذِکر الله سبحانه وانتشار نوره واعتزاز دینه، فلا تکون بدعة ولا تُعدّ تشریعاً محرماً</w:t>
      </w:r>
      <w:r>
        <w:rPr>
          <w:rFonts w:eastAsia="IRNazanin" w:cs="IRNazanin"/>
          <w:color w:val="111111"/>
          <w:sz w:val="28"/>
          <w:szCs w:val="28"/>
          <w:rtl w:val="true"/>
          <w:lang w:bidi="fa-IR"/>
        </w:rPr>
        <w:t>.</w:t>
      </w:r>
      <w:bookmarkStart w:id="169" w:name="pg2944_24432"/>
    </w:p>
    <w:p>
      <w:pPr>
        <w:pStyle w:val="BookText"/>
        <w:rPr/>
      </w:pPr>
      <w:bookmarkEnd w:id="169"/>
      <w:r>
        <w:rPr>
          <w:rFonts w:ascii="IRNazanin" w:hAnsi="IRNazanin" w:eastAsia="IRNazanin"/>
          <w:color w:val="111111"/>
          <w:sz w:val="28"/>
          <w:sz w:val="28"/>
          <w:szCs w:val="28"/>
          <w:rtl w:val="true"/>
          <w:lang w:bidi="fa-IR"/>
        </w:rPr>
        <w:t>فالقائل بضرورة کَون الجاعل للشعائر هو الشرع سوف لن ینتهی إلی النتیجة الّتی یحاول إثباتها وهی حرمة وضع الشعائر المتجدّدة والمُستحدَثة، وذلک لما بیّنا من النقطتین السابقتین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وتدیّن المکلّف بالطبیعة الکلّیّة الموجودة، والمعنی الساری الحاصل فی المصادیق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العناوین الثانویّة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ثانویّة فی جنبة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ثانویّة فی جنبة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معرفة الفوارق بین هذین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الأمثلة التی تُضرب فی العناوین الثانویّة إنّما أکثرها هی العناوین الثانویّة فی جنبة الحکم،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الضرر، الحرج، النسیان، الجهل، الإکراه وما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العناوین الثانویّة فی جنبة الموضوع،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الاحترام فی ضمن مصداق القیام، أو المصافحة، أو المعانقة فهی لا تکاد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اجتماع الأمر والنهیّ وطروّ الصلاة فی الدار الغصبیّة لیس من قبیل العناوین الثانویّة فی جنبة الحکم، بل هو من قبیل العناوین الثانویّة فی جنبة الموضوع وکذلک مبحث التزاحم</w:t>
      </w:r>
      <w:r>
        <w:rPr>
          <w:rFonts w:eastAsia="IRNazanin" w:cs="IRNazanin"/>
          <w:color w:val="111111"/>
          <w:sz w:val="28"/>
          <w:szCs w:val="28"/>
          <w:rtl w:val="true"/>
          <w:lang w:bidi="fa-IR"/>
        </w:rPr>
        <w:t>.</w:t>
      </w:r>
    </w:p>
    <w:p>
      <w:pPr>
        <w:pStyle w:val="Heading5"/>
        <w:numPr>
          <w:ilvl w:val="4"/>
          <w:numId w:val="1"/>
        </w:numPr>
        <w:rPr/>
      </w:pPr>
      <w:bookmarkStart w:id="170" w:name="__RefHeading___Toc110528_2749589250"/>
      <w:bookmarkStart w:id="171" w:name="_Toc66"/>
      <w:bookmarkEnd w:id="170"/>
      <w:r>
        <w:rPr>
          <w:rtl w:val="true"/>
        </w:rPr>
        <w:t>النقطة الثالثة</w:t>
      </w:r>
      <w:bookmarkEnd w:id="171"/>
    </w:p>
    <w:p>
      <w:pPr>
        <w:pStyle w:val="Heading6"/>
        <w:numPr>
          <w:ilvl w:val="5"/>
          <w:numId w:val="1"/>
        </w:numPr>
        <w:rPr/>
      </w:pPr>
      <w:bookmarkStart w:id="172" w:name="__RefHeading___Toc110530_2749589250"/>
      <w:bookmarkStart w:id="173" w:name="_Toc67"/>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مصداق العناوین الثانویّة فی جنبة الموضوع یجب أن یکون مصداقاً محلّلاً فی نفسه بالحلّیّة بالمعنی الأعمّ، الشاملة للمکروه، والمقابلة لخصوص الحُرمة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فالحلّیّة بالمعنی الأعمّ شاملة للمستحبّ والواجب والمکروه والإباحة الخاصّة؛ فی</w:t>
      </w:r>
    </w:p>
    <w:p>
      <w:pPr>
        <w:pStyle w:val="BookText"/>
        <w:rPr/>
      </w:pPr>
      <w:r>
        <w:rPr>
          <w:rFonts w:ascii="Amiri" w:hAnsi="Amiri" w:eastAsia="Amiri" w:cs="Amiri"/>
          <w:color w:val="111111"/>
          <w:sz w:val="28"/>
          <w:sz w:val="28"/>
          <w:szCs w:val="28"/>
          <w:rtl w:val="true"/>
          <w:lang w:bidi="ar-SA"/>
        </w:rPr>
        <w:t>مقابل خصوص الحرمة والعناوین الکلّیّة والأفعال الکلّیّة العامّة الّتی أمَر بها الشارع بنحو کلّیّ، أی خیّرنا فیها التطبیق علی أیّ مصداقٍ أو علی أیّ فردٍ وإن کانت هی ذات ملاک أوّلیّ وفعل أوّلیّ، إلاّ أنّ طروّها فی الخصوصیّات والمصادیق هو طروٌّ ثانویّ، فلابدّ أن یکون رسوّها ومصداقها ومهبطها مُحلَّلاً بالمعنی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یجب علی الفقیه أن یُثبت الحلّیّة أوّلاً بالمعنی الأعمّ فی المصداق، ومن ثمّ یطرأ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والوجوب لیس وجوباً طارئاً من حیث الملاک، إذ الملاک أوّلیّ، بل الطروّ من جهة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یثبته بالأصل العملی ویفرض الشکّ فیه من زاویة الحکم للمصداق فی نفسه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الضرر الیسیر فی الشعیرة محلّل أم لا؟ فزیارة القبور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فیها ضرر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هل فیها عنوان مفسدة ذاتیّة أو لا؟ فی حال الشکّ وعدم الدلیل نُجری أصالة البراءة، ثمّ بعد ذلک نستدلّ بالعنوان الثانویّ من جنبة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الثانویّ من جنبة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إحیاء الشعائر، فیحصل الجمع بین الجنبَتین کما إذا أراد المکلّف أن یُصلّی الصلاة الواجبة التی لها حکم أوّلیّ وشکّ فی غصبیّة المکان، فیجری البراءة أوّلاً، ثمّ یقوم بأداء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وقتها أو تضیّق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جنبة المعنی الکلّیّ العامّ هو ملاک أوّلیّ وحُکم أوّلیّ وواجب مثلاً؛ أمّا من جنبة المصداق فیجب أن تثبت حلّیّته بالمعنی الأعمّ لکی تطبّق ذلک المصداق الکلّیّ علیه فلیس هناک تدافع ولا تنافی بین الجنبتین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أحد الجهات اللازم توضیحها فی هذه القاعدة،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الثانویّة فی جنبة الموضوع یجب أن یکون مصداقها محلّلاً بالمعنی الأعمّ</w:t>
      </w:r>
      <w:r>
        <w:rPr>
          <w:rFonts w:eastAsia="IRNazanin" w:cs="IRNazanin"/>
          <w:color w:val="111111"/>
          <w:sz w:val="28"/>
          <w:szCs w:val="28"/>
          <w:rtl w:val="true"/>
          <w:lang w:bidi="fa-IR"/>
        </w:rPr>
        <w:t>.</w:t>
      </w:r>
      <w:bookmarkStart w:id="174" w:name="pg2944_24434"/>
    </w:p>
    <w:p>
      <w:pPr>
        <w:pStyle w:val="BookText"/>
        <w:rPr/>
      </w:pPr>
      <w:bookmarkEnd w:id="174"/>
      <w:r>
        <w:rPr>
          <w:rFonts w:ascii="IRNazanin" w:hAnsi="IRNazanin" w:eastAsia="IRNazanin"/>
          <w:color w:val="111111"/>
          <w:sz w:val="28"/>
          <w:sz w:val="28"/>
          <w:szCs w:val="28"/>
          <w:rtl w:val="true"/>
          <w:lang w:bidi="fa-IR"/>
        </w:rPr>
        <w:t>ویستدلّ العلماء علی أنّ المصداق لا بدّ أن یکون مُحلّلاً بالمعنی الأعمّ، إذ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الشرعیّ بطبیعة عامّة، کالصلاة، والزکاة، والاعتکاف والشعائر یُستفاد منه تخییر عقلیّ أو شرعیّ فی تطبیق الطبیعة الکلّیّة علی المصادیق، وهو تجویز وتسویغ من الشارع فی تطبیق هذا المعنی العامّ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أنّه لا یتناول الخصوصیّات المحرّمة حفظاً ورعایة للتوفیق بین أغراض الأحکام الشرعیّة نعم هذا التجویز والتسویغ یتناول حتّی المصادیق المکروهة ولا مانع من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الحمّام، والصلاة فی المقبرة، وفی الأرض السبخة مثلاً وهذه الصلاة وإن کانت مکروهة إلاّ أنّها صلاة سائغة ومشروعة وإذا کان الحال کذلک، فلابدّ من الإمعان فی هذه القاعدة، فإنّ الإمعان والتدبّر فیها یکشف لنا الستار عند اللبس الموجود بین موارد البدعة وبین موارد الشرعیّة</w:t>
      </w:r>
      <w:r>
        <w:rPr>
          <w:rFonts w:eastAsia="IRNazanin" w:cs="IRNazanin"/>
          <w:color w:val="111111"/>
          <w:sz w:val="28"/>
          <w:szCs w:val="28"/>
          <w:rtl w:val="true"/>
          <w:lang w:bidi="fa-IR"/>
        </w:rPr>
        <w:t>.</w:t>
      </w:r>
    </w:p>
    <w:p>
      <w:pPr>
        <w:pStyle w:val="Heading6"/>
        <w:numPr>
          <w:ilvl w:val="5"/>
          <w:numId w:val="1"/>
        </w:numPr>
        <w:rPr/>
      </w:pPr>
      <w:bookmarkStart w:id="175" w:name="__RefHeading___Toc110532_2749589250"/>
      <w:bookmarkStart w:id="176" w:name="_Toc68"/>
      <w:bookmarkEnd w:id="175"/>
      <w:r>
        <w:rPr>
          <w:rtl w:val="true"/>
        </w:rPr>
        <w:t>اجتماع الأمر والنهی فی مصداق واحد</w:t>
      </w:r>
      <w:bookmarkEnd w:id="176"/>
    </w:p>
    <w:p>
      <w:pPr>
        <w:pStyle w:val="BookText"/>
        <w:rPr/>
      </w:pPr>
      <w:r>
        <w:rPr>
          <w:rFonts w:ascii="IRNazanin" w:hAnsi="IRNazanin" w:eastAsia="IRNazanin"/>
          <w:color w:val="111111"/>
          <w:sz w:val="28"/>
          <w:sz w:val="28"/>
          <w:szCs w:val="28"/>
          <w:rtl w:val="true"/>
          <w:lang w:bidi="fa-IR"/>
        </w:rPr>
        <w:t>هذا، ویلاحظ من بحث الفقهاء والأصولیین فی مسألة اجتماع الأمر والنهی، نظیر الصلاة فی الدار المغصوبة؛ یلاحظ من بحثهم فی تلک المسألة أنّ شمول دلیل الأمر لموارد الأفراد المحرّمة مفروغ عنه، فالصلاة المأمور بها شاملة لفرد الصلاة فی الدار الغصبیّة ولک أن تقول أنّ هناک قولَین معروفَین فی مسألة اجتماع الأمر والنهی علی تقدیر وحدة مصداق المأمور به والمَنهیّ عنه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المشهور</w:t>
      </w:r>
      <w:r>
        <w:rPr>
          <w:rStyle w:val="FootnoteAnchor"/>
          <w:rtl w:val="true"/>
        </w:rPr>
        <w:footnoteReference w:id="76"/>
      </w:r>
      <w:r>
        <w:rPr>
          <w:rFonts w:ascii="IRNazanin" w:hAnsi="IRNazanin" w:eastAsia="IRNazanin"/>
          <w:color w:val="111111"/>
          <w:sz w:val="28"/>
          <w:sz w:val="28"/>
          <w:szCs w:val="28"/>
          <w:rtl w:val="true"/>
          <w:lang w:bidi="fa-IR"/>
        </w:rPr>
        <w:t xml:space="preserve">شهرة عظیمة واختاره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تزاحم الحُکمَین، لا التزاحم فی مقام الامتثال، بل التزاحم بین مَلاکَی الحکمَین ومقتضی المصلحة والمفسدة فیُقدّم ویُراعی الأهمّ؛ ولا یخفی أنّ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ملاکیّاً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یعنی سقوط دلیل الحکم غیر الأهمّ وعدم شموله لمورد اجتماع</w:t>
      </w:r>
    </w:p>
    <w:p>
      <w:pPr>
        <w:pStyle w:val="BookText"/>
        <w:rPr/>
      </w:pPr>
      <w:r>
        <w:rPr>
          <w:rFonts w:ascii="IRNazanin" w:hAnsi="IRNazanin" w:eastAsia="IRNazanin"/>
          <w:color w:val="111111"/>
          <w:sz w:val="28"/>
          <w:sz w:val="28"/>
          <w:szCs w:val="28"/>
          <w:rtl w:val="true"/>
          <w:lang w:bidi="fa-IR"/>
        </w:rPr>
        <w:t>الحُکمَین بل غایته هو فساد العبادة لأجل أنّ التقرّب فیها لا یصلح أن یکون بما هو مبغوض شرعاً ومحرم ولیس لکون دلیل طبیعة الصلاة المأمور بها قاصر الشمول عن مورد تصادقه مع الفرد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حکم المشهور بصحّة الصلاة فی الدار الغصبیّة مع قصور المصلّی لجهله وغفلته عن‌غصبیّة الأرض، وتصحیحهم للصلاة المزبورة مُستند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 دلیل الصلاة إلی الفرد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 الحُرمة علی القاصر الذی أتی بالفرد المحرّم وأوقع الصلاة فیه وعدم معصیته، فلم یکن متجرّئاً طاغیاً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القول الثانی</w:t>
      </w:r>
      <w:r>
        <w:rPr>
          <w:rStyle w:val="FootnoteAnchor"/>
          <w:rtl w:val="true"/>
        </w:rPr>
        <w:footnoteReference w:id="77"/>
      </w:r>
      <w:r>
        <w:rPr>
          <w:rFonts w:ascii="IRNazanin" w:hAnsi="IRNazanin" w:eastAsia="IRNazanin"/>
          <w:color w:val="111111"/>
          <w:sz w:val="28"/>
          <w:sz w:val="28"/>
          <w:szCs w:val="28"/>
          <w:rtl w:val="true"/>
          <w:lang w:bidi="fa-IR"/>
        </w:rPr>
        <w:t>الذی یتبنّی التعارض فی الفرد الذی یتصادق فیه الحکمان، فإنّ أصحاب هذا القول یبنون علی سقوط دلیل الأمر فی مورد اجتماعه مع النهی لتحقّق التعارض بین الدلیلَین، فلا یکون دلیل الأمر شاملاً لمورد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ما تقدّم، قد تقرّر النسبة إلی المشهور قولهم بشمول أدلّة الأوامر إلی الفرد والمصداق المحرّم وعدم تقیید طبائع الأوامر فی طروّها علی المصادیق بما کان محلّلاً بالحلّیّة الأعمّ، سواء کانت تلک الطبائع المأمور بها ذاتیّة لمصادیقها، أو عناوین ثانویّة فی جنبة الموضوع لآحاد المصادیق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أمکن لنا أن نقول بشمول الدلیل الآمر بالشعائر وتعظیمها وما شابه ذلک أو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الموارد والمواطن المحلّلة بالحلّیّة بالمعنی الأعمّ؛ وأمکن لنا أن نعمّم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تلک المواطن، ویکون ذلک الموطن مشروعاً وشرعیّاً وعلیه الصفة الشرعیّة، ولیس فیه واهمة للبدعة أو البدعیّة</w:t>
      </w:r>
      <w:r>
        <w:rPr>
          <w:rFonts w:eastAsia="IRNazanin" w:cs="IRNazanin"/>
          <w:color w:val="111111"/>
          <w:sz w:val="28"/>
          <w:szCs w:val="28"/>
          <w:rtl w:val="true"/>
          <w:lang w:bidi="fa-IR"/>
        </w:rPr>
        <w:t>.</w:t>
      </w:r>
      <w:bookmarkStart w:id="177" w:name="pg2944_24436"/>
    </w:p>
    <w:p>
      <w:pPr>
        <w:pStyle w:val="Heading6"/>
        <w:numPr>
          <w:ilvl w:val="5"/>
          <w:numId w:val="1"/>
        </w:numPr>
        <w:rPr/>
      </w:pPr>
      <w:bookmarkStart w:id="178" w:name="__RefHeading___Toc110534_2749589250"/>
      <w:bookmarkStart w:id="179" w:name="_Toc69"/>
      <w:bookmarkEnd w:id="177"/>
      <w:bookmarkEnd w:id="178"/>
      <w:r>
        <w:rPr>
          <w:rtl w:val="true"/>
        </w:rPr>
        <w:t>بعض أقوال العلماء فی المقام</w:t>
      </w:r>
      <w:bookmarkEnd w:id="179"/>
    </w:p>
    <w:p>
      <w:pPr>
        <w:pStyle w:val="BookText"/>
        <w:rPr/>
      </w:pPr>
      <w:r>
        <w:rPr>
          <w:rFonts w:ascii="IRNazanin" w:hAnsi="IRNazanin" w:eastAsia="IRNazanin"/>
          <w:color w:val="111111"/>
          <w:sz w:val="28"/>
          <w:sz w:val="28"/>
          <w:szCs w:val="28"/>
          <w:rtl w:val="true"/>
          <w:lang w:bidi="fa-IR"/>
        </w:rPr>
        <w:t>ونتعرض هنا لبعض أقوال الأعلام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 قدس سره بعد ذِکر مسألة کراهة لبس اللباس الأسود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استثناء لبس السواد فی مأتم الحسین علیه السلام من هذه الأخبار، لما استفاضت به الأخبار من الأمر بإظهار شعائر الحزن، ویؤیّده ما رواه شیخنا المجلسیّ قدس سره عن البرقیّ فی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عمر بن زین العابدین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جدّی الحسین المظلوم الشهید لَبس نساء بنی هاشم فی مأتمه ثیابَ السواد ولم یغیّرْنَها فی حرّ أو برد، وکان الإمام زین العابدین یصنع لهنّ الطعام فی المأتم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فعلّل الخروج عن النهی فی لبس السواد بعموم الأمر بإظهار شعائر الحزن، مع أنّ النسبة هی عموم وخصوص من وجه، ومقتضی عموم النهی شموله لمورد التصادق وهو من 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وللمیرزا القمّیّ قدس سره صاحب القوانین فی کتاب جامع الشتات</w:t>
      </w:r>
      <w:r>
        <w:rPr>
          <w:rStyle w:val="FootnoteAnchor"/>
          <w:rtl w:val="true"/>
        </w:rPr>
        <w:footnoteReference w:id="79"/>
      </w:r>
      <w:r>
        <w:rPr>
          <w:rFonts w:ascii="IRNazanin" w:hAnsi="IRNazanin" w:eastAsia="IRNazanin"/>
          <w:color w:val="111111"/>
          <w:sz w:val="28"/>
          <w:sz w:val="28"/>
          <w:szCs w:val="28"/>
          <w:rtl w:val="true"/>
          <w:lang w:bidi="fa-IR"/>
        </w:rPr>
        <w:t>مجموعة من الأسئلة حول الشعائر الحسینیّة حیث قال بجواز الشبیه ضمن الشعائر الحسینیّة ورجحانه، واستدلّ علی ذلک بعمومات البکاء والإبکاء، حیث إنّ عمومات البکاء والإبکاء لها مصادیق مختلفة یمکن أن تشملها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المصادیق الموجبة للبکاء والإبکاء هو ما یکون فی ضمنه التشبیه والتمثیل الّتی تثیر عواطف الناظرین وتستدرّ دموعهم وذکر رحمه الله أنه علی تقدیر عموم حرمة تشبّه الرجل بالمرأة، أو المرأة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الشبیه قد یُضطرّ إلی تشبّه الرجل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علی جواز هذا الفرد من الشبیه أو التمثیل بعموم أدلّة البکاء والإبکاء وقال</w:t>
      </w:r>
    </w:p>
    <w:p>
      <w:pPr>
        <w:pStyle w:val="BookText"/>
        <w:rPr/>
      </w:pPr>
      <w:r>
        <w:rPr>
          <w:rFonts w:ascii="IRNazanin" w:hAnsi="IRNazanin" w:eastAsia="IRNazanin"/>
          <w:color w:val="111111"/>
          <w:sz w:val="28"/>
          <w:sz w:val="28"/>
          <w:szCs w:val="28"/>
          <w:rtl w:val="true"/>
          <w:lang w:bidi="fa-IR"/>
        </w:rPr>
        <w:t>بأنّه علی تقدیر عموم حرمة التشبّه لهذا المصداق نقول إمّا بالتعارض أو بالتزاحم، فإذا قلنا بالتعارض سوف یتساقطان؛ أی یسقط عموم دلیل الشعائر وعموم دلیل الحرمة أیضاً وتکون الفائدة بعد سقوط حرمة الشبیه أن یبقی الفعل حینئذٍ علی الجواز بإجراء أصالة البراءة وهو فی صَدد إثبات الجواز والحلّیّة فمن ثمّ، لو نتج عن العمومَین التعارض من وجه، فغایته أن یتساقط العمومان ثمّ نتمسّک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قلنا بینهما التزاحم، فعمومات البکاء والإبکاء أرجح وأهمّ فتُقدّم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السیّد الیزدی قدس سره أیضاً فی أجوبته عن الشعائر الحسینیّة</w:t>
      </w:r>
      <w:r>
        <w:rPr>
          <w:rStyle w:val="FootnoteAnchor"/>
          <w:rtl w:val="true"/>
        </w:rPr>
        <w:footnoteReference w:id="80"/>
      </w:r>
      <w:r>
        <w:rPr>
          <w:rFonts w:ascii="IRNazanin" w:hAnsi="IRNazanin" w:eastAsia="IRNazanin"/>
          <w:color w:val="111111"/>
          <w:sz w:val="28"/>
          <w:sz w:val="28"/>
          <w:szCs w:val="28"/>
          <w:rtl w:val="true"/>
          <w:lang w:bidi="fa-IR"/>
        </w:rPr>
        <w:t>إلی ما ذهب إلیه صاحب الحدائق من رجحان لبس السواد علی الکراهة لإظهار الحزن والتفجّع والتألّم علی مصاب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السید الگلبایگانیّ قدس سره فی فتواه</w:t>
      </w:r>
      <w:r>
        <w:rPr>
          <w:rStyle w:val="FootnoteAnchor"/>
          <w:rtl w:val="true"/>
        </w:rPr>
        <w:footnoteReference w:id="81"/>
      </w:r>
      <w:r>
        <w:rPr>
          <w:rFonts w:ascii="IRNazanin" w:hAnsi="IRNazanin" w:eastAsia="IRNazanin"/>
          <w:color w:val="111111"/>
          <w:sz w:val="28"/>
          <w:sz w:val="28"/>
          <w:szCs w:val="28"/>
          <w:rtl w:val="true"/>
          <w:lang w:bidi="fa-IR"/>
        </w:rPr>
        <w:t xml:space="preserve">إلی جواز الشبیه، تمسّکاً بعمومات رجحان البکاء والإبکاء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عموم البکاء والإبکاء لا یشیر إلی مصادیق خاصّة، وإنّما یتناول بعمومه مصادیق متعدّدة، ومع ذلک استفاد المشروعیّة للمصداق الخاص بعمومات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الشیخ حسن المظفّر قدس سره فی کتابه نصرة المظلوم، ما لفظه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إظهار الحُزن ومظلومیّة سیّد الشهداء علیه السلام والإبکاء علیه وإحیاء أمره بسنخه عبادة فی المذهب، لا بشخص خاصّ منه ضرورة أنّه لم ترد فی الشریعة کیفیّة خاصّة للحزن والإبکاء وإحیاء الذکر المأمور به لیقتصر علیه الحزین فی حزنه، والمُحیی لأمرهم فی إحیائه، والمُبکی فی إبکائه وإذا کان سنخ الشیء عبادةً ومندوباً إلیه سرت مشروعیّته إلی جمیع أفراده من جهة الفردیّة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تشیر إلیه کلمات الأعلام هو استفادة مشروعیّة المصادیق المستجدّة المُستحدَثة للشعائر بنفس عموم العامّ، ولا یبنون علی البدعیّة أو التشریع المحرّم، لأنّ عموم ذلک العامّ ینطبق علی مصادیقه بمقتضی النقطة الثانیة الّتی ذکرناها، وهی أنّ بعض العناوین الثانویّة التی لها ملاکات أوّلیّة لکن موضوعها طاری‌ء وثانویّ فطُروّ هذا الموضوع علی تلک المصادیق یستنبط العلماء منه مشروعیّة تلک المصادیق، وهذه حقیقة فقهیّة یتغافل عنها القائل ببدعیة الشعائر المستجدّة والمتّخذة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عبارة للشیخ جعفر کاشف الغطاء أیضاً</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کتابه بأصول الدین، ثمّ بعد ذلک بأصول الفقه، ثم بعد ذلک بالقواعد الفقهیّة، ثمّ یشرع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 القواعد الّتی یبحثها الشیخ کاشف الغطاء الکبیر فی القواعد الفقهیّة فی الصفحة المذکورة سطر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حول الفارق والفیصل بین البدعیّة والشرعیّة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جدّاً مهمّ، حیث إنّ الشیخ کاشف الغطاء هو أوّل مَن واجه مِن علماء الإمامیّة شبهات وإشکالات الوهّابیّة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أمثلة ومصادیق منها ما یتعلّق بالشعائر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بعض الأعمال الخاصّة الراجعة إلی الشرع، ولا دلیل علیها بالخصوص، فلا تخلو بین أنّه تدخل فی عمومٍ، ویُقصد بالإتیان بها الموافقة من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جهة العام الّتی انطوت تحته تلک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الخصوصیّة کقول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لا بقصد الجزئیّة ولا بقصد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معاً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بقصد الرجحان الذاتیّ أو الرجحان العارضیّ، لما وَرد من استحباب ذکر اسم علیّ علیه السلام متی ذُکر اسم النبی صلی الله علیه وآله وسلم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الشهادة الثالثة مع عدم البناء علی قصد الجزئیّة، بل البناء علی قصد الاستحباب العام، فلا یُحکم علیها، بالبدعیّة کما وقع عند بعض المتوهّمین وأثاروا دائرة هذا البحث حیث المفروض أنّ من یأتی بها إنّما یقصد جهة العنوان العام، وهو</w:t>
      </w:r>
    </w:p>
    <w:p>
      <w:pPr>
        <w:pStyle w:val="BookText"/>
        <w:rPr/>
      </w:pPr>
      <w:r>
        <w:rPr>
          <w:rFonts w:ascii="IRNazanin" w:hAnsi="IRNazanin" w:eastAsia="IRNazanin"/>
          <w:color w:val="111111"/>
          <w:sz w:val="28"/>
          <w:sz w:val="28"/>
          <w:szCs w:val="28"/>
          <w:rtl w:val="true"/>
          <w:lang w:bidi="fa-IR"/>
        </w:rPr>
        <w:t>اقتران ذِکر اسم النبیّ صلی الله علیه وآله وسلم مع ذکر علیّ علیه السلام واستحباب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کالعموم الوارد فی استحباب الصلاة علی محمّد وآل محمّد عند ذِکر اسم النبیّ محمّد صلی الله علیه وآله وسلم، وإلاّ یکون جفاءً للنبیّ صلی الله علیه وآله وسلم فکما لا نحکم بالبدعیّة فی الصلاة علیه أثناء الأذان کذلک ذِکر الشهادة الثالثة فی الأذان لا نحکم علیه بالبدعیّة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التفرقة فی أنحاء العمل المأتیّ به أنّه هل یُؤتی به من جهة العموم استناداً إلی مشروعیّة عموم العامّ بخلاف ما إذا أُتی به بقصد الخصوصیّة بما هی هی، حیث تأتی شبهة التشریع والبدعة والشرعیّة أمّا إذا أُتی به استناداً إلی العموم فلا بدعیّة فی البین، بل ذلک بواسطة مشروعیّة نفس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فالمستَند والمدرَک والشرعیّة مترشّحة وآتیة من نفس العموم، لا من تخرّص واقتراح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یذکره صاحب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وکقراءة الفاتحة بعد أکل الطعام وبقصد استحباب الدعاء، لِما ورد فیه أنّه من وظائفه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الوظائف المستحبّة للطعام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یدعو بعد الطعام، وأفضله أن یکون بعد قراءة سبع آیات، وأفضلها السبع المثانی وکما یُصنع بقراءة الفاتحة فی مجالس ترحیم الموتی علی الرسم المعلوم والطریقة المعهودة أو إخراج صدقةٍ عند الخروج من المنزل وورد فی کتاب کشف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وتشبیه بعض المؤمنین بیزید أو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الطبل وبعض آلات اللهو، وإن لم یکن الغرض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مطلق التشبیه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ما ذُکر وما یشابهه، إن قُصد به الخصوصیّة کان تشریعاً، وإن لوحظ فیه الرجحانیّة من جهة العموم فلا بأس به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80" w:name="pg2944_24440"/>
    </w:p>
    <w:p>
      <w:pPr>
        <w:pStyle w:val="Heading6"/>
        <w:numPr>
          <w:ilvl w:val="5"/>
          <w:numId w:val="1"/>
        </w:numPr>
        <w:rPr/>
      </w:pPr>
      <w:bookmarkStart w:id="181" w:name="__RefHeading___Toc110536_2749589250"/>
      <w:bookmarkStart w:id="182" w:name="_Toc70"/>
      <w:bookmarkEnd w:id="180"/>
      <w:bookmarkEnd w:id="181"/>
      <w:r>
        <w:rPr>
          <w:rtl w:val="true"/>
        </w:rPr>
        <w:t>إطلالة علی سنن المتشرّعة المستجدّة</w:t>
      </w:r>
      <w:bookmarkEnd w:id="182"/>
    </w:p>
    <w:p>
      <w:pPr>
        <w:pStyle w:val="BookText"/>
        <w:rPr/>
      </w:pPr>
      <w:r>
        <w:rPr>
          <w:rFonts w:ascii="IRNazanin" w:hAnsi="IRNazanin" w:eastAsia="IRNazanin"/>
          <w:color w:val="111111"/>
          <w:sz w:val="28"/>
          <w:sz w:val="28"/>
          <w:szCs w:val="28"/>
          <w:rtl w:val="true"/>
          <w:lang w:bidi="fa-IR"/>
        </w:rPr>
        <w:t>الکلام عن السُبل والسنن الدینیّة الاجتماعیة المستجدّة، والطقوس الاجتماعیة المستجدّة المُستحدَثة، لا بعنوان الشعائر الدینیّة بخصوصها، بل بعنوان السنن الاجتماعیة التی تُتّخذ کطقوس عبادیّة فی مناطق معیّنة کما مثّل الشیخ کاشف الغطاء بکیفیّة الدعاء بعد الطعام بقراءة سورة الفاتحة ورسوم أخری، هذه کلّها سنن اجتماعیة متلوّنة بالواعز الشرعیّ الدینیّ وقد لا نعثر علیها بعناوینها فی الأبواب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بعض المذاهب الإسلامیّة یواجه هذه السنن المستحدثة والحسنة فی المجتمع ویصفها بالبدعیّة والإحداث فی الدین مع ورود العموم النبویّ المتواتر بین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کان له أجرها وأجر مَن عمل بها إلی یوم القیامة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العمومات الخاصّة بالأبواب المختلفة والسنن الدینیّة الاجتماعیة المستجدّة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فی باب الآداب والأخلاقیّات التی لم تحصل علی صبغة عبادیّة لکن یتعاطاها المتشرّعة اعتماداً علی أنّ الفعل مرضیّ عند الشارع ولیس مأموراً به بالأمر العبادیّ الخاصّ، بل هو مشمولٌ للعمومات، ویتّخذه المتشرّعة سُنّة 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ضابطة الشرعیّة؟ وما هی ضابطة البدعیّة؟ سواء فی الشعائر المستجدّة، أم فی بحث السنن والآداب الدینیّة الاجتماعیّة المستجدّة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استفادة الجواز من دلیل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کان له أجرها وأجر مَن عمل بها إلی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والتدلیل علی شرعیّة الآداب والسنن التی تستحدث من قِبل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یعطی هذا الدلیل نوعاً من التخویل بید المتشرّعة؟ ثمّ ما هو محلّ هذه المنطقة من التشریع؟ هذا بحث مستقلّ، وسنری أنّ هذه المنطقة التی فُوّض فیها التشریع تشمل بعض السُنن الاجتماعیة المشروعة فی دائرة معینة، فی الوقت الذی مُنع التفویض فی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سُوِّغ فی بعض ومُنع فی بعض آخر وسوف نبیّن أنّ هذه المنطقة هی نفس منطقة اتّخاذ الشعائر وهی منطقة تطبیق العمومات أو العناوین الثانویّة فی جنبة الموضوع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أنّ المیرزا النوریّ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شیّد سُنّة السیر علی الأقدام من النجف إلی کربلاء بقصد زیارة سیّد الشهداء علیه السلام فی الأربعین وإن کانت الروایات تدلّ علی العموم مثل ما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قبر الحسین علیه السلام ماشیاً کَتبَ الله له بکُلِّ خطوة ألفَ حسنةٍ، ومَحی عَنه ألفَ سیئة ورَفع له ألفَ دَرجة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علی صعید سُنّة وطقس خاص کالسیر لزیارة النصف من رجب والنصف من شعبان ونحو ذلک، قد تتفشّی وتنتشر سُنّة وعادة خاصّة لدی المؤمنین فتَقرُّر المشروعیّة بواسطة العموم الذی یشمل کلّ المصادیق ویتناول المصادیق المحلّلة بالحلّیّة بالمعنی الأعمّ أو قد یعمّم تناوله للمحرّمة منها والمنجّزة کما مرّ</w:t>
      </w:r>
      <w:r>
        <w:rPr>
          <w:rFonts w:eastAsia="IRNazanin" w:cs="IRNazanin"/>
          <w:color w:val="111111"/>
          <w:sz w:val="28"/>
          <w:szCs w:val="28"/>
          <w:rtl w:val="true"/>
          <w:lang w:bidi="fa-IR"/>
        </w:rPr>
        <w:t>.</w:t>
      </w:r>
      <w:bookmarkStart w:id="183" w:name="pg2944_24442"/>
    </w:p>
    <w:p>
      <w:pPr>
        <w:pStyle w:val="Heading6"/>
        <w:numPr>
          <w:ilvl w:val="5"/>
          <w:numId w:val="1"/>
        </w:numPr>
        <w:rPr/>
      </w:pPr>
      <w:bookmarkStart w:id="184" w:name="__RefHeading___Toc110538_2749589250"/>
      <w:bookmarkStart w:id="185" w:name="_Toc71"/>
      <w:bookmarkEnd w:id="183"/>
      <w:bookmarkEnd w:id="184"/>
      <w:r>
        <w:rPr>
          <w:rtl w:val="true"/>
        </w:rPr>
        <w:t>خلاصة القول فی النقطة الثالثة</w:t>
      </w:r>
      <w:bookmarkEnd w:id="185"/>
    </w:p>
    <w:p>
      <w:pPr>
        <w:pStyle w:val="BookText"/>
        <w:rPr/>
      </w:pPr>
      <w:r>
        <w:rPr>
          <w:rFonts w:ascii="IRNazanin" w:hAnsi="IRNazanin" w:eastAsia="IRNazanin"/>
          <w:color w:val="111111"/>
          <w:sz w:val="28"/>
          <w:sz w:val="28"/>
          <w:szCs w:val="28"/>
          <w:rtl w:val="true"/>
          <w:lang w:bidi="fa-IR"/>
        </w:rPr>
        <w:t>أنّ الشارع إذا أمر بالمعنی العامّ الکلّی، فإنه یستفاد من ذلک التخییر أو الجواز الشرعیّ فی التطبیق علی الأفراد المتعدّدة، ومقتضی هذا التخییر والجواز هو التطبیق علی الموارد والأفراد فی الخصوصیّات المتعدّدة؛ مثل ما إذا أمر الشارع بالصلاة، أو أمر ببِرّ الوالدَین، أو بمودّة ذوی القُربی، أو أمر بفعلٍ من الأفعال الکلّیّة فیجوز تطبیق هذه الطبیعة الکلّیّة بالمعنی العامّ علی أفراد الخصوصیّات فی الموارد العدیدة، باعتبار أنّ الشارع لم یقیّد الفعل المأمور به بخصوصیّةٍ أو بقیدٍ خاصّ معیّن إلاّ أنّ هذا الجواز العقلیّ فی تطبیق الطبیعة علی الموارد والخصوصیات الکثیرة لا یشمل موارد کَون الأفراد محرّمة؛ فهذا الجواز والتخییر إنّما یُحدَّد بدائرة الأفراد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 العناوین الثانویّة الّتی تطرأ علی المصادیق ومثل طروّ الصلاة علی المصادیق قد یقال أنّها حالة ثانویّة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حالة ثانویّة فی الدار الغصبیّة، أو الصلاة فی الأرض المخطورة أو الأرض السبخة، علی کلّ حال طروّ العنوان الکلّیّ علی الأفراد المخصوصة یکون طروّاً ثانویّاً، والمفروض، بمقتضی النقطة الأولی الّتی ذکرناها، وهی أنّ للمکلّف التخییر فی تطبیق الکلّی علی موارد الأفراد العدیدة وبمقتضی النقطة الثانیة ذکرنا أنّ الطبیعة الکلّیّة تکون حالة ثانویّة بالنسبة للأفراد وللخصوصیّات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وبمقتضی النقطة الثالثة أیضاً فالمفروض أنّ هذا العنوان الثانویّ فی جنبة الموضوع لا فی جنبة الحکم؛ وهذا العنوان الثانوی فی جنبة الموضوع لا یسوغ تطبیقه فی الفرد الحرام وإنّما یختصّ بدائرة الأفراد المحلّلة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86" w:name="pg2944_24443"/>
    </w:p>
    <w:p>
      <w:pPr>
        <w:pStyle w:val="BookText"/>
        <w:rPr/>
      </w:pPr>
      <w:bookmarkEnd w:id="186"/>
      <w:r>
        <w:rPr>
          <w:rFonts w:ascii="IRNazanin" w:hAnsi="IRNazanin" w:eastAsia="IRNazanin"/>
          <w:color w:val="111111"/>
          <w:sz w:val="28"/>
          <w:sz w:val="28"/>
          <w:szCs w:val="28"/>
          <w:rtl w:val="true"/>
          <w:lang w:bidi="fa-IR"/>
        </w:rPr>
        <w:t>وقد قرأت بعض کلمات الأعلام التی مؤدّاها أنّ مثل إظهار الحزن والبکاء علی مصاب الحسین علیه السلام إذا کان مصداقه 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مکروه فی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الشبیه وغیره یسوغ اتّخاذه شعیرةً لإظهار الحزن علی مصاب الحسین علیه السلام فیُلاحظ فی الکثیر من فتاوی أساطین الفقه أنّهم سوّغوا اتّخاذها شعیرة وحکموا بعدم الکراهة إذا کانت بعنوان الحزن فانتهی البحث إلی ضرورة تحلیل ضابطة التعارض وضابطة التزاحم کی یتمّ تمحیص دائرة تطبیق العمومات للطبائع المأمور بها والمندوب إتیانها وأنّ دیدن الفقهاء فی الفتاوی المختصّة بالشعائر، والتی أشرنا إلی بعضها، هو التمییز بین التعارض والتزاحم للأدلّة ومعرفة الضابطة للتفرقة بینهما، حیث إنّه مع التعارض سوف یُزوی الدلیل المبتلی بالتعارض، یُزوی عن التمسّک به کمستند ویسقط وبعبارة أخری، سوف لا یکون مستنداً شرعیّاً، ولا مَدرکاً شرعیّاً، وبالتالی ما یؤتی به من مصادیق تکون غیر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بنینا علی التزاحم، فلا یسبب ذلک سقوطاً للدلیل، فیکون حکمه فعلیّاً بفعلیّة موضوعه، فیجوز الإستناد إلیه شرعاً فلابدّ من معرفة ضابطة التزاحم والتعارض فی هذه النقطة الثالثة من الجهة الرابعة</w:t>
      </w:r>
      <w:r>
        <w:rPr>
          <w:rFonts w:eastAsia="IRNazanin" w:cs="IRNazanin"/>
          <w:color w:val="111111"/>
          <w:sz w:val="28"/>
          <w:szCs w:val="28"/>
          <w:rtl w:val="true"/>
          <w:lang w:bidi="fa-IR"/>
        </w:rPr>
        <w:t>.</w:t>
      </w:r>
    </w:p>
    <w:p>
      <w:pPr>
        <w:pStyle w:val="Heading6"/>
        <w:numPr>
          <w:ilvl w:val="5"/>
          <w:numId w:val="1"/>
        </w:numPr>
        <w:rPr/>
      </w:pPr>
      <w:bookmarkStart w:id="187" w:name="__RefHeading___Toc110540_2749589250"/>
      <w:bookmarkStart w:id="188" w:name="_Toc72"/>
      <w:bookmarkEnd w:id="187"/>
      <w:r>
        <w:rPr>
          <w:rtl w:val="true"/>
        </w:rPr>
        <w:t>ضابطة التعارض والتزاحم</w:t>
      </w:r>
      <w:bookmarkEnd w:id="188"/>
    </w:p>
    <w:p>
      <w:pPr>
        <w:pStyle w:val="BookText"/>
        <w:rPr/>
      </w:pPr>
      <w:r>
        <w:rPr>
          <w:rFonts w:ascii="IRNazanin" w:hAnsi="IRNazanin" w:eastAsia="IRNazanin"/>
          <w:color w:val="111111"/>
          <w:sz w:val="28"/>
          <w:sz w:val="28"/>
          <w:szCs w:val="28"/>
          <w:rtl w:val="true"/>
          <w:lang w:bidi="fa-IR"/>
        </w:rPr>
        <w:t>إنّ ثمرة هذه الضابطة هی معرفة الموارد التی ینعدمُ ویُلغی فیها الدلیل، فیکون عملنا فی المصداق بلا شرعیّة، ویُحکم علیه بالبدعیّة؛ بعکس ما إذا أثبتنا عدم التعارض ووجود الدلیل بالفِعل، فیکون عملنا عملاً شرعیّاً ومستنداً إلی مدارک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الزاویة هی أحد الزوایا التی تَدفع البِدعیّة فی المقام، وتُثبت الشرعیّة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والضابطة هی‌أنّ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مورد یکون فیه بین الدلیلَین تنافیاً وتضادّاً وتنافراً فی عالم</w:t>
      </w:r>
    </w:p>
    <w:p>
      <w:pPr>
        <w:pStyle w:val="BookText"/>
        <w:rPr/>
      </w:pPr>
      <w:r>
        <w:rPr>
          <w:rFonts w:ascii="IRNazanin" w:hAnsi="IRNazanin" w:eastAsia="IRNazanin"/>
          <w:color w:val="111111"/>
          <w:sz w:val="28"/>
          <w:sz w:val="28"/>
          <w:szCs w:val="28"/>
          <w:rtl w:val="true"/>
          <w:lang w:bidi="fa-IR"/>
        </w:rPr>
        <w:t xml:space="preserve">الجعل والتشریع، مثل طلب النقیضَین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یتحقّق التعارض؛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بین الدلیلَین غالبیّاً أو دائمیّاً علی صعید التنظیر والإطار لطبیعة متعلّق کلّ من الدلیلَین، سواء کانت النسبة نسبة عموم وخصوص من وجه، أو عموم وخصوص مطلق، أو تباین، سوف یکون تعارضاً أمّا التزاحم فهو أن التنافی والتنافر بین الدلیلَین لیس ناشئاً من عالم الجعل والتشریع، وإنّما یطرأ فی عالم الامتثال والتطبیق، أی أنّ التنافی هنا ینشأ بین الدلیلَین من باب الصدفة والاتّفاق مثل تصادف وجوب امتثال إنقاذ الغریق بالمرور علی أرض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الضابطة بین التعارض والتزاحم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وحالات العلاقة بین الأدلّة هی حالات عدیدة جدّاً وبعنوان الفهرسة فقط نذکر أنّ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وروداً وتوارداً وحکومة فی مقام التنظیر ومؤدّی الدلیل أی هناک تعارض وتزاحم ملاکی وتزاحم إمتثالی وحکومة فی مقام الامتثال أو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حالات عدیدة لکن لا تعنینا الآن، بل یعنینا فی المقام هو التفرقة بین التعارض وعدمه من الحالات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حالات عدم التعارض فلها بحث آخر والمهمّ التثبّت من عدم وجود تعارض فی البین؛ لأنّ التعارض سوف یؤدّی إلی إزواء وإسقاط أحد الدلیلَین أو کلا الدلیلَین عن المورد فسوف یکون المصداق والتطبیق فی ذلک المورد خِلْواً من الدلیل ومجرّداً عن الشرعیّة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الاتفاقیة فی تنافی الدلیلَین علی صعید المؤدّی الفرضیّ والدائمیّة هی ضابطة التعارض وعدم التعارض ولذلک نجد فی العدیدة من موارد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یلتزمون بالتعارض لاتّفاقیة التنافی وعدم دائمیّته وموارد التضادّ أیضاً ومسألة التزاحم فی الامتثال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وتطهیر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مسألة التلازم الاتّفاقی بامتثال أحدهما لترک الآخر واتّفاق التقارن لدلیلَین فی ظرف واحد، تکون النسبة شبیهة بعمومٍ وخصوص من وجه أیضاً لکنّها اتّفاقیّة ولیست بدائمیّة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الدائمیّة والاتفاقیة بلحاظ الزمن کما قد یتبادر فی الذهن، بل المراد هو أن نفس مفاد الدلیلین فی أنفسهما بغضّ النظر عن التطبیق الخارجی، وبغضّ النظر عن الممارسة الخارجیة، والمصداق الخارجی یتحقق بینهما تنافی وتنافر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الدلیلان فی نفسیهما لو وضعتهما فی بوتقة الدلالة وبوتقة التنظیر والمفاد الفرضیّ یحصل التنافی بینهما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الدلیلان فی نفسیهما فی عالم الدلالة وأُفق الدلالة وأُفق المفاد، أی بلحاظ الأجزاء الذاتیّة لماهیّة متعلّق الدلیلَین هناک نقطة تلاقی واتّحاد بین المتعلّقَین، مع کون حکمیهما متنافیَین أی بلحاظ إطار طبیعة کلّ من متعلّق الحکمین، بغضّ النظر عن التطبیق والمصداق والممارسة الخارجیّة نفس مؤدّی دلالة الدلیلَین لیس بینهما تنافٍ وإنّما نشأ التنافی من ممارسة خارجیّة، أی من وحدة الوجود لا من وحدة بعض أجزاء الماهیّة فإن کان التنافی نشأ من ممارسة خارجیّة فیقرّر أنّ التنافی اتفاقی، وإن کانت الممارسة طویلة الأمد فی عمود الزمان لکنّها لیست من شؤون الدلالة والتقنین وإنشاء القانون فلیس هناک تکاذب فی الجعل وأمّا إذا کانت بلحاظ نفس مؤدّی ماهیّة کلّ من المتعلّقین ودلالة الدلیلَین فهو من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مبنی المشهور شهرة عظیمة أنّ النسبة بین العناوین الثانویّة فی جنبة الحکم،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الحرج، الإضطرار، الإکراه، النسیان، وغیرها هذه العناوین الثانویّة فی جنبة الحکم نسبتها مع الأحکام الأوّلیّة لیست نسبة التعارض بل نسبة التزاحم ویعبّرون عنها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أدلّة الأحکام الأوّلیّة یعنی حاکمة فی صورة الدلالة، أو واردة فی صورة الدلالة لکنّ هذه الحکومة أو الورود فی صورة الدلالة هی لُبّاً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ثمرات هذه الضابطة التی تمیّز التعارض عن عدم التعارض، والاتفاقیة والدائمیّة أنّ النسبة بین العناوین الثانویّة فی جنبة الحکم والأحکام الأوّلیّة هی نسبة اتفاقیة لأنّ الضرر أو الحرج أو النسیان أو الإکراه نشأ بسبب الممارسة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ففی الفرض التقرّریّ لمعنی وماهیّة مؤدّی کلا الدلیلَین یتبیّن أنّه لا تصادُم بین دلیل الإکراه أو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أدلّة الأحکام الأوّلیّة وهذا دلیل علی أنّ التنافی لیس بسبب الدلالة وإنّما هو بسبب الممارسة الخارجیّة وفی عالم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اذا کان التنافی والتصادم دائمیّاً وغالبیّاً فهو تعارضیّ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فبمقتضی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العناوین الکلّیّة حالات ثانویّة فی المصداق، لکنّ ملاکها أوّلیّ فتکون ملاکاً أوّلیّاً للمصادیق؛ وإن کانت حالات ثانویّة فی المصداق، فکونها ثانویّة فی المصداق، لا یُتوهّم ویُتخیّل منه أنّها ثانویّة واستثنائیّة وشاذّة المَلاک بل حکمها أوّلیّ إنّما هی ثانویّة الموضوع هذا بمقتضی النقطة الثانیة</w:t>
      </w:r>
    </w:p>
    <w:p>
      <w:pPr>
        <w:pStyle w:val="BookText"/>
        <w:rPr/>
      </w:pPr>
      <w:r>
        <w:rPr>
          <w:rFonts w:ascii="IRNazanin" w:hAnsi="IRNazanin" w:eastAsia="IRNazanin"/>
          <w:color w:val="111111"/>
          <w:sz w:val="28"/>
          <w:sz w:val="28"/>
          <w:szCs w:val="28"/>
          <w:rtl w:val="true"/>
          <w:lang w:bidi="fa-IR"/>
        </w:rPr>
        <w:t>وبمقتضی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الشرعیّة باقیة وإن کان المصداق حُکمه الکراهة، فضلاً عن الاستحباب، وفضلاً عن الإباحة، وفضلاً عن الوجوب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ولو کان المصداق محرّماً إذا کان غیر منجّز؛ ویکون حینئذ من قبیل اجتماع الأمر والنهی، سواء مع المندوحة أو بدونها</w:t>
      </w:r>
      <w:r>
        <w:rPr>
          <w:rStyle w:val="FootnoteAnchor"/>
          <w:rtl w:val="true"/>
        </w:rPr>
        <w:footnoteReference w:id="89"/>
      </w:r>
      <w:r>
        <w:rPr>
          <w:rFonts w:ascii="IRNazanin" w:hAnsi="IRNazanin" w:eastAsia="IRNazanin"/>
          <w:color w:val="111111"/>
          <w:sz w:val="28"/>
          <w:sz w:val="28"/>
          <w:szCs w:val="28"/>
          <w:rtl w:val="true"/>
          <w:lang w:bidi="fa-IR"/>
        </w:rPr>
        <w:t>، بل فی تصویر بعض الأعلام ولو کان منجّزاً</w:t>
      </w:r>
      <w:r>
        <w:rPr>
          <w:rStyle w:val="FootnoteAnchor"/>
          <w:rtl w:val="true"/>
        </w:rPr>
        <w:footnoteReference w:id="90"/>
      </w:r>
      <w:r>
        <w:rPr>
          <w:rFonts w:ascii="IRNazanin" w:hAnsi="IRNazanin" w:eastAsia="IRNazanin"/>
          <w:color w:val="111111"/>
          <w:sz w:val="28"/>
          <w:sz w:val="28"/>
          <w:szCs w:val="28"/>
          <w:rtl w:val="true"/>
          <w:lang w:bidi="fa-IR"/>
        </w:rPr>
        <w:t>بشرط الاتفاقیة فی التصادق</w:t>
      </w:r>
      <w:r>
        <w:rPr>
          <w:rFonts w:eastAsia="IRNazanin" w:cs="IRNazanin"/>
          <w:color w:val="111111"/>
          <w:sz w:val="28"/>
          <w:szCs w:val="28"/>
          <w:rtl w:val="true"/>
          <w:lang w:bidi="fa-IR"/>
        </w:rPr>
        <w:t>.</w:t>
      </w:r>
      <w:bookmarkStart w:id="189" w:name="pg2944_24447"/>
    </w:p>
    <w:p>
      <w:pPr>
        <w:pStyle w:val="BookText"/>
        <w:rPr/>
      </w:pPr>
      <w:bookmarkEnd w:id="189"/>
      <w:r>
        <w:rPr>
          <w:rFonts w:ascii="IRNazanin" w:hAnsi="IRNazanin" w:eastAsia="IRNazanin"/>
          <w:color w:val="111111"/>
          <w:sz w:val="28"/>
          <w:sz w:val="28"/>
          <w:szCs w:val="28"/>
          <w:rtl w:val="true"/>
          <w:lang w:bidi="fa-IR"/>
        </w:rPr>
        <w:t>والمفروض أنّ اتّخاذ الشعائر واتّخاذ سُبل ووسائل الإنذار والبثّ الدینیّ ووسائل إعزاز وإعلاء الدین، المفروض أنّه اتفاقی بلحاظ تقرّر معنی ومؤدّی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الشعائر ودلیل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التصادق بسبب الخارج، وهو لیس بدائمیّ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نقول فی الجهة الرابعة، أنّنا لو سلّمنا بنظریّة القائل بأنّ الشعائر حقیقة شرعیّة، فلن ننتهی إلی النتیجة التی یأمل أن یصل إلیها، وهی الحکم علی الشعائر المستجدّة المُستحدَثة بأنّها بِدعة بل یحکم علیها بمحض الدلیل بالشرعیّة لمّا بیّنّاه من الفرق بین البدعیّة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البدعیّة أحد ضوابطها إزواء الدلیل وسقوط حجّیّته عن التأثیر فی ذلک المصداق فی مجال التطبیق أمّا إذا لم یسقط الدلیل وشَمل وعمّ وتناول ذلک المصداق، فسوف یکون هناک تمام الشرعیة وفقاً لما بیّنّاه عبر النقاط الثلاث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الجواب التفصیلیّ الأوّل عن إشکالیّة وضع الشعائر بید العُرف وکما یظهر منه أنّه جوابٌ نقضیّ</w:t>
      </w:r>
      <w:r>
        <w:rPr>
          <w:rFonts w:eastAsia="IRNazanin" w:cs="IRNazanin"/>
          <w:color w:val="111111"/>
          <w:sz w:val="28"/>
          <w:szCs w:val="28"/>
          <w:rtl w:val="true"/>
          <w:lang w:bidi="fa-IR"/>
        </w:rPr>
        <w:t>.</w:t>
      </w:r>
    </w:p>
    <w:p>
      <w:pPr>
        <w:pStyle w:val="Heading4"/>
        <w:numPr>
          <w:ilvl w:val="3"/>
          <w:numId w:val="1"/>
        </w:numPr>
        <w:rPr/>
      </w:pPr>
      <w:bookmarkStart w:id="190" w:name="__RefHeading___Toc110542_2749589250"/>
      <w:bookmarkStart w:id="191" w:name="_Toc73"/>
      <w:bookmarkEnd w:id="190"/>
      <w:r>
        <w:rPr>
          <w:rtl w:val="true"/>
        </w:rPr>
        <w:t>الجواب التفصیلیّ الثانی</w:t>
      </w:r>
      <w:bookmarkEnd w:id="191"/>
    </w:p>
    <w:p>
      <w:pPr>
        <w:pStyle w:val="Heading5"/>
        <w:numPr>
          <w:ilvl w:val="4"/>
          <w:numId w:val="1"/>
        </w:numPr>
        <w:rPr/>
      </w:pPr>
      <w:bookmarkStart w:id="192" w:name="__RefHeading___Toc110544_2749589250"/>
      <w:bookmarkStart w:id="193" w:name="_Toc74"/>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الجواب التفصیلیّ الثانی</w:t>
      </w:r>
      <w:r>
        <w:rPr>
          <w:rStyle w:val="FootnoteAnchor"/>
          <w:rtl w:val="true"/>
        </w:rPr>
        <w:footnoteReference w:id="91"/>
      </w:r>
      <w:r>
        <w:rPr>
          <w:rFonts w:ascii="IRNazanin" w:hAnsi="IRNazanin" w:eastAsia="IRNazanin"/>
          <w:color w:val="111111"/>
          <w:sz w:val="28"/>
          <w:sz w:val="28"/>
          <w:szCs w:val="28"/>
          <w:rtl w:val="true"/>
          <w:lang w:bidi="fa-IR"/>
        </w:rPr>
        <w:t>عن إشکالیّة وضع الشعائر بید العرف، وهو جواب مبنائیّ وحِلّیّ لنُقوض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القائل بأنّ الشعائر حقیقة شرعیّة استند إلی عدّة أدلّة ذکرناها سابقاً، مثل استلزام ذلک تحلیل الحرام، وتحریم الحلال، وأنّ ذلک یستلزم اتّساع الشریعة، وغیر ذلک من الوجوه التی استند إلیها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هذه الوجوه یمکن الردّ علیها بما یلی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الحلال وتحلیل الحرام إن کان بمعنی أن یتّخذ المکلّف أو المتشرّعة فعلاً ومصداقاً خارجیّاً حراماً، أو یتّخذوه حلالاً من دون دلیل شرعیّ، فحینئذ یصدق تحریم الحلال وبالعکس، ویثبت الاعتراض</w:t>
      </w:r>
      <w:r>
        <w:rPr>
          <w:rFonts w:eastAsia="IRNazanin" w:cs="IRNazanin"/>
          <w:color w:val="111111"/>
          <w:sz w:val="28"/>
          <w:szCs w:val="28"/>
          <w:rtl w:val="true"/>
          <w:lang w:bidi="fa-IR"/>
        </w:rPr>
        <w:t>.</w:t>
      </w:r>
      <w:bookmarkStart w:id="194" w:name="pg2944_24448"/>
    </w:p>
    <w:p>
      <w:pPr>
        <w:pStyle w:val="BookText"/>
        <w:rPr/>
      </w:pPr>
      <w:bookmarkEnd w:id="194"/>
      <w:r>
        <w:rPr>
          <w:rFonts w:ascii="IRNazanin" w:hAnsi="IRNazanin" w:eastAsia="IRNazanin"/>
          <w:color w:val="111111"/>
          <w:sz w:val="28"/>
          <w:sz w:val="28"/>
          <w:szCs w:val="28"/>
          <w:rtl w:val="true"/>
          <w:lang w:bidi="fa-IR"/>
        </w:rPr>
        <w:t>لکن إذا استندوا إلی دلیل شرعیّ، فما المانع من ذلک؟ حیث لا یُنسب التحریم والتحلیل إلیهم وإنّما المحلّل والمحرّم هو المَدرک والدلیل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 باب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یُحرّم الإنسان علی نفسه الحلال بواسطة النذر لغرضٍ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الاضطرار یحلَّل الحَرام فیما إذا کان الحرام مُضطرّاً إلیه وما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یستند إلی دلیل شرعیّ فما المانع من ذلک؟ إذ یؤول ویؤوب فی نهایة الأمر إلی أنّ التحلیل والتشریع إنّما هو بید الشارع ولیس بید المکلّف؛ لأنّ المفروض أنّه استند إلی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سوف تجری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التحلیل والتحریم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ما أنزل الله سبحانه حتّی فی الصلاة إذا صلاّها الإنسان فی مکان مباح، والکَوْن فی المسجد أو فی البیت أو فی الصحراء هذا الوجود والکوْن حلال، لکن بما أنّه مصداق للصلاة فیکون واجباً؛ فهل هذا تحریم للحلال؟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هناک شی‌ء محّرم لکن بسبب الاضطرار أو غیره أصبح حلالاً فتحلیل الحرام هنا لیس من قِبَل المکلّف کلاّ، التحریم هو من قِبل الشارع</w:t>
      </w:r>
      <w:r>
        <w:rPr>
          <w:rFonts w:eastAsia="IRNazanin" w:cs="IRNazanin"/>
          <w:color w:val="111111"/>
          <w:sz w:val="28"/>
          <w:szCs w:val="28"/>
          <w:rtl w:val="true"/>
          <w:lang w:bidi="fa-IR"/>
        </w:rPr>
        <w:t>.</w:t>
      </w:r>
    </w:p>
    <w:p>
      <w:pPr>
        <w:pStyle w:val="Heading5"/>
        <w:numPr>
          <w:ilvl w:val="4"/>
          <w:numId w:val="1"/>
        </w:numPr>
        <w:rPr/>
      </w:pPr>
      <w:bookmarkStart w:id="195" w:name="__RefHeading___Toc110546_2749589250"/>
      <w:bookmarkStart w:id="196" w:name="_Toc75"/>
      <w:bookmarkEnd w:id="195"/>
      <w:r>
        <w:rPr>
          <w:rtl w:val="true"/>
        </w:rPr>
        <w:t>التشریع بین التطبیق والبدعة</w:t>
      </w:r>
      <w:bookmarkEnd w:id="196"/>
    </w:p>
    <w:p>
      <w:pPr>
        <w:pStyle w:val="BookText"/>
        <w:rPr/>
      </w:pPr>
      <w:r>
        <w:rPr>
          <w:rFonts w:ascii="IRNazanin" w:hAnsi="IRNazanin" w:eastAsia="IRNazanin"/>
          <w:color w:val="111111"/>
          <w:sz w:val="28"/>
          <w:sz w:val="28"/>
          <w:szCs w:val="28"/>
          <w:rtl w:val="true"/>
          <w:lang w:bidi="fa-IR"/>
        </w:rPr>
        <w:t>وذکرنا أنّ بیت القصید وعصب البحث هو بحث إزواء وسقوط الدلیل وعدم سقوطه فإذا فرغنا وانتهینا من ذلک سوف تسهل بقیّة المباحث، مع الالتفات إلی النقاط الثلاث السابقة إذ لا بدّ لنا من إیصال الدلیل وشمولیّته للمصداق هذا بالنسبة إلی تحریم الحلال وتحلیل الحرام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الدلیل الآخر، من أنّ هذا فتح لباب التشریع وجعله بید المکلّف والمتشرّعة فلا یخفی ضعفه، لأنّ المتشرّعة لا یفوّض إلیهم التشریع إذ من المفروض أنّ</w:t>
      </w:r>
    </w:p>
    <w:p>
      <w:pPr>
        <w:pStyle w:val="BookText"/>
        <w:rPr/>
      </w:pPr>
      <w:r>
        <w:rPr>
          <w:rFonts w:ascii="IRNazanin" w:hAnsi="IRNazanin" w:eastAsia="IRNazanin"/>
          <w:color w:val="111111"/>
          <w:sz w:val="28"/>
          <w:sz w:val="28"/>
          <w:szCs w:val="28"/>
          <w:rtl w:val="true"/>
          <w:lang w:bidi="fa-IR"/>
        </w:rPr>
        <w:t>باب التطبیق لیس فیه تفویض للتشریع ومثاله الواضح فی قوانین الدولة حینما یشکِّل دستور أوّلیّ مشتمل علی قانون من القوانین الوضعیّة مثلاً یشتمل الدستور علی مائتی مادة ثم بعد ذلک تفوّض الدولة وتنزّل تلک المواد الدستوریّة إلی المجالس النیابیّة فی الشُعَب المختلفة ثمّ تتنزّل هذه القوانین المتوسطة الشُعَبیّة إلی درجات أنزَل، أی إلی الوزارات والإدارات المختلفة، فحینئذ یصبح هناک تعمیم وزاریّ أَنزَل وأدون بتوسّط لوائح 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تخوّل الوزارات المؤسّسات التجاریّة والاقتصادیة والأندیة السیاسیّة والحقوقیّة والمؤسّسات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حقیقته یرجع إلی نوع من التشریع؛ وهذا البعد الذی تخوّله الوزارات إلی عموم شرائح المجتمع من فئات سیاسیّة أو تجاریّة أو اقتصادیّة أو حقوقیّة أو غیرها هذا التخویل لیس تشریعاً مذموماً ولا یَصْدُق علیه البدعة أو الإحداث فی القانون أو التبدیل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نوع من تطبیق القوانین، لکن لیس تطبیق القوانین الفوقانّیة جدّاً، ولا المتوسّطة؛ بل هو بمثابة تطبیق النازلة التحتانیّة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فالمتشرّعة لا یُنشِئون الأحکام الشرعیّة الفوقانّیة بل الأحکام الفوقانیّة الکلّیّة هی علی حالها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یحصل من المتشرّعة هو تطبیق تلک القوانین الکلّیّة والتطبیق لیس نوعاً من التشریع بل هو نوع من الممارسة التی أَذِن الشارع فیها، کما فی موارد کثیرة حیث یأمر الشارع بعناوین عامّة ویُوکل جانب التطبیق ویخوّله إلی المتشرّعة سواء المتشرّعة علی صعید فردیّ أو علی صعید جماعات، أو علی صعید حاکم، وهکذا وذکرنا أنّ هذا المقدار من التخویل فی التشریع مع التطبیق لا بدّ منه فی أیّ قانون، حتّی فی</w:t>
      </w:r>
      <w:bookmarkStart w:id="197" w:name="pg2944_24450"/>
    </w:p>
    <w:p>
      <w:pPr>
        <w:pStyle w:val="BookText"/>
        <w:rPr/>
      </w:pPr>
      <w:bookmarkEnd w:id="197"/>
      <w:r>
        <w:rPr>
          <w:rFonts w:ascii="IRNazanin" w:hAnsi="IRNazanin" w:eastAsia="IRNazanin"/>
          <w:color w:val="111111"/>
          <w:sz w:val="28"/>
          <w:sz w:val="28"/>
          <w:szCs w:val="28"/>
          <w:rtl w:val="true"/>
          <w:lang w:bidi="fa-IR"/>
        </w:rPr>
        <w:t>القوانین الوضعیّة</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لغة القانون والاعتبار لغة ینطوی فی مبادئها التصوّریّة والتصدیقیّة أنّها لغة موحّدة بین التقنین السماویّ والوضعیّ إلّاما دلّ الدلیل علی الخلاف؛ ومن ثَمّ تری علماء الأصول والفقهاء یبنون علی وحدة معانی وماهیّات العناوین المستخدمة کآلة قانونیّة فی العُرف العقلائیّ مع العرف الشرعیّ إلّاما استثناه الدلیل،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الشارع لم یستحدث لغة لسانیّة جدیدة فی صعید حواره مع الأمة المخاطَبة، فکذلک لم یستحدث لغة اعتباریة قانونیّة جدیدة فی صعید التخاطب القانونیّ التشریعیّ، وإن کانت تشریعات الشرع المبین مغایرة لتشریعات العرف البشریّ؛ فإن ذلک علی صعید المسائل التفصیلیّة وتصدیقاتها، لا علی صعید مبادئ اللغة القانونیّة، کمعنی الموضوع ومعنی الحکم من الوجوب والحرمة والملکیّة والصحّة والبطلان والحُجّیّة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الأخذ بالاعتبار أنّ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بَلغ من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له جهة کلّیّة، وله جهة عامّة، ولیس مخصوصاً بجزئیّ حقیقیّ ومصداق متشخّص فیبقی کلّیّاً ویبقی تنظیریّاً وإذا بقی کذلک فمقام التطبیق الأخیر لا بدّ حینئذ من أن یکون بید المکلّف فجانب التطبیق لیس فیه نوع من التشریع المُنکَر أو القبیح فی حکم العقل أو فی حکم الوضع بل هو نوع من التطبیق الذی لا بدّ منه فی کلّ القوانین</w:t>
      </w:r>
      <w:r>
        <w:rPr>
          <w:rFonts w:eastAsia="IRNazanin" w:cs="IRNazanin"/>
          <w:color w:val="111111"/>
          <w:sz w:val="28"/>
          <w:szCs w:val="28"/>
          <w:rtl w:val="true"/>
          <w:lang w:bidi="fa-IR"/>
        </w:rPr>
        <w:t>.</w:t>
      </w:r>
    </w:p>
    <w:p>
      <w:pPr>
        <w:pStyle w:val="Heading5"/>
        <w:numPr>
          <w:ilvl w:val="4"/>
          <w:numId w:val="1"/>
        </w:numPr>
        <w:rPr/>
      </w:pPr>
      <w:bookmarkStart w:id="198" w:name="__RefHeading___Toc110548_2749589250"/>
      <w:bookmarkStart w:id="199" w:name="_Toc76"/>
      <w:bookmarkEnd w:id="198"/>
      <w:r>
        <w:rPr>
          <w:rtl w:val="true"/>
        </w:rPr>
        <w:t>مراتب تنزّل القانون</w:t>
      </w:r>
      <w:bookmarkEnd w:id="199"/>
    </w:p>
    <w:p>
      <w:pPr>
        <w:pStyle w:val="BookText"/>
        <w:rPr/>
      </w:pPr>
      <w:r>
        <w:rPr>
          <w:rFonts w:ascii="IRNazanin" w:hAnsi="IRNazanin" w:eastAsia="IRNazanin"/>
          <w:color w:val="111111"/>
          <w:sz w:val="28"/>
          <w:sz w:val="28"/>
          <w:szCs w:val="28"/>
          <w:rtl w:val="true"/>
          <w:lang w:bidi="fa-IR"/>
        </w:rPr>
        <w:t xml:space="preserve">وهنا لفتة لا بأس من الإشارة إلیها وهی أنّ بعض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القانون الوضعیّ، أو القانون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یتکفّل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تنزیلها إلی درجات وبعض المواد قد تری أنّ الشارع قد أبقاها علی وضعها الکلّیّ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فالمواد الکلّیّة القانونیّة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عمومات فوقانیّة جدّاً، وبعضها کلّیّات فوقانیّة متوسّطة، وبعضها کلیات تحتانیة متنزّلة فالمواد القانونیة مختلفة المراتب، ومتفاوتة الدرجات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وکیفیّة إیکال الشارع وتطبیقه لهذه المواد یختلف بحسب طبیعة المادة وطبیعة المتعلّق لتلک المادة القانونیّة، وبحسب طبیعة الموضوع</w:t>
      </w:r>
      <w:r>
        <w:rPr>
          <w:rFonts w:eastAsia="IRNazanin" w:cs="IRNazanin"/>
          <w:color w:val="111111"/>
          <w:sz w:val="28"/>
          <w:szCs w:val="28"/>
          <w:rtl w:val="true"/>
          <w:lang w:bidi="fa-IR"/>
        </w:rPr>
        <w:t>.</w:t>
      </w:r>
      <w:bookmarkStart w:id="200" w:name="pg2944_24451"/>
    </w:p>
    <w:p>
      <w:pPr>
        <w:pStyle w:val="Heading5"/>
        <w:numPr>
          <w:ilvl w:val="4"/>
          <w:numId w:val="1"/>
        </w:numPr>
        <w:rPr/>
      </w:pPr>
      <w:bookmarkStart w:id="201" w:name="__RefHeading___Toc110550_2749589250"/>
      <w:bookmarkStart w:id="202" w:name="_Toc77"/>
      <w:bookmarkEnd w:id="200"/>
      <w:bookmarkEnd w:id="201"/>
      <w:r>
        <w:rPr>
          <w:rtl w:val="true"/>
        </w:rPr>
        <w:t>قاعدة اتّخاذ السُّنّة الحسنة</w:t>
      </w:r>
      <w:bookmarkEnd w:id="202"/>
    </w:p>
    <w:p>
      <w:pPr>
        <w:pStyle w:val="BookText"/>
        <w:rPr/>
      </w:pPr>
      <w:r>
        <w:rPr>
          <w:rFonts w:ascii="IRNazanin" w:hAnsi="IRNazanin" w:eastAsia="IRNazanin"/>
          <w:color w:val="111111"/>
          <w:sz w:val="28"/>
          <w:sz w:val="28"/>
          <w:szCs w:val="28"/>
          <w:rtl w:val="true"/>
          <w:lang w:bidi="fa-IR"/>
        </w:rPr>
        <w:t xml:space="preserve">فعلی ضوء ذلک، لا مانع عقلاً ولا شرعاً فی تخویل المتشرّعة فی التطبیق لاسیّما فی العمومات المتنزلّة وبالمناسبة هنا نشیر الی معنی القاعدة المنصوصة المستفیضة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وأجرُ مَن عَمِل بها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حدیث نبویّ مستفیض بین الفریقین العامّة والخاصّة، وهو قاعدة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المائز بینها وبین قاعدة حرمة البدعة والبِدْعیة؟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المائز والفارق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مورد یوجد فیه عموم یمکن أن یستند إلیه المکلّف أو المتشرّعة،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یوکَل تطبیقه وإیقاعه إلی المکلّف أو إلی المتشرّعة فیکون مشمولاً للحدیث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البدعة التی هی فی مورد إنشاء تشریع فردیّ أو اجتماعی من دون الاستناد إلی دلیل فوقانیّ أو إلی عُموم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فالفارق بین مؤدّی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موارد حرمة البدعة هو أنّ موارد حرمة البدعة لا یستند فیها إلی دلیل لا یستند فیها إلی تشریع معیّن، بینما فی موارد السنّة الحسنة وإنشاء العادات الدینیّة فی المجتمع والأعراف ذات الطابع الاجتماعیّ یستند فیها إلی دلیل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سنّ سنّة سیئة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معناها ظاهر بمقتضی المقابلة، حیث یکون سبباً لنشر الرذائل بین الناس لدرجة تتحوّل إلی ظاهرة اجتماعیة أی تطبیق الحرمة بشکل مُنتشر وکظاهرة اجتماعیة وهذا علیه الوزر المضاعف</w:t>
      </w:r>
      <w:r>
        <w:rPr>
          <w:rFonts w:eastAsia="IRNazanin" w:cs="IRNazanin"/>
          <w:color w:val="111111"/>
          <w:sz w:val="28"/>
          <w:szCs w:val="28"/>
          <w:rtl w:val="true"/>
          <w:lang w:bidi="fa-IR"/>
        </w:rPr>
        <w:t>.</w:t>
      </w:r>
      <w:bookmarkStart w:id="203" w:name="pg2944_24452"/>
    </w:p>
    <w:p>
      <w:pPr>
        <w:pStyle w:val="BookText"/>
        <w:rPr/>
      </w:pPr>
      <w:bookmarkEnd w:id="203"/>
      <w:r>
        <w:rPr>
          <w:rFonts w:ascii="IRNazanin" w:hAnsi="IRNazanin" w:eastAsia="IRNazanin"/>
          <w:color w:val="111111"/>
          <w:sz w:val="28"/>
          <w:sz w:val="28"/>
          <w:szCs w:val="28"/>
          <w:rtl w:val="true"/>
          <w:lang w:bidi="fa-IR"/>
        </w:rPr>
        <w:t xml:space="preserve">إذن استحداث سنّة حسنة بالشروط السابقة لیس بتفویض ممقوت أو مکروه إنّما التفویض الباطل هو أن یشرّع المتشرّعة تشریعاً ابتدائیاً ومن حصول هذا التفویض فی التشریع المتنزّل فی قاعدة الشعائر الدینیّة وفی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یُقرَّر وجهان إضافیّان لأدلّة الولایة التشریعیّة للنبیّ والأئمّة علیهم السلام المنزِّلة للأصول التشریعیّة الإلهیّة</w:t>
      </w:r>
      <w:r>
        <w:rPr>
          <w:rFonts w:eastAsia="IRNazanin" w:cs="IRNazanin"/>
          <w:color w:val="111111"/>
          <w:sz w:val="28"/>
          <w:szCs w:val="28"/>
          <w:rtl w:val="true"/>
          <w:lang w:bidi="fa-IR"/>
        </w:rPr>
        <w:t>.</w:t>
      </w:r>
    </w:p>
    <w:p>
      <w:pPr>
        <w:pStyle w:val="Heading5"/>
        <w:numPr>
          <w:ilvl w:val="4"/>
          <w:numId w:val="1"/>
        </w:numPr>
        <w:rPr/>
      </w:pPr>
      <w:bookmarkStart w:id="204" w:name="__RefHeading___Toc110552_2749589250"/>
      <w:bookmarkStart w:id="205" w:name="_Toc78"/>
      <w:bookmarkEnd w:id="204"/>
      <w:r>
        <w:rPr>
          <w:rtl w:val="true"/>
        </w:rPr>
        <w:t>لمحة حول الولایة التشریعیّة</w:t>
      </w:r>
      <w:bookmarkEnd w:id="205"/>
    </w:p>
    <w:p>
      <w:pPr>
        <w:pStyle w:val="BookText"/>
        <w:rPr/>
      </w:pPr>
      <w:r>
        <w:rPr>
          <w:rFonts w:ascii="IRNazanin" w:hAnsi="IRNazanin" w:eastAsia="IRNazanin"/>
          <w:color w:val="111111"/>
          <w:sz w:val="28"/>
          <w:sz w:val="28"/>
          <w:szCs w:val="28"/>
          <w:rtl w:val="true"/>
          <w:lang w:bidi="fa-IR"/>
        </w:rPr>
        <w:t>ولهذا البحث صلّة ببحث منطقة الولایة التشریعیّة المفوّضة للنبیّ صلی الله علیه وآله وسلم والأئمّة علیهم السلام تمییزاً عن التشریع الذی هو بید الله سبحانه وتعالی وهذا غیر ما یخوّل به المتشرّعة الذی هو نوع تطبیقیّ محض فی جانب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فی ذلک بعض الآیات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والروایات العدیدة التی تثبت الولایة التشریعیّة لهم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وللتفرقة بین المقامَین لأجل بیان حقیقة التطبیق المسموح به للمتشرّعة تفریقاً له عمّا فُوِّض به النبیّ صلی الله علیه وآله وسلم والأئمّة علیهم السلام هو أنّه فی عالم التقنین، سواء الوضعیّ ولغة القانون، أو لغة الشریعة السماویّة أنّ العمومات الفوقانیّة یکون تنزّلها قهریّاً إنطباقیّاً مصداقیّاً، وهناک بعض العمومات المسماة بالأصول القانونیّة</w:t>
      </w:r>
    </w:p>
    <w:p>
      <w:pPr>
        <w:pStyle w:val="BookText"/>
        <w:rPr/>
      </w:pPr>
      <w:r>
        <w:rPr>
          <w:rFonts w:ascii="Amiri" w:hAnsi="Amiri" w:eastAsia="Amiri" w:cs="Amiri"/>
          <w:color w:val="111111"/>
          <w:sz w:val="28"/>
          <w:sz w:val="28"/>
          <w:szCs w:val="28"/>
          <w:rtl w:val="true"/>
          <w:lang w:bidi="ar-SA"/>
        </w:rPr>
        <w:t>والأصول والأسس التشریعیّة لا تتنزّل بنفسها بتنزّل قهریّ عقلیّ تکوینیّ، بل لا تتنزّل هذه العمومات الفوقانیّة القانونیّة إلاّ بجعلٍ قانونیّ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الظاهرة من ضروریّات القانون هذا التشریع والجعل الموجب لتنزّل الأصول القانونیّة بمعنی تنزیل تشریعات الله عزّ وجلّ إلی تشریعات تنزّلیّة نظیر ما هو موجود الآن فی المجالس النیابیّة، إذ لا یمکن للمادّة الدستوریّة أن تُعطی بید رئیس الوزراء، فضلاً عن أن تُعطی بید موظف فی الوزارة وفضلاً عن أن تعطی بید عامّة المجتمع، بل المادّة الدستوریة لا بدّ لها من تنزیل بواسطة المجلس النیابیّ بعد أن ینزلها المجلس النیابیّ بتنزیلات عدیدة، ثمّ تعطی بید الوزیر أو بید رئیس الوزراء، ولا بدّ أن تُنزّل بتوسّط الوزیر والوزارة أیضاً إلی الشُعَب الوزاریّة بتنزّلات أخری ثمّ تعطی بید عامّة المجتمع فهذا السنخ من التنزّلات لیس من قبیل ما طرق أسماعنا وشاع فی أذهاننا من کونها تطبیقات قهریّة مصداقیّة عقلیّة تکوینیّة کلاّ بل هی من قبیل تطبیقات جعلیّة بجعول قانونیّة إذ لا بدّ من جعل قانونی ینزّل هذه المادة ویعدّها للتطبیق وبعض المواد القانونیّة تکون خاصیّتها کذلک، وبعضها لا تکون خاصیّتها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فُوّض إلی المکلّف أو المتشرّع هو غیر سنخ ما یُوکل ویفوّض إلی النبیّ والأئمّة علیهم السلام فی التشریع إنّما هو سنخٌ تطبیقیّ ساذج بسیط، وهو تطبیق قهریّ تنزلیّ عقلیّ بخلاف المنطقة التی یفوّض بها إلی النبیّ صلی الله علیه وآله وسلم أو إلی الأئمّة علیهم السلام، فتلک تحتاج إلی جعول وتقنینات أخری تنزیلیّة نظیر ما هو موجود فی المجالس النیابیّة نقول هو نظیره ولیس هو عینه، إذ التمثیل إنّما هو من جهة لا من کلّ الجهات، وإلاّ فالمجالس النیابیّة تسمّی القوّة التشریعیّة وهی التی یکون علی کاهلها وفی عهدتها تنزیل المواد الدستوریّة، ثمّ تدلی بها إلی القوة التنفیذیّة الإجرائیّة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بدّ من تخویل تشریعیّ فی المجلس النیابیّ إذ أن بعض الکلّیّات الفوقانیّة الأمّ لا یمکن أن تتنزّل إلی عامّة المکلّفین وعامّة المجتمع بتوسّط نفس المادة الدستوریّة، فلا بدّ</w:t>
      </w:r>
      <w:bookmarkStart w:id="206" w:name="pg2944_24454"/>
    </w:p>
    <w:p>
      <w:pPr>
        <w:pStyle w:val="BookText"/>
        <w:rPr/>
      </w:pPr>
      <w:bookmarkEnd w:id="206"/>
      <w:r>
        <w:rPr>
          <w:rFonts w:ascii="IRNazanin" w:hAnsi="IRNazanin" w:eastAsia="IRNazanin"/>
          <w:color w:val="111111"/>
          <w:sz w:val="28"/>
          <w:sz w:val="28"/>
          <w:szCs w:val="28"/>
          <w:rtl w:val="true"/>
          <w:lang w:bidi="fa-IR"/>
        </w:rPr>
        <w:t>من تفویض مرجع ومصدر له صلاحیّة تشریعیّة وهو الّذی یتکفّل تنزیل تلک المواد الدستوریّة بجعول تشریعیّة تنزیلیّة تطبیقیّة وهذا اصطلاح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لدینا عمومات فوقانیّة تختلف عن العمومات الفوقانیّة الرائجة، التی هی تتنزّل بتنزّل قهریّ تطبیقیّ هناک عمومات فوقانیّة لا تتنزّل إلاّ بجعول تطبیقیّة</w:t>
      </w:r>
      <w:r>
        <w:rPr>
          <w:rFonts w:eastAsia="IRNazanin" w:cs="IRNazanin"/>
          <w:color w:val="111111"/>
          <w:sz w:val="28"/>
          <w:szCs w:val="28"/>
          <w:rtl w:val="true"/>
          <w:lang w:bidi="fa-IR"/>
        </w:rPr>
        <w:t>.</w:t>
      </w:r>
    </w:p>
    <w:p>
      <w:pPr>
        <w:pStyle w:val="Heading5"/>
        <w:numPr>
          <w:ilvl w:val="4"/>
          <w:numId w:val="1"/>
        </w:numPr>
        <w:rPr/>
      </w:pPr>
      <w:bookmarkStart w:id="207" w:name="__RefHeading___Toc110554_2749589250"/>
      <w:bookmarkStart w:id="208" w:name="_Toc79"/>
      <w:bookmarkEnd w:id="207"/>
      <w:r>
        <w:rPr>
          <w:rtl w:val="true"/>
        </w:rPr>
        <w:t>بعض الفوارق بین صلاحیّة التفویض للأئمّة علیهم السلام والقوانین الوضعیّة</w:t>
      </w:r>
      <w:bookmarkEnd w:id="208"/>
    </w:p>
    <w:p>
      <w:pPr>
        <w:pStyle w:val="Heading6"/>
        <w:numPr>
          <w:ilvl w:val="5"/>
          <w:numId w:val="1"/>
        </w:numPr>
        <w:rPr/>
      </w:pPr>
      <w:bookmarkStart w:id="209" w:name="__RefHeading___Toc110556_2749589250"/>
      <w:bookmarkStart w:id="210" w:name="_Toc80"/>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من جهة ولیس من جمیع الجهات کل جهة إذ هناک عدّة من الفوارق، نُشیر إلی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الدستور بتمامه لیس إلاّ بعض أبواب الفقه فی فروع الدین، فضلاً عن أصول ومعارف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مصوّبات المجالس النیابیّة یمکن نسخها بمصوّبات المجالس النیابیّة اللاحقة فضلاً عن المصوّبات القانونیّة الوزاریّة، وهذا بخلاف التشریعات النبویّة، فإنّها لا تنسخ من غیره؛ وکذلک سنن وأحکام المعصوم لا تنسخ من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مصوّبات المجالس النیابیّة لا تعدو الأنظار الظنّیّة القابلة للخطأ والصواب، بخلاف تشریعات النبیّ صلی الله علیه وآله وسلم والوصیّ، فإنّها من عین العصمة والعلم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الفوارق المذکورة فی مظانّها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العمومات الفوقانیّة التی لا تتنزّل إلاّ بجعول تنزیلیّة أخری</w:t>
      </w:r>
      <w:r>
        <w:rPr>
          <w:rStyle w:val="FootnoteAnchor"/>
          <w:rtl w:val="true"/>
        </w:rPr>
        <w:footnoteReference w:id="97"/>
      </w:r>
      <w:r>
        <w:rPr>
          <w:rFonts w:ascii="IRNazanin" w:hAnsi="IRNazanin" w:eastAsia="IRNazanin"/>
          <w:color w:val="111111"/>
          <w:sz w:val="28"/>
          <w:sz w:val="28"/>
          <w:szCs w:val="28"/>
          <w:rtl w:val="true"/>
          <w:lang w:bidi="fa-IR"/>
        </w:rPr>
        <w:t>، وهی غیر التطبیق الساذج الذی أُوکل إلی عامّة المکلّفین، الذی هو تطبیق محض لیس فیه أیّ شائبة جعل أو تشریع أو ولایة تشریعیّة، بل هو نوع من التطبیق الساذج فهذا جواب المحذور الثانی الذی ذکره المستدلّ</w:t>
      </w:r>
      <w:r>
        <w:rPr>
          <w:rFonts w:eastAsia="IRNazanin" w:cs="IRNazanin"/>
          <w:color w:val="111111"/>
          <w:sz w:val="28"/>
          <w:szCs w:val="28"/>
          <w:rtl w:val="true"/>
          <w:lang w:bidi="fa-IR"/>
        </w:rPr>
        <w:t>.</w:t>
      </w:r>
      <w:bookmarkStart w:id="211" w:name="pg2944_24455"/>
    </w:p>
    <w:p>
      <w:pPr>
        <w:pStyle w:val="BookText"/>
        <w:rPr/>
      </w:pPr>
      <w:bookmarkEnd w:id="211"/>
      <w:r>
        <w:rPr>
          <w:rFonts w:ascii="IRNazanin" w:hAnsi="IRNazanin" w:eastAsia="IRNazanin"/>
          <w:color w:val="111111"/>
          <w:sz w:val="28"/>
          <w:sz w:val="28"/>
          <w:szCs w:val="28"/>
          <w:rtl w:val="true"/>
          <w:lang w:bidi="fa-IR"/>
        </w:rPr>
        <w:t>وإلاّ لکان کلّ تطبیقات وأداء العمومات الکلّیّة من قِبل المتشرّعة نوعاً من التشریع فیُخلط بین ما هو مشروع وما هو تشریع وبین ما هو بدعة وما هو شرعیّ فلابدّ من معرفة الفرق بین الشرعیّة والبدعیّة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ویفرط القائل بحمایة الدین من البدع والمتشدّد بقاعدة البدعة بتوهّم حراسة الشریعة حیث یقع فی المحذور الذی حاول الفرار منه لأنّ طمس الشرعیّات هو نوع من البدعة وضربٌ من الإحداث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المحافظة علی حدود الفوارق بین هذین الأمرَین، ومعرفة الفیصل بین ما هو شرعیّ وبین ما هو بدعیّ لأنّ طغیان البدعیّ علی الشرعیّ هو بحدّ ذاته بدعةٌ أیضاً</w:t>
      </w:r>
      <w:r>
        <w:rPr>
          <w:rFonts w:eastAsia="IRNazanin" w:cs="IRNazanin"/>
          <w:color w:val="111111"/>
          <w:sz w:val="28"/>
          <w:szCs w:val="28"/>
          <w:rtl w:val="true"/>
          <w:lang w:bidi="fa-IR"/>
        </w:rPr>
        <w:t>.</w:t>
      </w:r>
    </w:p>
    <w:p>
      <w:pPr>
        <w:pStyle w:val="Heading6"/>
        <w:numPr>
          <w:ilvl w:val="5"/>
          <w:numId w:val="1"/>
        </w:numPr>
        <w:rPr/>
      </w:pPr>
      <w:bookmarkStart w:id="212" w:name="__RefHeading___Toc110558_2749589250"/>
      <w:bookmarkStart w:id="213" w:name="_Toc81"/>
      <w:bookmarkEnd w:id="212"/>
      <w:r>
        <w:rPr>
          <w:rtl w:val="true"/>
        </w:rPr>
        <w:t>تعریف البدعة</w:t>
      </w:r>
      <w:bookmarkEnd w:id="213"/>
    </w:p>
    <w:p>
      <w:pPr>
        <w:pStyle w:val="BookText"/>
        <w:rPr/>
      </w:pPr>
      <w:r>
        <w:rPr>
          <w:rFonts w:ascii="IRNazanin" w:hAnsi="IRNazanin" w:eastAsia="IRNazanin"/>
          <w:color w:val="111111"/>
          <w:sz w:val="28"/>
          <w:sz w:val="28"/>
          <w:szCs w:val="28"/>
          <w:rtl w:val="true"/>
          <w:lang w:bidi="fa-IR"/>
        </w:rPr>
        <w:t>البدعة لها تعاریف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الله ما لم یشرّعه، أو النسبة إلیه ما لم یأمر به وینهی عنه، أو ما لم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إدخال فی الدین ما لیس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الأخیر لا یمکن الإلمام به إلاّ بعد الإحاطة بکلّ شؤون التشریع، کی نعلم أنّ التشریع منتفی أو غیر منتفٍ لأنّه مأخوذ فی موضوع البِدعة عدم التشریع وعدم 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السهولة أن نعرف موارد البدعة من دون الإلمام بکلّ عالم القانون ومشجّرة التشریع وشؤونهما المختلفة ومن دون معرفة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مستوی واسع وعمیق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بالشریعة وبموازینها وأُسسها وقوانینها لیس من السهل إطلاق البدعیّة علی مورد من الموارد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هو إعطاء حقّ تطبیق المعانی والعناوین الکلّیّة الواردة فی الأدلّة العامة بید المتشرّعة، وهذا لا یمتّ إلی البدعة بأیّ صِلة</w:t>
      </w:r>
      <w:r>
        <w:rPr>
          <w:rFonts w:eastAsia="IRNazanin" w:cs="IRNazanin"/>
          <w:color w:val="111111"/>
          <w:sz w:val="28"/>
          <w:szCs w:val="28"/>
          <w:rtl w:val="true"/>
          <w:lang w:bidi="fa-IR"/>
        </w:rPr>
        <w:t>.</w:t>
      </w:r>
      <w:bookmarkStart w:id="214" w:name="pg2944_24456"/>
    </w:p>
    <w:p>
      <w:pPr>
        <w:pStyle w:val="Heading5"/>
        <w:numPr>
          <w:ilvl w:val="4"/>
          <w:numId w:val="1"/>
        </w:numPr>
        <w:rPr/>
      </w:pPr>
      <w:bookmarkStart w:id="215" w:name="__RefHeading___Toc110560_2749589250"/>
      <w:bookmarkStart w:id="216" w:name="_Toc82"/>
      <w:bookmarkEnd w:id="214"/>
      <w:bookmarkEnd w:id="215"/>
      <w:r>
        <w:rPr>
          <w:rtl w:val="true"/>
        </w:rPr>
        <w:t>جواب المحذور الثالث</w:t>
      </w:r>
      <w:bookmarkEnd w:id="216"/>
    </w:p>
    <w:p>
      <w:pPr>
        <w:pStyle w:val="Heading6"/>
        <w:numPr>
          <w:ilvl w:val="5"/>
          <w:numId w:val="1"/>
        </w:numPr>
        <w:rPr/>
      </w:pPr>
      <w:bookmarkStart w:id="217" w:name="__RefHeading___Toc110562_2749589250"/>
      <w:bookmarkStart w:id="218" w:name="_Toc83"/>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والمحذور الثالث الذی ذکره القائل کدلیل علی أنّ قاعدة الشعائر الدینیّة لابدّ أن تکون حقیقة شرعیّة ولیست حقیقة لغویّة، هو استلزام إتّساع الشریعة وزیادتها عمّا کانت علیه إذ سوف تتبدّل رسومها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وتتبدّل أعلامها وملامحها حیث تُتّخذ شعائر کثیرة ومتنوّعة إلی حدّ تطغی معه علی ما هی علیه الشریعة من ثوابت ومن حالة 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المحذور وهو لیس دلیلاً علی أنّها حقیقة شرعیّة، بل هو دلیل علی أنّها حقیقة لغویّة والسرّ فی ذلک هو أنّ هذا الاتّساع والتَضخّم الذی یتخوّف ویحذر منه المستدلّ وهذا الاتّساع والانتشار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اتّساعاً وانتشاراً للشریعة فهذا ممّا تدعو إلیه نفس الآیات القرآنّیة التی ذکرناها، والدالّة علی نفس قاعدة الشعائر الدینیّة، وقد صنّفناها من أدلة الصنف الثانی مثل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 وجلّ یرید أن یُتمّ نوره أن یبثّه وأن ینشره وکذلک 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وتعالی یرید إظهار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کَلِمَةَ الَّذِینَ کَفَرُوا السُّفْلَی وَکَلِمَةُ اللَّهِ هِیَ الْعُلْیَا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السموّ والعلو ورفرفة المعالم والأعلام الدینیّة وهذا الانتشار لا بدّ منه، ولا بدّ أنّ له آلیّاته المتنوّعة وأسالیبه المختلفة ومن أسالیبه اتّخاذ الشعائر التی تؤدّی إلی اتّساع رقعة الدین وکثرة الملتزمین به وزیادة تفاعلهم وانجذابهم إلی رسوم الدین وطقوسه</w:t>
      </w:r>
      <w:r>
        <w:rPr>
          <w:rFonts w:eastAsia="IRNazanin" w:cs="IRNazanin"/>
          <w:color w:val="111111"/>
          <w:sz w:val="28"/>
          <w:szCs w:val="28"/>
          <w:rtl w:val="true"/>
          <w:lang w:bidi="fa-IR"/>
        </w:rPr>
        <w:t>.</w:t>
      </w:r>
      <w:bookmarkStart w:id="219" w:name="pg2944_24457"/>
    </w:p>
    <w:p>
      <w:pPr>
        <w:pStyle w:val="BookText"/>
        <w:rPr/>
      </w:pPr>
      <w:bookmarkEnd w:id="21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معنی اتّساع الدین علی حساب زوال الثوابت، وسبباً لإعطاء التنازلات تلو التنازلات فی الأحکام الشرعیّة فهذا المعنی لا ریب فی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یجب أن یُجعل محذوراً ومانعاً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الکلام فی أنّ الشعائر المتّخذة هل هی من النوع الأوّل أم من النوع الثانی؟ هل هی توجب طمس الثوابت فی الدین أم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اتّساع تلک الثوابت وانتشارها فی ضمن متغیّرات مختلفة</w:t>
      </w:r>
      <w:r>
        <w:rPr>
          <w:rFonts w:eastAsia="IRNazanin" w:cs="IRNazanin"/>
          <w:color w:val="111111"/>
          <w:sz w:val="28"/>
          <w:szCs w:val="28"/>
          <w:rtl w:val="true"/>
          <w:lang w:bidi="fa-IR"/>
        </w:rPr>
        <w:t>.</w:t>
      </w:r>
    </w:p>
    <w:p>
      <w:pPr>
        <w:pStyle w:val="Heading6"/>
        <w:numPr>
          <w:ilvl w:val="5"/>
          <w:numId w:val="1"/>
        </w:numPr>
        <w:rPr/>
      </w:pPr>
      <w:bookmarkStart w:id="220" w:name="__RefHeading___Toc110564_2749589250"/>
      <w:bookmarkStart w:id="221" w:name="_Toc84"/>
      <w:bookmarkEnd w:id="220"/>
      <w:r>
        <w:rPr>
          <w:rtl w:val="true"/>
        </w:rPr>
        <w:t>الثابت والمتغیّر فی الشریعة</w:t>
      </w:r>
      <w:bookmarkEnd w:id="221"/>
    </w:p>
    <w:p>
      <w:pPr>
        <w:pStyle w:val="BookText"/>
        <w:rPr/>
      </w:pPr>
      <w:r>
        <w:rPr>
          <w:rFonts w:ascii="IRNazanin" w:hAnsi="IRNazanin" w:eastAsia="IRNazanin"/>
          <w:color w:val="111111"/>
          <w:sz w:val="28"/>
          <w:sz w:val="28"/>
          <w:szCs w:val="28"/>
          <w:rtl w:val="true"/>
          <w:lang w:bidi="fa-IR"/>
        </w:rPr>
        <w:t>فالبحث یقع فی تقریر الفرق بین الثابت والمتغیّر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بالعبارة الإصطلاحیّة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محمول وعلی موضوع ومصادیق الموضوع متعدّدة ومستجدّة ومتغیّرة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قَولبة عنوان الموضوع وهیکل عنوان الموضوع والمحمول فیظلّ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أحد الضوابط المهمّة جدّاً فی التمییز بین الثابت والمتغیّر، أو فی تمییز ما هو دائم فی الشریعة وما هو متغیّر المتغیّر فی الحقیقة هو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روایة الإمام الباقر علیه السلام فی وصفه للقرآن الکریم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کما یجری الشمس والقمر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باعتبار اختلاف المصادیق وتنوّعها وتکثّرها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مصادیق الموضوع أو مصادیق المتعلّق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بنا سابقاً أنّ القضیّة الشرعیّة تشتمل علی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الموضوع، محور المتعلّق، محور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فمصادیق الموضوع أو مصادیق المتعلّق متکثّرة ومتعدّدة، ومستجدّة حسب کثرة الموارد وتعدّد البیئات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فالقوّة سواء کانت ضمن أسالیب القتال القدیمة أو الحدیثة القوّة مصادیقها متعدّدة؛ لکنّ وجوب إعداد القوة هو ثابت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فالشاهد أنّ أحد ضوابط تمییز الثابت عن المتغیّر هی أنّ جانب المحمول وعنوان الموضوع یظلّ ثابتاً غایة الأمر أنّ مصادیق آلیّات الموضوع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الجواب عن المحذور السابق وهو اتّساع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بمعنی شمولیّة موضوعاتها وشمولیّة قوانینها فهذا لا ضیر فیه بل لا بدّ من الانتشار والاتّساع أمّا بمعنی زوال القضایا الأوّلیّة وزوال جنبة الحکم وتغیّره، فهذا اللازم باطل ویکون طمساً لثوابت الشریعة وهذا هو الذی أُشیر إلیه فیما سبق من أنّ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الفقیه فی الفتوی أو فی الحکم السیاسیّ أو القضائیّ أو أیّ جانب من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یتوسّل کثیراً باستثنائیّات القانون، أی بالعناوین الثانویّة فی جنبة الحکم أو یوقع عامّة المکلّفین فی المحاذیر الشرعیّة، من قبیل التزاحم فی الملاک، أو حتّی التزاحم الامتثالیّ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أمّا التزاحم الامتثالیّ فلا یتحقّق تصادق بین المتزاحمَین فی وجود واحد،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المسجد مع وجوب الصلاة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فضلاً عن التوسّل بالعناوین الثانویّة فی جنبة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أن ینتبه إلی إرشاد المکلفین بسیاسیّة الفتوی والحکم بحیث لا تصل النوبة إلی الأبواب الاضطراریّة المزبورة، وإلی وجود المندوحة والفرجة عن التوسّل بالاضطرار، بل ینتبه إلی وجود المنفذ عن تصادم وتنافی الأحکام وحصول المجال والأرضیّة لإقامة کلّ حکم فی مورده من دون تنافیه مع امتثال وأداء الحکم الآخر، فیبتعد ویحذر عن المسارعة الی فرض صور الاضطرار والحرج والإکراه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أنّ التزاحم الامتثالیّ أو الملاکیّ أو التوسّل بالعناوین الثانویّة فی جنبة الحکم لیست بمقنّنة بل قُنِّنَتْ هذه من أجل أن یُستفاد منها أقلّ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أنّها قُنِّنَت حتّی یستفاد منها بنحو الدوام بحیث تؤول وتعود حکماً أوّلیّاً وتبقی الأحکام الأوّلیّة معطّلة وجامدة فمن ثمّ یمکن المحافظة علی الثوابت بهذه الوسیلة وهذا لیس بمحذور إذ المفروض أنّ جنبة الشعائر الدینیّة المستجدّة المستحدثة المتّخذة من قبل المکلّفین هی جنبةٌ تطبیقیّة کما بیّنا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المحافظة علی الشمولیّة الشرعیّة لأنّ کلّ ما قَصد وصمّم المتشرّعة تطبیق تلک العناوین والقضایا التی أتی بها الشرع فهذا نوع من إحیاء الشریعة وعدم طمسها وعدم اندراسها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والعکس هو الصحیح فبدل أن یکون هذا محذوراً علی اتّخاذ الشعائر، فهو فی الواقع دلیلاً علی صحّتها لإحیاء وانتشار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مما مرّ أنّ أدلة الطائفة الأولی من الآیات التی اشتملت علی لفظة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أیضاً من العمومات الباقیة علی عمومها کقضایا شرعیّة ورَدت فی النصوص القرآنیّة أو الروائیّة علی حقیقتها اللغویّة، کما هو حال الطائفة الثانیة من الأدلة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من تطبیقها علی مناسک الحجّ مثلاً، فهو من باب تطبیق العامّ علی الخاصّ لا من قبیل التحدید والحصر</w:t>
      </w:r>
      <w:r>
        <w:rPr>
          <w:rFonts w:eastAsia="IRNazanin" w:cs="IRNazanin"/>
          <w:color w:val="111111"/>
          <w:sz w:val="28"/>
          <w:szCs w:val="28"/>
          <w:rtl w:val="true"/>
          <w:lang w:bidi="fa-IR"/>
        </w:rPr>
        <w:t>.</w:t>
      </w:r>
      <w:bookmarkStart w:id="222" w:name="pg2944_24460"/>
    </w:p>
    <w:p>
      <w:pPr>
        <w:pStyle w:val="Heading6"/>
        <w:numPr>
          <w:ilvl w:val="5"/>
          <w:numId w:val="1"/>
        </w:numPr>
        <w:rPr/>
      </w:pPr>
      <w:bookmarkStart w:id="223" w:name="__RefHeading___Toc110566_2749589250"/>
      <w:bookmarkStart w:id="224" w:name="_Toc85"/>
      <w:bookmarkEnd w:id="222"/>
      <w:bookmarkEnd w:id="223"/>
      <w:r>
        <w:rPr>
          <w:rtl w:val="true"/>
        </w:rPr>
        <w:t>الدلیل الاعتراضیّ الرابع والجواب عنه</w:t>
      </w:r>
      <w:bookmarkEnd w:id="224"/>
    </w:p>
    <w:p>
      <w:pPr>
        <w:pStyle w:val="BookText"/>
        <w:rPr/>
      </w:pPr>
      <w:r>
        <w:rPr>
          <w:rFonts w:ascii="IRNazanin" w:hAnsi="IRNazanin" w:eastAsia="IRNazanin"/>
          <w:color w:val="111111"/>
          <w:sz w:val="28"/>
          <w:sz w:val="28"/>
          <w:szCs w:val="28"/>
          <w:rtl w:val="true"/>
          <w:lang w:bidi="fa-IR"/>
        </w:rPr>
        <w:t>یبقی دلیل رابع للقائل، بأنّ قاعدة الشعائر الدینیّة حقیقة شرعیّة، وهو أنّ الشارع قد طبّق هذه القاعدة فی بعض المصادیق،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یعنی أنّ هذا المضمون الفوقانیّ یحتاج فی التنزّل إلی جعل الشارع وبعبارة أُخری، فقد أشرنا سابقاً أنّ بعض العمومات الفوقانیّة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الوضعیّة أو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تنزّلها لیس قهریّاً تطبیقیّاً عقلیّاً بل تحتاج إلی تنزّل جعلیّ تطبیقیّ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کیف نتبیّن مواضع العدل، فلا بدّ من معرفة للحقوق المختلفة من قبل الشارع نفسه، وأیّ مورد هو أداء لحقّ الغیر؟ وأیّ مورد لیس بهذا النحو؟ وإلاّ فإنّ العمل بعموم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غیر معرفة مواضع العدل من الشارع لا 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فی تلک العمومات الفوقانیّة التی لا یمکن أن تتنزّل قهریّاً وعقلیّاً علی المصادیق، لا یمکن للفقیه أن یستدلّ بها علی المطلوب، لأنّ المفروض أنّها عمومات فوقانیّة تحتاج فی التنزّل إلی جعل شرعیّ أیضاً، وإلی تشریع آخر تطبیقیّ من الشارع</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وکذا لو أنّ أحداً من عامّة الناس عمل بمادّة من المجلس النیابیّ، فإنّه یُخطّأ ویحاسب علی ذلک لضرورة صدور تلک المادة القانونیّة النیابیّة بتوسّط الشُعَب الوزاریّة کی یستطیع عوام المکلّفین أن یعملوا بها وهذا الذی نراه من طبیعة القوانین لیس مخصوصاً بالقوانین الوضعیّة، هذا هو من الماهیّات الأوّلیّة لنفس لغة القانون وطبیعة التقنین أو طبیعة عالم الإعتباریّات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الماهیّات الأوّلیّة والإعتباریّات فی عالم القانون والتشریع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العمومات فیه لا تتنزّل إلّا بجعلٍ وتشریع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الحریّ والجدیر أن تکون قاعدة الشعائر الدینیّة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رأینا أنّ الشارع قد جعل البُدن من شعائر الله ممّا یشیر الی أنّ الشعائر وإن کانت عمومات قد تعلّق الأمر بها لکن هی من العمومات الفوقانیّة من النمط الثانی التی یحتاج فی تنزّله إلی جعول تشریعیّة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تشریعات تنزّلیّة لا أنّها تتنزّل قهریّاً مثل بقیة العمومات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الدلیل الرابع علی أنّ قاعدة الشعائر الدینیّة قاعدة توقیفیّة شرعیّة وأنّها حقیقة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الاستدلال یمکن الإجابة علیه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کثیراً من العمومات لیست قطعاً عمومات من النمط الذی یحتاج فی تنزّله إلی جعول تطبیقیّة بنمط الحقیقة الشرعیّة، أی الاعتبار الشرعیّ المغایر للاعتبار الوضعیّ العقلائیّ أو العُرفیّ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الفاقدة للسورة نسیاناً، أو الفاقدة لأجزاء معینة نسیاناً أو خطأً فإنّ الشارع یصحّحها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الأرکان؛ أمّا غیر الأرکان فلا تُعاد الصلاة لأجلها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تصحیحٌ وتصرّف من الشارع لبعض المصادیق، ومجرّد تصرف الشارع وتدخّله بجعول تطبیقیّة لیس دلیلاً علی کَون ذلک العموم لا یتنزّل إلاّ بالتشریع والجعل التطبیقیّ، الذی هو من نمط الحقیقة الشرعیّة والاعتبار الشرعی دون الاعتبار العقلائیّ</w:t>
      </w:r>
    </w:p>
    <w:p>
      <w:pPr>
        <w:pStyle w:val="BookText"/>
        <w:rPr/>
      </w:pPr>
      <w:r>
        <w:rPr>
          <w:rFonts w:ascii="IRNazanin" w:hAnsi="IRNazanin" w:eastAsia="IRNazanin"/>
          <w:color w:val="111111"/>
          <w:sz w:val="28"/>
          <w:sz w:val="28"/>
          <w:szCs w:val="28"/>
          <w:rtl w:val="true"/>
          <w:lang w:bidi="fa-IR"/>
        </w:rPr>
        <w:t>والعرفیّ، کما هو الحال فی البیع والعقود وبقیة الجعول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کثیر من العمومات لها مصادیق تکوینیّة وتنزّلات تکوینیّة، لکن مع ذلک قد یتصرّف الشارع لمصلحةٍ ما فی تحدید بعض المصادیق، فلا یعنی ذلک أنّ الشارع قد جعل ذلک العموم عموماً یحتاج إلی تشریع تنزیلیّ، غایة الأمر أنّه قد أذن للعُرف والمتشرّعة باتّخاذ بعض المصادیق لإطلاق عنوان الشعیرة علی المعنی اللغویّ فی الأدلّة، کما تقدّم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هذا الدلیل یرتبط بمعرفة ضابطة التوقیفیّة وغیر التوقیفیّة؟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التوقیفیّة هی ضابطة من الضوابط الشرعیّة فأیّ مورد یکون الأمر فیه توقیفیّاً، فیکون اتّخاذ شی‌ء من المتشرّعة فیه بدعاً وتشریعاً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لم یکن المورد توقیفیّاً، فالاتّخاذ من قبل المتشرّعة یکون شرعیّاً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فالتوقیفیّة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العلامات، وإحدی المقدّمات التی تؤثّر فی معرفة الشرعیّة عن اللاشرعیّة أو البدعیّة عن اللابدعیّة، فلا بدّ من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یتراءی من کلمات العلماء أنّ القدر المتیقّن من التوقیفات هو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موجزة نوضّح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تعریفات تُذکر للبدعة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نسبة ما لم یفعله الشارع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النسبة والإخبار عن الشارع بأمر أو تقنین أو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تکلیفیّاً أو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علم بل عن شکّ أو جهل أو احتمال،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فی الواقع قد یکون الشارع قد شرّعه إلاّ أنّ النسبة بغیر علم تکون نوعاً 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لدینا فرق بین التعریف الأوّل والثانی فی التعریف الأوّل النسبة إلی الشارع ما لم یشرّعه وما لم یقنّنه لو نُسب قانون ما إلی الشارع وکان الشارع قد شرّعه لم یکن ذلک تشریعاً، وإن کانت النسبة إلی الشارع من دون علم بخلاف التعریف الثانی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النسبة إلی الشارع ما لم یُعلم، سواء شرَّعه الشارع فی الواقع أم لم یشرّعه وهناک تعاریف أخری تُذکر للبدعة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والتوقیفیّة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کلّ ما ترید أن تنسبه إلی الشارع یجب أن یکون موقوفاً علی العلم أو موقوفاً علی أنّ الشارع هو الذی قد أنشأه وجَعَله وحکم به ومن ثَمّ تنسبه للشارع ولیس المقصود النسبة إلی الشارع فی مقام الإخبار فقط بل تعمّ النسبة حتّی موارد التدیّن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یتدیّن أو یداین الآخرین فی المعاملات أو فی العبادات بالمعنی الأعمّ الشامل لکلّ الإیقاعات والعقود والعبادات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التدیّن أو المداینة بشی‌ء علی أنّه من الشارع یحتاج إلی التوقیف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الشارع یجعله، ومن ثمّ یتدیّن المکلّف به ویداین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علی تشریع الشارع وجعله وتقنینه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العلم بذلک أی لا یتدیّن ولا یداین الآخرین إلاّ بعد عِلمه 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التوقیفیّة فی قبال الإمضائیّات وما یُکتفی فیه بعدم الردع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کلّ أمر تقنینیّ أتدیّن به أو أداین الآخرین به علی أنّه من الشارع، هذا موقوف علی الشارع ولیس مخصوصاً بالعبادات فقط أو علی العلم بجعل الشارع فقاعدة توقیفیّة الأمور لیست مختصّة بالعبادات بل فی کلّ فصل أو باب من التقنین فی الشریعة إذا کنتُ أنا أتدیّن به، وألزم نفسی به أو ألزم الآخرین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معاملة بالمعنی الأعمّ سواء جنبة قضائیّة أو جنبة الأحوال الشخصیّة أو جنبة معاملات، أو جنبة عبادات وفی أیّ فصل، أیّ شعبة من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تکون موقوفة علی</w:t>
      </w:r>
      <w:bookmarkStart w:id="225" w:name="pg2944_24464"/>
    </w:p>
    <w:p>
      <w:pPr>
        <w:pStyle w:val="BookText"/>
        <w:rPr/>
      </w:pPr>
      <w:bookmarkEnd w:id="225"/>
      <w:r>
        <w:rPr>
          <w:rFonts w:ascii="IRNazanin" w:hAnsi="IRNazanin" w:eastAsia="IRNazanin"/>
          <w:color w:val="111111"/>
          <w:sz w:val="28"/>
          <w:sz w:val="28"/>
          <w:szCs w:val="28"/>
          <w:rtl w:val="true"/>
          <w:lang w:bidi="fa-IR"/>
        </w:rPr>
        <w:t>جعل الشارع أو أنّها موقوفة علی العلم 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قاعدة التوقیفیّة مدارها ومناطها هو التدیّن والمداینة علی أنّها من الشارع هذا السلوک التدینی أو الإلتزامیّ أو التبعیّة التی لا تقتصر علی مظهر الأفعال الجارحیّة بل حتّی الأفعال الجوانحیّة، بل حتّی الإعتقادات هذه السلوکیّة المعیّنة فی کلّ أفعال الإنسان المختار إذا کانت علی أساس إتّباع الشارع فتکون موقوفة علی جعل الشارع أو علی عِلمه بجعل الشارع</w:t>
      </w:r>
      <w:r>
        <w:rPr>
          <w:rFonts w:eastAsia="IRNazanin" w:cs="IRNazanin"/>
          <w:color w:val="111111"/>
          <w:sz w:val="28"/>
          <w:szCs w:val="28"/>
          <w:rtl w:val="true"/>
          <w:lang w:bidi="fa-IR"/>
        </w:rPr>
        <w:t>.</w:t>
      </w:r>
    </w:p>
    <w:p>
      <w:pPr>
        <w:pStyle w:val="Heading6"/>
        <w:numPr>
          <w:ilvl w:val="5"/>
          <w:numId w:val="1"/>
        </w:numPr>
        <w:rPr/>
      </w:pPr>
      <w:bookmarkStart w:id="226" w:name="__RefHeading___Toc110568_2749589250"/>
      <w:bookmarkStart w:id="227" w:name="_Toc86"/>
      <w:bookmarkEnd w:id="226"/>
      <w:r>
        <w:rPr>
          <w:rtl w:val="true"/>
        </w:rPr>
        <w:t>التوقیفیّة وحدود الدیانة</w:t>
      </w:r>
      <w:bookmarkEnd w:id="227"/>
    </w:p>
    <w:p>
      <w:pPr>
        <w:pStyle w:val="BookText"/>
        <w:rPr/>
      </w:pPr>
      <w:r>
        <w:rPr>
          <w:rFonts w:ascii="IRNazanin" w:hAnsi="IRNazanin" w:eastAsia="IRNazanin"/>
          <w:color w:val="111111"/>
          <w:sz w:val="28"/>
          <w:sz w:val="28"/>
          <w:szCs w:val="28"/>
          <w:rtl w:val="true"/>
          <w:lang w:bidi="fa-IR"/>
        </w:rPr>
        <w:t>وقد یطرح سؤال فیما إذا کان الإنسان یداین نفسه أو یداین الآخرین علی أمر معین لا علی أنّه مجعول من الشارع فهذا لیس أمراً توقیفیّاً، فهل یکون حلالاً وإن لم یقرّ الشارع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یداین الآخرین بمعاملة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یقرّها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یتعاملون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یتعاملون علی أنّه مجعول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الذین یتعاملون بمعاملات جدیدة لا یُقرّها الشارع ولا یمضیها أو یتعاملون أو یلتزمون فیما بینهم بأمور لا یقرّها الشارع وهم أیضاً لا یلتزمون فیما بینهم علی أنّها من الشارع فهذا هل یکون حلالاً وجائزاً، باعتبار أنّه أمرٌ لیس توقیفیاً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ضابطة التوقیفیّة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المداینة والتداین علی أنّه أمر من الشارع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یکن مبنیّاً علی ذلک فلا یکون أمراً توقیفیّاً فیکون حینئذ مسوغاً ومشروعاً ولو بالجواز العقلیّ، وهو مجری أصالة البراءة، هذا استفسار یُطرح فی تعریف التوقیفیّة وتوضیح الجواب عن هذا الاستفسار،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مورد غیر توقیفیّ یکون ارتکابه سائغاً وحلالاً وجائزاً أو أنّه یکون مجری البراءة إذ أنّ الأفعال المحرّمة قد</w:t>
      </w:r>
    </w:p>
    <w:p>
      <w:pPr>
        <w:pStyle w:val="BookText"/>
        <w:rPr/>
      </w:pPr>
      <w:r>
        <w:rPr>
          <w:rFonts w:ascii="IRNazanin" w:hAnsi="IRNazanin" w:eastAsia="IRNazanin"/>
          <w:color w:val="111111"/>
          <w:sz w:val="28"/>
          <w:sz w:val="28"/>
          <w:szCs w:val="28"/>
          <w:rtl w:val="true"/>
          <w:lang w:bidi="fa-IR"/>
        </w:rPr>
        <w:t>ردع وزجر ونهی عنها الشارع، سواء کان الفعل فعلاً ساذجاً أو بناءاً تقنینیّاً من العرف العقلائیّ، وعموم النواهی الشرعیّة ناظرة ومنصبّة علی الأفعال الدارجة للصدّ عن وقوعها، سواء کانت ذات وجود تکوینیّ أو کانت ذات وجود اعتباری، کالمعاملات والإیقاعات العرفیّة، وإن لم ینطبق علیها فی نفسها أنّها من الأمور التوقیفیّة لا فعلها ولا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استحداث معاملة جدیدة قانونیّة، ولم تکن ممضاة من الشارع بتوسّط العمومات، وبالتالی سوف تکون مندرجة تحت النهی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جری التعامل بها وأخذنا نداین بعضنا البعض بممارستها فهذا البناء المعاملیّ محرم، لکنّ حرمتها لیس من باب البدعیّة لأنّنا لا نتداین بها علی أنّها مجعولة من قِبل الشارع فنکون قد تخطّینا ما هو توقیفیّ فلیس تحریمها من جهة تخطّی وتجاوز ما هو توقیفیّ إنّما تحریمها ناشئ من مخالفة النهی عن الأکل بالباطل، ولو بُنی علی الالتزام بمنهاج القوانین الوضعیّة فی المعاملات عموماً، لکان من باب التدیّن بغیر دین الله وهذا بحث آخر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أراد الإنسان أن یتّبع قانوناً معیناً فی کلّ أبوابه وبُنوده لم یرد فیها شی من الله عزّ وجلّ وأن یتّبعه ویتقیّد به لا علی أنّه من الشارع بل علی أنّنا وضعناه بأنفسنا فالحرمة هنا من جهة أخری وهی التدیّن والاتّباع لما لیس شِرعة من الله عزّ وجلّ فلیس کلّ ما هو محرّم ناشئاً من تخطّی وتجاوز الأمر التوقیفیّ، بل قد یکون الشی‌ء تقنیناً ونوعاً من الإنشاء التقنینیّ والاتخاذیّ والوضعیّ وهو حرام من باب التدیّن بغیر دین الله</w:t>
      </w:r>
      <w:r>
        <w:rPr>
          <w:rFonts w:eastAsia="IRNazanin" w:cs="IRNazanin"/>
          <w:color w:val="111111"/>
          <w:sz w:val="28"/>
          <w:szCs w:val="28"/>
          <w:rtl w:val="true"/>
          <w:lang w:bidi="fa-IR"/>
        </w:rPr>
        <w:t>.</w:t>
      </w:r>
      <w:bookmarkStart w:id="228" w:name="pg2944_24466"/>
    </w:p>
    <w:p>
      <w:pPr>
        <w:pStyle w:val="Heading6"/>
        <w:numPr>
          <w:ilvl w:val="5"/>
          <w:numId w:val="1"/>
        </w:numPr>
        <w:rPr/>
      </w:pPr>
      <w:bookmarkStart w:id="229" w:name="__RefHeading___Toc110570_2749589250"/>
      <w:bookmarkStart w:id="230" w:name="_Toc87"/>
      <w:bookmarkEnd w:id="228"/>
      <w:bookmarkEnd w:id="229"/>
      <w:r>
        <w:rPr>
          <w:rtl w:val="true"/>
        </w:rPr>
        <w:t>الخلاصة</w:t>
      </w:r>
      <w:bookmarkEnd w:id="230"/>
    </w:p>
    <w:p>
      <w:pPr>
        <w:pStyle w:val="BookText"/>
        <w:rPr/>
      </w:pPr>
      <w:r>
        <w:rPr>
          <w:rFonts w:ascii="IRNazanin" w:hAnsi="IRNazanin" w:eastAsia="IRNazanin"/>
          <w:color w:val="111111"/>
          <w:sz w:val="28"/>
          <w:sz w:val="28"/>
          <w:szCs w:val="28"/>
          <w:rtl w:val="true"/>
          <w:lang w:bidi="fa-IR"/>
        </w:rPr>
        <w:t>المداینة والتدیّن والاتّخاذ والإنشاء والتقنین قد یکون تشریعاً، وهو بدعة وحرام وقد یکون تقنیناً ومداینة، فهو حرام، لکنّ حُرمته لیست من باب التشریع والبدعة، ولا من باب تجاوز الأمور التوقیفیّة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قاعدة توقیفیّة الأمور وأنّها بید الشارع لها مدار ومجال معیّن، وهی المداینة سواء لنفسه أو للآخرین علی بشی‌ء علی أنّه من قِبل الشارع، من دون علم أو من دون تشریع الشارع فالأمر التوقیفیّ هو أن لا تتدیّن ولا تداین بشی‌ء سواء فی العبادات أو فی المعاملات بالمعنی الأعمّ، وسواء فی الفقه الفردیّ أو فی الفقه الاجتماعیّ من دون إیقاف من قبل الشارع علی ذلک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والإیقاف علی ذلک التقنین یعنی إنشاء الشارع لذلک وإعلامه لک بذلک، المتقوّم بالتشریع من قِبل الشارع وأن یُعلمه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أنّ کلمات کثیر من الفقهاء تقتصر فی قاعدة توقیفیّة الأمور علی العبادات لا بغرض حصرها فی العبادات؛ بل لکونها فی العبادات واضحة وجلیّة، أی من باب ذِکر أوضح المصادیق وأنّ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والمعاملات أیضاً إذا ارتُکبت علی أنّها شرعیّة فهی أمر توقیفی یجب أن یؤخذ من الشارع کی یتدیّن به علی أنّه من الشارع وعلی أنّه من دین الله وإلاّ سیکون تجاوزاً للأمور التوقیفیّة، وبالتالی یصدق علیه أنّه بدعة أو تشریع فالاعتراض بقاعدة الأمور التوقیفیّة للاستدلال علی أنّ قاعدة الشعائر الدینیّة حقیقة شرعیّة لیس فی محلّه لأنّ الشارع قد أوقفنا علی تشریع مثل هذه الشعائر غایة الأمر أنّه ورد بعناوین عامة وهی إتمام نور الله، وإعلاء أحکام الدین ولا ریب أنّ هذه من الأمور التی لو طُبّقت ونُفِّذت لکانت من أوضح العوامل لنشر أحکام الدین لأنّ نشر سیرة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أحد الشعائر الدینیّة هی نوع من نشر الأحکام الدینیّة والمعالم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اتّخاذ الشعائر المستجدّة أو المستحدثة مخالفة لقاعدة التوقیفیّة للأمور ولذلک قلّما یستعمل الفقهاء قاعدة توقیفیّة الأمور فی المعاملات، بخلاف باب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 باب المعاملات تتوفّر عناوین عامّة قابلة للتنزّل ولتغطیة کلّ المستجدّات الموضوعیّة بقیود وشروط مهذّبة للظواهر والحالات المالیّة فلا یکون اتّخاذها نوعاً من التجاوز علی قاعدة توقیفیّة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باب العبادات حیث لا یوجد فیها عمومات قابلة للتنزّل فی کلّ الأحوال والظروف المختلفة،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بکلّ زلفة وخضوع أو، زکّوا بکلّ قدر أو حجّوا بأیّ إفاضة وزیارة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هی محدّدة بأجزاء وشرائط وقیود خاصّة ومن ثمّ لا یمکن اتّخاذ صلاة جدیدة، أو زکاة جدیدة، أو ضریبة مالیّة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الزکاة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نسک جدید فی الحجّ وإلاّ فقاعدة توقیفیّة الأمور لا تختصّ بالعبادات دون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والعمومات فی أدلّة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الصنف الثانی أو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تُحدّ بحدّ معین، بل أرسلها الشارع علی عمومها فهی تتنزّل إلی المصادیق المستجدّة والخصوصیّات المختلفة بمقتضی النقاط الثلاث التی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الأجوبة السابقة أنّ الوجوه الأربعة أو الخمسة التی أقیمت علی أنّ قاعدة الشعائر الدینیّة حقیقة شرعیّة لیست بتامّة ومن ثمّ یکون ما یُتّخذ من شعائر دینیّة مستجدّة أو مُستحدَثة له دلیله الشرعیّ ویکون خالیاً من الإشکال وتابعاً للضوابط الشرعیّة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هذه الشعائر واجدة لرُکنَی ماهیّة الشعائر کما ذکرنا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توفّر الرکنَین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الإعلام والبثّ ورکن الإعلاء والتعظیم کما مرّ ظهور الأدلّة فی ذلک وإن لم تشتمل الطائفة الثانیة والثالثة من الأدلّة علی لفظ</w:t>
      </w:r>
      <w:bookmarkStart w:id="231" w:name="pg2944_24468"/>
    </w:p>
    <w:p>
      <w:pPr>
        <w:pStyle w:val="BookText"/>
        <w:rPr/>
      </w:pPr>
      <w:bookmarkEnd w:id="231"/>
      <w:r>
        <w:rPr>
          <w:rFonts w:ascii="IRNazanin" w:hAnsi="IRNazanin" w:eastAsia="IRNazanin"/>
          <w:color w:val="111111"/>
          <w:sz w:val="28"/>
          <w:sz w:val="28"/>
          <w:szCs w:val="28"/>
          <w:rtl w:val="true"/>
          <w:lang w:bidi="fa-IR"/>
        </w:rPr>
        <w:t>الشعائر، إلاّأنها مُرسلة، مطلقة وغیر مقیدة وغیر محدّدة، وقد ورَدت فی مقام البیان ولم یحدّدها الشارع فهی دالّة بوضوح علی أنّ ما هو من صِنوها وسنخها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بحقیقة شرعیّة وإنّما هی حقیقة وضعیّة لغویّة</w:t>
      </w:r>
      <w:r>
        <w:rPr>
          <w:rFonts w:eastAsia="IRNazanin" w:cs="IRNazanin"/>
          <w:color w:val="111111"/>
          <w:sz w:val="28"/>
          <w:szCs w:val="28"/>
          <w:rtl w:val="true"/>
          <w:lang w:bidi="fa-IR"/>
        </w:rPr>
        <w:t>.</w:t>
      </w:r>
    </w:p>
    <w:p>
      <w:pPr>
        <w:pStyle w:val="Heading6"/>
        <w:numPr>
          <w:ilvl w:val="5"/>
          <w:numId w:val="1"/>
        </w:numPr>
        <w:rPr/>
      </w:pPr>
      <w:bookmarkStart w:id="232" w:name="__RefHeading___Toc110572_2749589250"/>
      <w:bookmarkStart w:id="233" w:name="_Toc88"/>
      <w:bookmarkEnd w:id="232"/>
      <w:r>
        <w:rPr>
          <w:rtl w:val="true"/>
        </w:rPr>
        <w:t>التعبّد بالمصادیق</w:t>
      </w:r>
      <w:bookmarkEnd w:id="233"/>
    </w:p>
    <w:p>
      <w:pPr>
        <w:pStyle w:val="BookText"/>
        <w:rPr/>
      </w:pPr>
      <w:r>
        <w:rPr>
          <w:rFonts w:ascii="IRNazanin" w:hAnsi="IRNazanin" w:eastAsia="IRNazanin"/>
          <w:color w:val="111111"/>
          <w:sz w:val="28"/>
          <w:sz w:val="28"/>
          <w:szCs w:val="28"/>
          <w:rtl w:val="true"/>
          <w:lang w:bidi="fa-IR"/>
        </w:rPr>
        <w:t>بقی أن نوضّح أنّ تعبّد الشارع فی بعض الموارد بالمصادیق لا یدلّ علی أنّ ذلک المعنی حقیقة شرعیّة توقیفیة ویجدر بالمقام ذکر المناسبة بین قاعدة توقیفیّة الأمور وبین البحث الأصولیّ عن الحقیقة الشرعیّة والحقیقة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فی المورد الذی یکون العنوان حقیقة شرعیّة یتمّ إعمال قاعدة توقیفیّة الأمور إعمالاً تامّاً بخلاف الموارد التی لا یتصرّف الشارع فیها فی العنوان ومعناه، ویبقی معنی اللفظ المعین علی حقیقته اللغویة، والشارع حینما شرّع وقنّن الحکم أرسل العنوان والمعنی علی إطلاقه وکلّیّته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علیک بصلة الأرحام فلم یحدّد الشارع خصوصیّات عملیة برّ الوالدین أو جزئیّات صلة الرحم، وإن أُلزِم بخصوص بعض المصادیق، کالنفقة والاستئذان فی النذر والنکاح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فالمفروض أداء کلّ ما یتحقق به برّ الوالدَین، أو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 الوالدین وصلة الرحم وإن أتی بهما علی أنّه إمتثال لأمر شرعیّ، لکن لم یحدّد الشارع هذا العنوان العام وبقی علی معناه اللغویّ فهو وإن کان أیضاً من الأمور التوقیفیّة فی الحکم إلاّأنّه أرسل مصادیق وخصوصیّات ذلک العنوان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قال الشارع صلِّ، أو حجّ، أو اعتکف، أو صمّ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فیتّضح بذلک وجه التفرقة عند الأصولیّین بین الحقیقة الشرعیّة وقاعدة الأمور التوقیفیّة، وهو أنّ الإیقاف والتشریع وإعمال ولایة الشارع فی التشریع فیما ینسب إلیه</w:t>
      </w:r>
    </w:p>
    <w:p>
      <w:pPr>
        <w:pStyle w:val="BookText"/>
        <w:rPr/>
      </w:pPr>
      <w:r>
        <w:rPr>
          <w:rFonts w:ascii="IRNazanin" w:hAnsi="IRNazanin" w:eastAsia="IRNazanin"/>
          <w:color w:val="111111"/>
          <w:sz w:val="28"/>
          <w:sz w:val="28"/>
          <w:szCs w:val="28"/>
          <w:rtl w:val="true"/>
          <w:lang w:bidi="fa-IR"/>
        </w:rPr>
        <w:t>ویتدّین به بذلک، سواء فی ناحیة الحکم أو المتعلّق والموضوع، بینما الحقیقة الشرعیّة فی خصوص ماهیّات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یتبیّن جواب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الشارع قد یتعبّد فی بعض الموارد بمصادیق یلحقها بالطبیعة، أو یُخرجها عن الطبیعة، مع کون ذلک المعنی العام وطبیعة الفعل لیست بحقیقة شرعیّة فالتعبّد إنّما هو بالمصداق مثلاً ورد فی الأثر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الشارع لم یجعل للجهاد حقیقة شرعیّة فالتعبّد هو فی دائرة المصداق لا فی صقع المعنی الکلّیّ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المنابذة لیس بیعاً مع أنّه من الواضح أنّ البیع لیس حقیقة شرعیّة بل هو حقیقة لغویة یتعبّد بها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یتعبّد الشارع بإخراج مصداق أو إلحاق مصداق بطبیعة، مع أنّ هذه الطبیعة تبقی علی حالها فصِرف تعبّد الشارع فی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الصفا والمَروة والمشعر والبُدن والهدی التی تذبح یوم العاشر فی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الشعائر لا یدلّ علی الحقیقة الشرعیّة ولا یدلّ علی عدم بقائها علی حقیقتها اللغویّة وصِرف تعبّد الشارع بمصداق معین إمّا بإدخاله ضمن دائرة الموضوع أو بإخراجه عنها لا یدلّ علی کون قاعدة الشعائر حقیقة شرعیّة، بل تبقی علی معناها اللغویّ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التی ننتهی إلیها فی الجهة الرابعة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الشعائر الدینیّة باقیة علی حقیقتها اللغویّة، وأنّها لیست توقیفیّة من قِبل الشارع المقدّس من جهة شعیریّتها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مصداقها لیس تکوینّیاً کما مرّ بل هو اعتباریّ، کالبیع وکبقیّة المعاملات</w:t>
      </w:r>
      <w:r>
        <w:rPr>
          <w:rFonts w:eastAsia="IRNazanin" w:cs="IRNazanin"/>
          <w:color w:val="111111"/>
          <w:sz w:val="28"/>
          <w:szCs w:val="28"/>
          <w:rtl w:val="true"/>
          <w:lang w:bidi="fa-IR"/>
        </w:rPr>
        <w:t>.</w:t>
      </w:r>
      <w:bookmarkStart w:id="234" w:name="pg2944_24471"/>
    </w:p>
    <w:p>
      <w:pPr>
        <w:pStyle w:val="Heading3"/>
        <w:numPr>
          <w:ilvl w:val="2"/>
          <w:numId w:val="1"/>
        </w:numPr>
        <w:rPr/>
      </w:pPr>
      <w:bookmarkStart w:id="235" w:name="__RefHeading___Toc110574_2749589250"/>
      <w:bookmarkStart w:id="236" w:name="_Toc89"/>
      <w:bookmarkEnd w:id="234"/>
      <w:bookmarkEnd w:id="235"/>
      <w:r>
        <w:rPr>
          <w:rtl w:val="true"/>
        </w:rPr>
        <w:t>الجهة الخامسة</w:t>
      </w:r>
      <w:r>
        <w:rPr>
          <w:rtl w:val="true"/>
        </w:rPr>
        <w:t xml:space="preserve">: </w:t>
      </w:r>
      <w:r>
        <w:rPr>
          <w:rtl w:val="true"/>
        </w:rPr>
        <w:t>متعلّق الحکم لقاعدة الشعائر</w:t>
      </w:r>
      <w:bookmarkEnd w:id="2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110576_2749589250"/>
      <w:bookmarkStart w:id="238" w:name="_Toc90"/>
      <w:bookmarkEnd w:id="237"/>
      <w:r>
        <w:rPr>
          <w:rtl w:val="true"/>
        </w:rPr>
        <w:t>اشارة</w:t>
      </w:r>
      <w:bookmarkStart w:id="239" w:name="pg2944_24473"/>
      <w:bookmarkEnd w:id="238"/>
    </w:p>
    <w:p>
      <w:pPr>
        <w:pStyle w:val="BookText"/>
        <w:rPr/>
      </w:pPr>
      <w:bookmarkEnd w:id="239"/>
      <w:r>
        <w:rPr>
          <w:rFonts w:ascii="IRNazanin" w:hAnsi="IRNazanin" w:eastAsia="IRNazanin"/>
          <w:color w:val="111111"/>
          <w:sz w:val="28"/>
          <w:sz w:val="28"/>
          <w:szCs w:val="28"/>
          <w:rtl w:val="true"/>
          <w:lang w:bidi="fa-IR"/>
        </w:rPr>
        <w:t>وهو التعظیم للشعائر وحرمة الابتذال والإحلال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والبحث حول المتعلّق یقتضی تقریر النقاط التالیة</w:t>
      </w:r>
      <w:r>
        <w:rPr>
          <w:rFonts w:eastAsia="IRNazanin" w:cs="IRNazanin"/>
          <w:color w:val="111111"/>
          <w:sz w:val="28"/>
          <w:szCs w:val="28"/>
          <w:rtl w:val="true"/>
          <w:lang w:bidi="fa-IR"/>
        </w:rPr>
        <w:t>:</w:t>
      </w:r>
    </w:p>
    <w:p>
      <w:pPr>
        <w:pStyle w:val="Heading4"/>
        <w:numPr>
          <w:ilvl w:val="3"/>
          <w:numId w:val="1"/>
        </w:numPr>
        <w:rPr/>
      </w:pPr>
      <w:bookmarkStart w:id="240" w:name="__RefHeading___Toc110578_2749589250"/>
      <w:bookmarkStart w:id="241" w:name="_Toc91"/>
      <w:bookmarkEnd w:id="240"/>
      <w:r>
        <w:rPr>
          <w:rtl w:val="true"/>
        </w:rPr>
        <w:t>النقطة الأولی</w:t>
      </w:r>
      <w:bookmarkEnd w:id="241"/>
    </w:p>
    <w:p>
      <w:pPr>
        <w:pStyle w:val="BookText"/>
        <w:rPr/>
      </w:pPr>
      <w:r>
        <w:rPr>
          <w:rFonts w:ascii="IRNazanin" w:hAnsi="IRNazanin" w:eastAsia="IRNazanin"/>
          <w:color w:val="111111"/>
          <w:sz w:val="28"/>
          <w:sz w:val="28"/>
          <w:szCs w:val="28"/>
          <w:rtl w:val="true"/>
          <w:lang w:bidi="fa-IR"/>
        </w:rPr>
        <w:t>یجب الالتفات إلی أن وجود الشعیرة والشعائر، هو أشبه ما یکون بالوضع، حیث إنّ کلّ موضوع تزداد صلته وارتباطه ووثاقته وعلامیّته للموضوع له بکثرة الاستعمال أو بأسباب ومناشی أخری، فیصبح هناک نوع من العُلقة الشدیدة بین الموضوع والموضوع له کما هی العلقة بین اللفظ والمعنی فی اللغة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 الأمور توضع علامات لمعنی معین، وکلّ ما تقادَم الزمن وتزاید الاستعمال تُصبح أکثر صِلة بذلک المعنی إذ بَدل أن یأتی فی الذهن بالموضوع له وهو المعنی، یأتی بنفس الموضوع وهو اللفظ، فیحکم علی اللفظ بأحکام المعنی من شدّة الوثاقة والصلة والربط ومن ذلک تُستقبح بعض الألفاظ لقبح المعانی وکثرة استعمال تلک الألفاظ فیها، بخلاف مرادفاتها التی یقلّ استعمالها فی ذلک المعنی، مثل لفظ الفَرج حیث یقلّ استعماله فی المعنی الموضوع له، بخلاف مرادفه من الألفاظ التی یکثر 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النقطة الأولی، نلتفت إلی أنّ العلامات والأوضاع الّتی توضع لمعانٍ معیّنة تختلف فیما بینها بشدّة العلقة أو خِفتها فبعضها علامیّته واضحة لدی کلّ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علامیّته واضحة لدی قطر معین أو مدینة معینة، أو طائفة معینة، أو شریحة معینة دون شرائح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العلامة والأمور الاعتباریّة والمعنی تختلف شدّةً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التمثیل بالأحکام الدینیّة أنّ بعضها ضروریّ أو بدیهیّ وبعضها ضروریّ عند فئة خاصة کالفقهاء وبعضها قد یکون نظریّاً عند صنف وضروریّاً عند صنف آخر بعضها قد تکون قطعیّاً، لکن نظریّاً وبعضها غیر نظریّ بل ظنیّ وهکذا، فهی علی درجات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ومعالم الدین أو الشعائر الّتی هی من مصادیق المَعْلمیّة والأمور الاعتباریّة الوضعیّة تختلف أیضاً فی علامیّتها وفی بیانیّتها للمعنی الدینیّ، أو للحکم الدینیّ، أو للسِمة الدینیّة شدّةً وضعفاً لتلک السمات مثل رسم خطّ لفظة الجلالة المعدودة من الشعارات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إسم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أسماء الأئمة علیهم السلام یترتّب علیها أحکام خاصّة، مثل حُرمة لمسها للمُحدِث أو حرمة تنجیسها ووجوب تطهیرها وذلک نوع من التعظیم لنفس هذه الشعیرة والعلامة للمعنی الدینیّ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فملخّص النقطة الأولی أنّ الأمور المَعْلَمیّة لمعانی الدین علی درجات متفاوتة بعضها شدید وبعضها متوسّط وبعضها خفیف الصلة کما أنّها تختلف بحسب الأوصاف وبحسب الفئات والشرائح وهذه نقطة مهمّة مؤثّرة فی أحکام الشعائر الدینیّة کما سیأتی</w:t>
      </w:r>
      <w:r>
        <w:rPr>
          <w:rFonts w:eastAsia="IRNazanin" w:cs="IRNazanin"/>
          <w:color w:val="111111"/>
          <w:sz w:val="28"/>
          <w:szCs w:val="28"/>
          <w:rtl w:val="true"/>
          <w:lang w:bidi="fa-IR"/>
        </w:rPr>
        <w:t>.</w:t>
      </w:r>
      <w:bookmarkStart w:id="242" w:name="pg2944_24475"/>
    </w:p>
    <w:p>
      <w:pPr>
        <w:pStyle w:val="Heading4"/>
        <w:numPr>
          <w:ilvl w:val="3"/>
          <w:numId w:val="1"/>
        </w:numPr>
        <w:rPr/>
      </w:pPr>
      <w:bookmarkStart w:id="243" w:name="__RefHeading___Toc110580_2749589250"/>
      <w:bookmarkStart w:id="244" w:name="_Toc92"/>
      <w:bookmarkEnd w:id="242"/>
      <w:bookmarkEnd w:id="243"/>
      <w:r>
        <w:rPr>
          <w:rtl w:val="true"/>
        </w:rPr>
        <w:t>النقطة الثانی</w:t>
      </w:r>
      <w:bookmarkEnd w:id="244"/>
    </w:p>
    <w:p>
      <w:pPr>
        <w:pStyle w:val="BookText"/>
        <w:rPr/>
      </w:pPr>
      <w:r>
        <w:rPr>
          <w:rFonts w:ascii="IRNazanin" w:hAnsi="IRNazanin" w:eastAsia="IRNazanin"/>
          <w:color w:val="111111"/>
          <w:sz w:val="28"/>
          <w:sz w:val="28"/>
          <w:szCs w:val="28"/>
          <w:rtl w:val="true"/>
          <w:lang w:bidi="fa-IR"/>
        </w:rPr>
        <w:t>أنّ الشعائر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ترتبط بذی العلامة وهو المعنی الدینیّ أقصد معنیً معیّناً من المعانی الدینیّة فصلاً من الفصول الدینیّة، رکناً من الأرکان الإسلامیّة، هیکلاً من هیاکل الدین القویم؛ وتختلف بعضها عن البعض قدسیّةً وتعظیماً بسبب المعنی الذی تدلّ علیه وهذا الحکم من المسلّمات لدی المذاهب الإسلامیّة الأخری، مثلاً الهاتک لحرمة الکعبة یُحکم علیه بالإرتداد والقتل، أمّا الذی یهتک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علیه بالکفر فالذی یُحدِث فی المسجد الحرام لا یحکم علیه بالکفر، لکنه یُحدّ بالقتل أمّا الذی یُحدث فی الحرم المکّیّ بقصد الإهانة فیُعزّر ولا یُحکم علیه بالإرتداد ولا یقتل وهذه أحکام وردت فی روایات معتبرة وقد أفتی علی طبقها العلماء وهی فی الجملة محلّ وِفاق حتّی عند جمهور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الإختلاف فی الحکم بین الکعبة کشعار وحکم المسجد الحرام کشعار وحکم الحرم المکی کشعار هو أوضح دلیل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بین اسم الجلالة وصفات الجلالة، أو ما بین لفظ الجلالة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التفریق بین إسم الجلالة وإسم النبیّ والأئمّة وأسماء بقیّة الأولیاء أو التفریق مثلاً بین القرآن الکریم وبین الکتب الدینیّة الأخری وإن کانت کتب أحادیث أو سنّة نبویّة أو معصومیّة أو التفریق بین الکتاب الدینیّ والمصحف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المصحف الشریف علامیّته علی کلام الله سبحانه وتعالی کلام 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ربّ الکون وربّ الخلیقة علی کلام الوجود الأزلیّ بینما الکتاب الدینیّ الآخر یدلّ علی مضامین لأحکام إسلامیّة، ویختلف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الحُرمة والقدسیّة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الکعبة التی هی شعار ومعلَم دینیّ تختلف فی الشرف والقدسیّة عن المسجد</w:t>
      </w:r>
    </w:p>
    <w:p>
      <w:pPr>
        <w:pStyle w:val="BookText"/>
        <w:rPr/>
      </w:pPr>
      <w:r>
        <w:rPr>
          <w:rFonts w:ascii="IRNazanin" w:hAnsi="IRNazanin" w:eastAsia="IRNazanin"/>
          <w:color w:val="111111"/>
          <w:sz w:val="28"/>
          <w:sz w:val="28"/>
          <w:szCs w:val="28"/>
          <w:rtl w:val="true"/>
          <w:lang w:bidi="fa-IR"/>
        </w:rPr>
        <w:t>الحرام وتختلف عن الحرم المکّیّ فیلاحظ أنّ التعظیم معنی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والابتذال وشدّة الحرمة وخِفّة الحرمة وشدّة وجوب التعظیم وخفّته تتبع أمراً آخر أی أنّها تتبع المعنی الذی وضع الشِعار علامة له والمَعْلَم الذی وضع الشعار علامة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 النقطة الثانیة یتبیّن أنّ الشعائر تختلف شدّة وضعفاً وتختلف أهمیّةً ومنزلةً بحسب المعنی الذی تدلّ علیه والتعظیم یختلف أیضاً بتبع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هاتین النقطتین أنّ التعظیم یختلف باختلاف إمّا العُلقة بین الشعار والمعنی الدینیّ الذی یدلّ علیه، أو قُل بین العلامة وذی العلامة ویختلف باختلاف شدّة وخفّة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بعض الأحکام تختلف بسبب شدّة وضعف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انشداد العلامة لذی العلامة والشعیرة مع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یختلف الحکم بسبب ذی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الذی جُعلت الشعیرة مَعلماً له وإعلاماً له وهذا اختلاف من جنبة أخری وکلّ منهما مؤثّر فی حکم الشعائر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الشعیرة المعیّنة التی تستجدّ وتُستحدَث، تارة توضع شعیرة فی باب الحجّ وتارة توضع فی باب الأمر بالمعروف والنهی عن المنکر وتارة توضع فی باب الشعائر الحسینیّة أو فی باب حفظ وتلاوة القرآن وتعظیمه وتارة فی باب عمارة قبور الأئمّة علیهم السلام،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الشعیرة تختلف بحسب المعنی الذی توضع له بمقتضی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تختلف الشعیرة بحسب شدّة العُلقة مع المعنی الذی توضع له، فتارة هی شدیدة الصِلة والعلقة والدلالة، بیّنة الدلالة علی المعنی الذی توضع له وتارة أخری هی غیر بیّنة کما تُقسّم الدلالات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بالمعنی الأخصّ، وبیّنة بالمعنی الأعمّ أو دلالة نظریّة</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من تصوّره وتصوّر الملزوم وتصوّر النسبة بینهما الجزم بالملازمة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الدلالة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یقابل البیّن مطلقاً، بأن یکون التصدیق والجزم بالملازمة لا یکفی فیه تصوّر الطرفَین والنسبة بینهما، بل یحتاج إثبات الملازمة إلی إقامة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المنطق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والأحکام التی تترتّب علی وجوب تعظیم تلک الشعائر أو العلامات والمعالم</w:t>
      </w:r>
    </w:p>
    <w:p>
      <w:pPr>
        <w:pStyle w:val="BookText"/>
        <w:rPr/>
      </w:pPr>
      <w:r>
        <w:rPr>
          <w:rFonts w:ascii="IRNazanin" w:hAnsi="IRNazanin" w:eastAsia="IRNazanin"/>
          <w:color w:val="111111"/>
          <w:sz w:val="28"/>
          <w:sz w:val="28"/>
          <w:szCs w:val="28"/>
          <w:rtl w:val="true"/>
          <w:lang w:bidi="fa-IR"/>
        </w:rPr>
        <w:t>الدینیّة من حیث الحکم بالتعظیم ووجوب التعظیم، وشدّة التعظیم أو خفّته کلّها تتبع طبیعة العلاقة بین الشعیرة أو المعلَم والمعنی الذی تشیر إلیه فإن کان شدید العُلقة بحیث لا یخفی علی أحد، فلا یُقبل دعوی الشُبهة والبدعیّة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یختلف المعلَم أو المعنی الذی توضع له الشعیرة، فإن کان معنیً مقدّساً لدرجة عالیة فالأحکام المترتّبة علیه تختلف عمّا هی علیه فی المعنی الفرعیّ من فروع الدین مثلاً، وبتبع ذلک اختلاف نوع ودرجة التعظیم والتبجیل وحرمة الابتذال من شعیرة لأخری، حیث لا یکون علی وتیرة واحدة بسبب هاتین النقطتین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فتعظیم کلّ شعیرة یکون بحسبها یعنی بحسب المعنی الذی توضع له، وبحسب شدّة الصلة التی تتّصل وتتوثّق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ما ذکر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الطهارة،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شی‌ء بحسب ما هو معظّم عند الشارع یجب تعظیمه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بذلک إلی الاختلاف بحسب المعنی؛ وهو مفاد الآیة الکریمة فی سورة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کلّ شی‌ء له حریم وحرمة وعظمة عند الشارع یجب أن یراعی الاحترام والتبجیل بحسب ما هو عند الشارع ولا ریب فی أنّ حریم حرمات الله مختلف الدرجات وأنّها لیست علی درجة واحدة ولا علی وتیرة ثابتة</w:t>
      </w:r>
      <w:r>
        <w:rPr>
          <w:rFonts w:eastAsia="IRNazanin" w:cs="IRNazanin"/>
          <w:color w:val="111111"/>
          <w:sz w:val="28"/>
          <w:szCs w:val="28"/>
          <w:rtl w:val="true"/>
          <w:lang w:bidi="fa-IR"/>
        </w:rPr>
        <w:t>.</w:t>
      </w:r>
      <w:bookmarkStart w:id="245" w:name="pg2944_24478"/>
    </w:p>
    <w:p>
      <w:pPr>
        <w:pStyle w:val="Heading4"/>
        <w:numPr>
          <w:ilvl w:val="3"/>
          <w:numId w:val="1"/>
        </w:numPr>
        <w:rPr/>
      </w:pPr>
      <w:bookmarkStart w:id="246" w:name="__RefHeading___Toc110582_2749589250"/>
      <w:bookmarkStart w:id="247" w:name="_Toc93"/>
      <w:bookmarkEnd w:id="245"/>
      <w:bookmarkEnd w:id="246"/>
      <w:r>
        <w:rPr>
          <w:rtl w:val="true"/>
        </w:rPr>
        <w:t>النقطة الثالثة</w:t>
      </w:r>
      <w:bookmarkEnd w:id="247"/>
    </w:p>
    <w:p>
      <w:pPr>
        <w:pStyle w:val="BookText"/>
        <w:rPr/>
      </w:pPr>
      <w:r>
        <w:rPr>
          <w:rFonts w:ascii="IRNazanin" w:hAnsi="IRNazanin" w:eastAsia="IRNazanin"/>
          <w:color w:val="111111"/>
          <w:sz w:val="28"/>
          <w:sz w:val="28"/>
          <w:szCs w:val="28"/>
          <w:rtl w:val="true"/>
          <w:lang w:bidi="fa-IR"/>
        </w:rPr>
        <w:t>أنّ کلّ متعلَّق ینطبق علی المصادیق علی استواء مثل لفظة الإنسان ینطبق علی کلّ أفراد البشر علی حدّ سواء</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الألف أشدّ من انطباقه علی العشرة وهکذا باب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السواد الشدید أشدّ من انطباقه علی السواد المتوسّط أو الخفیف وهناک موارد أخری عدیدة مثل الشِدّة تنطبق علی الأشدّ أقوی من انطباقها الأقل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فالعناوین علی نحوَین قِسم منها یسمّی متواطئ</w:t>
      </w:r>
      <w:r>
        <w:rPr>
          <w:rStyle w:val="FootnoteAnchor"/>
          <w:rtl w:val="true"/>
        </w:rPr>
        <w:footnoteReference w:id="105"/>
      </w:r>
      <w:r>
        <w:rPr>
          <w:rFonts w:ascii="IRNazanin" w:hAnsi="IRNazanin" w:eastAsia="IRNazanin"/>
          <w:color w:val="111111"/>
          <w:sz w:val="28"/>
          <w:sz w:val="28"/>
          <w:szCs w:val="28"/>
          <w:rtl w:val="true"/>
          <w:lang w:bidi="fa-IR"/>
        </w:rPr>
        <w:t>، بشکل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 وطأة واحدة علی کلّ مصادیقه وقسم تشکیکی</w:t>
      </w:r>
      <w:r>
        <w:rPr>
          <w:rStyle w:val="FootnoteAnchor"/>
          <w:rtl w:val="true"/>
        </w:rPr>
        <w:footnoteReference w:id="10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ینسبق الذهن إلی بعض مصادیقه قبل انسباقه إلی البعض الآخر ووجود الطبیعة فی بعض الأفراد أشدّ أو أقوی أو أکثر من الأفراد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أمر الشارع بطبیعة تشکیکیّة أو نهی عن طبیعة تشکیکیّة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الوالدین، أو بصلة الأرحام، فإنّ صلة الرحم علی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علیا، ودرجة وسطی، ودرجة دانیة وکذلک الحال بالنسبة لبرّ الوالدین والعِشرة بالمعروف مع الزوجة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الظاهرة موجودة فی القانون الوضعیّ أیضاً، ولا تختصّ بالقانون الشرعیّ، فالطبیعة ذات الدرجات التشکیکیة ذات الحکم الإلزامیّ لا تکون کلّ مراتبها إلزامیّة بل أنّ القدر المتیقّن منها بحسب موارده؛ ففی النهی یکون الأعلی هو القدر المتیقّن، وفی الوجوب یکون الأدنی هو المتیقّن وهذا هو الإلزامیّ فحسب والبقیة ندبیّة راجحة إن</w:t>
      </w:r>
    </w:p>
    <w:p>
      <w:pPr>
        <w:pStyle w:val="BookText"/>
        <w:rPr/>
      </w:pPr>
      <w:r>
        <w:rPr>
          <w:rFonts w:ascii="IRNazanin" w:hAnsi="IRNazanin" w:eastAsia="IRNazanin"/>
          <w:color w:val="111111"/>
          <w:sz w:val="28"/>
          <w:sz w:val="28"/>
          <w:szCs w:val="28"/>
          <w:rtl w:val="true"/>
          <w:lang w:bidi="fa-IR"/>
        </w:rPr>
        <w:t>کان الحکم طلبیّاً، أو مکروهة إن کان الحکم زَجریاً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ودیدن الفقهاء علی أنّ القدر المتیقّن هو الإلزامیّ مثلاً إذا أمر بصلة الرحم، أو ببرّ الوالدَین فإنّ المُلزِم من صلة الرحم أو برّ الوالدین هو الدرجة المتیقّنة منه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الحکم وجوبیٌ وإلزامیّ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الدنیا أی إمتثال الأمر ببرّ الوالدین بنحو لا یلزم منه عقوق الوالدین وکذلک صلة الرحم بنحو لا یلزم منه قطیعته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عند الاستدلال بحرمة عقوق الوالدَین أو بأدلّة وجوب برّ الوالدَین وصِلتهما تکون النتیجة واحدة لأنّ الأمر بصلة الوالدَین وبرّهما حیث کان تشکیکاً فالقدر المتیقّن منه هو الدرجة الدنیا فتکون النتیجة هی عین قول مَن قال أنّ الحکم فی برّ الوالدین راجح مستحبّ ولیس بإلزامی، وإنّما الإلزام فی حرمة عقوقهما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مسألة حکم صلة الأرحام، هل صِلة الأرحام واجبة بکلّ درجاتها، أم أنّ قطع الرحم حرام الإستدلال بکلا اللسانَین من الأدلّة یعطی نفس النتیجة، لأنّ المأمور به فی صلة الرحم أو فی برّ الوالدین أمرٌ تشکیکیٌ، فیکون القدر المتیقّن منه هو الأدنی أی بمقدار حرمة عقوق الوالدین أو حرمة قطع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الحرمة فالقدر المتیقّن علی العکس إذ لو کان المتعلّق عنواناً تشکیکیّاً تکون الدرجة العلیا منه هی المحرّمة وما دون ذلک یُحکم علیه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کذلک فی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تعظیم الشعائر فإنّه ذو درجات متفاوتة کلّ تعظیم فوقه تعظیم آخر، وکلّ خضوع فوقه خضوع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بث ونشر فوقه بثّ ونشر آخر وکلّ إتمام لنور الدین فوقه إتمام لنور الدین آخر، وهلّم جرّاً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کلّ هذه الدرجات واجبة، مع أنّ الغالب فی العناوین التشکیکیّة ورود لسانَین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کلا الحکمَین مقنّن علی نحو الإلزام أم أحدهما راجح والآخر إلزامیّ؟ تفصیل هذا البحث فی هذه النقطة الثالثة وهی أنّ العنوان هنا تشکیکیّ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فالدرجة اللازمة من التعظیم هی التی یلزم من عدمها الابتذال والهتک فتکون هی واجبة أمّا بقیّة درجات التعظیم فتکون 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أنّ الحکم هو حرمة الهتک وحرمة الإهانة، فیکون صواباً أو قیل أنّ الحکم هو وجوب التعظیم بدرجة لا یلزم منها الابتذال والهتک أیضاً، فهو صواب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إهانة کلّ شی‌ء بحسبه، وأیضاً تعظیم کلّ شی‌ء بحسبه فآیة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ورد علی عنوانٍ متعلّقه تشکیکیّ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الابتذال والاستهانة والانتهاک لشعائر الله ومن هذا الباب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سیّئات المقرّبین وهذه جنبة ثالثة لاختلاف مراتب التعظیم والإهانة، وهی درجة ومقام المخاطب بالتعظیم وطبیعة علاقته مع طرف التعظیم، فعند المقرّبین أدنی ترک للأولی أو للتعظیم لساحة القدس الربوبیّة یعتبر نوع خفّة وتهاون بمقام القُدس الإلهیّ والإهانة أیضاً لها درجات الخفیف منها لیس إلزامیّاً القدر المتیقّن الذی یکون إلزامیّاً هو الشدید وهو حرام وبقیّة المراتب المتوسّطة أو الدنیا فیها نوع من الکراهة فلابدّ من الالتفات الی النقاط الثلاث المزبورة؛ وننتهی بها إلی أنّ تعظیم کلّ شی‌ء بحسبه، وإهانة کلّ شی‌ء بحسبه ولیس ذلک علی وتیرة واحدة وأنّ القدر المتیقن من الحکم هو وجوب التعظیم بنحوٍ لو تُرِک للزم منه الهتک والإهانة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کلّ مراتب التعظیم إلزامیّة وإنّما درجات التعظیم الفائقة والعالیة تکون راجحة وندبیّة ولیست إلزامیّة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تمام البحث فی جهة المتعلّق وهی الجهة الخامسة</w:t>
      </w:r>
      <w:r>
        <w:rPr>
          <w:rFonts w:eastAsia="IRNazanin" w:cs="IRNazanin"/>
          <w:color w:val="111111"/>
          <w:sz w:val="28"/>
          <w:szCs w:val="28"/>
          <w:rtl w:val="true"/>
          <w:lang w:bidi="fa-IR"/>
        </w:rPr>
        <w:t>.</w:t>
      </w:r>
      <w:bookmarkStart w:id="248" w:name="pg2944_24481"/>
    </w:p>
    <w:p>
      <w:pPr>
        <w:pStyle w:val="Heading3"/>
        <w:numPr>
          <w:ilvl w:val="2"/>
          <w:numId w:val="1"/>
        </w:numPr>
        <w:rPr/>
      </w:pPr>
      <w:bookmarkStart w:id="249" w:name="__RefHeading___Toc110584_2749589250"/>
      <w:bookmarkStart w:id="250" w:name="_Toc94"/>
      <w:bookmarkEnd w:id="248"/>
      <w:bookmarkEnd w:id="249"/>
      <w:r>
        <w:rPr>
          <w:rtl w:val="true"/>
        </w:rPr>
        <w:t>الجهة السادسة</w:t>
      </w:r>
      <w:r>
        <w:rPr>
          <w:rtl w:val="true"/>
        </w:rPr>
        <w:t xml:space="preserve">: </w:t>
      </w:r>
      <w:r>
        <w:rPr>
          <w:rtl w:val="true"/>
        </w:rPr>
        <w:t>النسبة بین حکم القاعدة وبقیة الأحکام</w:t>
      </w:r>
      <w:bookmarkEnd w:id="2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110586_2749589250"/>
      <w:bookmarkStart w:id="252" w:name="_Toc95"/>
      <w:bookmarkEnd w:id="251"/>
      <w:r>
        <w:rPr>
          <w:rtl w:val="true"/>
        </w:rPr>
        <w:t>اشارة</w:t>
      </w:r>
      <w:bookmarkStart w:id="253" w:name="pg2944_24483"/>
      <w:bookmarkEnd w:id="252"/>
    </w:p>
    <w:p>
      <w:pPr>
        <w:pStyle w:val="BookText"/>
        <w:rPr/>
      </w:pPr>
      <w:bookmarkEnd w:id="253"/>
      <w:r>
        <w:rPr>
          <w:rFonts w:ascii="IRNazanin" w:hAnsi="IRNazanin" w:eastAsia="IRNazanin"/>
          <w:color w:val="111111"/>
          <w:sz w:val="28"/>
          <w:sz w:val="28"/>
          <w:szCs w:val="28"/>
          <w:rtl w:val="true"/>
          <w:lang w:bidi="fa-IR"/>
        </w:rPr>
        <w:t>فی هذا المقطع من البحث نسلّط الأضواء علی العلاقة بین حکم قاعدة الشعائر مع کلّ من الأحکام الأوّلیّة والأحکام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ببیان وافٍ، أنّ الحکم فی قاعدة الشعائر الدینیّة هو من حیث المِلاک حکم أوّلیّ، ومن حیث الموضوع ثانویّ الوجود، وهذا ما اصطلحنا علیه أنّه من الأحکام الثانویّة فی جنبة الموضوع</w:t>
      </w:r>
      <w:r>
        <w:rPr>
          <w:rFonts w:eastAsia="IRNazanin" w:cs="IRNazanin"/>
          <w:color w:val="111111"/>
          <w:sz w:val="28"/>
          <w:szCs w:val="28"/>
          <w:rtl w:val="true"/>
          <w:lang w:bidi="fa-IR"/>
        </w:rPr>
        <w:t>.</w:t>
      </w:r>
    </w:p>
    <w:p>
      <w:pPr>
        <w:pStyle w:val="Heading4"/>
        <w:numPr>
          <w:ilvl w:val="3"/>
          <w:numId w:val="1"/>
        </w:numPr>
        <w:rPr/>
      </w:pPr>
      <w:bookmarkStart w:id="254" w:name="__RefHeading___Toc110588_2749589250"/>
      <w:bookmarkStart w:id="255" w:name="_Toc96"/>
      <w:bookmarkEnd w:id="254"/>
      <w:r>
        <w:rPr>
          <w:rtl w:val="true"/>
        </w:rPr>
        <w:t>النسبة بین حکم قاعدة الشعائر والأحکام الأوّلیّة</w:t>
      </w:r>
      <w:bookmarkEnd w:id="255"/>
    </w:p>
    <w:p>
      <w:pPr>
        <w:pStyle w:val="BookText"/>
        <w:rPr/>
      </w:pPr>
      <w:r>
        <w:rPr>
          <w:rFonts w:ascii="IRNazanin" w:hAnsi="IRNazanin" w:eastAsia="IRNazanin"/>
          <w:color w:val="111111"/>
          <w:sz w:val="28"/>
          <w:sz w:val="28"/>
          <w:szCs w:val="28"/>
          <w:rtl w:val="true"/>
          <w:lang w:bidi="fa-IR"/>
        </w:rPr>
        <w:t>لیس الحکم فی قاعدة الشعائر متّحداً مع الأحکام الأوّلیّة کما قد یتخیّل من خلال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مرّ فی کلمات جملة ممّن تعرّض إلی ذکر تعریف الشعائر بأنّها مناسک الحجّ وبعضهم عرّفها بأنّها الدین کلّه وبعضهم عرّفها بأنّها حرمات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أنّ الصحیح هو ثانویّة القاعدة من جنبة الموضوع لا من جنبة الحکم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جنبة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التعظیم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رکنان أساسیّان،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الإعلام، وجانب الإعلاء والإعتزاز المتضمّن للإحیاء والإقامة وهذان کفعلَین تدلّ علیهما الشعیرة والشعائر، ولا تفیدهما بقیة الأحکام الأوّلیّة فی باب الفقه؛ نعم تلک الأحکام متکفّلة لملاکات أُخری ومتعلّقات وأفعال أُخری، وقد یتصادق حکمان ومتعلّقان فی وجود واحد کما قد یتصادق مثلاً برّ الوالدین مع طاعة الله ومع تحقّق</w:t>
      </w:r>
    </w:p>
    <w:p>
      <w:pPr>
        <w:pStyle w:val="BookText"/>
        <w:rPr/>
      </w:pPr>
      <w:r>
        <w:rPr>
          <w:rFonts w:ascii="IRNazanin" w:hAnsi="IRNazanin" w:eastAsia="IRNazanin"/>
          <w:color w:val="111111"/>
          <w:sz w:val="28"/>
          <w:sz w:val="28"/>
          <w:szCs w:val="28"/>
          <w:rtl w:val="true"/>
          <w:lang w:bidi="fa-IR"/>
        </w:rPr>
        <w:t>الصدقة أو تحقّق الهدیّة أو ما شابه ذلک لکن لا یعنی ذلک أنّ العنوانَیْن والفعلَیْن، والحکمَیْن هما حکم واحد وبملاک واحد وبمصلحة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تصادق الشعائر مع بعض الأحکام الأوّلیّة وانطباقها فی مصداق واحد لا یعنی أنّ الشعائر حکمها متّحد مع نفس حکم الأحکام الأوّلیّة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جعل بعض المفسّرین حکم الشعائر هو عین الأحکام الأوّلیّة، 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إیجاب البُدن هو إیجابٌ للشعیرة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البُدن جعلناها من وظائف الحجّ ومنسکاً من مناسک الحجّ والحال أنّ هذه الآیة فی صدد التعرّض لشی‌ء آخر، کما هو مبیّن فی روایات الأئمّة علیهم السلام فی باب الحجّ</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عن الإمام الصادق علیه السلام فی أبواب الهَدی، یتبیّن افتراق الشعیرة فی البُدن عن وجوب أصل البدنة أو غیرها من أنواع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 صاحب کتاب الوسائل باباً لاستحباب تعظیم شعیرة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الأئمّة علیهم السلام الأمر الندبیّ باتّخاذ البُدن</w:t>
      </w:r>
      <w:r>
        <w:rPr>
          <w:rStyle w:val="FootnoteAnchor"/>
          <w:rtl w:val="true"/>
        </w:rPr>
        <w:footnoteReference w:id="108"/>
      </w:r>
      <w:r>
        <w:rPr>
          <w:rFonts w:ascii="IRNazanin" w:hAnsi="IRNazanin" w:eastAsia="IRNazanin"/>
          <w:color w:val="111111"/>
          <w:sz w:val="28"/>
          <w:sz w:val="28"/>
          <w:szCs w:val="28"/>
          <w:rtl w:val="true"/>
          <w:lang w:bidi="fa-IR"/>
        </w:rPr>
        <w:t>السمینة، لأنّه نوع من تعظیم الشعائر، أو باعتبار کون البُدن المسوقة مع الحاجّ عَلَماً من أعلام الحجّ</w:t>
      </w:r>
      <w:r>
        <w:rPr>
          <w:rStyle w:val="FootnoteAnchor"/>
          <w:rtl w:val="true"/>
        </w:rPr>
        <w:footnoteReference w:id="109"/>
      </w:r>
      <w:r>
        <w:rPr>
          <w:rFonts w:ascii="IRNazanin" w:hAnsi="IRNazanin" w:eastAsia="IRNazanin"/>
          <w:color w:val="111111"/>
          <w:sz w:val="28"/>
          <w:sz w:val="28"/>
          <w:szCs w:val="28"/>
          <w:rtl w:val="true"/>
          <w:lang w:bidi="fa-IR"/>
        </w:rPr>
        <w:t>وهو نوع من الإعلام والتبلیغ والدعایة والترویج لفریضة الحجّ، ونوع من التظاهرة الشعبیّة للمکلّفین، أو لمجتمع المسلمین فی إظهار علامات الحجّ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لاسیّما إذا کانت البُدن تُساق من مسافات عدیدة فهو نوع من حالة النشر الدینیّ لفریضة ونسک الحجّ والتبلیغ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الروایات الواردة دلالة واضحة علی أنّ جعل الشعیرة کذلک هو أمر آخر غیر جعلها واجبة من فرائض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حکم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حکم أصل إیجاب الهدی فی الحجّ، فممّا بحثناه سابقاً عن ماهیّة الشعائر وماهیة متعلّق الحکم فی الشعائر یتبیّن أنّ الحکم فی الشعائر هو غیر الأحکام الأوّلیّة نعم هو ینطبق علی الأحکام الأوّلیّة إذا کانت تلک الأحکام الأوّلیّة فی الفعل والمتعلّق المرتبط بها تتضمّن جنبة إعلام وتبلیغ، وتتضمّن جنبة إنذار وإفشاء لحکم من الأحکام الإسلامیّة، أو لعبادة دینیّة معیّنة نعم ینطبق علیه أنّها شعیرة مثل صلاة الجماعة، ومثل صلاة الجمعة، لا مثل الصلاة فرادی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فإنّ الشعیرة ماهیةً وموضوعاً ومتعلّقاً وحکماً وملاکاً تختلف عن الأحکام الأوّلیّة نعم، هی قد تتطابق مع الأحکام الأوّلیّة لکن لا أنّها هی الأحکام الأوّلیّة بعینها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فحکمها لیس هو عین الأحکام الأوّلیّة، بل لها حکم أوّلیّ آخر وصِرف کونها ثانویّة لا یعنی ثانویّة حکمها بل کثیر من الأحکام الأوّلیّة تطرأ علیها العناوین بلحاظ انطباقها فی المصادیق الخارجیّة، کما فی التعظیم أو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تتّخذ مصادیق وأسالیب ووسائل مختلفة فی الاحترام مع أنّها لیست حکماً ثانویاً، بل هی حکم أوّلیّ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فالثانویّة هنا فی المتعلّق ولیس فی نفس الحکم، وإلاّ فالحکم هو أوّلیٌّ وملاکه أوّلیّ وهکذا الحال فی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فالثانویّة فی قاعدة الشعائر الدینیّة هی فی جنبة الموضوع والمصداق لا فی جنبة الحکم والملاک والحال علی العکس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العناوین التسعة فی حدیث الرفع</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العناوین التسعة من الاضطرار والنسیان والإکراه التی تطرأ علی الحکم، وهی ثانویّة فی جنبة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فالعلاقة بین حکم قاعدة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قلنا بأنّ موضوعها ثانویّ، وحکمها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الأحکام الأوّلیّة ینطوی علی تفصیل فی البَین، لأنّ هذا النمط من الأحکام الأوّلیّة ذی المواضیع الثانویّة لیس هو حکماً أوّلّیاً بقول مطلق، کی یقال أنّه حکم أوّلیّ یندرج فی الأبحاث السابقة ولا هو حکم ثانویّ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فیه ازدواجیّة ثانویّة الموضوع التی ذکرنا أنّه لم یُنبّه علیها اصطلاحاً علماء الأصول، إلاّ أنهم مَضوا علیها ارتکازاً ومن جهة المحمول هو حکم أوّلیّ وملاک أوّلیّ، ففیه ازدواجیّة الجنبتَین فهل یکون هو موروداً، أو محکوماً، أو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نضعه فی قسم الأحکام الأوّلیّة أم نضعه فی ردیف وقسم الأحکام الثانویّة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بناءً علی ما قدّمنا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موضوع قاعدة الشعائر الدینیّة أو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الحکم فی قاعدة الشعائر الدینیّة والأحکام الأوّلیّة هی أنّ الحکم فی قاعدة الشعائر الدینیّة موضوعه أو متعلّقه عامّ یتناول کلّ مُحلّل بالمعنی الأعمّ بالحلّیّة بالمعنی الأعمّ عدا موارد الحرمة وإن اتّفق إجتماع مورد الحرمة مع بعض الشعائر الدینیّة فهذا لا یوجب التعارض بل ولا تقدیم دلیل الحکم الأوّلیّ علی دلیل الشعائر وإنّما یکون من قبیل اجتماع الأمر والنهی، لأنّ المفروض أنّ التصادم</w:t>
      </w:r>
      <w:bookmarkStart w:id="256" w:name="pg2944_24487"/>
    </w:p>
    <w:p>
      <w:pPr>
        <w:pStyle w:val="BookText"/>
        <w:rPr/>
      </w:pPr>
      <w:bookmarkEnd w:id="256"/>
      <w:r>
        <w:rPr>
          <w:rFonts w:ascii="IRNazanin" w:hAnsi="IRNazanin" w:eastAsia="IRNazanin"/>
          <w:color w:val="111111"/>
          <w:sz w:val="28"/>
          <w:sz w:val="28"/>
          <w:szCs w:val="28"/>
          <w:rtl w:val="true"/>
          <w:lang w:bidi="fa-IR"/>
        </w:rPr>
        <w:t>والتوارد فی ذلک المصداق اتفاقیّ فمن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العلماء فی شقوق عدیدة من استفتاءاتهم فی الشعائر الدینیّة المختلفة وفی فرض تصادم الشعائر الدینیّة أحیاناً فی بعض الموارد مع المحرّمات لا یبنون علی التعارض وعندما نقول ذلک لا نرید منه أنّ الحاکم أو الفقیه فی سیاسیّته الفتوائیّة یُدیم عُمر تصادق الشعیرة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باب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ذکرنا سابقاً أنّ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ملاکیّاً أو امتثالیّاً، له ضرورات استثنائیّة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یفسح الفقیه المجال أن تعیش هذه الحالة بنحو دائم وتکون حالة غالبة، بل یجب أن یتفاداها بقدر الإمکان لکن اتّفاق وقوعها لا یدلّ علی التعارض هذه کلّه فی نسبة الحکم فی القاعدة والأحکام الأوّلیّة</w:t>
      </w:r>
      <w:r>
        <w:rPr>
          <w:rFonts w:eastAsia="IRNazanin" w:cs="IRNazanin"/>
          <w:color w:val="111111"/>
          <w:sz w:val="28"/>
          <w:szCs w:val="28"/>
          <w:rtl w:val="true"/>
          <w:lang w:bidi="fa-IR"/>
        </w:rPr>
        <w:t>.</w:t>
      </w:r>
    </w:p>
    <w:p>
      <w:pPr>
        <w:pStyle w:val="Heading4"/>
        <w:numPr>
          <w:ilvl w:val="3"/>
          <w:numId w:val="1"/>
        </w:numPr>
        <w:rPr/>
      </w:pPr>
      <w:bookmarkStart w:id="257" w:name="__RefHeading___Toc110590_2749589250"/>
      <w:bookmarkStart w:id="258" w:name="_Toc97"/>
      <w:bookmarkEnd w:id="257"/>
      <w:r>
        <w:rPr>
          <w:rtl w:val="true"/>
        </w:rPr>
        <w:t>تقسیم الأحکام الثانویّة فی جنبة الحکم</w:t>
      </w:r>
      <w:bookmarkEnd w:id="258"/>
    </w:p>
    <w:p>
      <w:pPr>
        <w:pStyle w:val="Heading5"/>
        <w:numPr>
          <w:ilvl w:val="4"/>
          <w:numId w:val="1"/>
        </w:numPr>
        <w:rPr/>
      </w:pPr>
      <w:bookmarkStart w:id="259" w:name="__RefHeading___Toc110592_2749589250"/>
      <w:bookmarkStart w:id="260" w:name="_Toc98"/>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نلاحظ أنّ الأحکام الثانویّة فی جنبة الحکم سنخان</w:t>
      </w:r>
      <w:r>
        <w:rPr>
          <w:rFonts w:eastAsia="IRNazanin" w:cs="IRNazanin"/>
          <w:color w:val="111111"/>
          <w:sz w:val="28"/>
          <w:szCs w:val="28"/>
          <w:rtl w:val="true"/>
          <w:lang w:bidi="fa-IR"/>
        </w:rPr>
        <w:t>:</w:t>
      </w:r>
    </w:p>
    <w:p>
      <w:pPr>
        <w:pStyle w:val="Heading5"/>
        <w:numPr>
          <w:ilvl w:val="4"/>
          <w:numId w:val="1"/>
        </w:numPr>
        <w:rPr/>
      </w:pPr>
      <w:bookmarkStart w:id="261" w:name="__RefHeading___Toc110594_2749589250"/>
      <w:bookmarkStart w:id="262" w:name="_Toc99"/>
      <w:bookmarkEnd w:id="261"/>
      <w:r>
        <w:rPr>
          <w:rtl w:val="true"/>
        </w:rPr>
        <w:t>الأحکام الثانویّة المُثبتة</w:t>
      </w:r>
      <w:bookmarkEnd w:id="262"/>
    </w:p>
    <w:p>
      <w:pPr>
        <w:pStyle w:val="BookText"/>
        <w:rPr/>
      </w:pPr>
      <w:r>
        <w:rPr>
          <w:rFonts w:ascii="IRNazanin" w:hAnsi="IRNazanin" w:eastAsia="IRNazanin"/>
          <w:color w:val="111111"/>
          <w:sz w:val="28"/>
          <w:sz w:val="28"/>
          <w:szCs w:val="28"/>
          <w:rtl w:val="true"/>
          <w:lang w:bidi="fa-IR"/>
        </w:rPr>
        <w:t xml:space="preserve">مثل وجوب طاعة الأبوَین، أو حرمة عقوق الأبوَین، 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نستفید منها وجوب الوفاء بالشرط، ومنها وجوب النذر، والیمین والعهد وما شابه هذا نمط من الأحکام الثانویّة</w:t>
      </w:r>
      <w:r>
        <w:rPr>
          <w:rFonts w:eastAsia="IRNazanin" w:cs="IRNazanin"/>
          <w:color w:val="111111"/>
          <w:sz w:val="28"/>
          <w:szCs w:val="28"/>
          <w:rtl w:val="true"/>
          <w:lang w:bidi="fa-IR"/>
        </w:rPr>
        <w:t>.</w:t>
      </w:r>
    </w:p>
    <w:p>
      <w:pPr>
        <w:pStyle w:val="Heading5"/>
        <w:numPr>
          <w:ilvl w:val="4"/>
          <w:numId w:val="1"/>
        </w:numPr>
        <w:rPr/>
      </w:pPr>
      <w:bookmarkStart w:id="263" w:name="__RefHeading___Toc110596_2749589250"/>
      <w:bookmarkStart w:id="264" w:name="_Toc100"/>
      <w:bookmarkEnd w:id="263"/>
      <w:r>
        <w:rPr>
          <w:rtl w:val="true"/>
        </w:rPr>
        <w:t>الأحکام الثانویّة النافیة</w:t>
      </w:r>
      <w:bookmarkEnd w:id="264"/>
    </w:p>
    <w:p>
      <w:pPr>
        <w:pStyle w:val="BookText"/>
        <w:rPr/>
      </w:pPr>
      <w:r>
        <w:rPr>
          <w:rFonts w:ascii="IRNazanin" w:hAnsi="IRNazanin" w:eastAsia="IRNazanin"/>
          <w:color w:val="111111"/>
          <w:sz w:val="28"/>
          <w:sz w:val="28"/>
          <w:szCs w:val="28"/>
          <w:rtl w:val="true"/>
          <w:lang w:bidi="fa-IR"/>
        </w:rPr>
        <w:t>وهناک نمط آخر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الواردة فی حدیث الرفع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أمّتی تِسعٌ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فارق بین السنخَین</w:t>
      </w:r>
      <w:r>
        <w:rPr>
          <w:rFonts w:eastAsia="IRNazanin" w:cs="IRNazanin"/>
          <w:color w:val="111111"/>
          <w:sz w:val="28"/>
          <w:szCs w:val="28"/>
          <w:rtl w:val="true"/>
          <w:lang w:bidi="fa-IR"/>
        </w:rPr>
        <w:t>.</w:t>
      </w:r>
      <w:bookmarkStart w:id="265" w:name="pg2944_24488"/>
    </w:p>
    <w:p>
      <w:pPr>
        <w:pStyle w:val="BookText"/>
        <w:rPr/>
      </w:pPr>
      <w:bookmarkEnd w:id="265"/>
      <w:r>
        <w:rPr>
          <w:rFonts w:ascii="IRNazanin" w:hAnsi="IRNazanin" w:eastAsia="IRNazanin"/>
          <w:color w:val="111111"/>
          <w:sz w:val="28"/>
          <w:sz w:val="28"/>
          <w:szCs w:val="28"/>
          <w:rtl w:val="true"/>
          <w:lang w:bidi="fa-IR"/>
        </w:rPr>
        <w:t>وقد یقرّر بأنّ الحکم فی قاعدة الشعائر الدینیّة هو من النمط الأول من العناوین الثانویّة فی جنبة الحکم، والتی فیها جهة إثبات وإلزام،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ووجوب أداء النذر والیمین کما قد یقرّب أنّ وجوب أداء النذر حکم لیس بثانویّ، بل تعدّ هذه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أحکاماً أوّلیّة وهی مسانخة للحکم فی قاعدة الشعائر الدینیّة، وأنّها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ثانویّة الموضوع أوّلیة الحکم فوجوب الوفاء بالشرط حکم أوّلیّ، ووجوب الوفاء بالعقد حکم أوّلیّ ووجوب الوفاء بالنذر والعهد کذلک وطاعة الأبوین أو حرمة عقوقهما کذلک لکنّ هذه الأحکام ثانویّة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لیست ببعیدة، من جهة أنّ ملاکات الحکم فی هذه العناوین من قبیل الأحکام الأوّلیّة لا أنّها أحکام استثنائیة شاذّة</w:t>
      </w:r>
      <w:r>
        <w:rPr>
          <w:rFonts w:eastAsia="IRNazanin" w:cs="IRNazanin"/>
          <w:color w:val="111111"/>
          <w:sz w:val="28"/>
          <w:szCs w:val="28"/>
          <w:rtl w:val="true"/>
          <w:lang w:bidi="fa-IR"/>
        </w:rPr>
        <w:t>.</w:t>
      </w:r>
    </w:p>
    <w:p>
      <w:pPr>
        <w:pStyle w:val="Heading4"/>
        <w:numPr>
          <w:ilvl w:val="3"/>
          <w:numId w:val="1"/>
        </w:numPr>
        <w:rPr/>
      </w:pPr>
      <w:bookmarkStart w:id="266" w:name="__RefHeading___Toc110598_2749589250"/>
      <w:bookmarkStart w:id="267" w:name="_Toc101"/>
      <w:bookmarkEnd w:id="266"/>
      <w:r>
        <w:rPr>
          <w:rtl w:val="true"/>
        </w:rPr>
        <w:t>الفارق بین حکم القاعدة والأحکام الثانویّة المثبتة</w:t>
      </w:r>
      <w:bookmarkEnd w:id="267"/>
    </w:p>
    <w:p>
      <w:pPr>
        <w:pStyle w:val="BookText"/>
        <w:rPr/>
      </w:pPr>
      <w:r>
        <w:rPr>
          <w:rFonts w:ascii="IRNazanin" w:hAnsi="IRNazanin" w:eastAsia="IRNazanin"/>
          <w:color w:val="111111"/>
          <w:sz w:val="28"/>
          <w:sz w:val="28"/>
          <w:szCs w:val="28"/>
          <w:rtl w:val="true"/>
          <w:lang w:bidi="fa-IR"/>
        </w:rPr>
        <w:t>لکن تظل لها میزة وفارق مع الحکم فی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إنشاؤه مکروهاً وکذا الیمین والعهد وحکم طاعة الوالدین، علی الرغم من أنّه کان بنفسه راجحاً، لکن بلحاظ الجهة الأبویّة، یعنی بما یتّصل بالجهة الأبویة، ولیس أنّه یتبدّل حکم الفعل فی نفسه إذ یبقی حکمه الذاتیّ علی حاله ولکن باعتباره مقدّمة لطاعة الأبوَین أو لعدم عقوقهما، فإنّه یلزم بفعله ولا یتغیّر عمّا هو علیه وکذلک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أصبح ذلک الفعل واجباً بسبب الإلتزام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فللشقّ الأوّل من هذه الأحکام الثانویّة میزة تختلف عن نفس الشعائر، إذ أنّ الشعائر أمرٌ مرغّب فیه ولها ارتباط بکثیر من أبواب الدین وفصول الدین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من قبیل هذه الأحکام الثانویّة المُثبِتة لکن بین هذا الشقّ الأوّل والحکم فی قاعدة الشعائر قواسم مشترکة أکثر من القواسم المشترکة الموجودة بین الحکم فی</w:t>
      </w:r>
      <w:bookmarkStart w:id="268" w:name="pg2944_24489"/>
    </w:p>
    <w:p>
      <w:pPr>
        <w:pStyle w:val="BookText"/>
        <w:rPr/>
      </w:pPr>
      <w:bookmarkEnd w:id="268"/>
      <w:r>
        <w:rPr>
          <w:rFonts w:ascii="IRNazanin" w:hAnsi="IRNazanin" w:eastAsia="IRNazanin"/>
          <w:color w:val="111111"/>
          <w:sz w:val="28"/>
          <w:sz w:val="28"/>
          <w:szCs w:val="28"/>
          <w:rtl w:val="true"/>
          <w:lang w:bidi="fa-IR"/>
        </w:rPr>
        <w:t>قاعدة الشعائر والشقّ الثانی من الأحکام الثانویّة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المقدار یتبیّن نوع من حقیقة الحکم فی الشعائر وذلک أنّه حکم أوّلیّ ولیس ثانویّاً استثنائیّاً طارئاً بل یرید الشارع أن یُجریه ویطبّقه ویحقّقه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یرید إقامة النذر والوفاء به اللهمّ إلاّ أن یقع النذر فیلزم بوفائه، وکذلک الشروط حسب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الوفاء بالعقود وعلی مقدار تأدیة الضرورات أو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باب الصلاة، والعبادات، وأبواب أُخری، وکذلک فی أبواب الشعائر، إذ الإرادة الشرعیّة فی الشعائر تتناسب مع ذی الشعیرة کما مرّ بیان ذلک، إذ نمط الحکم هو فی مقام الإعلام والإفشاء والتشیید والإعلاء لأحکام الأبواب الشرعیّة فالحکم وثیق الصلة بالأحکام الأوّلیّة</w:t>
      </w:r>
      <w:r>
        <w:rPr>
          <w:rFonts w:eastAsia="IRNazanin" w:cs="IRNazanin"/>
          <w:color w:val="111111"/>
          <w:sz w:val="28"/>
          <w:szCs w:val="28"/>
          <w:rtl w:val="true"/>
          <w:lang w:bidi="fa-IR"/>
        </w:rPr>
        <w:t>.</w:t>
      </w:r>
    </w:p>
    <w:p>
      <w:pPr>
        <w:pStyle w:val="Heading4"/>
        <w:numPr>
          <w:ilvl w:val="3"/>
          <w:numId w:val="1"/>
        </w:numPr>
        <w:rPr/>
      </w:pPr>
      <w:bookmarkStart w:id="269" w:name="__RefHeading___Toc110600_2749589250"/>
      <w:bookmarkStart w:id="270" w:name="_Toc102"/>
      <w:bookmarkEnd w:id="269"/>
      <w:r>
        <w:rPr>
          <w:rtl w:val="true"/>
        </w:rPr>
        <w:t>النسبة بین قاعدة الشعائر، والأحکام الثانویّة</w:t>
      </w:r>
      <w:bookmarkEnd w:id="270"/>
    </w:p>
    <w:p>
      <w:pPr>
        <w:pStyle w:val="BookText"/>
        <w:rPr/>
      </w:pPr>
      <w:r>
        <w:rPr>
          <w:rFonts w:ascii="IRNazanin" w:hAnsi="IRNazanin" w:eastAsia="IRNazanin"/>
          <w:color w:val="111111"/>
          <w:sz w:val="28"/>
          <w:sz w:val="28"/>
          <w:szCs w:val="28"/>
          <w:rtl w:val="true"/>
          <w:lang w:bidi="fa-IR"/>
        </w:rPr>
        <w:t xml:space="preserve">بعد بیان أقسام الأحکام الثانویّة نحاول تقریر النسبة بین حکم القاعدة والأحکام الثانویّة، أی الثانویّة فی جنبة الحکم بقسمیها المثبتة والنافیة فمن الواضح حینئذ أنّ نسبة الحکم فی قاعدة الشعائر الدینیّة، مع الأحکام الثانویّة فی جنبة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الشقَّین المُثبتة والنافیة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الأحکام الأوّلیّة مع الأحکام الثانویّة لأنّ حکم الشعائر هو الحکم الأوّلی؛ والأحکام الثانویّة المثبتة أو الرافعة لا تزیل ولا تنفی ولا تلغی الحکم الأوّلی، بل تُقدَّم علیه من باب التزاحم ولکن بشکل مؤقّت وغیر دائم، کما هو شأن الحکم الثانویّ مع الأحکام الأوّلیّة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یجب أن یُقرّر الفِعل أو الموضوع بلحاظ الأحکام الأوّلیّة، ومن ثَمَّ ملاحظة الأحکام الثانویّة کشی‌ء طاری‌ء استثنائیّ علیها لأنّ حکم الشعائر هو حکم الطبیعة الأوّلیّة التی لا بدّ من دیمومة بقائها ورعایتها</w:t>
      </w:r>
      <w:r>
        <w:rPr>
          <w:rFonts w:eastAsia="IRNazanin" w:cs="IRNazanin"/>
          <w:color w:val="111111"/>
          <w:sz w:val="28"/>
          <w:szCs w:val="28"/>
          <w:rtl w:val="true"/>
          <w:lang w:bidi="fa-IR"/>
        </w:rPr>
        <w:t>.</w:t>
      </w:r>
      <w:bookmarkStart w:id="271" w:name="pg2944_24490"/>
    </w:p>
    <w:p>
      <w:pPr>
        <w:pStyle w:val="BookText"/>
        <w:rPr/>
      </w:pPr>
      <w:bookmarkEnd w:id="271"/>
      <w:r>
        <w:rPr>
          <w:rFonts w:ascii="IRNazanin" w:hAnsi="IRNazanin" w:eastAsia="IRNazanin"/>
          <w:color w:val="111111"/>
          <w:sz w:val="28"/>
          <w:sz w:val="28"/>
          <w:szCs w:val="28"/>
          <w:rtl w:val="true"/>
          <w:lang w:bidi="fa-IR"/>
        </w:rPr>
        <w:t>فهکذا حال الحکم فی قاعدة الشعائر الدینیّة ووجوب تعظیمها مع الأحکام الثانویّة الأخری المثبتة والنافیة وإلاّ فلیس من الصحیح ملاحظة الفعل أو الموضوع بلحاظ الأحکام الثانویّة مقدَّماً علی ملاحظة الحکم فی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هناک 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عُدّ الحکم فی قاعدة الشعائر الدینیّة حکماً ثانویّاً، وعُدّت تلک الأحکام الثانویّة أحکاماً ثانویّة أیضاً فیکون کلّ منهما ثانویّاً فتقدیم أحدهما علی الآخر رتبةً ترجیح بلا مرجّح بل غایة الأمر أنّهما فی رتبة واحدة، ویقع بینهما التزاحم لا التعارض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جواب نقضیّ وإلاّ فالجواب الأساسی هو أنّ الحکم فی قاعدة الشعائر الدینیّة لیس من قبیل الحکم الثانویّ، بل هو حکم الطبیعة الأوّلیّة التی لا بدّ من بقائها واستمرارها والمحافظة علیها فضلاً عن أن یکون الحکم فی القاعدة مؤخّراً رتبةً عن الأحکام الثانویّة</w:t>
      </w:r>
      <w:r>
        <w:rPr>
          <w:rFonts w:eastAsia="IRNazanin" w:cs="IRNazanin"/>
          <w:color w:val="111111"/>
          <w:sz w:val="28"/>
          <w:szCs w:val="28"/>
          <w:rtl w:val="true"/>
          <w:lang w:bidi="fa-IR"/>
        </w:rPr>
        <w:t>.</w:t>
      </w:r>
    </w:p>
    <w:p>
      <w:pPr>
        <w:pStyle w:val="Heading4"/>
        <w:numPr>
          <w:ilvl w:val="3"/>
          <w:numId w:val="1"/>
        </w:numPr>
        <w:rPr/>
      </w:pPr>
      <w:bookmarkStart w:id="272" w:name="__RefHeading___Toc110602_2749589250"/>
      <w:bookmarkStart w:id="273" w:name="_Toc103"/>
      <w:bookmarkEnd w:id="272"/>
      <w:r>
        <w:rPr>
          <w:rtl w:val="true"/>
        </w:rPr>
        <w:t>الخلاصة فی هذه الجهة</w:t>
      </w:r>
      <w:bookmarkEnd w:id="273"/>
    </w:p>
    <w:p>
      <w:pPr>
        <w:pStyle w:val="BookText"/>
        <w:rPr/>
      </w:pPr>
      <w:r>
        <w:rPr>
          <w:rFonts w:ascii="IRNazanin" w:hAnsi="IRNazanin" w:eastAsia="IRNazanin"/>
          <w:color w:val="111111"/>
          <w:sz w:val="28"/>
          <w:sz w:val="28"/>
          <w:szCs w:val="28"/>
          <w:rtl w:val="true"/>
          <w:lang w:bidi="fa-IR"/>
        </w:rPr>
        <w:t>ونستنتج من هذه النقاط التی ذکرناها فی العلاقة بین الحکم فی قاعدة الشعائر الدینیّة، والأحکام الأوّلیّة والأحکام الثانویّة عدّة نتائج وقبل ذلک لا بأس من التنبیه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بمقتضی أحد النقاط التی أثرناها فی هذه الجهة، من أنّ مبنی مشهور الفقهاء أنّ نسبة العناوین الثانویّة لُبّاً مع الأحکام الأوّلیّة هی التزاحم الملاکیّ، ومن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کلّ شی‌ء بحسبه، أو ضررُ کلّ شی‌ء بحسبه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فی الوضوء بأدنی ضرر طفیف یرفع الإلزام بالوضوء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فی باب أکل حرمة المیتة قالوا أنّ الضَرر الذی یرفع حرمة المَیْتة هو ذلک الضرر الذی یکون بدرجة شدیدة بحیث یُشرف علی الهلکة، وحینئذ یتناول من المَیتة بقدر ما یحفظ به رمق حیاته ولا یتعدّی ذلک کما یستفاد من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المحرّمات الأخری کشُرب الخمر، أو الزنا أو الفجور فما الوجه فی کون الضرر المهلک مسوّغاً لرفع مثل تلک الحرمة دون الیسیر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فالضرر فی الوضوء یختلف عنه فی باب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فی عنوان الحرج کذلک والفقهاء یعبّرون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 فی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قاعدة الحرج فی الوضوء، وفی غسل الجنابة بأدنی درجة بینما هذه القاعدة فی المحرّمات الشدیدة الکبیرة لابدّ أن تکون بدرجة العسر الشدید جدّاً والوجه فی التفرقة هو أنّه فی المحرّمات الشدیدة لا یرفع تلک الحرمة، أو لا یرفع تنجّزها وعزیمتها إلاّ الحاجة الشدیدة بینما فی موارد الحرمة الخفیفة یرفعها أدنی عسر ومشقّة کما تقدّم ویطَّرد الکلام فی الاضطرار والإکراه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لهذه التفرقة لیس إلاّ مبنی المشهور من أنّ نسبة العناوین الثانویّة مع الأحکام الأوّلیّة هی نسبة التزاحم الملاکیّ لا التخصیص والتقیید؛ ومن ثمّ شملها حکم التزاحم فالضرر الیسیر لا یزاحم ولا یمانع الملاک الشدید وإنّما یدافع الملاک الخفیف؛ وکذلک فی الحرج والنسیان وغیرهما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فالشعائر لیست علی درجة واحدة من التعظیم أو من حرمة الإهانة، بل هی تختلف شدّةً وضعفاً بحسب شدّة وعظمة المعنی الذی تُعلِم عنه وتشیر إلیه، أو بحسب شدّة العلقة کما مثّلنا لذلک سابقاً</w:t>
      </w:r>
      <w:r>
        <w:rPr>
          <w:rFonts w:eastAsia="IRNazanin" w:cs="IRNazanin"/>
          <w:color w:val="111111"/>
          <w:sz w:val="28"/>
          <w:szCs w:val="28"/>
          <w:rtl w:val="true"/>
          <w:lang w:bidi="fa-IR"/>
        </w:rPr>
        <w:t>.</w:t>
      </w:r>
      <w:bookmarkStart w:id="274" w:name="pg2944_24492"/>
    </w:p>
    <w:p>
      <w:pPr>
        <w:pStyle w:val="Heading4"/>
        <w:numPr>
          <w:ilvl w:val="3"/>
          <w:numId w:val="1"/>
        </w:numPr>
        <w:rPr/>
      </w:pPr>
      <w:bookmarkStart w:id="275" w:name="__RefHeading___Toc110604_2749589250"/>
      <w:bookmarkStart w:id="276" w:name="_Toc104"/>
      <w:bookmarkEnd w:id="274"/>
      <w:bookmarkEnd w:id="275"/>
      <w:r>
        <w:rPr>
          <w:rtl w:val="true"/>
        </w:rPr>
        <w:t>إختلاف أحکام الشعائر شدّة وضعفاً</w:t>
      </w:r>
      <w:bookmarkEnd w:id="276"/>
    </w:p>
    <w:p>
      <w:pPr>
        <w:pStyle w:val="BookText"/>
        <w:rPr/>
      </w:pPr>
      <w:r>
        <w:rPr>
          <w:rFonts w:ascii="IRNazanin" w:hAnsi="IRNazanin" w:eastAsia="IRNazanin"/>
          <w:color w:val="111111"/>
          <w:sz w:val="28"/>
          <w:sz w:val="28"/>
          <w:szCs w:val="28"/>
          <w:rtl w:val="true"/>
          <w:lang w:bidi="fa-IR"/>
        </w:rPr>
        <w:t>وبمقتضی هاتین النقطتَین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التی مضت فی الجهة الخامسة فی المتعلّق، وهی کون الحکم فی قاعدة الشعائر الدینیّة تشکیکیّاً، أی علی درجاتٍ وعلی مستویات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التی نحن بصددها الآن، وهی أنّ الأحکام الثانویّة فی جنبة الحکم نسبتها مع الأحکام الأوّلیّة هی التزاحم فیجب أن تُلحظ درجة العنوان الثانویّ مع درجة الحکم الأوّلیّ والحال بعینه فی باب الشعائر، أی لیس أیّ ضررٍ یکون رافعاً لکلّ حکم فی الشعائر وإذا کان رافعاً لأحد أحکام الشعائر الدینیّة، فإنّ ذلک لا یعنی کونه رافعاً لکلّ درجات أحکام الشعائر الدینیّة الأخری، لأنّها تختلف بعضها عن البعض شدةً وضعفاً فدرجة التعظیم والتقدیس للمصحف الشریف تختلف عن درجة التعظیم والتقدیس للکتاب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کلّ ضرر یَرفع کلّ درجة من درجات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الضرر الرافع منه لدرجة مّا، یکون رافعاً لبقیّة الدرجات أو بقیّة أقسام وأنواع الشعائر الدینیّة وکذلک الحال فی الحرج أو الاضطرار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مما یجب الإلتفات إلیه جیّداً هذا مُجمل الکلام فی الجهة السادسة، وهی جهة العلاقة بین الحکم فی قاعدة الشعائر الدینیّة والأحکام الأوّلیّة من جهة، ومع الأحکام الثانویّة من جهة أخری</w:t>
      </w:r>
      <w:r>
        <w:rPr>
          <w:rFonts w:eastAsia="IRNazanin" w:cs="IRNazanin"/>
          <w:color w:val="111111"/>
          <w:sz w:val="28"/>
          <w:szCs w:val="28"/>
          <w:rtl w:val="true"/>
          <w:lang w:bidi="fa-IR"/>
        </w:rPr>
        <w:t>.</w:t>
      </w:r>
      <w:bookmarkStart w:id="277" w:name="pg2944_24493"/>
    </w:p>
    <w:p>
      <w:pPr>
        <w:pStyle w:val="Heading3"/>
        <w:numPr>
          <w:ilvl w:val="2"/>
          <w:numId w:val="1"/>
        </w:numPr>
        <w:rPr/>
      </w:pPr>
      <w:bookmarkStart w:id="278" w:name="__RefHeading___Toc110606_2749589250"/>
      <w:bookmarkStart w:id="279" w:name="_Toc105"/>
      <w:bookmarkEnd w:id="277"/>
      <w:bookmarkEnd w:id="278"/>
      <w:r>
        <w:rPr>
          <w:rtl w:val="true"/>
        </w:rPr>
        <w:t>الجهة السابعة</w:t>
      </w:r>
      <w:r>
        <w:rPr>
          <w:rtl w:val="true"/>
        </w:rPr>
        <w:t xml:space="preserve">: </w:t>
      </w:r>
      <w:r>
        <w:rPr>
          <w:rtl w:val="true"/>
        </w:rPr>
        <w:t>الموانع الطارئة علی قاعدة الشعائر</w:t>
      </w:r>
      <w:bookmarkEnd w:id="2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110608_2749589250"/>
      <w:bookmarkStart w:id="281" w:name="_Toc106"/>
      <w:bookmarkEnd w:id="280"/>
      <w:r>
        <w:rPr>
          <w:rtl w:val="true"/>
        </w:rPr>
        <w:t>اشارة</w:t>
      </w:r>
      <w:bookmarkStart w:id="282" w:name="pg2944_24495"/>
      <w:bookmarkEnd w:id="281"/>
    </w:p>
    <w:p>
      <w:pPr>
        <w:pStyle w:val="BookText"/>
        <w:rPr/>
      </w:pPr>
      <w:bookmarkEnd w:id="282"/>
      <w:r>
        <w:rPr>
          <w:rFonts w:ascii="IRNazanin" w:hAnsi="IRNazanin" w:eastAsia="IRNazanin"/>
          <w:color w:val="111111"/>
          <w:sz w:val="28"/>
          <w:sz w:val="28"/>
          <w:szCs w:val="28"/>
          <w:rtl w:val="true"/>
          <w:lang w:bidi="fa-IR"/>
        </w:rPr>
        <w:t>وهی الجهة الأخیرة فی بحث الخطوط العامة للشعائر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وتدور حول ممانعة الخرافة لقاعدة الشعائر الدینیّة، أو استلزام بعض الشعائر للإهانة والاستهزاء أو الهتک وهذه عناوین بالطبع متعدّدة مختلفة، ویجب أن نحلّل کلّ عنوان علی حِدة ونری کیف یکون کلّ من هذه العناوین ممانعاً؟ وهل هناک موارد للتصادق بین هذه العناوین وقاعدة الشعائر الدینیّة؟، أو لا تصادق فی البَین أصلاً؟، وبادئ ذی بدء، نقف علی عنوان ومصطلح الخرافة</w:t>
      </w:r>
      <w:r>
        <w:rPr>
          <w:rFonts w:eastAsia="IRNazanin" w:cs="IRNazanin"/>
          <w:color w:val="111111"/>
          <w:sz w:val="28"/>
          <w:szCs w:val="28"/>
          <w:rtl w:val="true"/>
          <w:lang w:bidi="fa-IR"/>
        </w:rPr>
        <w:t>.</w:t>
      </w:r>
    </w:p>
    <w:p>
      <w:pPr>
        <w:pStyle w:val="Heading4"/>
        <w:numPr>
          <w:ilvl w:val="3"/>
          <w:numId w:val="1"/>
        </w:numPr>
        <w:rPr/>
      </w:pPr>
      <w:bookmarkStart w:id="283" w:name="__RefHeading___Toc110610_2749589250"/>
      <w:bookmarkStart w:id="284" w:name="_Toc107"/>
      <w:bookmarkEnd w:id="283"/>
      <w:r>
        <w:rPr>
          <w:rtl w:val="true"/>
        </w:rPr>
        <w:t>الخرافة والشعائر</w:t>
      </w:r>
      <w:bookmarkEnd w:id="284"/>
    </w:p>
    <w:p>
      <w:pPr>
        <w:pStyle w:val="BookText"/>
        <w:rPr/>
      </w:pPr>
      <w:r>
        <w:rPr>
          <w:rFonts w:ascii="IRNazanin" w:hAnsi="IRNazanin" w:eastAsia="IRNazanin"/>
          <w:color w:val="111111"/>
          <w:sz w:val="28"/>
          <w:sz w:val="28"/>
          <w:szCs w:val="28"/>
          <w:rtl w:val="true"/>
          <w:lang w:bidi="fa-IR"/>
        </w:rPr>
        <w:t>الخرافة ما هو موضوعها؛ وکیف تکون مانعة لقاعدة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الخرافة تارة یکون حکمیّاً، واخری یکون موضوعیّاً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جهة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الخرافة فی اللغة وفی العرف تطلق علی أیّ شی‌ءٍ وهمیّ أو تخیّلیّ، أو الذی لا یُمتّ إلی حقیقة واقعیة أو حسّیّة فأیّ شی‌ء یُملیه الوَهم أو یملیه الخیال من دون أن یکون له مطابق حقیقیّ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عقلیّ ولا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خرافة والحسّ لیس معصوماً علی الدوام، إذ قد یتطرّق إلیه الخطأ</w:t>
      </w:r>
      <w:r>
        <w:rPr>
          <w:rStyle w:val="FootnoteAnchor"/>
          <w:rtl w:val="true"/>
        </w:rPr>
        <w:footnoteReference w:id="113"/>
      </w:r>
      <w:r>
        <w:rPr>
          <w:rFonts w:ascii="IRNazanin" w:hAnsi="IRNazanin" w:eastAsia="IRNazanin"/>
          <w:color w:val="111111"/>
          <w:sz w:val="28"/>
          <w:sz w:val="28"/>
          <w:szCs w:val="28"/>
          <w:rtl w:val="true"/>
          <w:lang w:bidi="fa-IR"/>
        </w:rPr>
        <w:t>وان کان الحسّ إجمالاً من منابع البدیهیّات وکذلک العقل منبع جملة من أقسام البدیهیّات، ولیس کلّ ما لا یُدرَک بالحسّ هو لیس بحقیقة، ولأنّ کثیراً من الأشیاء موجودة وحقیقیّة، مع أنّها</w:t>
      </w:r>
      <w:bookmarkStart w:id="285" w:name="pg2944_24496"/>
    </w:p>
    <w:p>
      <w:pPr>
        <w:pStyle w:val="BookText"/>
        <w:rPr/>
      </w:pPr>
      <w:bookmarkEnd w:id="285"/>
      <w:r>
        <w:rPr>
          <w:rFonts w:ascii="IRNazanin" w:hAnsi="IRNazanin" w:eastAsia="IRNazanin"/>
          <w:color w:val="111111"/>
          <w:sz w:val="28"/>
          <w:sz w:val="28"/>
          <w:szCs w:val="28"/>
          <w:rtl w:val="true"/>
          <w:lang w:bidi="fa-IR"/>
        </w:rPr>
        <w:t>لا تُدرک بالحسّ وعلی کلّ حال، فاقتناص الحقیقة یکون إمّا بأداة العقل، أو بأداة الحسّ أو بأداة القلب فیما یُعاینه من العلوم الحضوریّة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مقابل الحقائق هناک خرافات فإذن هذه ماهیّة الخرافة الموضوعة التی لا یقوم علیها دلیل عقلیّ ولا دلیل نقلیّ ولا دلیل حسّیّ ولا دلیل مبرهن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یصوّرها الخیال أو الوهم وحینئذٍ تکون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نقرّر أنّ الأداة العقلّیة أو الأداة الحسّیّة تتوسّط لإثبات الحقائق، فلیس ذلک علی الدوام، بل لا بدّ من میزان یعتصم به العقل عن الخطأ فی البدیهیات التی هی کرأسمال فطریّ مودع فی الإنسان مِن قِبل الله تعالی، فتلک أداة عصمة للإنسان یستهدی بها فی دوائر الشبهة، وهی من الأمور النظریّة، وکذلک فی الحسّ هناک دائرة کبیرة من البدیهیات یستهدی بها فی دوائر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فإنّک تری نهایة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یتلاقی طرفاه مع أنّ تلاقی طرفی الشارع فی نهایة مدّ البصر لیس بحقیقة لکنّ العقل یهتدی إلی 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تری النار الجوّالة التی یدیرها اللاعب بیده، تراها حلقة ناریة، مع أنّها فی الحقیقة لیست حلقة ناریة فهذه من أخطاء الحسّ التی یمیّزها العقل علی کلّ حال فعندما یقال بأنّ أداة الحسّ والعقل معصومتان یعنی إذا قُوِّمتا بموازین متقنة</w:t>
      </w:r>
      <w:r>
        <w:rPr>
          <w:rFonts w:eastAsia="IRNazanin" w:cs="IRNazanin"/>
          <w:color w:val="111111"/>
          <w:sz w:val="28"/>
          <w:szCs w:val="28"/>
          <w:rtl w:val="true"/>
          <w:lang w:bidi="fa-IR"/>
        </w:rPr>
        <w:t>.</w:t>
      </w:r>
    </w:p>
    <w:p>
      <w:pPr>
        <w:pStyle w:val="Heading4"/>
        <w:numPr>
          <w:ilvl w:val="3"/>
          <w:numId w:val="1"/>
        </w:numPr>
        <w:rPr/>
      </w:pPr>
      <w:bookmarkStart w:id="286" w:name="__RefHeading___Toc110612_2749589250"/>
      <w:bookmarkStart w:id="287" w:name="_Toc108"/>
      <w:bookmarkEnd w:id="286"/>
      <w:r>
        <w:rPr>
          <w:rtl w:val="true"/>
        </w:rPr>
        <w:t>الوهم والخیال</w:t>
      </w:r>
      <w:bookmarkEnd w:id="287"/>
    </w:p>
    <w:p>
      <w:pPr>
        <w:pStyle w:val="BookText"/>
        <w:rPr/>
      </w:pPr>
      <w:r>
        <w:rPr>
          <w:rFonts w:ascii="IRNazanin" w:hAnsi="IRNazanin" w:eastAsia="IRNazanin"/>
          <w:color w:val="111111"/>
          <w:sz w:val="28"/>
          <w:sz w:val="28"/>
          <w:szCs w:val="28"/>
          <w:rtl w:val="true"/>
          <w:lang w:bidi="fa-IR"/>
        </w:rPr>
        <w:t>کذلک الحال فی الأداة الوهمیّة والأداة التخیّلیّة المتصرّفة إذا سخَّرت إحداهما الأخری، فإنّهما غالباً ما تُرکّبان صوراً من قریحتهما لا مساس لها بالواقع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الوهم والخیال خادمیَن للقوی العقلیّة، فیصیب الإنسان بها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تخطِّئان الواقع إذا کانتا تُبدیان من أنفسهما أفعالاً فکریّةً وتصرّفاتٍ فی المعانی من دون استخدام العقل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إستخدام العقل فإنّهما تصیبان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فالخُرافة فعلٌ من الأفعال الفکریّة والإدراکیّة والتصوّریّة تقوم بها المخیَّلة أو الواهمة من دون هدایة العقل ویُذعن الجانب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إلی تلک الصورة أو إلی ذلک الإدراک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فی النفس مشجّرة للطرفَین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 القوة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تُدرک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وطرف القوة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أجنحة أُخری فی جهاز النفس؛ لکنّ الذی یعنینا فی المقام هو هذان الجناحان الجناح العملیّ والجناح النظریّ والإدراکیّ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فالخُرافة إذن مبدأها من فعل إدراکیّ خاطی‌ء بتوسّط المخیّلة أو الواهمة یذعن لها الجانب العملیّ فی النفس، وتبنی علیها النفس عملاً وترتّب علیها آثاراً، من دون أن یکون المدرَک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وأداة الوهم والخیال إذا کانتا من دون هدایة العقل وإراءته إلیهما فالنتیجة تکون خاطئة ولکنّ بعض الأشیاء لا تُدرَک بالحس ولا بالعقل مع أنّها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یدرکها الوهم والخیال بهدایة العقل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زید بغض عمرو حب الأم لطفلها، البغض الخاصّ، والحب الخاصّ هذه تُسمّی معانٍ وَهمیّة، لکنّها مطابقة للحقیقة ولها حقائق فلولا الوهم والخیال لم یصل الإنسان لإدراکها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یُحکَم علی کلّ شی‌ء خیالیّ أو کلّ شی‌ء وهمیّ أنّه غیر مصیب وغیر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تحصل بعض المغالطات، حیث یحکم بالخرافة علی کلّ شی‌ء یدرک بالخیال والوهم فلیس الخیالیّ یساوی اللاواقعیّة ویساوی الخطأ</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الخیال والوهم بدون هدایة العقل واستخدام العقل یساوی الخرافة أو یساوی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یکون بهدایة العقل؛ مثل بعض الحقائق التی لا یمکن أن یدرکها الحسّ ولا العقل، بل یدرکها الوهم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بعض المنامات الصادقة التی لا یدرکها العقل لأنّها لیست تفکیراً بحتاً، ولا یدرکها الحسّ أیضاً، وتکون صادقة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والمُدرَکات العقلیّة لیس لها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وعرض وعمق ولیست نقوشاً من رأس إذ المعانی العقلیّة معانی مجرّدة مصمتة مکبوسة بل ظهور تلک المعانی العقلیّة یکون بتوسّط الخیال أو الوهم بتخطّطات مقداریّة، أو بتشخّص خواصّ جزئیّة معیّنة کما هو الحال فی الرؤیا المنامیّة الصادقة، فالکثیر منّا قد صادف فی حیاته أن رأی رؤیا صادقة طابقت الخارج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الحال فی رؤیا الأنبیاء التی لیس فیها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الرؤیا الصادقة المصوَّرة إنّما یدرکها الإنسان بأداة الخیال، حیث إن الحسّ ینعدم فی النوم فلا یحسّ النائم شیئاً وهذه المعلومات تنزل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الباطن لا من الخارج، ولیست الرؤیا من تصنّع وتسویل النفس إذ النفس لا تدرک المستقبلیّات من لدن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النفوس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أتت هذه الرؤیا الصادقة وبأیّ أداة أدرکها الإنسان؟ وکما ذکرنا من أمثلة حبّ الأم، وبغض العدوّ وما شابه ذلک من المعانی التی یحتاج الإنسان لها فی أصل عیشه وإلاّ لما قام عیشٌ ولا استقامت حیاة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أنّ کلّ شی‌ء خیالیّ أو وهمیّ یساوی اللاواقعیّة أو الخرافة هو مغالطة نعم قوّة الخیال أو قوّة الوهم إن تجرّدت عن العقل، فحینئذ تکون خرافة ولا واقعیّة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استُخدمتا من قبل القوی العاقلة فیدرک الإنسان بها شطراً وافراً من الحقائق التی لا یمکن له أن یعیش بدونها فی هذه النشأة أو حتّی فی النشآت الأخری</w:t>
      </w:r>
      <w:r>
        <w:rPr>
          <w:rFonts w:eastAsia="IRNazanin" w:cs="IRNazanin"/>
          <w:color w:val="111111"/>
          <w:sz w:val="28"/>
          <w:szCs w:val="28"/>
          <w:rtl w:val="true"/>
          <w:lang w:bidi="fa-IR"/>
        </w:rPr>
        <w:t>.</w:t>
      </w:r>
      <w:bookmarkStart w:id="288" w:name="pg2944_24499"/>
    </w:p>
    <w:p>
      <w:pPr>
        <w:pStyle w:val="BookText"/>
        <w:rPr/>
      </w:pPr>
      <w:bookmarkEnd w:id="288"/>
      <w:r>
        <w:rPr>
          <w:rFonts w:ascii="IRNazanin" w:hAnsi="IRNazanin" w:eastAsia="IRNazanin"/>
          <w:color w:val="111111"/>
          <w:sz w:val="28"/>
          <w:sz w:val="28"/>
          <w:szCs w:val="28"/>
          <w:rtl w:val="true"/>
          <w:lang w:bidi="fa-IR"/>
        </w:rPr>
        <w:t>والوهم ألطف من الخیال فهو من عالم ونشأة أخری ومعانیه مجرّدة عن الطول والعرض والعمق، وإن کان له تشخّصات معیّنة بالاضافة إلی الجزئیّات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فاصطلاح الوهم والخیال فی العلوم العقلیّة لیس بمعنی ما لا حقیقة له کی تقع فیه المغالطات إنّما القوّة الواهمة أو الخیالیّة إذا لم تُوجّه ولم تستخدم من قِبل العقل فإنّها ستُخطی‌ء الواقع غالباً وکثیراً، وبذلک یتبیّن موضوع الخُرافة، وأنّها بتوسّط أیّ قوةٍ من قوی النفس یمکن أن 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شی‌ء ما خُرافة، فیجب علی الإنسان أن یهمله وأن لا یرتّب علیه آثار الحقیقة لأنّ اللازم أن لا یعتدّ بها الإنسان کحقیقة، فضلاً عن أن یتدیّن بها أو یداین بها أو یعظّمها أو یقدّسها أو یُجلّها</w:t>
      </w:r>
      <w:r>
        <w:rPr>
          <w:rFonts w:eastAsia="IRNazanin" w:cs="IRNazanin"/>
          <w:color w:val="111111"/>
          <w:sz w:val="28"/>
          <w:szCs w:val="28"/>
          <w:rtl w:val="true"/>
          <w:lang w:bidi="fa-IR"/>
        </w:rPr>
        <w:t>.</w:t>
      </w:r>
    </w:p>
    <w:p>
      <w:pPr>
        <w:pStyle w:val="Heading4"/>
        <w:numPr>
          <w:ilvl w:val="3"/>
          <w:numId w:val="1"/>
        </w:numPr>
        <w:rPr/>
      </w:pPr>
      <w:bookmarkStart w:id="289" w:name="__RefHeading___Toc110614_2749589250"/>
      <w:bookmarkStart w:id="290" w:name="_Toc109"/>
      <w:bookmarkEnd w:id="289"/>
      <w:r>
        <w:rPr>
          <w:rtl w:val="true"/>
        </w:rPr>
        <w:t>التضادّ بین الشعائر والخرافة</w:t>
      </w:r>
      <w:bookmarkEnd w:id="290"/>
    </w:p>
    <w:p>
      <w:pPr>
        <w:pStyle w:val="BookText"/>
        <w:rPr/>
      </w:pPr>
      <w:r>
        <w:rPr>
          <w:rFonts w:ascii="IRNazanin" w:hAnsi="IRNazanin" w:eastAsia="IRNazanin"/>
          <w:color w:val="111111"/>
          <w:sz w:val="28"/>
          <w:sz w:val="28"/>
          <w:szCs w:val="28"/>
          <w:rtl w:val="true"/>
          <w:lang w:bidi="fa-IR"/>
        </w:rPr>
        <w:t>فهذه مقولة الخُرافة وحکمها أمّا العلاقة بین قاعدة الشعائر الدینیّة وحکم العقل فی إبطال وتسفیه الخرافة وادّعاء وجود موارد الاجتماع والتصادق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الدلالة والمَعلَم للمعنی الدینیّ فإمّا أن یتسرّب البطلان واللاحقیقة إلی العلامة، أو إلی ذی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والبطلان الذی یتسرّب ویتخلّل إلیها إمّا من جهة أنّها لیست لها علامیّة لذلک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إمّا فی العلامة، بحیث لا علامیّة لها علی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یدبّ الإشکال ویسری فی نفس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ذو العلامة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فالمعانی الدینیّة إذا کانت معانٍ قام الدلیل علیها، سواء الدلیل القطعی الضروریّ الدینیّ، أو الدلیل النقلیّ الظنّیّ المعتبر؛ فالحکم بأنّها خرافة أو لا حقیقة لها یکون تصادماً مع الدلیل الشرعیّ وخلاف الفرض نعم إذا کان هناک معنیً من المعانی جزئیّاً أو متوسّطاً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کلّیّاً لم یَقُم علیه دلیل معیّن فیمکن أن یوصف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عدمَ الدلیل غیرُ دلیل العدم؛ فهناک تارة شی‌ء لم یقُم علیه الدلیل، وهناک تارةً أخری شی‌ء قام الدلیل علی عدمه، فلاریب حینئذ فی عدم واقعیّته، فیتصادق ویتّفق مع الخرافة، مثل الأدیان الوثنیّة، أو الأدیان الأخری الباطلة؛ ومثل هذه الأدیان تعتبر شعائرها باطلة وخرافیّة لأنّ شعائرها علامات ومعالم علی معانٍ لیست واقعیّة، بل منحرفة وخاطئة وتخیّلیّة ووهمیّة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فی الخالق، والثنویّة فی ربّ الوجود ولا ریب فی زیف هذه المعانی فمن ثمّ الشعائر الدینیّة لهذه الأدیان باطلة خرافیّة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المعانی التی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علیها الدلیل ولو الدلیل العام فلا یصح أن یصدق علیها 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الکلام فی التحرّی والتحقیق والتثبّت فی ماهیّة المعنی الذی تعکسه تلک الشعیرة؛ ثمّ نتحرّی عن الدلیل علیه أمّا إطلاق عبارة الخرافة من دون التدلیل علی ذلک فهو أشبه بالمغالطة أو الإبداع ولا بدّ لکلٍّ من النافی أو المُثبِت أن یستدلّ علی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الخرافیّة فی جنبة المعنی تتوقّف علی إقامة الدلیل علی بُطلان ذلک المعنی المعین أمّا إذا کان ذلک المعنی معزّزاً ومؤیّداً بالدلیل فحینئذ تکون دعوی الخرافیّة فیه غیر مقبولة والغرض من التطرّق لبحث الخرافة الذی یواجه قاعدة الشعائر الدینیّة قدیماً وحدیثاً أنّه إن کان یعترض بذلک فی طرف وجنبة الموضوع، فلابدّ من النظر فی ذلک المعنی کی یتبیّن مدی وجود 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الشعیرة والخرافة وأمّا فی جنبة نفس الشعیرة فقد یتوهّم إطلاق الخراقة لکنّ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علیها خرافة إذ المفروض أنّ الخرافة هی المعنی الذی لیس له حقیقة، أمّا العلامة فی نفسها فلیست من سنخ المعنی فکیف نتصوّر فیها الخرافة، هذا ممّا لا یمکن أن یُتصوّر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هذه الشعیرة لها دلالات علی معانٍ معیّنة، والمعانی قد تکون باطلة وغیر صحیحة، وبالتالی تکون خرافیّة أمّا الشعیرة فی نفسها فلیست لها وظیفة إلاّ الدلالة علی</w:t>
      </w:r>
      <w:bookmarkStart w:id="291" w:name="pg2944_24501"/>
    </w:p>
    <w:p>
      <w:pPr>
        <w:pStyle w:val="BookText"/>
        <w:rPr/>
      </w:pPr>
      <w:bookmarkEnd w:id="291"/>
      <w:r>
        <w:rPr>
          <w:rFonts w:ascii="IRNazanin" w:hAnsi="IRNazanin" w:eastAsia="IRNazanin"/>
          <w:color w:val="111111"/>
          <w:sz w:val="28"/>
          <w:sz w:val="28"/>
          <w:szCs w:val="28"/>
          <w:rtl w:val="true"/>
          <w:lang w:bidi="fa-IR"/>
        </w:rPr>
        <w:t>معنی والإشارة إلی محتوی فحسب نعم قد تکون بعض الشعائر کعلامات ودلالات غیر متناسبة مع المعنی الشامخ الذی وُضعت هی له، أو تکون موجبة لتضعضعه، وهذا أمر آخر غیر الخرافیّة، بل هو محذور الهوان والاستهانة</w:t>
      </w:r>
      <w:r>
        <w:rPr>
          <w:rFonts w:eastAsia="IRNazanin" w:cs="IRNazanin"/>
          <w:color w:val="111111"/>
          <w:sz w:val="28"/>
          <w:szCs w:val="28"/>
          <w:rtl w:val="true"/>
          <w:lang w:bidi="fa-IR"/>
        </w:rPr>
        <w:t>.</w:t>
      </w:r>
    </w:p>
    <w:p>
      <w:pPr>
        <w:pStyle w:val="Heading4"/>
        <w:numPr>
          <w:ilvl w:val="3"/>
          <w:numId w:val="1"/>
        </w:numPr>
        <w:rPr/>
      </w:pPr>
      <w:bookmarkStart w:id="292" w:name="__RefHeading___Toc110616_2749589250"/>
      <w:bookmarkStart w:id="293" w:name="_Toc110"/>
      <w:bookmarkEnd w:id="292"/>
      <w:r>
        <w:rPr>
          <w:rtl w:val="true"/>
        </w:rPr>
        <w:t>ممیزات وخصوصیّات الشعائر</w:t>
      </w:r>
      <w:bookmarkEnd w:id="293"/>
    </w:p>
    <w:p>
      <w:pPr>
        <w:pStyle w:val="Heading5"/>
        <w:numPr>
          <w:ilvl w:val="4"/>
          <w:numId w:val="1"/>
        </w:numPr>
        <w:rPr/>
      </w:pPr>
      <w:bookmarkStart w:id="294" w:name="__RefHeading___Toc110618_2749589250"/>
      <w:bookmarkStart w:id="295" w:name="_Toc111"/>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ذکر علماء الإجتماع بعض الممیّزات والخصوصیات للشعائر منها</w:t>
      </w:r>
      <w:r>
        <w:rPr>
          <w:rFonts w:eastAsia="IRNazanin" w:cs="IRNazanin"/>
          <w:color w:val="111111"/>
          <w:sz w:val="28"/>
          <w:szCs w:val="28"/>
          <w:rtl w:val="true"/>
          <w:lang w:bidi="fa-IR"/>
        </w:rPr>
        <w:t>:</w:t>
      </w:r>
    </w:p>
    <w:p>
      <w:pPr>
        <w:pStyle w:val="Heading5"/>
        <w:numPr>
          <w:ilvl w:val="4"/>
          <w:numId w:val="1"/>
        </w:numPr>
        <w:rPr/>
      </w:pPr>
      <w:bookmarkStart w:id="296" w:name="__RefHeading___Toc110620_2749589250"/>
      <w:bookmarkStart w:id="297" w:name="_Toc112"/>
      <w:bookmarkEnd w:id="296"/>
      <w:r>
        <w:rPr>
          <w:rtl w:val="true"/>
        </w:rPr>
        <w:t>تنوع الشعائر</w:t>
      </w:r>
      <w:bookmarkEnd w:id="297"/>
    </w:p>
    <w:p>
      <w:pPr>
        <w:pStyle w:val="BookText"/>
        <w:rPr/>
      </w:pPr>
      <w:r>
        <w:rPr>
          <w:rFonts w:ascii="IRNazanin" w:hAnsi="IRNazanin" w:eastAsia="IRNazanin"/>
          <w:color w:val="111111"/>
          <w:sz w:val="28"/>
          <w:sz w:val="28"/>
          <w:szCs w:val="28"/>
          <w:rtl w:val="true"/>
          <w:lang w:bidi="fa-IR"/>
        </w:rPr>
        <w:t>تنوّع الشعائر والرسوم بین المجتمعات المختلفة مثلاً أسلوب التعظیم فی بلدة معیّنة، یختلف عن أسلوب التعظیم فی بلدة أخری بل قد یعتبر ذلک التعظیم فی بلاد أخری مظهراً لعدم الإحترام مثلاً إذ أنّ مدالیل العلامات تختلف بحسب التواضع والقرار بین أفراد المجموعات البشریّة وهذا ممّا لا بدّ من وضعه فی الحسبان إذن لا یمکن أن نحمل حکم الشعیرة فی بلد عَلی حکم شعیرة فی بلد آخر</w:t>
      </w:r>
      <w:r>
        <w:rPr>
          <w:rFonts w:eastAsia="IRNazanin" w:cs="IRNazanin"/>
          <w:color w:val="111111"/>
          <w:sz w:val="28"/>
          <w:szCs w:val="28"/>
          <w:rtl w:val="true"/>
          <w:lang w:bidi="fa-IR"/>
        </w:rPr>
        <w:t>.</w:t>
      </w:r>
    </w:p>
    <w:p>
      <w:pPr>
        <w:pStyle w:val="Heading5"/>
        <w:numPr>
          <w:ilvl w:val="4"/>
          <w:numId w:val="1"/>
        </w:numPr>
        <w:rPr/>
      </w:pPr>
      <w:bookmarkStart w:id="298" w:name="__RefHeading___Toc110622_2749589250"/>
      <w:bookmarkStart w:id="299" w:name="_Toc113"/>
      <w:bookmarkEnd w:id="298"/>
      <w:r>
        <w:rPr>
          <w:rtl w:val="true"/>
        </w:rPr>
        <w:t>منشأ الشعیرة وأبعادها الخطیرة</w:t>
      </w:r>
      <w:bookmarkEnd w:id="299"/>
    </w:p>
    <w:p>
      <w:pPr>
        <w:pStyle w:val="BookText"/>
        <w:rPr/>
      </w:pPr>
      <w:r>
        <w:rPr>
          <w:rFonts w:ascii="IRNazanin" w:hAnsi="IRNazanin" w:eastAsia="IRNazanin"/>
          <w:color w:val="111111"/>
          <w:sz w:val="28"/>
          <w:sz w:val="28"/>
          <w:szCs w:val="28"/>
          <w:rtl w:val="true"/>
          <w:lang w:bidi="fa-IR"/>
        </w:rPr>
        <w:t>الشعائر والعلامات لا تکون فی الغالب مبتدأة ومبتکرة من رأس وإنّما تکون موروثاً حضاریّاً مکدَّساً بمعنی أنّ أیّ عرف أو أیّ قوم أو أیّ مجموعة معیّنة من البشریّة تتوارث أسالیب ووسائل معیّنة، یعرض علیها شی‌ء من التطویر والتغییر لکنّ أصل جذور تلک الشعیرة أو تلک الوسیلة هی موروث حضاریّ قدیم یُنقل من الأجداد إلی الأبناء فی إطار حضارات مختلفة، من مؤثّرات وخصوصیّات معیّنة، مثل العِرق المُعیّن، أو القومیّة المعیّنة، أو المنطقة الجغرافیّة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الواقع الشعیرة التی تتّخذ فی مجال دینیّ، أو فی مجال غیر دینیّ، أو مجال معاشیّ، أو فنیّ، أو إجتماعیّ، أو تاریخیّ، أو قومیّ هذه 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هویّة وخصوصیّات وممیّزات تلک المنطقة أو تلک القومیّة یعنی أنّ الشعیرة لیست هی</w:t>
      </w:r>
    </w:p>
    <w:p>
      <w:pPr>
        <w:pStyle w:val="BookText"/>
        <w:rPr/>
      </w:pPr>
      <w:r>
        <w:rPr>
          <w:rFonts w:ascii="IRNazanin" w:hAnsi="IRNazanin" w:eastAsia="IRNazanin"/>
          <w:color w:val="111111"/>
          <w:sz w:val="28"/>
          <w:sz w:val="28"/>
          <w:szCs w:val="28"/>
          <w:rtl w:val="true"/>
          <w:lang w:bidi="fa-IR"/>
        </w:rPr>
        <w:t>شعیرة فقط، بل تستبطن الهویّة القومیّة والشخصیّة الاجتماعیّة والتاریخیّة بقدر ما تحتوی علی معانی ومبادی‌ء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تری متخصّصی علم الحضارات أو علم التاریخ والاجتماع أو علم السیکولوجیا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یشیرون إلی أنّه من الخطورة بمکان تغییر الشعارات الوطنیّة والرموز الوطنیّة والعبث فیها لأنّ هذه الرموز والشعارات المعیّنة تحمل هویّة قرون لهذه المنطقة وتغییرها مقابل رموز وشعارات بدیلة، یعنی ذوبان هذه القومیّة فی مقابل ثقافات دخیلة فهذه الرموز والشعارات لیس من الهیّن والبسیط أن تُستبدل برموز تشکیلیّة جدیدة وتذوب أمام الغزو الفکریّ الجدید ولیس من الهیّن أن تتلاشی العادات والتقالید وتضعف الحصیلة التاریخیّة للمنطقة مقابل الفکر الجدید والثقافة البدیلة التی یأتی بها الغزاة والمستعمرون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بعض الدول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کبریطانیا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ترویج اللغة الإنجلیزیة مع أنّ بریطانیا قد انحسر امتداد نفوذها الرسمیّ الظاهریّ حالیّاً مع ذلک لدیها إصرار فی تعلیم ونشر اللغة الإنجلیزیّة، السرّ یکمن فی أنّ وراء تعلیم اللغة تحمیل تقالید أصحاب اللغة أنفسهم وتحمیل ثقافة وروحیات الإنجلیز، یعنی تذویب القومیّات الأخری مقابل قومیّتهم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فالرموز والشعارات الإسلامیّة لا یصحّ الاستهانة بها واستصغارها، فإنّ لها دوراً کبیراً فی تحدید الهویّة الحضاریّة للأمّة الإسلامیّة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الشعیرة والشعائر بهذا الموقع من الأهمیّة والحساسیّة، فلیس من الهیّن محاولة تغییرها من دون دراسة مختلفة الجوانب محیطة بالجهات العدیدة، لأنّ هذه الرموز والشعائر الدینیّة، سواء شعائر الحجّ، أو الشعائر الحسینیّة، أو شعائر الصلاة، أو شعائر المسجد، أو شعائر قبور الأئمّة علیهم السلام هی تُعدّ بقاءً للمعالم التاریخیّة والحضاریّة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نجد البشریّة الآن تحتفظ بالتراث، وتهتمّ به وتحرسه بأخطر الأثمان، وتصرف علی ذلک من الثروات الطبیعیّة الهائلة للبلد، لأنّ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وجود حضارات استنزفت فیها الجهود والطاقات، ثمّ بعد ذلک وصلت إلی هذا العصر الحاضر فلیس من الیسیر التفریط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فالخرافة قد تتصادق مع الشعیرة بلحاظ تأویل المعنی المدلول علیه لکنّه یجب الحذر والتفطّن من فقد هذه الرموز التی هی مخزون لمعانٍ سامیة، والضمان لأصالة المجتمع الإسلامیّ، ولا یسوغ التفریط بها بدون تدبّر بل لا بدّ من دراستها بدقّة وتأنٍّ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هذه الشعیرة بالنسبة إلی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الیهود أو النصاری قد یکون لها مدلول معین، فهذا لا ینتقص من شأن الشعیرة نفسها لأنّ المفروض أنّ مدلولها لدی المسلمین هو المؤدّی الرفیع والمعنی السامی فکیف یُنتظر منّا أن نتّخذ شعیرة ورمزاً، یکون له مؤدّی مقبول عندهم وهم لا یذعنون بالمبادئ الإسلامیّة، فلو اشترطنا فی الشعیرة قبولهم لمعناها، فهذا یعنی فقد الشعیرة وظیفتها أو ضیاع الدور المرجوّ منها أو الغرض المأمول منها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التساهل والتهاون بذلک یُعتبر فقداناً لهویّتنا وأصالتنا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البیان بما لا مزید علیه أنّ الشعیرة تحتوی علی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النشر والإعلام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ورکن الإعلاء والاعتزاز وحفظ الهویّة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کَلِمَةَ الَّذِینَ کَفَرُوا السُّفْلَی وَکَلِمَةُ اللَّهِ هِیَ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فوظیفة الشعائر حفظ الهویّة الإسلامیّة والدینیّة المبدئیّة وإعلائها، فإذا فقدناها واستبدلناها بشعارات تروق للأعداء فعلی الإسلام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نقطة مهمّة ونکتة فقهیّة مرتبطة بقاعدة الشعائر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هذه</w:t>
      </w:r>
      <w:bookmarkStart w:id="300" w:name="pg2944_24504"/>
    </w:p>
    <w:p>
      <w:pPr>
        <w:pStyle w:val="BookText"/>
        <w:rPr/>
      </w:pPr>
      <w:bookmarkEnd w:id="300"/>
      <w:r>
        <w:rPr>
          <w:rFonts w:ascii="IRNazanin" w:hAnsi="IRNazanin" w:eastAsia="IRNazanin"/>
          <w:color w:val="111111"/>
          <w:sz w:val="28"/>
          <w:sz w:val="28"/>
          <w:szCs w:val="28"/>
          <w:rtl w:val="true"/>
          <w:lang w:bidi="fa-IR"/>
        </w:rPr>
        <w:t xml:space="preserve">القاعدة تحمل فی ماهیّتها رکن الإعلام والإنذار والبثّ والعلامة والمَعلم؛ ورکن آخر فی ماهیّتها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الإعلاء والاعتزاز، أی حفظ الهویة بل إعلائها والاعتزاز بها وتقدیمها علی بقیّة الهویّات البشریّة الأخری وهی الهویّة السماویّة والشخصیّة الإلهیّة فی الواقع</w:t>
      </w:r>
      <w:r>
        <w:rPr>
          <w:rFonts w:eastAsia="IRNazanin" w:cs="IRNazanin"/>
          <w:color w:val="111111"/>
          <w:sz w:val="28"/>
          <w:szCs w:val="28"/>
          <w:rtl w:val="true"/>
          <w:lang w:bidi="fa-IR"/>
        </w:rPr>
        <w:t>.</w:t>
      </w:r>
    </w:p>
    <w:p>
      <w:pPr>
        <w:pStyle w:val="Heading5"/>
        <w:numPr>
          <w:ilvl w:val="4"/>
          <w:numId w:val="1"/>
        </w:numPr>
        <w:rPr/>
      </w:pPr>
      <w:bookmarkStart w:id="301" w:name="__RefHeading___Toc110624_2749589250"/>
      <w:bookmarkStart w:id="302" w:name="_Toc114"/>
      <w:bookmarkEnd w:id="301"/>
      <w:r>
        <w:rPr>
          <w:rtl w:val="true"/>
        </w:rPr>
        <w:t>دائرة الشعائر الدینیّة</w:t>
      </w:r>
      <w:bookmarkEnd w:id="302"/>
    </w:p>
    <w:p>
      <w:pPr>
        <w:pStyle w:val="BookText"/>
        <w:rPr/>
      </w:pPr>
      <w:r>
        <w:rPr>
          <w:rFonts w:ascii="IRNazanin" w:hAnsi="IRNazanin" w:eastAsia="IRNazanin"/>
          <w:color w:val="111111"/>
          <w:sz w:val="28"/>
          <w:sz w:val="28"/>
          <w:szCs w:val="28"/>
          <w:rtl w:val="true"/>
          <w:lang w:bidi="fa-IR"/>
        </w:rPr>
        <w:t>ومن جهة أخری، فإنّ المطلوب من الشعائر الدینیّة ثلاثة أنماط من الوظائف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أن تؤدّی دورها فی الوسط الدینیّ المسلم، وتکون فائدتها للمسلمین أنفسهم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یکون تأثیرها ضمن أبناء الطائفة والوسط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ثالثة أن تؤدّی دوراً لدعوة الآخرین من المِلل والنِحل البشریّة الی الإسلام أو إلی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الشعائر التی أُمرنا بتحریمها وتعظیمها إمّا علی نحو وجوب إقامتها بین المسلمین ثمّ نشرها فی الدار الإسلامیّة أو دار الایمان أو أن تکون وسیلة إعلامیّة عامّة یُرجی لها الوجود، ویکون الأمر بها بلحاظ الوسط غیر المسلم، ویتوخّی أن تؤثّر فی الأعمّ من الوسط المسلم وغیر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المطلوب من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إیجادها فی الوسط المسلم أو المؤمن أوّلاً وبالذات والمحافظة علی نفس الوسط المسلم وتوجیهه إلی الهدف، والسمو به إلی القمّة فی نفس الوسط الإسلامی نعم توجد بعض الشعائر المعیّنة قد اختصّها الفقه والدین الإسلامی لأجل التبلیغ فی ساحة الوسط 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303" w:name="pg2944_24505"/>
    </w:p>
    <w:p>
      <w:pPr>
        <w:pStyle w:val="BookText"/>
        <w:rPr/>
      </w:pPr>
      <w:bookmarkEnd w:id="303"/>
      <w:r>
        <w:rPr>
          <w:rFonts w:ascii="IRNazanin" w:hAnsi="IRNazanin" w:eastAsia="IRNazanin"/>
          <w:color w:val="111111"/>
          <w:sz w:val="28"/>
          <w:sz w:val="28"/>
          <w:szCs w:val="28"/>
          <w:rtl w:val="true"/>
          <w:lang w:bidi="fa-IR"/>
        </w:rPr>
        <w:t>ونحوه من الأدلّة ممّا یجب أن تکون الدعوة بلغة یفهمها المدعوّ ویستأنس بها فلیس من الحکمة استخدام أسلوب صحیح فی ذاته ولکن یستهجنه الناس وینفِّر عن الإسلام ولا شکّ أنّ هذا لیس من الحکمة بل هو نقض للحکمة</w:t>
      </w:r>
      <w:r>
        <w:rPr>
          <w:rFonts w:eastAsia="IRNazanin" w:cs="IRNazanin"/>
          <w:color w:val="111111"/>
          <w:sz w:val="28"/>
          <w:szCs w:val="28"/>
          <w:rtl w:val="true"/>
          <w:lang w:bidi="fa-IR"/>
        </w:rPr>
        <w:t>.</w:t>
      </w:r>
    </w:p>
    <w:p>
      <w:pPr>
        <w:pStyle w:val="Heading5"/>
        <w:numPr>
          <w:ilvl w:val="4"/>
          <w:numId w:val="1"/>
        </w:numPr>
        <w:rPr/>
      </w:pPr>
      <w:bookmarkStart w:id="304" w:name="__RefHeading___Toc110626_2749589250"/>
      <w:bookmarkStart w:id="305" w:name="_Toc115"/>
      <w:bookmarkEnd w:id="304"/>
      <w:r>
        <w:rPr>
          <w:rtl w:val="true"/>
        </w:rPr>
        <w:t>تباین مِلاکات الأقسام فی الشعائر</w:t>
      </w:r>
      <w:bookmarkEnd w:id="305"/>
    </w:p>
    <w:p>
      <w:pPr>
        <w:pStyle w:val="BookText"/>
        <w:rPr/>
      </w:pPr>
      <w:r>
        <w:rPr>
          <w:rFonts w:ascii="IRNazanin" w:hAnsi="IRNazanin" w:eastAsia="IRNazanin"/>
          <w:color w:val="111111"/>
          <w:sz w:val="28"/>
          <w:sz w:val="28"/>
          <w:szCs w:val="28"/>
          <w:rtl w:val="true"/>
          <w:lang w:bidi="fa-IR"/>
        </w:rPr>
        <w:t>ولکن الکلام هو فی التفرقة والتمییز بین الشعائر التی هی لأجل الوسط المسلم أو الوسط المؤمن وتلک التی هی للوسط غیر المسلم بل اللازم أیضاً التفرقة بین الشعائر الاسلامیّة والشعائر الإیمانیّة فالأولی للوسط المسلم والثانیة للوسط المؤمن، ولا یطغی حساب وموازنة أحدها علی الاخری، بل کلّ منها فی مورده مطلوب ولازم، إذ الغرض قائم من الأقسام الثلاثة من الشعائر من حفظ هویّة الإیمان وحفظ هویّة الإسلام والإعلام والدعوة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یجب أن یُختار فیها ما یلائم ویناسب المقام ولکن فی حدود أن لا تذوب الشخصیّة الإسلامیّة ولا الشخصیّة الإیمانیّة، وشریطة عدم تقدیم التنازلات العقائدیّة والسلوکیّة وإلاّ فسوف یُنتقض غرض الدعوة لأنّ المفروض من ظاهر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إلی سَبِیلِ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الدعوة إلی سبیل الله ولیس الدعوة إلی سبیل النصاری أو الیهود أو سبیل أهل الضَّلال، المفروض هو الدعوة إلی سبیل ربّک لکن بالحکمة والأسلوب المناسب الدعوة الی سبیل الله مع حفظ الهویّة لکن بالأسلوب والکیفیّة والنمط الذی یستأنسون به وینجذبون إلیه من سبیل الله، فحینئذ تؤثّر الدعوة وتؤتی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الشعائر هو التعظیم بلحاظ دار المسلمین ودار المؤمنین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سبحانه جعلناها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لمن لا یحجّ البیت وصلاة الجماعة خاصّة بدار المسلمین الذین یحرصون علی أداء الصلاة وهی تظاهرة عبادیّة دینیّة وصلاة الجمعة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طقوس دینیة کثیرة قد یستخفّ ویستهزأ الآخرون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الانحناء ونکس الرأس ورفع العجیزة؟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مظاهر لا یفهمها غیر المسلمین لأنّ هذه الطقوس المفروض فیها أن تُقام بنفسها لأجل الحفاظ علی المجتمع المسلم فی نفسه وکذلک الحال بالنسبة إلی طقوس الإیمان فی وسط الطائفة، فإنّه لا یعیها غیر المؤمنین، فمن الخبط بمکان تفسیر الشعائر المأمور بها فی وسط خاصّ والحکم علیها بموازین الوسط العامّ فضلاً عن الوسط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فی الشعائر لیس فقط فی الشعائر الدینیّة، بل یجری فی الشعائر الوطنیّة والقومیّة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الشعائر الوطنیّة والقومیّة تؤسَّس لأجل حفظ الفِکر والهویّة وربط المواطن بتربة وطنه، أو بقومیّته ولیس الغرض من تلک الشعیرة أو الرمز دعوة الأمم الأخری،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لأجل ربط الجنود بالتربة والوطن، أو من أجل تحقّق معانی الدفاع عن الوطن وحمایة مقدّرات البلد وما شابه ذلک، یُربط الجنود برمز معین وإن لم یفهمه الآخرون، أو قد یسی‌ء فهمه الآخرون إذ لیس الغرض من هذا الرمز العسکریّ أو الجهادیّ هو فهم الاخرین بل المطلوب فیه هو فهم أهل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الحال فی الشعائر الدینیّة التی یظهر غالب الخطاب فیها، بل مدلول الأدلّة الکثیرة، أنها موجّهة لأجل نفس المجتمع المسلم أو المجتمع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حفظ هویّتهما، وحفظ مبادئهما، ویتماسکا ویترابطا لا أنّه لأجل التبلیغ لجهة أخری أو لأمّة أخری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یفترض ذلک فی بعض الشعائر، مثل باب الدعوة إلی الجهاد الفکریّ ولا ریب فی کون الغرض منه دعوة الآخرین، فیُفترض مثلاً من الکاتب أو المفکّر أو الخطیب أو المحاضر، أو علی صعید منتدی عالمی کمحطة فضائیة أو مواقع الکترونیّة</w:t>
      </w:r>
    </w:p>
    <w:p>
      <w:pPr>
        <w:pStyle w:val="BookText"/>
        <w:rPr/>
      </w:pPr>
      <w:r>
        <w:rPr>
          <w:rFonts w:ascii="IRNazanin" w:hAnsi="IRNazanin" w:eastAsia="IRNazanin"/>
          <w:color w:val="111111"/>
          <w:sz w:val="28"/>
          <w:sz w:val="28"/>
          <w:szCs w:val="28"/>
          <w:rtl w:val="true"/>
          <w:lang w:bidi="fa-IR"/>
        </w:rPr>
        <w:t xml:space="preserve">مثلاً أن یُختار الأسلوب المقبول والمؤثر والمفروض أن یرکّز علی النقاط المعینة فی القانون الإسلامیّ ومعارف المذهب التی تجذب الآخرین مثل موارد الوفاء بالعهد وأداء الأمانة لاسیما فی الأبواب التی لها صلة بالآخرین حتّی تتّخذ رموزاً وشعارات وقوانین ومعالم تجذب الآخرین إلی الوسط الإسلامیّ والإیمانیّ لا أن تُنفّر عنه، عملاً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 بغیر ألسنتکم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فالخُلق الإیمانیّ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الدعوة إلیه کما أنّ هناک فی المجتمعات العصریّة دعوة إلی المثال النموذجیّ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المثال الإقتصادیّ أو المثال التربویّ، لا بدّ أن ندعو إلی مثال خلق معین یجذب الآخرین وهو المثال الذی یدعو له الإیمان والإسلام لأنّ الغرض منه هو الإعلان والتبلیغ والدعوة لجذب الآخرین إلی حوزة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غالب الشعائر التی یفرض أنّها طقوس ورسوم تتّخذ فی دار الإسلام أو الإیمان، فالمفروض فیها هو المحافظة علی هویّتها الأصلیّة الإیمانیّة والإسلامیّة والمنع من ضیاعها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والمتخصّصون من أصحاب الفنون والعلوم العدیدة، کالشعراء والأدباء والخطباء والقرّاء وأصحاب المهارات فی الأنشطة والمراسم الدینیّة المختلفة یلمسون ذلک مع التحصّن بالمعانی الإسلامیّة العالیة وهضمها والإحاطة بها، فیطمئنّ لهم بأن یبرزوا لنا تشکیلة شعاریّة معیّنة فنّیّة، أدبیّه، شعریّة، قصصیّه، وبلاغیّه تناسب المعنی السامی القرآنیّ، وأمّا إذا کان المتخصّص متأثّراً بالمعانی والمبادی‌ء الدخیلة علی المذهب أو الدین الإسلامیّ فما ینتجه ویرسمه من شعار یشکّل خطورة علی المعالم الإیمانیّة والإسلامیّة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البحث ینبغی أن یُلحظ کیفیّةً وحیثیّةً، استعانةً بالأخصّائیّین إخلاصاً وخبرةً، کما ینبغی دراسة هذه الشعیرة مع مقدار إمتداد جذورها التاریخیّة ومدی ارتباطها بمسار الطائفة وبحضارة الأمّة الإسلامیّة، حتّی یمکن البتّ فی سلبیّة أو إیجابیّة هذه الشعیرة أو مؤدّاها الذی تدلّ علیه</w:t>
      </w:r>
      <w:r>
        <w:rPr>
          <w:rFonts w:eastAsia="IRNazanin" w:cs="IRNazanin"/>
          <w:color w:val="111111"/>
          <w:sz w:val="28"/>
          <w:szCs w:val="28"/>
          <w:rtl w:val="true"/>
          <w:lang w:bidi="fa-IR"/>
        </w:rPr>
        <w:t>.</w:t>
      </w:r>
      <w:bookmarkStart w:id="306" w:name="pg2944_24508"/>
    </w:p>
    <w:p>
      <w:pPr>
        <w:pStyle w:val="Heading5"/>
        <w:numPr>
          <w:ilvl w:val="4"/>
          <w:numId w:val="1"/>
        </w:numPr>
        <w:rPr/>
      </w:pPr>
      <w:bookmarkStart w:id="307" w:name="__RefHeading___Toc110628_2749589250"/>
      <w:bookmarkStart w:id="308" w:name="_Toc116"/>
      <w:bookmarkEnd w:id="306"/>
      <w:bookmarkEnd w:id="307"/>
      <w:r>
        <w:rPr>
          <w:rtl w:val="true"/>
        </w:rPr>
        <w:t>الشعائر والهَتک</w:t>
      </w:r>
      <w:bookmarkEnd w:id="308"/>
    </w:p>
    <w:p>
      <w:pPr>
        <w:pStyle w:val="BookText"/>
        <w:rPr/>
      </w:pPr>
      <w:r>
        <w:rPr>
          <w:rFonts w:ascii="IRNazanin" w:hAnsi="IRNazanin" w:eastAsia="IRNazanin"/>
          <w:color w:val="111111"/>
          <w:sz w:val="28"/>
          <w:sz w:val="28"/>
          <w:szCs w:val="28"/>
          <w:rtl w:val="true"/>
          <w:lang w:bidi="fa-IR"/>
        </w:rPr>
        <w:t>یبقی الکلام ضمن هذه الجهة السابعة عن ممانعیّة الهتک أو الهوان الذی قد یعرض علی ممارسة الشعائر الدینیّة المستحدثة أو المستجدّة فیکون مانعاً خارجیاً لعموم دلیل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النظرة الأوّلیّة البَدویّة یُتبادر کونه مانعاً، باعتبار استلزامه هوان الدین، وهتک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البعض بهذا العنوان، واستدلّ به علی ممانعة کثیر من الشعائر المستجدّة المتّخذة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تحلیل هذا العنوان ومعرفة ماهیّته العقلیّة واللغویّة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الهَتْک</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المستور وطبعاً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حرمة الدین أو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یُراد منه کشف نقاط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المسلمین أو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الستر عن ذلک، مثل هتک حرمة المؤمنین والمسلمین وکشف النقص أو الضعف الموجود فیهم ممّا یؤثر فی زوال قوتهم وتضعیف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والهوان أیضاً فی ماهیّته ومعناه یتقارب من الهتک، ویکون مسبَّباً عن الهتک مثلاً ومعلولاً عن کشف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فالهتک والهوان أمران متلازمان فی الغالب وأحدهما مسبّب عن الآخر؛ وإن کانت الماهیّة الحرفیّة وبالدقّة فی الهتک هی کشف الستر لکنّ کشف الستر إمّا عن معائب أو عَوار أو نقائص، وکلّها بمعنی واحد ومن ثمّ یستلزم الهوان من الطرف الآخر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 هذه الماهیّة هی مضادّة لأغراض الشارع، ونقیض أهدافه فی التشریع التی بُیّنت فی آیات عدیدة منها</w:t>
      </w:r>
      <w:r>
        <w:rPr>
          <w:rFonts w:eastAsia="IRNazanin" w:cs="IRNazanin"/>
          <w:color w:val="111111"/>
          <w:sz w:val="28"/>
          <w:szCs w:val="28"/>
          <w:rtl w:val="true"/>
          <w:lang w:bidi="fa-IR"/>
        </w:rPr>
        <w:t>:</w:t>
      </w:r>
      <w:bookmarkStart w:id="309" w:name="pg2944_24509"/>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کَلِمَةَ الَّذِینَ کَفَرُوا السُّفْلَی وَکَلِمَةُ اللَّهِ هِیَ الْعُلْیَا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الأغراض الأوّلیّة الضروریّة من التشریع هی الرفعة والعلوّ، وهی أغراض أوّلیّة کبری وأهداف فوقانیّة قصوی فی التشریعات القرآنیّة؛ والهتک بمعنی کشف نقاط الضعف أو عَوار المسلمین أو المتدیّنین، الذی یستلزم الهوان والنقص المعاکس والمناقض لأهداف الشارع ورغباته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الهتک والهوان، هل هو مترتّب علی صِرف الإستهزاء من قِبل المذاهب الأخری أو من قبل الملل الأخری؟</w:t>
      </w:r>
    </w:p>
    <w:p>
      <w:pPr>
        <w:pStyle w:val="Heading5"/>
        <w:numPr>
          <w:ilvl w:val="4"/>
          <w:numId w:val="1"/>
        </w:numPr>
        <w:rPr/>
      </w:pPr>
      <w:bookmarkStart w:id="310" w:name="__RefHeading___Toc110630_2749589250"/>
      <w:bookmarkStart w:id="311" w:name="_Toc117"/>
      <w:bookmarkEnd w:id="310"/>
      <w:r>
        <w:rPr>
          <w:rtl w:val="true"/>
        </w:rPr>
        <w:t>أقسام الهتک والاستهزاء</w:t>
      </w:r>
      <w:bookmarkEnd w:id="311"/>
    </w:p>
    <w:p>
      <w:pPr>
        <w:pStyle w:val="BookText"/>
        <w:rPr/>
      </w:pPr>
      <w:r>
        <w:rPr>
          <w:rFonts w:ascii="IRNazanin" w:hAnsi="IRNazanin" w:eastAsia="IRNazanin"/>
          <w:color w:val="111111"/>
          <w:sz w:val="28"/>
          <w:sz w:val="28"/>
          <w:szCs w:val="28"/>
          <w:rtl w:val="true"/>
          <w:lang w:bidi="fa-IR"/>
        </w:rPr>
        <w:t>والاستهزاء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الفرق الإسلامیّة الأخری أو من الملل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باطلاً وبما لیس بحقّ وهذا لا یؤثّر ولیس بمانع ولا ریب أنّه لا یستلزم الهتک لأن هذا الإستهزاء غیر کاشف عن عَوار ونقص ومعائب فی المؤمنین أو فی الدین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نتیجة اختلاف الأعراف والبیئات والأعراق واختلاف الشعائر</w:t>
      </w:r>
      <w:bookmarkStart w:id="312" w:name="pg2944_24510"/>
    </w:p>
    <w:p>
      <w:pPr>
        <w:pStyle w:val="BookText"/>
        <w:rPr/>
      </w:pPr>
      <w:bookmarkEnd w:id="312"/>
      <w:r>
        <w:rPr>
          <w:rFonts w:ascii="IRNazanin" w:hAnsi="IRNazanin" w:eastAsia="IRNazanin"/>
          <w:color w:val="111111"/>
          <w:sz w:val="28"/>
          <w:sz w:val="28"/>
          <w:szCs w:val="28"/>
          <w:rtl w:val="true"/>
          <w:lang w:bidi="fa-IR"/>
        </w:rPr>
        <w:t>أو الطقوس حَسب المِلل والبلدان المختلفة فی شعیرة منصوبة لتدلّ علی معنی سامٍ لکنّ الآخرین قد ینطبع بأذهانهم معنی آخر، فهذا لا یستلزم ممانعة الشعائر ولا یُعرقل اتّخاذها وتعظیمها والسرّ فی ذلک أنّ هذا یرجع إلی حفظ الهویّة، کما فی حفظ الهویّة الوطنیّة أو التراثیّة وهنا یرجع إلی حفظ الهویة الدینیّة، أو حفظ الهویّة الخاصّة بالطائفة وبهذه الملّة وهذه النحلة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استجیب لکلّ ما یروق للآخرین ممّا یکون مقبولاً عندهم، لتبدّلت هویّتنا إلی هویّتهم، وکان ذلک نوعاً من الانهزام والانزلاق تحت سیطرتهم، ولأدّی إلی ذوبان شخصیتنا فی بوتقة الفکر الدخیل والأجنبی فهذا القسم أیضاً لا یستلزم الهتک أو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لجهات واقعیّة، فهذا یلزم منه هتک وهوان فعلی ضوء هذا التقسم الثلاثیّ نخرج بهذه النتیجة أنّ قسمین من السخریة أو الاستهزاء أو التعجّب من الآخرین لا یوجب الهتک والهوان وإن تخیّله الباحث أو المتتبّع للشعائر الدینیّة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والهتک أو الهوان أو الاستهزاء حیث إنّه من مصادیق وأصناف التحسین والتقبیح العقلیّین، وقد ذکرنا أنّ بعض مواردهما یکون مطابقاً للواقع فیکون صادقاً، وبعض مواردها غیر مطابق للواقع فلا یکون صادقاً، بل کاذباً</w:t>
      </w:r>
      <w:r>
        <w:rPr>
          <w:rFonts w:eastAsia="IRNazanin" w:cs="IRNazanin"/>
          <w:color w:val="111111"/>
          <w:sz w:val="28"/>
          <w:szCs w:val="28"/>
          <w:rtl w:val="true"/>
          <w:lang w:bidi="fa-IR"/>
        </w:rPr>
        <w:t>.</w:t>
      </w:r>
    </w:p>
    <w:p>
      <w:pPr>
        <w:pStyle w:val="Heading5"/>
        <w:numPr>
          <w:ilvl w:val="4"/>
          <w:numId w:val="1"/>
        </w:numPr>
        <w:rPr/>
      </w:pPr>
      <w:bookmarkStart w:id="313" w:name="__RefHeading___Toc110632_2749589250"/>
      <w:bookmarkStart w:id="314" w:name="_Toc118"/>
      <w:bookmarkEnd w:id="313"/>
      <w:r>
        <w:rPr>
          <w:rtl w:val="true"/>
        </w:rPr>
        <w:t>العقل العملیّ والعقل النظریّ</w:t>
      </w:r>
      <w:bookmarkEnd w:id="3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التحسین والتقبیح العقلیّان، فی قوّة العقل العملیّ فی النفس، التی تختلف وظیفتها عن قوّة العقل النظریّ الذی یُدرِک وجود الأشیاء وثبوتها، أو عدمها ونفیها، کما یُقال أن العقل النظری بنفسه لا یوجب تحریکاً فی الإنسان ولا انبعاثاً ولا تربیةً ومن ثمّ قالوا أنّ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یؤثّرون فی المجتمعات مثل ما یؤثّر الأنبیاء والرسل لأنّ الفلاسفة یعتمدون غالباً علی العقل النظریّ وهو ینطوی علی جنبة الإدراک فقط</w:t>
      </w:r>
      <w:r>
        <w:rPr>
          <w:rFonts w:eastAsia="IRNazanin" w:cs="IRNazanin"/>
          <w:color w:val="111111"/>
          <w:sz w:val="28"/>
          <w:szCs w:val="28"/>
          <w:rtl w:val="true"/>
          <w:lang w:bidi="fa-IR"/>
        </w:rPr>
        <w:t>.</w:t>
      </w:r>
      <w:bookmarkStart w:id="315" w:name="pg2944_24511"/>
    </w:p>
    <w:p>
      <w:pPr>
        <w:pStyle w:val="BookText"/>
        <w:rPr/>
      </w:pPr>
      <w:bookmarkEnd w:id="315"/>
      <w:r>
        <w:rPr>
          <w:rFonts w:ascii="IRNazanin" w:hAnsi="IRNazanin" w:eastAsia="IRNazanin"/>
          <w:color w:val="111111"/>
          <w:sz w:val="28"/>
          <w:sz w:val="28"/>
          <w:szCs w:val="28"/>
          <w:rtl w:val="true"/>
          <w:lang w:bidi="fa-IR"/>
        </w:rPr>
        <w:t>بینما إذا اتّصل 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إدراک الأشیاء وثبوتها فی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العملیّ أی أدرک حُسن وقُبح الأشیاء وتحسینها وتقبیحها، حتّی یکون محفزّاً ومحرّکاً، أو زاجراً ومؤدّباً للنفس ففی الواقع فإنّ العقل العملیّ لیس صِرفُ إدراک فقط، ولیس صِرف حجّیّة وتنجیز وتعذیر إدراکیّ فقط، وإنّما هو نوع من الباعثیّة والتحریک والتکوین لأنّ التحسین نوع من المدح ونوع من إیجاد الجَذْبة والمَغْنَطة بین النفس وذلک الفعل الحَسن؛ والتقبیح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ایجاد الشرارة والنفرة والبعد بین النفس وذلک الفعل القبیح، فهذا الجذب والوَصل من جهة والنفرة والانقطاع من جهة أخری هما من خاصیّات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التحسین والتقبیح کاذبَین، فإنّ هذا بنفسه یکون عاملاً مُغریاً وخاطئاً ومزیّفاً للنفس لأن یحسّن لها القبیح ویقبّح لها الحَسن وسوف یؤدّی إلی تربیة خاطئة للنفس، وإلی نوع من الترویض السیّ‌ء فی النفس</w:t>
      </w:r>
      <w:r>
        <w:rPr>
          <w:rFonts w:eastAsia="IRNazanin" w:cs="IRNazanin"/>
          <w:color w:val="111111"/>
          <w:sz w:val="28"/>
          <w:szCs w:val="28"/>
          <w:rtl w:val="true"/>
          <w:lang w:bidi="fa-IR"/>
        </w:rPr>
        <w:t>.</w:t>
      </w:r>
    </w:p>
    <w:p>
      <w:pPr>
        <w:pStyle w:val="Heading4"/>
        <w:numPr>
          <w:ilvl w:val="3"/>
          <w:numId w:val="1"/>
        </w:numPr>
        <w:rPr/>
      </w:pPr>
      <w:bookmarkStart w:id="316" w:name="__RefHeading___Toc110634_2749589250"/>
      <w:bookmarkStart w:id="317" w:name="_Toc119"/>
      <w:bookmarkEnd w:id="316"/>
      <w:r>
        <w:rPr>
          <w:rtl w:val="true"/>
        </w:rPr>
        <w:t>الشعائر والآثار الإجتماعیّة</w:t>
      </w:r>
      <w:bookmarkEnd w:id="317"/>
    </w:p>
    <w:p>
      <w:pPr>
        <w:pStyle w:val="Heading5"/>
        <w:numPr>
          <w:ilvl w:val="4"/>
          <w:numId w:val="1"/>
        </w:numPr>
        <w:rPr/>
      </w:pPr>
      <w:bookmarkStart w:id="318" w:name="__RefHeading___Toc110636_2749589250"/>
      <w:bookmarkStart w:id="319" w:name="_Toc120"/>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 xml:space="preserve">إذا اتّضح ذلک، علمنا أنّه إذا حصل الإستهزاء والسخریة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هما من أصناف المدح والذمّ والتحسین والتقبیح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حصلا بسلوکیّة خاطئة ومدلّسة سیّما إذا کان ذلک علی نحو افتعال جوّ وزخم إعلامیّ شدید وبکثافة إعلامیّة عن طریق الجرائد أو الإذاعات أو النشریّات أو المحافل والأندیة فإنّه سیوجب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المسلمین أو المؤمنین فی جوّ خاطی‌ء أو تربیة خاطئة، بأن یستقبحوا ما هو حَسن ویستحسِنوا ما هو قبیح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قد یعتبر الشاب المتدیّن فی الجامعة أنّ الصلاة تُقلّل من شأنه فی نظر زملائه، وأنّها عار علیه ولا تلیق به، ثمّ شیئاً فشیئاً یصبح القبیح حسناً، وبالعکس ولا ریب فی کون ذلک النوع من التفکیر سلوکاً منحرفاً واستخداماً خاطئاً وخطیراً فی العقل العملیّ،</w:t>
      </w:r>
    </w:p>
    <w:p>
      <w:pPr>
        <w:pStyle w:val="BookText"/>
        <w:rPr/>
      </w:pPr>
      <w:r>
        <w:rPr>
          <w:rFonts w:ascii="IRNazanin" w:hAnsi="IRNazanin" w:eastAsia="IRNazanin"/>
          <w:color w:val="111111"/>
          <w:sz w:val="28"/>
          <w:sz w:val="28"/>
          <w:szCs w:val="28"/>
          <w:rtl w:val="true"/>
          <w:lang w:bidi="fa-IR"/>
        </w:rPr>
        <w:t>وقد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عقلٍ أسیر تحت هوی أمیر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إذا کان العقل الإجتماعیّ أو العقل الأُممیّ، أو العقل العَولمیّ الذین یحاولون ترویجه الآن إذا کان خاطئاً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العقل البشریّ المجموعی سوف یؤول بالبشریّة إلی القبائح باسم المحاسن أو یمنعها عن المحاسن والفضائل باسم أنّها قبائح ورذائل کما أخبر بذلک النبیّ الأکرم صلی الله علیه وآله وسلم قبل أربعة عشر قرناً، فکان إخباره صلی الله علیه وآله وسلم من علامات آخر الزمان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فقضیة الإهانة والهتک والاستهزاء ترتبط ارتباطاً بنافذة عقلّیة تربویّة وإجتماعیة وسلوکیّة وممارسة معیّنة وقد یحصل اللَّبس أنّ مثل هذه الشعیرة أو الشعائر المتّخذة ربّما توجب الوهن فی الدین بینما هی لیست بوهن، لکن لشدّة علاقة الطرف الآخر ولشدّة نفوذ التبلیغ والدعایة والطُرق والقنوات المتوفّرة لدی الطرف الآخر، یوجب تأثّرنا بمدرکات خاطئة تُملی علینا وتُهیمن علی أفکارنا وتزعزع المبادی‌ء والعقائد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الموارد، نقول وإن کان علی صعید التنظیر، بأنّ هذا الاستهزاء وهذا الهتک باطل ولیس بمانع للشعائر لکن شریطة أن یکون هناک نوع من الردع أمام التبلیغ المضاد</w:t>
      </w:r>
      <w:r>
        <w:rPr>
          <w:rFonts w:eastAsia="IRNazanin" w:cs="IRNazanin"/>
          <w:color w:val="111111"/>
          <w:sz w:val="28"/>
          <w:szCs w:val="28"/>
          <w:rtl w:val="true"/>
          <w:lang w:bidi="fa-IR"/>
        </w:rPr>
        <w:t>.</w:t>
      </w:r>
      <w:bookmarkStart w:id="320" w:name="pg2944_24513"/>
    </w:p>
    <w:p>
      <w:pPr>
        <w:pStyle w:val="Heading5"/>
        <w:numPr>
          <w:ilvl w:val="4"/>
          <w:numId w:val="1"/>
        </w:numPr>
        <w:rPr/>
      </w:pPr>
      <w:bookmarkStart w:id="321" w:name="__RefHeading___Toc110638_2749589250"/>
      <w:bookmarkStart w:id="322" w:name="_Toc121"/>
      <w:bookmarkEnd w:id="320"/>
      <w:bookmarkEnd w:id="321"/>
      <w:r>
        <w:rPr>
          <w:rtl w:val="true"/>
        </w:rPr>
        <w:t>ممانعة بعض الشعائر تبعاً للمصلحة</w:t>
      </w:r>
      <w:bookmarkEnd w:id="322"/>
    </w:p>
    <w:p>
      <w:pPr>
        <w:pStyle w:val="BookText"/>
        <w:rPr/>
      </w:pPr>
      <w:r>
        <w:rPr>
          <w:rFonts w:ascii="IRNazanin" w:hAnsi="IRNazanin" w:eastAsia="IRNazanin"/>
          <w:color w:val="111111"/>
          <w:sz w:val="28"/>
          <w:sz w:val="28"/>
          <w:szCs w:val="28"/>
          <w:rtl w:val="true"/>
          <w:lang w:bidi="fa-IR"/>
        </w:rPr>
        <w:t>فی بعض الحالات قد یرتأی الفقیه طبق المیزان الشرعیّ أن تُمانع تلک الشعیرة أو الشعائر، لا لأجل أنّها ممانعة فی واقع الأمر ولکن لأجل أنّ مثل هذا الجوّ الحالیّ قد یُضعِّف نفوس المؤمنین وإن کان هذا التضعیف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لأجل فترة وقتیّة لشعیرة مستجدّة أو مُستحدَثة قد یری من الصالح لأجل عدم إحداث الضعف والوهن فی نفوس المسلمین والمؤمنین، قد یکون من الصحیح الممانعة لا الممانعة من جهة الهتک أو الاستهزاء بل فی الواقع ممانعة بسبب ضعف المسلمین نفسیّاً تجاه هذه الشعیرة فربّما عَدم ممارسة هذه الشعیرة یکون أثره أفضل فی النفوس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الموارد قد لا تسمّی ممانعة للشعائر، بل عدم توفّر قیود وشرائط الشعائر، فعدم إقامة الشعیرة یُنسب إلی فقد الشرط ولیس إلی الممانعة عنها وقد یکون العکس أولی بالرعایة، بأن یتشدّد الوسط الدینیّ بالشعیرة المتّخذة کی لا یستسلموا ولا یعتادوا الإنهزام أمام تهریج الخصوم وانتقاداتهم، وتحدید ذلک یکون بید الفقهاء الأمناء علی الدین والعقیدة</w:t>
      </w:r>
      <w:r>
        <w:rPr>
          <w:rFonts w:eastAsia="IRNazanin" w:cs="IRNazanin"/>
          <w:color w:val="111111"/>
          <w:sz w:val="28"/>
          <w:szCs w:val="28"/>
          <w:rtl w:val="true"/>
          <w:lang w:bidi="fa-IR"/>
        </w:rPr>
        <w:t>.</w:t>
      </w:r>
    </w:p>
    <w:p>
      <w:pPr>
        <w:pStyle w:val="Heading5"/>
        <w:numPr>
          <w:ilvl w:val="4"/>
          <w:numId w:val="1"/>
        </w:numPr>
        <w:rPr/>
      </w:pPr>
      <w:bookmarkStart w:id="323" w:name="__RefHeading___Toc110640_2749589250"/>
      <w:bookmarkStart w:id="324" w:name="_Toc122"/>
      <w:bookmarkEnd w:id="323"/>
      <w:r>
        <w:rPr>
          <w:rtl w:val="true"/>
        </w:rPr>
        <w:t>دواعی أخری لممانعة الشعیرة</w:t>
      </w:r>
      <w:bookmarkEnd w:id="324"/>
    </w:p>
    <w:p>
      <w:pPr>
        <w:pStyle w:val="BookText"/>
        <w:rPr/>
      </w:pPr>
      <w:r>
        <w:rPr>
          <w:rFonts w:ascii="IRNazanin" w:hAnsi="IRNazanin" w:eastAsia="IRNazanin"/>
          <w:color w:val="111111"/>
          <w:sz w:val="28"/>
          <w:sz w:val="28"/>
          <w:szCs w:val="28"/>
          <w:rtl w:val="true"/>
          <w:lang w:bidi="fa-IR"/>
        </w:rPr>
        <w:t>وقد یکون التزاحم والدوران ناشئاً من جهات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جهة مراعاة الهتک والاستهزاء بغیر حقّ من الفرق أو الملل الأخری، بل من جهة ضعف نفوس المسلمین، أو من جهة ضعف شوکتهم، نظیر ما یذکره سبحانه وتعالی فی قوله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مِنْکُمْ عِشْرُونَ صَابِرُونَ یَغْلِبُوا مِائَتَیْنِ وَإِنْ یَکُنْ مِنْکُمْ مِئَةٌ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وَعَلِمَ أَنَّ فِیکُمْ ضَعْفًا فَإِنْ یَکُنْ مِنْکُمْ مِئَةٌ صَابِرَةٌ یَغْلِبُوا مِائَتَیْنِ وَإِنْ یَکُنْ مِنْکُمْ أَلْفٌ یَغْلِبُوا أَلْفَیْنِ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حفظ الشکیمة والحیثیّة یخفَّف التشریع من باب إدراجه فی باب التزاحم بین حُکمَین شرعیّین، ولیس من باب ترتیب الأثر علی الهتک والاستهزاء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 بحدّ ذاته غیر ممانع، لکنّه یولّد جوّاً أو ظرفاً أو بیئة معینة، وهذا الجو ینتج تصادماً بین حُکمین وآخرین، ولا بدّ أن یراعی الفقیه هذه الجهة؛ أو قد تنشأ الممانعة للشعائر من عدم إدراک المؤمنین لها وعدم استیعابهم لأهمیّتها قصوراً أو تقصیراً أو لعدم تحمّلهم درجة عالیة من التفاعل والاندماج للشعیرة؛ کمن لا یتفاعل إلاّبالبکاء مثلاً فی الشعائر الحسینیّة، فلیس من المناسب زجّه فی الشعائر الأخری التی تکون أکثر تفاعلاً واندماجاً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الفقهاء أنّ العُرف الخاطی‌ء والفاسد قد یُلجی‌ء المکلّف إلی ترک المستحبّ، لأنه ربّما یکون سبباً للتشهیر به مع العلم أنّ المستحبّ مشروع فی نفسه، فالسبب فی ترکه هو نشوء عرف غیر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بیئة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البیئة الفاسدة من شأنها أن تجعل المکلّف والمتدیّن یترک ذلک المستحبّ أو بالعکس قد یکون هناک شیئاً مکروهاً، لکنّ ذلک المکروه یُرتکب، وعدم ارتکابه قد یصبح منقصة أو عاراً فیُرتکب ذلک المکروه حفظاً لشخصیة المؤمن أو المکلّف، وقد خالف جماعة من الفقهاء منهم الشهید الثانی فی کتابه الروضة البهیّة فی أولویّة الترک ومراعاة العُرف الفاسد وتَرک ما هو راجح أو ارتکاب ما هو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الإستثناء یجب أن لا یدوم ولا یطول زمناً، والمفروض أنّ سیاسة الفقیه فی الفتوی ناظرة لتربیة المجتمع ولمعالجة هذه الحالات والبیئات الفاسدة أو الممسوخة والمنکوسة والمقلوبة التی هی علی خلاف الفطرة وهی سیاسة حکیمة ومیدانیّة أیضاً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مستحبّ ربّما تُرک قروناً من السنین بحیث یکون الممارس له مورد استهزاء، وبطبیعة الحال فإنّ ذلک یحصل فی المجتمعات التی تکون المفاهیم المادیّة والموازین الفاسدة هی السائدة والرائجة فیها</w:t>
      </w:r>
      <w:r>
        <w:rPr>
          <w:rFonts w:eastAsia="IRNazanin" w:cs="IRNazanin"/>
          <w:color w:val="111111"/>
          <w:sz w:val="28"/>
          <w:szCs w:val="28"/>
          <w:rtl w:val="true"/>
          <w:lang w:bidi="fa-IR"/>
        </w:rPr>
        <w:t>.</w:t>
      </w:r>
      <w:bookmarkStart w:id="325" w:name="pg2944_24515"/>
    </w:p>
    <w:p>
      <w:pPr>
        <w:pStyle w:val="Heading4"/>
        <w:numPr>
          <w:ilvl w:val="3"/>
          <w:numId w:val="1"/>
        </w:numPr>
        <w:rPr/>
      </w:pPr>
      <w:bookmarkStart w:id="326" w:name="__RefHeading___Toc110642_2749589250"/>
      <w:bookmarkStart w:id="327" w:name="_Toc123"/>
      <w:bookmarkEnd w:id="325"/>
      <w:bookmarkEnd w:id="326"/>
      <w:r>
        <w:rPr>
          <w:rtl w:val="true"/>
        </w:rPr>
        <w:t>الشعائر والإصلاح الاجتماعیّ</w:t>
      </w:r>
      <w:bookmarkEnd w:id="327"/>
    </w:p>
    <w:p>
      <w:pPr>
        <w:pStyle w:val="Heading5"/>
        <w:numPr>
          <w:ilvl w:val="4"/>
          <w:numId w:val="1"/>
        </w:numPr>
        <w:rPr/>
      </w:pPr>
      <w:bookmarkStart w:id="328" w:name="__RefHeading___Toc110644_2749589250"/>
      <w:bookmarkStart w:id="329" w:name="_Toc124"/>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وهذا هو أحد وظائف الشعائر الدینیّة حیث تؤدّی دور الإعلام والبثّ الدینیّ والإعلاء، ومن نتائجها الواضحة المحافظة علی الهویّة الدینیّة فی بیئة المسلمین لأنّه لولا الشعائر فإنّ الدین سوف ینکفی‌ء شیئاً فشیئاً، وتتغیر المفاهیم الدینیّة، بل تنقلب رأساً علی عقب، وتصبح منکوسة الرایة، بدلاً من أن تکون مرفوعة عالیة مرفرَفة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الوظائف المهمة للشعائر الدینیّة جانب المحافظة علی الهویّة الدینیّة، وإلاّ أُلغیت الشعائر الواحدة تلو الأُخری، وحَدث نوع من المسخ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فقاعدة الشعائر الدینیّة هی قاعدة ممضاة من قِبل الشارع، ومُنظرّة فی باب الفقه الإجتماعیّ وکما ذکرنا أنّ للشعائر الدینیّة 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الإعلام والبثّ، ورکن الإعلاء والإعتزاز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والحوزات العلمیّة الدینیّة تقوم بأداء أحد رُکنَی الشعائر الدینیّة، وهو إحیاء الدین ونشره وحفظه عن الإندراس وما تقوم به فی هذا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بشکل هادی‌ء وبلا 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دور عظیم، لأنّها تحافظ علی أحد رُکنَی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رُکنَی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جنبة الإعلام والتعلّم والتفقّه وحفظ الدین عن الإنطماس والنسیان، وصیانته عن التحریف والتغییر، وحفظ الجانب التنظیریّ والبُعد العقائدیّ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التحریف والردّة عن الدین قد تکون بصورتَین</w:t>
      </w:r>
      <w:r>
        <w:rPr>
          <w:rFonts w:eastAsia="IRNazanin" w:cs="IRNazanin"/>
          <w:color w:val="111111"/>
          <w:sz w:val="28"/>
          <w:szCs w:val="28"/>
          <w:rtl w:val="true"/>
          <w:lang w:bidi="fa-IR"/>
        </w:rPr>
        <w:t>:</w:t>
      </w:r>
    </w:p>
    <w:p>
      <w:pPr>
        <w:pStyle w:val="Heading5"/>
        <w:numPr>
          <w:ilvl w:val="4"/>
          <w:numId w:val="1"/>
        </w:numPr>
        <w:rPr/>
      </w:pPr>
      <w:bookmarkStart w:id="330" w:name="__RefHeading___Toc110646_2749589250"/>
      <w:bookmarkStart w:id="331" w:name="_Toc125"/>
      <w:bookmarkEnd w:id="330"/>
      <w:r>
        <w:rPr>
          <w:rtl w:val="true"/>
        </w:rPr>
        <w:t>الصورة الأولی</w:t>
      </w:r>
      <w:bookmarkEnd w:id="3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جانب العمل، أی الانحراف فی السلوک العملیّ فلا تُتَّبَع الأوامر الدینیّة، ولا یُرتدَع عن النواهی</w:t>
      </w:r>
      <w:r>
        <w:rPr>
          <w:rFonts w:eastAsia="IRNazanin" w:cs="IRNazanin"/>
          <w:color w:val="111111"/>
          <w:sz w:val="28"/>
          <w:szCs w:val="28"/>
          <w:rtl w:val="true"/>
          <w:lang w:bidi="fa-IR"/>
        </w:rPr>
        <w:t>.</w:t>
      </w:r>
      <w:bookmarkStart w:id="332" w:name="pg2944_24516"/>
    </w:p>
    <w:p>
      <w:pPr>
        <w:pStyle w:val="Heading5"/>
        <w:numPr>
          <w:ilvl w:val="4"/>
          <w:numId w:val="1"/>
        </w:numPr>
        <w:rPr/>
      </w:pPr>
      <w:bookmarkStart w:id="333" w:name="__RefHeading___Toc110648_2749589250"/>
      <w:bookmarkStart w:id="334" w:name="_Toc126"/>
      <w:bookmarkEnd w:id="332"/>
      <w:bookmarkEnd w:id="333"/>
      <w:r>
        <w:rPr>
          <w:rtl w:val="true"/>
        </w:rPr>
        <w:t>الصورة الثانیة</w:t>
      </w:r>
      <w:bookmarkEnd w:id="334"/>
    </w:p>
    <w:p>
      <w:pPr>
        <w:pStyle w:val="BookText"/>
        <w:rPr/>
      </w:pPr>
      <w:r>
        <w:rPr>
          <w:rFonts w:ascii="IRNazanin" w:hAnsi="IRNazanin" w:eastAsia="IRNazanin"/>
          <w:color w:val="111111"/>
          <w:sz w:val="28"/>
          <w:sz w:val="28"/>
          <w:szCs w:val="28"/>
          <w:rtl w:val="true"/>
          <w:lang w:bidi="fa-IR"/>
        </w:rPr>
        <w:t>وهی الأخطر، وهی الانحراف فی التنظیر، فلا یُذعن المنحرف ولا یؤمن ولا یصدّق، بل یحاول أن یبرّر انحرافه وینظِّر تکذیبه وهو الانحراف فی العقیدة وهذا أخطر من الأوّل بل ربّما یمارس ذلک المنحرف الأوامر الدینیّة ولکن لا یُقرّ بوجودها، وإنّما یمارسها من باب فطرة الطبع أو من باب السنن الإجتماعیّة لذا نجد فی عدّة من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وأمثالها، تُلقی الضوء علی جنبة التنظیر أو الإعلام الدینیّ والبثّ الدینی أو إتمام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جنبة مهمّة للغایة؛ نعم، الجنبة الثانیة فی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الإعلاء والإعتزاز فی الممارسة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مطویّة ضمن السلوکیّة السابقة، وتظهر بمظاهر ومؤشّرات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فالظروف الإستثنائیّة یشخصّها الفقیه فی موارد مختلفة بحسب سیاسة الفتوی عند الفقیه، وهی موازنة الملاکات فی الأبواب مع الإحاطة بالظروف الموضوعیّة، والفطنة فی تدبیر المعالجة للحالات المختلفة والفقیه یتضلّع لحفظ الدین بلحاظ درجات ملاکات الأحکام فی الأبواب المختلفة، فیفحص ویُجری البحث عن الأهمّ عند الشارع؛ مضافاً إلی فراسته وفِطنته فی کیفیّة التوسّل فی الوصول إلی الغرض الدینیّ عن طریق الفتوی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البحث فی قاعدة الشعائر الدینیّة مع بیان الخطوط العامّة لها وهو المقام الأوّل من هذا الکتاب وبعد ذلک یقع البحث فی المقام الثانی الذی یلقی الضوء علی الشعائر الحسینیّة ودراسة تمامیّة أدلّتها الخاصّة والعامّة إن شاء الله تعالی</w:t>
      </w:r>
      <w:r>
        <w:rPr>
          <w:rFonts w:eastAsia="IRNazanin" w:cs="IRNazanin"/>
          <w:color w:val="111111"/>
          <w:sz w:val="28"/>
          <w:szCs w:val="28"/>
          <w:rtl w:val="true"/>
          <w:lang w:bidi="fa-IR"/>
        </w:rPr>
        <w:t>.</w:t>
      </w:r>
      <w:bookmarkStart w:id="335" w:name="pg2944_24517"/>
    </w:p>
    <w:p>
      <w:pPr>
        <w:pStyle w:val="Heading2"/>
        <w:numPr>
          <w:ilvl w:val="1"/>
          <w:numId w:val="1"/>
        </w:numPr>
        <w:rPr/>
      </w:pPr>
      <w:bookmarkStart w:id="336" w:name="__RefHeading___Toc110650_2749589250"/>
      <w:bookmarkStart w:id="337" w:name="_Toc127"/>
      <w:bookmarkEnd w:id="335"/>
      <w:bookmarkEnd w:id="336"/>
      <w:r>
        <w:rPr>
          <w:rtl w:val="true"/>
        </w:rPr>
        <w:t>المقام الثانی</w:t>
      </w:r>
      <w:r>
        <w:rPr>
          <w:rtl w:val="true"/>
        </w:rPr>
        <w:t xml:space="preserve">: </w:t>
      </w:r>
      <w:r>
        <w:rPr>
          <w:rtl w:val="true"/>
        </w:rPr>
        <w:t>الشعائر الحسینیة</w:t>
      </w:r>
      <w:bookmarkEnd w:id="3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110652_2749589250"/>
      <w:bookmarkStart w:id="339" w:name="_Toc128"/>
      <w:bookmarkEnd w:id="338"/>
      <w:r>
        <w:rPr>
          <w:rtl w:val="true"/>
        </w:rPr>
        <w:t>اشارة</w:t>
      </w:r>
      <w:bookmarkStart w:id="340" w:name="pg2944_24519"/>
      <w:bookmarkEnd w:id="339"/>
    </w:p>
    <w:p>
      <w:pPr>
        <w:pStyle w:val="Heading3"/>
        <w:numPr>
          <w:ilvl w:val="2"/>
          <w:numId w:val="1"/>
        </w:numPr>
        <w:rPr/>
      </w:pPr>
      <w:bookmarkStart w:id="341" w:name="__RefHeading___Toc110654_2749589250"/>
      <w:bookmarkStart w:id="342" w:name="_Toc129"/>
      <w:bookmarkEnd w:id="340"/>
      <w:bookmarkEnd w:id="341"/>
      <w:r>
        <w:rPr>
          <w:rtl w:val="true"/>
        </w:rPr>
        <w:t>تمهید</w:t>
      </w:r>
      <w:bookmarkEnd w:id="342"/>
    </w:p>
    <w:p>
      <w:pPr>
        <w:pStyle w:val="BookText"/>
        <w:rPr/>
      </w:pPr>
      <w:r>
        <w:rPr>
          <w:rFonts w:ascii="IRNazanin" w:hAnsi="IRNazanin" w:eastAsia="IRNazanin"/>
          <w:color w:val="111111"/>
          <w:sz w:val="28"/>
          <w:sz w:val="28"/>
          <w:szCs w:val="28"/>
          <w:rtl w:val="true"/>
          <w:lang w:bidi="fa-IR"/>
        </w:rPr>
        <w:t>نبدأ البحث فی الموضوع الأساسیّ لهذا الکتاب، وهو خصوص الشعائر الحسینیّة، باعتبار أنّ البحث عن الشعائر الحسینیّة له خصوصیات أخری وشبهات مختصّة به تختلف عمّا ذکرناه فی بحث عموم الشعائر الدینیّة، فمن ثمّ کان الجدیر أن یُبحث بحثاً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مقام معرفة درجة أهمیّة کلّ شعیرة من الشعائر الدینیّة</w:t>
      </w:r>
      <w:r>
        <w:rPr>
          <w:rStyle w:val="FootnoteAnchor"/>
          <w:rtl w:val="true"/>
        </w:rPr>
        <w:footnoteReference w:id="127"/>
      </w:r>
      <w:r>
        <w:rPr>
          <w:rFonts w:ascii="IRNazanin" w:hAnsi="IRNazanin" w:eastAsia="IRNazanin"/>
          <w:color w:val="111111"/>
          <w:sz w:val="28"/>
          <w:sz w:val="28"/>
          <w:szCs w:val="28"/>
          <w:rtl w:val="true"/>
          <w:lang w:bidi="fa-IR"/>
        </w:rPr>
        <w:t>أنّه لابد من التأمّل والتدبّر والإمعان فی المعنی الذی تدلّ علیه تلک 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التزاحم بین الشعائر والأحکام الأوّلیّة، أو بینها وبین الأحکام الثانویّة الأُخری، وکیفیّة معالجة ذلک التزاحم أو ذلک التدافع وقلنا بأنّه ینبغی معرفة أنّ تلک الشعیرة هی من أیّ بابٍ من أبواب الفقه، وأنّ تلک الشعیرة هی علامة ومَعلم علی أیّ فرع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هنا یدور حول التخریج الفقهیّ ومحاولة ردّ الاشکالات والانتقادات والاعتراضات المتوجّهة إلی هذه الشعیرة العظیمة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کیفیّة التعرّف علی الفلسفة القانونیّة لنهضة الحسین علیه السلام، وبالتالی للشعائر الحسینیّة، فالشعائر الحسینیة هی ذکری لنهضته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النهضة التی</w:t>
      </w:r>
    </w:p>
    <w:p>
      <w:pPr>
        <w:pStyle w:val="BookText"/>
        <w:rPr/>
      </w:pPr>
      <w:r>
        <w:rPr>
          <w:rFonts w:ascii="IRNazanin" w:hAnsi="IRNazanin" w:eastAsia="IRNazanin"/>
          <w:color w:val="111111"/>
          <w:sz w:val="28"/>
          <w:sz w:val="28"/>
          <w:szCs w:val="28"/>
          <w:rtl w:val="true"/>
          <w:lang w:bidi="fa-IR"/>
        </w:rPr>
        <w:t>کانت الضمان لبقاء الدین، ولحفظ الشریعة السماویة الدرع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جنبة الإعلام والتبلیغ لنهضة الحسین علیه السلام وبیان الأهداف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ونحاول تفصیل البحث فیها عبر الجهات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والشعائر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والضرر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لعن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العزاء والرثاء سُنّة قرآنیّة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مآتم العزاء التی أقامها النبیّ صلی الله علیه وآله وسلم علی الحسین علیه السلام</w:t>
      </w:r>
      <w:r>
        <w:rPr>
          <w:rFonts w:eastAsia="IRNazanin" w:cs="IRNazanin"/>
          <w:color w:val="111111"/>
          <w:sz w:val="28"/>
          <w:szCs w:val="28"/>
          <w:rtl w:val="true"/>
          <w:lang w:bidi="fa-IR"/>
        </w:rPr>
        <w:t>.</w:t>
      </w:r>
      <w:bookmarkStart w:id="343" w:name="pg2944_24521"/>
    </w:p>
    <w:p>
      <w:pPr>
        <w:pStyle w:val="Heading3"/>
        <w:numPr>
          <w:ilvl w:val="2"/>
          <w:numId w:val="1"/>
        </w:numPr>
        <w:rPr/>
      </w:pPr>
      <w:bookmarkStart w:id="344" w:name="__RefHeading___Toc110656_2749589250"/>
      <w:bookmarkStart w:id="345" w:name="_Toc130"/>
      <w:bookmarkEnd w:id="343"/>
      <w:bookmarkEnd w:id="344"/>
      <w:r>
        <w:rPr>
          <w:rtl w:val="true"/>
        </w:rPr>
        <w:t>الجهة الأولی</w:t>
      </w:r>
      <w:r>
        <w:rPr>
          <w:rtl w:val="true"/>
        </w:rPr>
        <w:t xml:space="preserve">: </w:t>
      </w:r>
      <w:r>
        <w:rPr>
          <w:rtl w:val="true"/>
        </w:rPr>
        <w:t>أهداف النهضة الحسینیة</w:t>
      </w:r>
      <w:bookmarkEnd w:id="34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110658_2749589250"/>
      <w:bookmarkStart w:id="347" w:name="_Toc131"/>
      <w:bookmarkEnd w:id="346"/>
      <w:r>
        <w:rPr>
          <w:rtl w:val="true"/>
        </w:rPr>
        <w:t>اشارة</w:t>
      </w:r>
      <w:bookmarkStart w:id="348" w:name="pg2944_24523"/>
      <w:bookmarkEnd w:id="347"/>
    </w:p>
    <w:p>
      <w:pPr>
        <w:pStyle w:val="BookText"/>
        <w:rPr/>
      </w:pPr>
      <w:bookmarkEnd w:id="348"/>
      <w:r>
        <w:rPr>
          <w:rFonts w:ascii="IRNazanin" w:hAnsi="IRNazanin" w:eastAsia="IRNazanin"/>
          <w:color w:val="111111"/>
          <w:sz w:val="28"/>
          <w:sz w:val="28"/>
          <w:szCs w:val="28"/>
          <w:rtl w:val="true"/>
          <w:lang w:bidi="fa-IR"/>
        </w:rPr>
        <w:t>هناک عدّة تحلیلات فقهیّة واجتماعیّة تبیّن الغایة والهدف من نهضة الحسین علیه السلام، لعلّ أهمّها</w:t>
      </w:r>
      <w:r>
        <w:rPr>
          <w:rFonts w:eastAsia="IRNazanin" w:cs="IRNazanin"/>
          <w:color w:val="111111"/>
          <w:sz w:val="28"/>
          <w:szCs w:val="28"/>
          <w:rtl w:val="true"/>
          <w:lang w:bidi="fa-IR"/>
        </w:rPr>
        <w:t>:</w:t>
      </w:r>
    </w:p>
    <w:p>
      <w:pPr>
        <w:pStyle w:val="Heading4"/>
        <w:numPr>
          <w:ilvl w:val="3"/>
          <w:numId w:val="1"/>
        </w:numPr>
        <w:rPr/>
      </w:pPr>
      <w:bookmarkStart w:id="349" w:name="__RefHeading___Toc110660_2749589250"/>
      <w:bookmarkStart w:id="350" w:name="_Toc132"/>
      <w:bookmarkEnd w:id="349"/>
      <w:r>
        <w:rPr>
          <w:rtl w:val="true"/>
        </w:rPr>
        <w:t>التحلیل الأول</w:t>
      </w:r>
      <w:bookmarkEnd w:id="350"/>
    </w:p>
    <w:p>
      <w:pPr>
        <w:pStyle w:val="BookText"/>
        <w:rPr/>
      </w:pP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یستفاد من عبارة الحسین علیه السلام الواردة فی وصیّته قبل خروجه من المدینة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أخرج أَشِراً ولا بَطراً ولا مُفسداً ولا ظالماً، وإنّما خَرَجْتُ لطَلب الإصلاح فی أمّة جدّی رسول الله صلی الله علیه وآله وسلم، أُرید أن آمر بالمعروف وأنهی عن المُنکَر وأسیر بسیرة جدّی وأبی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التوجیهات والتحلیلات لنهضته علیه السلام هو الأمر بالمعروف والنهی عن المنکر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معنی المعروف یقتصر علی المعروف الفردیّ، ولا المنکر یقتصر علی المنکر فی الممارسة الفردیّة، بل هناک المعروف الإجتماعیّ والمعروف الفکریّ والعقائدیّ، وهناک المعروف الاقتصادیّ والمعروف السیاسیّ والمعروف الحقوقیّ وغیرها والمنکر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السیاسیّ والعقائدیّ والفکریّ والاجتماعیّ والمالیّ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هو مبغوض شرعاً، فإنّه یتناول کلّ المحرمات فی کلّ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یتناول کلّ الأوامر الشرعیّة وجوباً وندباً ورجحاناً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من الأمر بالمعروف لیس خصوص الإنشاء اللفظیّ، بل المراد منه الأمر حتّی بالید وباللسان وکذلک بالقلب، وهو أضعف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بالمعروف والنهی عن المنکر باب عظیم وواسع وذو أهمیّة بالغة؛ وهو من أعظم الواجبات الدینیّة،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فسدت نساؤکم، وفَسق شبابُکم، ولم تأمروا بالمعروف ولم تنهوْا عن المنکر؛</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بکم إذا أمرتم بالمنکر ونهیتم عن المعروف؛</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ویکون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وشر من ذلک، کیف بکم إذا رأیتم المعروف منکراً والمنکر معروفاً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المنکر أو لیسلطنّ الله شرارَکم علی خیارکم، ثمّ یدعو خیارُکم فلا یُستجاب لهم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عن الأئمّة الطاهرین علیهم السلام، أنّ بالأمر بالمعروف تُقام الفرائض وتأمن المذاهب، وتحِلّ المکاسب، وتُمنع المظالم، وتُعمّر الأرض، ویُنتَصف للمظلوم من الظالم، ولا یزال الناس بخیر ما أمروا بالمعروف، ونهوا عن المنکر وتعاونوا علی البر، فإذا لم یفعلوا ذلک نُزعت منهم البرکات وسُلّط بعضهم علی بعض، ولم یکن لهم ناصر فی الأرض ولا فی السماء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ما یفرزه المجتمع من انحراف فکریّ ومساوی سلوکیّة ورذائل خُلقیّة، إنّما هو بسبب ترک هذه الفریضة العظیمة وهذا الباب المهمّ له مُسانخة مع الشعائر نفسها بما یتضمّنه من البثّ الدینیّ والإعلام الدینیّ، فللشعائر نحوٌ من المسانخة القریبة مع باب الأمر بالمعروف والنهی عن المنکر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فِعل المعصوم فیه نوع من الإجمال أکثر من اللفظ من هذه الجهة، لأنّ الفعل قد یتصادق علیه جهات عدیدة وکلّها ممکنة، وینطوی تحت تخریجات عدیدة قانونیّة وشرعیّة</w:t>
      </w:r>
      <w:r>
        <w:rPr>
          <w:rFonts w:eastAsia="IRNazanin" w:cs="IRNazanin"/>
          <w:color w:val="111111"/>
          <w:sz w:val="28"/>
          <w:szCs w:val="28"/>
          <w:rtl w:val="true"/>
          <w:lang w:bidi="fa-IR"/>
        </w:rPr>
        <w:t>.</w:t>
      </w:r>
      <w:bookmarkStart w:id="351" w:name="pg2944_24526"/>
    </w:p>
    <w:p>
      <w:pPr>
        <w:pStyle w:val="Heading4"/>
        <w:numPr>
          <w:ilvl w:val="3"/>
          <w:numId w:val="1"/>
        </w:numPr>
        <w:rPr/>
      </w:pPr>
      <w:bookmarkStart w:id="352" w:name="__RefHeading___Toc110662_2749589250"/>
      <w:bookmarkStart w:id="353" w:name="_Toc133"/>
      <w:bookmarkEnd w:id="351"/>
      <w:bookmarkEnd w:id="352"/>
      <w:r>
        <w:rPr>
          <w:rtl w:val="true"/>
        </w:rPr>
        <w:t>التحلیل الثانی</w:t>
      </w:r>
      <w:bookmarkEnd w:id="353"/>
    </w:p>
    <w:p>
      <w:pPr>
        <w:pStyle w:val="BookText"/>
        <w:rPr/>
      </w:pPr>
      <w:r>
        <w:rPr>
          <w:rFonts w:ascii="IRNazanin" w:hAnsi="IRNazanin" w:eastAsia="IRNazanin"/>
          <w:color w:val="111111"/>
          <w:sz w:val="28"/>
          <w:sz w:val="28"/>
          <w:szCs w:val="28"/>
          <w:rtl w:val="true"/>
          <w:lang w:bidi="fa-IR"/>
        </w:rPr>
        <w:t>الاعتراض علی الخلافة الغاصبة، وبیان أحقّیّته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یفسّر لنا أیضاً معنی الشعائر الحسینیّة، ومعنی تخلید ذکراه وهو ما جاء فی کلامه علیه السلام حینما دعاه الولید بن عتبة وهو فی المدینة لبیعة یزید،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النبوة ومَعدِن الرسالة ومُختلَف الملائکة ومحلّ الرحمة، وبنا فَتَح الله وبنا خَتَم، ویَزید رجلٌ فاسقٌ شاربُ الخمر قاتلُ النفس المُحرّمة مُعلِنُ بالفِسق؛ ومِثلی لا یبایع مثله، ولکن نُصبح وتُصبحون، وننظر وتنظرون أیّنا أحقُ بالبیعة والخلافة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قوله علیه السلام لمروان بن الحکم حینما أشار علیه ببیعة یزید،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 وعلی الإسلامِ السّلامُ إذ قد بُلیت الأمة براعٍ مثل یزید، ولقد سمعتُ جدّی رسول الله صلی الله علیه وآله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علی آل أبی سفیان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ذلک شدّة التصلّب والإباء، وهو علیه السلام سید الإباء فما هو السرّ فی شدّة إبائه لبیعة یزید طبعاً هذه البیعة مُنکَر من المنکرات، لکن خصوص هذا المنکر یشدّد الإسلام النهی عنه دون بقیة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یرکّز علی مصادمة ظاهرة الخلافة الغاصبة، وهو دلیل علی بطلانها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مذهب الحقّ نقول بعدم مشروعیّة مَن تقدّم علی أمیرالمؤمنین علیه السلام، وقد تذرّع المنافقون الأوائل ببعض المتشابهات الدینیّة المعلومة البُطلان، مثل</w:t>
      </w:r>
      <w:r>
        <w:rPr>
          <w:rFonts w:eastAsia="IRNazanin" w:cs="IRNazanin"/>
          <w:color w:val="111111"/>
          <w:sz w:val="28"/>
          <w:szCs w:val="28"/>
          <w:rtl w:val="true"/>
          <w:lang w:bidi="fa-IR"/>
        </w:rPr>
        <w:t>:</w:t>
      </w:r>
      <w:bookmarkStart w:id="354" w:name="pg2944_24527"/>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واستمراراً للغضب وعدم المشروعیّة تنتقل بعد ذلک الخلافة إلی وراثة عائلیّة وملکیّة لا تَمُتّ للدین بصلة، وتعود أمور المسلمین إلی الرسم الجاهلیّ والقبائلیّ وفی هذا مصادمة واضحة، سیّما والإسلام حدیث عهد والناس حدیثو عهد بالدین، ولم یتّضح لبعضهم الانحراف الکبیر بین مسار بنی أمیّة وبین الدین، فقد کان حکّام بنی أمیّة یتستّرون برداء الدین فمن ثمّ کان فی هذا المنکر خصوصیّة متمیّزة لا نجدها فی أیّ نوع آخر من المنکر، وإنّما هو نوع منکرٍ ینطوی علی طمس ومحو وزوال لأصل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الحسین علیه السلام أشدّ تصلّباً فی ذلک منذ هجرته من المدینة فی رجب، وبقائه إلی الثامن من ذی الحجّة فی مکّة، قرابة أربعة أشهر، تحت وطأة إرهاب الظالمین، ولم یُعلِّل علیه السلام خروجه بعلّة غیر هذه العلّة، وهی المعارضة العلنیّة والصارمة للسلطة الغاصبة وللخلافة الزائفة، وبیان أحقّیّته لهذا الأمر من القرآن ومن أقوال الرسول الکریم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355" w:name="__RefHeading___Toc110664_2749589250"/>
      <w:bookmarkStart w:id="356" w:name="_Toc134"/>
      <w:bookmarkEnd w:id="355"/>
      <w:r>
        <w:rPr>
          <w:rtl w:val="true"/>
        </w:rPr>
        <w:t>التحلیل الثالث</w:t>
      </w:r>
      <w:bookmarkEnd w:id="356"/>
    </w:p>
    <w:p>
      <w:pPr>
        <w:pStyle w:val="BookText"/>
        <w:rPr/>
      </w:pPr>
      <w:r>
        <w:rPr>
          <w:rFonts w:ascii="IRNazanin" w:hAnsi="IRNazanin" w:eastAsia="IRNazanin"/>
          <w:color w:val="111111"/>
          <w:sz w:val="28"/>
          <w:sz w:val="28"/>
          <w:szCs w:val="28"/>
          <w:rtl w:val="true"/>
          <w:lang w:bidi="fa-IR"/>
        </w:rPr>
        <w:t>مبایعة أهل الکوفة له، وإرسالهم إلیه الکُتب للقدوم إلیهم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واستنصارهم له علیه السلام ومن المقرّر فی مذهب الإمامیّة أنّ المعصوم علیه السلام إذا وَجد مَن ینهض به بمقدار العُدّة الکافیة والعدد وجب علیه النهوض کما فی</w:t>
      </w:r>
      <w:bookmarkStart w:id="357" w:name="pg2944_24528"/>
    </w:p>
    <w:p>
      <w:pPr>
        <w:pStyle w:val="BookText"/>
        <w:rPr/>
      </w:pPr>
      <w:bookmarkEnd w:id="357"/>
      <w:r>
        <w:rPr>
          <w:rFonts w:ascii="IRNazanin" w:hAnsi="IRNazanin" w:eastAsia="IRNazanin"/>
          <w:color w:val="111111"/>
          <w:sz w:val="28"/>
          <w:sz w:val="28"/>
          <w:szCs w:val="28"/>
          <w:rtl w:val="true"/>
          <w:lang w:bidi="fa-IR"/>
        </w:rPr>
        <w:t>قول الأمیر علیه السلام فی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والّذی خَلقَ الحَبّة وبَرأ النَسَمة لولا حضورُ الحاضر، وقیام الحُجة بوجود الناصر، وما أَخَذ الله علی العلماء أن لا یُقارّوا علی کِظّة ظالِم ولا سَغَب مظلوم، لألقیتُ حَبلَها علی غاربها، وسقیتُ آخرَها بکأس أوّلها ولألفیتم دُنیاکم هذه أزهد عندی من عفطة عنز</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له علیه السلام بعد معرفة أهل الکوفة والعراق بإمتناعه وإبائه عن بیعة یزید فمن ثمَّ وجدوا فیه الأمَل للتخلّص من یزید وظلمه ولإقامة العدل مضافاً إلی عقیدة أهل الکوفة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التخریج والتحلیل لیس هو العلّة المنحصرة حیث تخیّل بعض أنّ هذا هو السبب الوحید لأنّ هذا السبب ارتفع وانتفی فی کربلاء بعد مواجهة أهل الکوفة للحسین علیه السلام</w:t>
      </w:r>
      <w:r>
        <w:rPr>
          <w:rFonts w:eastAsia="IRNazanin" w:cs="IRNazanin"/>
          <w:color w:val="111111"/>
          <w:sz w:val="28"/>
          <w:szCs w:val="28"/>
          <w:rtl w:val="true"/>
          <w:lang w:bidi="fa-IR"/>
        </w:rPr>
        <w:t>.</w:t>
      </w:r>
    </w:p>
    <w:p>
      <w:pPr>
        <w:pStyle w:val="Heading4"/>
        <w:numPr>
          <w:ilvl w:val="3"/>
          <w:numId w:val="1"/>
        </w:numPr>
        <w:rPr/>
      </w:pPr>
      <w:bookmarkStart w:id="358" w:name="__RefHeading___Toc110666_2749589250"/>
      <w:bookmarkStart w:id="359" w:name="_Toc135"/>
      <w:bookmarkEnd w:id="358"/>
      <w:r>
        <w:rPr>
          <w:rtl w:val="true"/>
        </w:rPr>
        <w:t>التحلیل الرابع</w:t>
      </w:r>
      <w:bookmarkEnd w:id="359"/>
    </w:p>
    <w:p>
      <w:pPr>
        <w:pStyle w:val="BookText"/>
        <w:rPr/>
      </w:pPr>
      <w:r>
        <w:rPr>
          <w:rFonts w:ascii="IRNazanin" w:hAnsi="IRNazanin" w:eastAsia="IRNazanin"/>
          <w:color w:val="111111"/>
          <w:sz w:val="28"/>
          <w:sz w:val="28"/>
          <w:szCs w:val="28"/>
          <w:rtl w:val="true"/>
          <w:lang w:bidi="fa-IR"/>
        </w:rPr>
        <w:t>وهو الدفاع عن نفسه الشریفة وعن حریم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قوله علیه السلام فی یوم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الدَعِیَّ 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 وهیهات ما آخذ الدنیّة، یأبی الله ذلک ورسولُه وجدودٌ طابَت وطَهُرَت، وأنوفٌ حمیّة، ونُفوسٌ أبیّة لا تؤثِر مصارِعَ اللّئام علی مصارع الکرام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باب الدفاع ومشروعیّة الدفاع ثابتة عقلاً وشرعاً</w:t>
      </w:r>
      <w:r>
        <w:rPr>
          <w:rFonts w:eastAsia="IRNazanin" w:cs="IRNazanin"/>
          <w:color w:val="111111"/>
          <w:sz w:val="28"/>
          <w:szCs w:val="28"/>
          <w:rtl w:val="true"/>
          <w:lang w:bidi="fa-IR"/>
        </w:rPr>
        <w:t>.</w:t>
      </w:r>
      <w:bookmarkStart w:id="360" w:name="pg2944_24529"/>
    </w:p>
    <w:p>
      <w:pPr>
        <w:pStyle w:val="Heading4"/>
        <w:numPr>
          <w:ilvl w:val="3"/>
          <w:numId w:val="1"/>
        </w:numPr>
        <w:rPr/>
      </w:pPr>
      <w:bookmarkStart w:id="361" w:name="__RefHeading___Toc110668_2749589250"/>
      <w:bookmarkStart w:id="362" w:name="_Toc136"/>
      <w:bookmarkEnd w:id="360"/>
      <w:bookmarkEnd w:id="361"/>
      <w:r>
        <w:rPr>
          <w:rtl w:val="true"/>
        </w:rPr>
        <w:t>التحلیل الخامس</w:t>
      </w:r>
      <w:bookmarkEnd w:id="362"/>
    </w:p>
    <w:p>
      <w:pPr>
        <w:pStyle w:val="BookText"/>
        <w:rPr/>
      </w:pPr>
      <w:r>
        <w:rPr>
          <w:rFonts w:ascii="IRNazanin" w:hAnsi="IRNazanin" w:eastAsia="IRNazanin"/>
          <w:color w:val="111111"/>
          <w:sz w:val="28"/>
          <w:sz w:val="28"/>
          <w:szCs w:val="28"/>
          <w:rtl w:val="true"/>
          <w:lang w:bidi="fa-IR"/>
        </w:rPr>
        <w:t>أنّ نهضته علیه السلام کان منبعها وأساسها هو إقامة الإمامة الالهیّة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نهضته علیه السلام تمثّل وتجسّد الإمامة والولایة وهذا الوجه له ربط بنحو ما مع التحلیل الثانی، وهو إباؤه علیه السلام لبیعة یزید، لأنّ نکیره لبیعة وخلافة یزید هو بدوره ومؤدّاه نوع من التبلیغ ونشر لمفهوم الإمامة والدعوة إلی إمامتهم علیهم السلام وقد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فی أُمّةِ جَدّی صلی الله علیه وآله وسلم لآمر بالمعروف وأنهی عن المنکر وأسیر بسیرة جدّی وأبی</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فکأنّما هو علیه السلام أبطل شرعیة الثلاثة الذین غصبوا الخلافة الأوّل والثانی والثالث وهذه عبارة أخری عن إحیاء حقّهم علیهم السلام فی الإمامة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نهضته علیه السلام تتداخل وتجتمع فیها عِدّة وجوه وتحلیلات فقهیّة واجتماعیّة وأهمّها هو الأمر بالمعروف والنهی عن المنکر بکلّ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یشمل کلّ الأبواب ومنها إحیاء هذه الفریضة التی ترقی إلی أن تشمل نفس التوحید لله‌وأساسیّات العقائد الأخری، إذ هی أوضح مصادیق المعروف، فیجب الأمر بها، شأنها شأن التوحید والنبوّة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والمُنکَر یتناول الشرک وما دونه؛ ففی الواقع فی هذه الوجوه جهات مختلفة، هی أیضاً مترابطة ومتداخلة ومنطبقة علی بعضها البعض فقهیّاً وکلامیّاً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فدعوته علیه السلام إلی إمامته وإلی العهد الإلهیّ فی حقّهم علیهم السلام هو عین الأمر بالمعروف مضافاً إلی أنّ النهی عن الخلافة الباطلة التی انتحلها غیرهم من أهم مصادیق النهی عن المنکر، أو النهی عن طمس کثیر من أرکان الدین فروعه فمن ثمّ</w:t>
      </w:r>
    </w:p>
    <w:p>
      <w:pPr>
        <w:pStyle w:val="BookText"/>
        <w:rPr/>
      </w:pPr>
      <w:r>
        <w:rPr>
          <w:rFonts w:ascii="IRNazanin" w:hAnsi="IRNazanin" w:eastAsia="IRNazanin"/>
          <w:color w:val="111111"/>
          <w:sz w:val="28"/>
          <w:sz w:val="28"/>
          <w:szCs w:val="28"/>
          <w:rtl w:val="true"/>
          <w:lang w:bidi="fa-IR"/>
        </w:rPr>
        <w:t>کانت نهضته علیه السلام بشکل بارز مَعلَماً لإمامتهم وولایتهم الإلهیّة الحقّة وتطبیقاً جلیّاً لفریضة الأمر بالمعروف والنهی عن المنکر، الشاملة للأمور الاعتقادیّة بکلّ أبعادها وأشکالها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الجهة الأولی، وهی أنّ تحلیل الشعائر الحسینیّة یرجع إلی العلامة علی الأغراض والغایات والأهداف التی نهض الحسین علیه السلام لأجلها فهی ذکری تخلید وإعادة إحیاء لتلک الغایات والمبادئ التی نهض علیه الصلاة والسّلام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البارز فی نهضته هو أنّها دعوة إلی الصراط الحقّ وإلی التمسّک بولایتهم علیهم السلام، وإلی إحیاء فریضة الأمر بالمعروف والنهی عن المنکر، التی هی فریضة کبری وأحد أبرز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الاعتقادیّة وهی التوحید والإمامة وبها تُقام الفرائض کما تعبّر الروایة وأوّل الفرائض التوحید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أبرز أهداف النهضة الحسینیّة</w:t>
      </w:r>
      <w:r>
        <w:rPr>
          <w:rFonts w:eastAsia="IRNazanin" w:cs="IRNazanin"/>
          <w:color w:val="111111"/>
          <w:sz w:val="28"/>
          <w:szCs w:val="28"/>
          <w:rtl w:val="true"/>
          <w:lang w:bidi="fa-IR"/>
        </w:rPr>
        <w:t>.</w:t>
      </w:r>
      <w:bookmarkStart w:id="363" w:name="pg2944_24531"/>
    </w:p>
    <w:p>
      <w:pPr>
        <w:pStyle w:val="Heading3"/>
        <w:numPr>
          <w:ilvl w:val="2"/>
          <w:numId w:val="1"/>
        </w:numPr>
        <w:rPr/>
      </w:pPr>
      <w:bookmarkStart w:id="364" w:name="__RefHeading___Toc110670_2749589250"/>
      <w:bookmarkStart w:id="365" w:name="_Toc137"/>
      <w:bookmarkEnd w:id="363"/>
      <w:bookmarkEnd w:id="364"/>
      <w:r>
        <w:rPr>
          <w:rtl w:val="true"/>
        </w:rPr>
        <w:t>الجهة الثانیة</w:t>
      </w:r>
      <w:r>
        <w:rPr>
          <w:rtl w:val="true"/>
        </w:rPr>
        <w:t xml:space="preserve">: </w:t>
      </w:r>
      <w:r>
        <w:rPr>
          <w:rtl w:val="true"/>
        </w:rPr>
        <w:t>أدلة الشعائر الحسینیة</w:t>
      </w:r>
      <w:bookmarkEnd w:id="3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110672_2749589250"/>
      <w:bookmarkStart w:id="367" w:name="_Toc138"/>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تقدّم فی البحث العام عن الشعائر الدینیّة أنّ لدینا ثلاثة طوائف من الأدلّة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مشتملة علی نفس لفظة الشعائر،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حُرُمَاتِ اللَّهِ فَهُوَ خَیْرٌ لَهُ عِنْدَ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مدلولها نفس ماهیّة الشعائر، لکن غیر مشتملة علی لفظ الشعائر،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کَلِمَةَ الَّذِینَ کَفَرُوا السُّفْلَی وَکَلِمَةُ اللَّهِ هِیَ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 ذلک، وهذا القبیل من الأدلّة یدلّ علی نفس مضمون الطائفة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بأبواب معیّنة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باب الشعائر الحسینیّة هناک عدّة عمومات وکذلک طوائف خاصّة من الأدلة</w:t>
      </w:r>
      <w:r>
        <w:rPr>
          <w:rFonts w:eastAsia="IRNazanin" w:cs="IRNazanin"/>
          <w:color w:val="111111"/>
          <w:sz w:val="28"/>
          <w:szCs w:val="28"/>
          <w:rtl w:val="true"/>
          <w:lang w:bidi="fa-IR"/>
        </w:rPr>
        <w:t>.</w:t>
      </w:r>
      <w:bookmarkStart w:id="368" w:name="pg2944_24534"/>
    </w:p>
    <w:p>
      <w:pPr>
        <w:pStyle w:val="Heading4"/>
        <w:numPr>
          <w:ilvl w:val="3"/>
          <w:numId w:val="1"/>
        </w:numPr>
        <w:rPr/>
      </w:pPr>
      <w:bookmarkStart w:id="369" w:name="__RefHeading___Toc110674_2749589250"/>
      <w:bookmarkStart w:id="370" w:name="_Toc139"/>
      <w:bookmarkEnd w:id="368"/>
      <w:bookmarkEnd w:id="369"/>
      <w:r>
        <w:rPr>
          <w:rtl w:val="true"/>
        </w:rPr>
        <w:t>الدلیل الأول</w:t>
      </w:r>
      <w:bookmarkEnd w:id="370"/>
    </w:p>
    <w:p>
      <w:pPr>
        <w:pStyle w:val="BookText"/>
        <w:rPr/>
      </w:pPr>
      <w:r>
        <w:rPr>
          <w:rFonts w:ascii="IRNazanin" w:hAnsi="IRNazanin" w:eastAsia="IRNazanin"/>
          <w:color w:val="111111"/>
          <w:sz w:val="28"/>
          <w:sz w:val="28"/>
          <w:szCs w:val="28"/>
          <w:rtl w:val="true"/>
          <w:lang w:bidi="fa-IR"/>
        </w:rPr>
        <w:t>حیث حلّلنا أنّ من أهمّ أغراض الشعائر الحسینیّة هو الأمر بالمعروف والنهی عن المنکر وإبراز الإمامة الحقّة التی تعتبر من أصدق موارد الأمر بالمعروف والنهی عن المنکر فی الأمور الاعتقادیّة فأدلّة الأمر بالمعروف والنهی عن المنکر تتناول هذا الباب ویمکن أن تکون دلیلاً وبرهاناً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یدلّل علی أنّ الشارع یرید أحیاء هذه الفریضة وأنّ تقدیم هذه الأمة وأفضلیّتها علی سائر الأمم من الأوّلین والآخرین هو نتیجة إقامة هذه الفریضة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وإحیاء هذه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بإقامة الشعائر الحسینیّة بل هی أوضح المظاهر لإحیائها، لأنّ الأغراض والغایات المطویّة فی النهضة الحسینیّة لابدّ أنّها تنتهی بالتالی إلی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منها تجدید إنکار کلّ مظاهر الإنحراف الساریة فی المجتمع، وإقامة کلّ معروف غُفل عنه أو هُجِرَ من حیاة الأمة الإسلامیة علی الصعیدَین السلوکیّ والعقیدیّ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المحافظة علی استمرار سلوکیّة المعروف وتطبیقه فی المجتمع مع الالتزام فی نبذ المنکر وإنکارهِ فهی نوع من حالة الصحوة والسلامة والتوبة الدینیّة من خلال مواسم ومراسم الشعائر الحسینیّة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الأمر فی الآیات الأخری فی موضوع الأمر بالمعروف والنهی عن المنکر، مثل</w:t>
      </w:r>
      <w:r>
        <w:rPr>
          <w:rFonts w:eastAsia="IRNazanin" w:cs="IRNazanin"/>
          <w:color w:val="111111"/>
          <w:sz w:val="28"/>
          <w:szCs w:val="28"/>
          <w:rtl w:val="true"/>
          <w:lang w:bidi="fa-IR"/>
        </w:rPr>
        <w:t>:</w:t>
      </w:r>
      <w:bookmarkStart w:id="371" w:name="pg2944_24535"/>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أدلّة إقامة فریضة الأمر بالمعروف والنهی عن المنکر تستلزم فی مقدّماتها التذکیر بهذه الفریضة وإحیائها عبر إحیاء الداعی النفسیّ لدی المؤمنین والمتدیّنین وتحریضهم نحو أداء هذه الفریضة وأکبر تحریض هو نفس ما قام به أبو الأحرار وسیّد الشهداء علیه السلام من إیقاظ الناس من سُباتهم العمیق وإحیاء نفوسهم بالعدل والهدی، وتحریرهم من الظلم والرذیلة والهوی، وتربیتهم علی عدم الخنوع والخضوع للطغاة والتخاذل، وذلک بإقامة فریضة الأمر بالمعروف والنهی عن المنکر مهما کلّف الأمر، وأینما بلغت التضحیة</w:t>
      </w:r>
      <w:r>
        <w:rPr>
          <w:rFonts w:eastAsia="IRNazanin" w:cs="IRNazanin"/>
          <w:color w:val="111111"/>
          <w:sz w:val="28"/>
          <w:szCs w:val="28"/>
          <w:rtl w:val="true"/>
          <w:lang w:bidi="fa-IR"/>
        </w:rPr>
        <w:t>.</w:t>
      </w:r>
    </w:p>
    <w:p>
      <w:pPr>
        <w:pStyle w:val="Heading4"/>
        <w:numPr>
          <w:ilvl w:val="3"/>
          <w:numId w:val="1"/>
        </w:numPr>
        <w:rPr/>
      </w:pPr>
      <w:bookmarkStart w:id="372" w:name="__RefHeading___Toc110676_2749589250"/>
      <w:bookmarkStart w:id="373" w:name="_Toc140"/>
      <w:bookmarkEnd w:id="372"/>
      <w:r>
        <w:rPr>
          <w:rtl w:val="true"/>
        </w:rPr>
        <w:t>الدلیل الثانی</w:t>
      </w:r>
      <w:bookmarkEnd w:id="373"/>
    </w:p>
    <w:p>
      <w:pPr>
        <w:pStyle w:val="BookText"/>
        <w:rPr/>
      </w:pPr>
      <w:r>
        <w:rPr>
          <w:rFonts w:ascii="IRNazanin" w:hAnsi="IRNazanin" w:eastAsia="IRNazanin"/>
          <w:color w:val="111111"/>
          <w:sz w:val="28"/>
          <w:sz w:val="28"/>
          <w:szCs w:val="28"/>
          <w:rtl w:val="true"/>
          <w:lang w:bidi="fa-IR"/>
        </w:rPr>
        <w:t>الأدلّة علی الولایة،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المودّة التأسّی بهم، والفرح لفرحهم، والحزن لحزنهم، والمودّة فی اللغة تفترق عن الحبّ فالحبّ قد یکون أمراً باطناً أمّا المودّة فهی تعنی المحبّة الشدیدة التی تلازم الإبراز والظهور 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عنوان المودّة وعنوان المحبّة هذا أیضاً من العمومات إذن کلّ عمومات الولایة تدلّ علی ما نحن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وأبرز مصداق لها هو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آیات التبرّی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أنّ هذه الآیة تشمل أعداء الأئمّة علیهم السلام ممّن هتک حرمة النبیّ والدین فی أهل بیته فینبغی إظهار البراءة وعدم الموالاة لمن حادّ الله ورسوله وفی سورة الفاتحة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المؤمن یجب أن یتولّی صراطَهم الذی لیس علیه أیّ غضب إلهیّ وهذا یعنی العصمة العملیّة إضافة للعصمة العلمیّة المُشار إلیها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ﭲ  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إشارة إلی أنّه لیس هناک معصیة عملیّة، ولیس هناک أیّ زلّة علمیّة إهدنا صراط المعصومین لأنّ نفی الغضب بقول مطلق یعنی العصمة العملیّة ونفی الضلالة بقولٍ مطلق، یعنی العصمة العلمیّة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صراط المعصومین وآیة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وآیات التولّی والتبرّی کثیرة جدّاً، کقوله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 وَمِمَّا تَعْبُدُونَ مِنْ دُونِ اللَّهِ کَفَرْنَا بِکُمْ وَبَدَا بَیْنَنَا وَبَیْنَکُمُ الْعَدَاوَةُ وَالْبَغْضَاءُ أَبَدًا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الکریمة بمجموعها تصبّ فی مصبّ واحد، وتعتبر دلیلاً معتمداً فی باب الشعائر الحسینیّة إذ أنّ الأسی والتألّم لمصابهم، والحزن لحزنهم هو نوع من التولّی لهم والتبرّی من أعدائهم، ویکون کاشفاً عن التضامن معهم والوقوف فی صفّهم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الآیات المبیّنة لصفات المؤمنین بالتحذیر من صفات المنافقین، حیث تقول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وَإِنْ تُصِبْکُمْ سَیِّئَةٌ یَفْرَحُوا بِهَا وَإِنْ تَصْبِرُوا وَتَتَّقُوا لَا یَضُرُّکُمْ کَیْدُهُمْ شَیْئًا إِنَّ اللَّهَ بِمَا یَعْمَلُونَ مُحِیطٌ</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المؤمن یجب أن یفرح لفرح أولیاء الله تعالی ویحزن لحزنهم، علی عکس المنافق والناصب، ولو لاحظنا الآیات السابقة علی الآیة المزبورة أیضاً لازدادت الصورة وضوحاً،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وَلَا یُحِبُّونَکُمْ وَتُؤْمِنُونَ بِالْکِتَابِ کُلِّهِ وَإِذَا لَقُوکُمْ قَالُوا آَمَنَّا وَإِذَا خَلَوْا عَضُّوا عَلَیْکُمُ الْأَنَامِلَ مِنَ الْغَیْظِ قُلْ مُوتُوا بِغَیْظِکُمْ إِنَّ اللَّهَ عَلِیمٌ بِذَاتِ الصُّدُورِ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تشیر إلی أنّ علامة المودّة هی الفرح لفرح المودود، والحزن لحزنه وأنّ علامة البغضاء والعداوة هی الفرح لحزن المبغوض، والحزن لفرح 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کَزَرْعٍ أَخْرَجَ شَطْأَهُ فَآَزَرَهُ فَاسْتَغْلَظَ فَاسْتَوَی عَلَی سُوقِهِ یُعْجِبُ الزُّرَّاعَ لِیَغِیظَ بِهِمُ الْکُفَّارَ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الآیة کالسابقات دالّ علی أنّ علامة البغضاء هو الغیض والحزن من حسن حال المبغوض وفرحه والفرح والسرور من سوء حال المبغوض وحزنه وعلی العکس فی المحبوب فإنّ علامة الحبّ توجب التوافق والتشابه فی الحالة؛ ومن هذه الآیات بضمیمة ما تقدّم من فریضة مودّة أهل البیت فی آیة المودّة لذوی القربی نستخلص هذه القاعدة القرآنیّة، وهی فریضة الفرح لفرح أهل البیت والحزن لحزنهم علیهم السلام</w:t>
      </w:r>
      <w:r>
        <w:rPr>
          <w:rFonts w:eastAsia="IRNazanin" w:cs="IRNazanin"/>
          <w:color w:val="111111"/>
          <w:sz w:val="28"/>
          <w:szCs w:val="28"/>
          <w:rtl w:val="true"/>
          <w:lang w:bidi="fa-IR"/>
        </w:rPr>
        <w:t>.</w:t>
      </w:r>
      <w:bookmarkStart w:id="374" w:name="pg2944_24539"/>
    </w:p>
    <w:p>
      <w:pPr>
        <w:pStyle w:val="Heading4"/>
        <w:numPr>
          <w:ilvl w:val="3"/>
          <w:numId w:val="1"/>
        </w:numPr>
        <w:rPr/>
      </w:pPr>
      <w:bookmarkStart w:id="375" w:name="__RefHeading___Toc110678_2749589250"/>
      <w:bookmarkStart w:id="376" w:name="_Toc141"/>
      <w:bookmarkEnd w:id="374"/>
      <w:bookmarkEnd w:id="375"/>
      <w:r>
        <w:rPr>
          <w:rtl w:val="true"/>
        </w:rPr>
        <w:t>الدلیل الثالث</w:t>
      </w:r>
      <w:bookmarkEnd w:id="376"/>
    </w:p>
    <w:p>
      <w:pPr>
        <w:pStyle w:val="BookText"/>
        <w:rPr/>
      </w:pPr>
      <w:r>
        <w:rPr>
          <w:rFonts w:ascii="IRNazanin" w:hAnsi="IRNazanin" w:eastAsia="IRNazanin"/>
          <w:color w:val="111111"/>
          <w:sz w:val="28"/>
          <w:sz w:val="28"/>
          <w:szCs w:val="28"/>
          <w:rtl w:val="true"/>
          <w:lang w:bidi="fa-IR"/>
        </w:rPr>
        <w:t>شمول عناوین أخری للشعائر الحسینیّة،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إحیاء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أحیی أمرنا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العنوان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أمرهم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 علی إحیاء العزاء الحسینیّ ومذاکرة ما جری علی أهل البیت من مصائب فیتناول الشعائر الحسینیّة، سواء المرسومة فی زمنهم علیهم السلام أو المستجدّة المستحدثة المتّخذة، ولا یقتصر علی الشعائر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الروایات فی مصادر 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کتب الشیخ الصدوق قدس سره کالأمالی والخصال وعیون أخبار الرضا علیه السلام ومعانی الأخبار وکتاب دعوات الراوندیّ وکتاب المحاسن للبرقیّ وکتاب بصائر الدرجات للصفّار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المزار للمشهدیّ وقُرب الإسناد والمُستطرفات فی السرائر لابن ادریس الحلیّ بحیث تصل هذه الروایات إلی عشرین طریقاً وهناک الکثیر من المصادر یجدها المتتبّع فی مظانّها</w:t>
      </w:r>
      <w:r>
        <w:rPr>
          <w:rFonts w:eastAsia="IRNazanin" w:cs="IRNazanin"/>
          <w:color w:val="111111"/>
          <w:sz w:val="28"/>
          <w:szCs w:val="28"/>
          <w:rtl w:val="true"/>
          <w:lang w:bidi="fa-IR"/>
        </w:rPr>
        <w:t>.</w:t>
      </w:r>
    </w:p>
    <w:p>
      <w:pPr>
        <w:pStyle w:val="Heading4"/>
        <w:numPr>
          <w:ilvl w:val="3"/>
          <w:numId w:val="1"/>
        </w:numPr>
        <w:rPr/>
      </w:pPr>
      <w:bookmarkStart w:id="377" w:name="__RefHeading___Toc110680_2749589250"/>
      <w:bookmarkStart w:id="378" w:name="_Toc142"/>
      <w:bookmarkEnd w:id="377"/>
      <w:r>
        <w:rPr>
          <w:rtl w:val="true"/>
        </w:rPr>
        <w:t>الدلیل الرابع</w:t>
      </w:r>
      <w:bookmarkEnd w:id="378"/>
    </w:p>
    <w:p>
      <w:pPr>
        <w:pStyle w:val="BookText"/>
        <w:rPr/>
      </w:pPr>
      <w:r>
        <w:rPr>
          <w:rFonts w:ascii="IRNazanin" w:hAnsi="IRNazanin" w:eastAsia="IRNazanin"/>
          <w:color w:val="111111"/>
          <w:sz w:val="28"/>
          <w:sz w:val="28"/>
          <w:szCs w:val="28"/>
          <w:rtl w:val="true"/>
          <w:lang w:bidi="fa-IR"/>
        </w:rPr>
        <w:t>العمومات التی وردت فی باب الشعائر الدینیّة فی الحثّ علی زیارتهم وتعمیر قبورهم وتعاهدها ویتّضح من ألفاظ وأسلوب الزیارة أنّها نوع ندبة ومأتم یقیمه المؤمن خلال فترة الزیارة، لیتذکّر من خلاله ما جری علیهم من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قتیل الله وابن قتیله، السلام علیک یا ثار الله وابن ثاره أشهد أنّ دمَکَ سکَن فی الخُلد، واقشعرّت له أظلّةُ العرش، وبکی له</w:t>
      </w:r>
    </w:p>
    <w:p>
      <w:pPr>
        <w:pStyle w:val="BookText"/>
        <w:rPr/>
      </w:pPr>
      <w:r>
        <w:rPr>
          <w:rFonts w:ascii="Amiri" w:hAnsi="Amiri" w:eastAsia="Amiri" w:cs="Amiri"/>
          <w:color w:val="111111"/>
          <w:sz w:val="28"/>
          <w:sz w:val="28"/>
          <w:szCs w:val="28"/>
          <w:rtl w:val="true"/>
          <w:lang w:bidi="ar-SA"/>
        </w:rPr>
        <w:t>جمیعُ الخلائق، وبکَت له السماواتُ السبع والأرضونَ السبعُ وما فیهنّ وما بینهنّ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إحدی الزیارات لمولانا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أنت أوّلُ مَظلومٍ وأوّلُ من غُصِبَ حقّه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 ودعوت إلی سبیل ربّک بالحِکمة والموعظة الحسنة، وأشهد أنّ الذین سفکوا دَمک واستحلّوا حُرمتک ملعونون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ومن قُتل معک شهداء أحیاء عند ربکم تُرزقون وأشهد أن قاتلک فی النار</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نوع رثاء وندبة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صاحب وسائل الشیعة الشیخ الحرّ العاملیّ قدس سره فی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زیارتهم أو تعمیر قبورهم علیهم السلام، أو إقامة المأتم علیهم، أو إنشاد الشعر أو الرثاء فی آخر باب الحجّ،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یربو علی أربعین باباً وجلّها من طرق معتبرة، کالصحیح أو الصحیح الأعلی أو الموثّق وظاهرها هو الحثّ علی زیارتهم علیهم السلام وتعاهد قبورهم وتعمیرها والترغیب فی الرثاء وإنشاد الشعر لمصابهم، وأیضاً الأمر بالبکاء علی مصائبهم وما جری علیهم علیهم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صاحب البحار العلاّمة المجلسیّ قدس سره أیضاً، عن غیر المصادر التی ینقل عنها صاحب الوسائل، وقد عقد فی البحار کتاباً للمزار ج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وعلاوة علی ذلک، فإنّ بعض علماء الإمامیّة المتقدّمین، مثل ابن قولویه عقد وألّف کتاباً خاصّاً فی ذلک، وهو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وهو کتاب یختصّ فی هذا الباب وکذلک صنع تلمیذُه الشیخ المفید والشیخ الطوسیّ فی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طاووس فقد أکثر فی هذا الباب العشرات من الکتب نقلاً عن المئات من المصادر التی وصلت إلیه وألّف الشهید الأول ألّف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عقد ابن ادریس فی السرائر باباً للمزار ویلاحظ هذا الطرز من إدخال باب المزار فی کتب الفقه ممّا یدلّ علی کون ذلک ظاهرة منتشرة فی کتب الفقهاء فی الصدر الأوّل، بدءاً بالمقنع والهدایة للصدوق ورسالة أبیه الشیخ ابن بابویه</w:t>
      </w:r>
      <w:r>
        <w:rPr>
          <w:rStyle w:val="FootnoteAnchor"/>
          <w:rtl w:val="true"/>
        </w:rPr>
        <w:footnoteReference w:id="160"/>
      </w:r>
      <w:r>
        <w:rPr>
          <w:rFonts w:ascii="IRNazanin" w:hAnsi="IRNazanin" w:eastAsia="IRNazanin"/>
          <w:color w:val="111111"/>
          <w:sz w:val="28"/>
          <w:sz w:val="28"/>
          <w:szCs w:val="28"/>
          <w:rtl w:val="true"/>
          <w:lang w:bidi="fa-IR"/>
        </w:rPr>
        <w:t>، والمفید فی المقنعة إلی حوالی القرآن السابع والثامن الهجری وهناک متناثرات عدیدة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فالمستقرئ فی کتب الشیعة یری أنّ هناک مصادر عدیدة تحتوی هذه العناوین المتنوّعة، من الزیارة وتعهّد القبور والرثاء فی الشعر والنثر وثواب البکاء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بهذا المقدار نستطیع القول بأنّ الأدلّة فی باب إحیاء الشعائر الحسینیّة تنقسم إلی طوائف مختلفة وأنّ ألسنتها عدیدة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فی الجهة الثانیة أنّ لدینا أدلّة شرعیّة متعدّدة، سواء فی باب الولایة أو التولّی والتبریّ من إعدائهم أو الصنف الثالث المتعلّق بإحیاء أمرهم، أو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المرتبط بزیارتهم ورثائهم والبکاء علیهم وتعاهد قبورهم وإعمارها ممّا یثبت وجود الأدلّة الشرعیّة الخاصّة والعامّة الدالّة علی باب الشعائر الحسینیّة</w:t>
      </w:r>
      <w:r>
        <w:rPr>
          <w:rFonts w:eastAsia="IRNazanin" w:cs="IRNazanin"/>
          <w:color w:val="111111"/>
          <w:sz w:val="28"/>
          <w:szCs w:val="28"/>
          <w:rtl w:val="true"/>
          <w:lang w:bidi="fa-IR"/>
        </w:rPr>
        <w:t>.</w:t>
      </w:r>
      <w:bookmarkStart w:id="379" w:name="pg2944_245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10682_2749589250"/>
      <w:bookmarkStart w:id="381" w:name="_Toc143"/>
      <w:bookmarkEnd w:id="379"/>
      <w:bookmarkEnd w:id="380"/>
      <w:r>
        <w:rPr>
          <w:rtl w:val="true"/>
        </w:rPr>
        <w:t>الجهة الثالثة</w:t>
      </w:r>
      <w:r>
        <w:rPr>
          <w:rtl w:val="true"/>
        </w:rPr>
        <w:t xml:space="preserve">: </w:t>
      </w:r>
      <w:r>
        <w:rPr>
          <w:rtl w:val="true"/>
        </w:rPr>
        <w:t>أقسام الشعائر الحسینیّة</w:t>
      </w:r>
      <w:bookmarkEnd w:id="381"/>
    </w:p>
    <w:p>
      <w:pPr>
        <w:pStyle w:val="BookText"/>
        <w:rPr/>
      </w:pPr>
      <w:r>
        <w:rPr>
          <w:rFonts w:ascii="IRNazanin" w:hAnsi="IRNazanin" w:eastAsia="IRNazanin"/>
          <w:color w:val="111111"/>
          <w:sz w:val="28"/>
          <w:sz w:val="28"/>
          <w:szCs w:val="28"/>
          <w:rtl w:val="true"/>
          <w:lang w:bidi="fa-IR"/>
        </w:rPr>
        <w:t>تنقسم الشعائر الحسینیّة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والعزاء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وغیرها من أقسام الشعائر الحسینیّة ونحاول أن نذکر النقض والإبرام فی أکثر تلک الأقسام وکذلک نتعرّض لأجوبة بعض التساؤلات التی تُثار حول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بادئ ذی بدء فی هذه الجهة أن نتعرض إلی الروایة فی الشعائر الحسینیّة أی روایة الخطیب عن أحداث النهضة الحسینیّة أو روایة الشاعر فی شعره، أو روایة الکاتب فی نثره لأنّ هناک لغطاً کثیراً وخبطاً کبیراً فی الضابطة والملاک فی هذا البحث هل هو المیزان التألیفیّ أم المیزان الفقهیّ، أم أنّه میزان الروایة القصصیّة ما هی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أن نعقد لذلک بحثاً مفصلاً فی البدایة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استعراض الأدلّة الخاصّة أو العامّة الواردة فی الشعائر الحسینیّة ومصادرها ومظانّها بحسب تحلیل الشعائر الحسینیّة، فقد مرّ بنا تکثّر العناوین الواردة فیها ولأن کلّ شعیرة هی علامة ومعلم لمعنی من الأحکام الدینیّة، ومن ثمَّ تتبع تلک الشعیرة دلیلَ ذلک المعنی والحکم الدینیّ، فنستنتج أنّ الشعائر الحسینیّة لا تنحصر بعدد محدود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تقسیمات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الخطابة، الشعر، الکتابة، الرثاء، 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المسرح، الفیلم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العزاء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اللطم، وضرب السلاسل، والتطبیر</w:t>
      </w:r>
    </w:p>
    <w:p>
      <w:pPr>
        <w:pStyle w:val="BookText"/>
        <w:rPr/>
      </w:pPr>
      <w:r>
        <w:rPr>
          <w:rFonts w:ascii="IRNazanin" w:hAnsi="IRNazanin" w:eastAsia="IRNazanin"/>
          <w:color w:val="111111"/>
          <w:sz w:val="28"/>
          <w:sz w:val="28"/>
          <w:szCs w:val="28"/>
          <w:rtl w:val="true"/>
          <w:lang w:bidi="fa-IR"/>
        </w:rPr>
        <w:t>والمواکب المختلفة فأشکال وصور العزاء الحسینیّ کثیرة جداً وکلّ منها یختصّ بأبحاث ربّما تختلف عن العناوین الأخری فلا بدّ من إیقاع بحث لکلٍّ منها علی حِدة وعلی الرغم من أنّ هناک أبحاثاً مشترکة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التقسیمات فی هذه الجهة لا تقتصر علی ما ذکرنا بل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ونواحی الإعلام فی الشعائر الحسینیّة مثل لُبس السواد، وهو الزیّ الخاص المعبّر عن الحداد والحزن، واستخدام الرایات والأعلام فی الحسینیّات والمواکب والشوارع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أقسام الشعائر تتّسع الی کلّ ما هو مرسوم أو متّخذ، وما یُستحدث وما یستجدّ من صور وأشکال لإبراز الحُزن والتفجّع، وإظهار التأسف والتأسّی والمواساة لأهل البیت علیهم السلام فالتقسیم غیر محصور طبقاً لعموم قاعدة الشعائر الدینیّة الشاملة للمصادیق المستجدّة، لاسیّما فی دلالة نفس الأدلّة الخاصّة فلا تنحصر بمصادیق معینة کی یطالب الباحث بدلیل خاص حول هذا النوع الخاصّ من الشعیرة أو تلک الشعیرة التی لم تکن فی زمن الأئمّة علیهم السلام وهذا ما ذکرناه سابقاً فی البحث عن الجهات العامّة فی قاعدة الشعائر الدینیّة ومع ذلک سنبحث عن بعض الأدلّة الواردة فی الشعائر الحسینیّة، وأنّها لا تنحصر فی المصادیق المعهودة فی زمنهم علیهم السلام بل تکون شاملة للمصادیق المستجدّة والمستحدثة کذلک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فالتقسیمات غیر منحصرة، بل متّسعة بمقتضی ما حُرر فی الجهات العامة فی‌قاعدة الشعائر الدینیّة، وبمقتضی ما سیتبیّن بالخصوص لبعض الادلّة الخاصّة المتعرّضة للشعائر الحسینیّة</w:t>
      </w:r>
      <w:r>
        <w:rPr>
          <w:rFonts w:eastAsia="IRNazanin" w:cs="IRNazanin"/>
          <w:color w:val="111111"/>
          <w:sz w:val="28"/>
          <w:szCs w:val="28"/>
          <w:rtl w:val="true"/>
          <w:lang w:bidi="fa-IR"/>
        </w:rPr>
        <w:t>.</w:t>
      </w:r>
      <w:bookmarkStart w:id="382" w:name="pg2944_24547"/>
    </w:p>
    <w:p>
      <w:pPr>
        <w:pStyle w:val="Heading3"/>
        <w:numPr>
          <w:ilvl w:val="2"/>
          <w:numId w:val="1"/>
        </w:numPr>
        <w:rPr/>
      </w:pPr>
      <w:bookmarkStart w:id="383" w:name="__RefHeading___Toc110684_2749589250"/>
      <w:bookmarkStart w:id="384" w:name="_Toc144"/>
      <w:bookmarkEnd w:id="382"/>
      <w:bookmarkEnd w:id="383"/>
      <w:r>
        <w:rPr>
          <w:rtl w:val="true"/>
        </w:rPr>
        <w:t>الجهة الرابعة</w:t>
      </w:r>
      <w:r>
        <w:rPr>
          <w:rtl w:val="true"/>
        </w:rPr>
        <w:t xml:space="preserve">: </w:t>
      </w:r>
      <w:r>
        <w:rPr>
          <w:rtl w:val="true"/>
        </w:rPr>
        <w:t>الروایة فی الشعائر الحسینیة</w:t>
      </w:r>
      <w:bookmarkEnd w:id="3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110686_2749589250"/>
      <w:bookmarkStart w:id="386" w:name="_Toc145"/>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حکم الروایة لواقعة کربلاء، سواء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أو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الخطابة وتصویر مسرح الأحداث التی واجهها الإمام علیه السلام، وعَرْض الخطوات التی أقدَم علیها علیه السلام، وملابسات الظروف التی حفّت آنذاک به وبأصحابه، وما صدر من أعدائه من قساوة وتحدٍّ لله‌ولرسوله ولأهل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المیزان فی بحث الروایة فی واقعة عاشوراء أو فی الشعائر الحسینیّة هل الروایة هی روایة تاریخیّة؟ أم هی روایة شرعیّة؟ وإذا کانت شرعیّة، فهل هی فی باب الفروع والأحکام الفرعیّة؟ أم هی روایة فی باب العقائد؟ لابدّ من معرفة کیفیّة بحث الروایة فی واقعة کربلاء، والشعائر الحسینیّة بأقسامها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الروایة مادّة متکرّرة فی کثیر من أقسام الشعائر الحسینیّة، سواء فی الشعر أو النثر أو الخطابة أو مواکب العزاء وما شابه ذلک، فلا بدّ من الوقوف عندها ومعرفة ضوابطها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کثر الکلام فی ذلک فکلٌّ یعطی ضابطة تروق له ویفنّد غیرها، فلابدّ من البحث عن ضابطة معیّنة صحیحة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الجهة الرابعة هناک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ضابطة الروایة فی الشعائر الحسینیّة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استخلاص المفاد من الروایة فی واقعة کربلاء والشعائر الحسینیّة، أی منهج الاستظهار والإستنباط والتحلیل، وأنّ أداة التحلیل فی مفاد الروایات الواردة علی أیّ نمط کانت فی المقام الأوّل؟</w:t>
      </w:r>
      <w:r>
        <w:rPr>
          <w:rFonts w:eastAsia="IRNazanin" w:cs="IRNazanin"/>
          <w:color w:val="111111"/>
          <w:sz w:val="28"/>
          <w:szCs w:val="28"/>
          <w:rtl w:val="true"/>
          <w:lang w:bidi="fa-IR"/>
        </w:rPr>
        <w:t>.</w:t>
      </w:r>
      <w:bookmarkStart w:id="387" w:name="pg2944_24550"/>
    </w:p>
    <w:p>
      <w:pPr>
        <w:pStyle w:val="Heading4"/>
        <w:numPr>
          <w:ilvl w:val="3"/>
          <w:numId w:val="1"/>
        </w:numPr>
        <w:rPr/>
      </w:pPr>
      <w:bookmarkStart w:id="388" w:name="__RefHeading___Toc110688_2749589250"/>
      <w:bookmarkStart w:id="389" w:name="_Toc146"/>
      <w:bookmarkEnd w:id="387"/>
      <w:bookmarkEnd w:id="388"/>
      <w:r>
        <w:rPr>
          <w:rtl w:val="true"/>
        </w:rPr>
        <w:t>أمّا المقام الأوّل</w:t>
      </w:r>
      <w:bookmarkEnd w:id="389"/>
    </w:p>
    <w:p>
      <w:pPr>
        <w:pStyle w:val="Heading5"/>
        <w:numPr>
          <w:ilvl w:val="4"/>
          <w:numId w:val="1"/>
        </w:numPr>
        <w:rPr/>
      </w:pPr>
      <w:bookmarkStart w:id="390" w:name="__RefHeading___Toc110690_2749589250"/>
      <w:bookmarkStart w:id="391" w:name="_Toc147"/>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فالروایة لواقعة کربلاء، هل هی روایة تاریخیّة، أم قصصیّة، أم روایة فی باب الفروع، أم هی روایة فی باب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بعض من الباحثین والمحقّقین یتشدّد فی قصّ الروایة عن واقعة کربلاء والبحث عنها مثلما یتشدّد فی الروایة التی یعتمد علیها فی استنباط الحکم الفقهیّ فلذا یتعامل مع روایة الواقعة بدقّة علمیّة بالغة، ویؤکّد علی ضرورة أن تکون الروایة مُسنَدة وصحیحة وأنّها لابدّ أن تکون من کتاب معتبر، وغیر ذلک من الضوابط والشروط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آخر یتشدّد أکثر من ذلک، حیث إنّ واقعة کربلاء بتفاصیلها وجزئیّاتها والعِبر التی فیها هی قضایا عقائدیّة، فینبغی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التشدّد أکثر، وسبر الروایة فیها بدرجة أشدّ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تری البعض یمارس الروایة القصصیّة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سرد الواقعة یأخذ طابع الروایة القصصیّة، کما یصدر هذا النوع غالباً من القائمین علی إحیاء الشعائر مباشرة هناک من یعرضها علی غرار الروایة التاریخیّة المطلقة وکما أنّ عدم الإسهام فی الشعائر الحسینیّة جنبة سلبیّة، فإنّ عدم التقیّد فی الشعائر الحسینیّة بالمصادر والمراجع لا یقلّ سلبیّة عن عدم المساهمة فعدم التقیّد فی کیفیّة النقل فی الروایة لتطبیق مضمونها فی الصور المختلفة بالاستعانة بالروایة فی واقعة کربلاء، وعدم التقیّد بما هو منضبط وصادق وصحیح وله مدرک ودلیل فیه من الضرر للشعائر الحسینیّة ممّا قد یکون بنسبة الضرر ممّن یتهجّم علی الشعائر الحسینیّة ولا یساهم فیها؛ مثل هذا الناقل غیر المتقیّد لن یؤثّر عمله إلاّ تأثیراً مضادّاً ولن یکون دوره فی السلبیّة أقل من المعارض للشعائر أو غیر المساهم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أنّ الشعائر الدینیّة المرتبطة بواقعة کربلاء إنّما تمثّل شعیرة عامّة فی الدین ولیس شعیرة خاصّة وأنّ من أهمّ وجوه نهضته علیه السلام هو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المعروف یشمل التوحید وأصول الدین وفروعه، لأنّ کلّ ذلک معروف یجب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أنّ المنکر یشمل الشِرک والکُفر إلی آخر المنکرات الفرعیّة فی باب السیاسة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المالیّ والقضائیّ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ذلک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باب الشعائر الحسینیّة وعنوان نهضته علیه السلام قد صرّح بها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 رسول الله صلی الله علیه وآله وسلم وأن آمر بالمعروف وأنهی عن المُنکَر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وإحیاء هذه الفریضة العظیمة هو المحافظة علی الدین،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محمدّیّ الوجود، حسینیّ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الشعائر تنهدم الفرائض ویضمحلّ الدین وینحسر الهدی، وبها تقوی أرکان الشریعة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أول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الفرائض التی لا یمکن أن تُقام بدون تلک الشعائر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الشعائر الحسینیّة فریضة مقدّسة ومهمّة عظیمة وعظمتها مترشّحة من عظمة الدین وعظمة الولایة، وکما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الشعائر الحسینیّة فی تحلیلها الماهَویّ هی</w:t>
      </w:r>
      <w:bookmarkStart w:id="392" w:name="pg2944_24552"/>
    </w:p>
    <w:p>
      <w:pPr>
        <w:pStyle w:val="BookText"/>
        <w:rPr/>
      </w:pPr>
      <w:bookmarkEnd w:id="392"/>
      <w:r>
        <w:rPr>
          <w:rFonts w:ascii="IRNazanin" w:hAnsi="IRNazanin" w:eastAsia="IRNazanin"/>
          <w:color w:val="111111"/>
          <w:sz w:val="28"/>
          <w:sz w:val="28"/>
          <w:szCs w:val="28"/>
          <w:rtl w:val="true"/>
          <w:lang w:bidi="fa-IR"/>
        </w:rPr>
        <w:t>علامة ورمز للإمامة ولمسیرة الإمامة الإلهیّة، تمییزاً لها عن الخلافة البشریّة المنحرفة فلا یمکن التفریط والتهاون بالشعائر الحسینیّة بل لابدّ من التحفّظ والاهتمام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أنّ واقعة کربلا ونهضة الحسین علیه السلام وفعل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أن الأئمّة قد أبرزوا ذلک فی الحسین علیه السلام باعتباره قدوة الأحرار وسیّد الأُباة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شعار ومنار لمعانٍ سامیة وأهداف خالدة، وهی شعار الصدق وشعار الحقیقة وشعار الإباء والهُدی</w:t>
      </w:r>
      <w:r>
        <w:rPr>
          <w:rFonts w:eastAsia="IRNazanin" w:cs="IRNazanin"/>
          <w:color w:val="111111"/>
          <w:sz w:val="28"/>
          <w:szCs w:val="28"/>
          <w:rtl w:val="true"/>
          <w:lang w:bidi="fa-IR"/>
        </w:rPr>
        <w:t>.</w:t>
      </w:r>
    </w:p>
    <w:p>
      <w:pPr>
        <w:pStyle w:val="Heading5"/>
        <w:numPr>
          <w:ilvl w:val="4"/>
          <w:numId w:val="1"/>
        </w:numPr>
        <w:rPr/>
      </w:pPr>
      <w:bookmarkStart w:id="393" w:name="__RefHeading___Toc110692_2749589250"/>
      <w:bookmarkStart w:id="394" w:name="_Toc148"/>
      <w:bookmarkEnd w:id="393"/>
      <w:r>
        <w:rPr>
          <w:rtl w:val="true"/>
        </w:rPr>
        <w:t>مبالغة الجهد علمیاً وعملیاً</w:t>
      </w:r>
      <w:bookmarkEnd w:id="394"/>
    </w:p>
    <w:p>
      <w:pPr>
        <w:pStyle w:val="BookText"/>
        <w:rPr/>
      </w:pP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للمشارک والمساهم فی الشعائر الحسینیّة من المبالغة فی بذل الجهد العِلمیّ والعَملیّ، لأنّ وفرة الجهود العلمیّة تحول دون الإندراس الوثائقیّ لهذه الحقیقة الدینیّة التاریخیّة العظمی، لاسیّما مع تطاول القرون والعصور لابدّ إذن من المواظبة علی حفظ الموازین الشرعیّة والتوصیات العامّة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الأخلاق والآداب والالتزام الدینیّ، لاجتناب ضیاع وخسران الأهداف التی جُعلت الشعائر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ولنتعرّض إلی ضوابط هذه الاتجاهات فی الروایة ما هی ضابطة الروایة التاریخیّة؟ والقصصیّة؟ والتی هی فی باب الفروع؟ أو فی باب العقائد؟</w:t>
      </w:r>
      <w:r>
        <w:rPr>
          <w:rFonts w:eastAsia="IRNazanin" w:cs="IRNazanin"/>
          <w:color w:val="111111"/>
          <w:sz w:val="28"/>
          <w:szCs w:val="28"/>
          <w:rtl w:val="true"/>
          <w:lang w:bidi="fa-IR"/>
        </w:rPr>
        <w:t>.</w:t>
      </w:r>
    </w:p>
    <w:p>
      <w:pPr>
        <w:pStyle w:val="Heading5"/>
        <w:numPr>
          <w:ilvl w:val="4"/>
          <w:numId w:val="1"/>
        </w:numPr>
        <w:rPr/>
      </w:pPr>
      <w:bookmarkStart w:id="395" w:name="__RefHeading___Toc110694_2749589250"/>
      <w:bookmarkStart w:id="396" w:name="_Toc149"/>
      <w:bookmarkEnd w:id="395"/>
      <w:r>
        <w:rPr>
          <w:rtl w:val="true"/>
        </w:rPr>
        <w:t>الروایة التاریخیّة</w:t>
      </w:r>
      <w:bookmarkEnd w:id="396"/>
    </w:p>
    <w:p>
      <w:pPr>
        <w:pStyle w:val="BookText"/>
        <w:rPr/>
      </w:pPr>
      <w:r>
        <w:rPr>
          <w:rFonts w:ascii="IRNazanin" w:hAnsi="IRNazanin" w:eastAsia="IRNazanin"/>
          <w:color w:val="111111"/>
          <w:sz w:val="28"/>
          <w:sz w:val="28"/>
          <w:szCs w:val="28"/>
          <w:rtl w:val="true"/>
          <w:lang w:bidi="fa-IR"/>
        </w:rPr>
        <w:t>ضابطتها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مذکورة فی مصدر تاریخیّ یُعتمد علیه بین فئة معیّنة أو فئات معیّنة، بحیث لم یظهر من صاحبه تدلیس أو إخفاء أو تغییر للحقائق وقد أصبح کتابه متداولاً مُعتمداً علیه فی الروایة التاریخیّة المقصود أن یکون مصدراً من المصادر فی البحث التاریخیّ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والکتب التاریخیّة الغالب فیها عدم ذکر السند أصلاً وفی علم التاریخ والروایة</w:t>
      </w:r>
    </w:p>
    <w:p>
      <w:pPr>
        <w:pStyle w:val="BookText"/>
        <w:rPr/>
      </w:pPr>
      <w:r>
        <w:rPr>
          <w:rFonts w:ascii="IRNazanin" w:hAnsi="IRNazanin" w:eastAsia="IRNazanin"/>
          <w:color w:val="111111"/>
          <w:sz w:val="28"/>
          <w:sz w:val="28"/>
          <w:szCs w:val="28"/>
          <w:rtl w:val="true"/>
          <w:lang w:bidi="fa-IR"/>
        </w:rPr>
        <w:t>التاریخیّة کلّما کان المصدر أقدم کان أثبت وأقوی لا بمعنی أنّ الکتاب التاریخیّ الذی کُتب فی القرن التاسع لا یُعتمد علیه، أو ما کُتب فی القرن الثالث عشر لا یُعتمد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یبقی مصدراً تاریخیّاً، غایة الأمر، أنّ المصادر التاریخیّة کلّما کانت أقدم کانت أثبت، والضابطة فی علم التاریخ وفی البحث التاریخیّ هی أنّ المؤرّخ أو الباحث التاریخیّ لا یعتمد علی نقل تاریخیّ کشی‌ءٍ مُسلَّم، ولا یُفنِّده لعدم ذِکر سنده وغالباً یکون ذکر السند فی کتب السیر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إسحاق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الضابطة عند التاریخیّ أنّه حینما یرید أن یرسم فی مقام الکشف والتنقیب عن واقعة تاریخیّة، یحاول أن یحصّل ما یرسم هذه الواقعة بکلّ أطرافها وزوایاها وأبعادها بتوسّط الفحص المتاخم للإطمئنان والوثوق ومن ثمّ یستفید من لفتات ونقولات تاریخیّة مختلفة تُعتبر بمثابة القرائن ولها أسالیب وفنون عدیدة فی علم التاریخ مثل کیفیّة تحصیل القرائن ومطابقة الأحداث بعضها مع البعض الآخر، وملاحظة التواریخ، والوفیات، وأدلّة الوقائع الهامّة، والطبقات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علم الرجال یُعدّ شعبة من شُعب عِلم التاریخ أو قُل، إنّ عِلم التاریخ یساهم مساهمة کبیرة جداً فی عِلم الرجال ولذلک فهناک مشابهة قریبة الصلة بین علم التاریخ وعلم الرجال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الباحث التاریخی دأبه هو تصیّد واقتناص الروایات والقرائن والقصاصات واللقطات المختلفة، حتّی یُرتّب ویشکّل ویرسم الصورة الخاصّة للواقعة التاریخیّة فإذا کان فی روایة الشعائر الحسینیّة من حیثیّة البحث والروایة التاریخیّة فمن الخطأ أن یُفنِّد السامع الروایة التاریخیّة ویواجهها بالإنکار بذریعة عدم وجود مستند لتلک الروایة لأنّ الروایة التاریخیّة لا یُقتَصر فیها علی المسانید بل المفروض فیها المصدر المعتمد المتقادم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 الإعتراض علی المصدر بأنّه متأخّر زماناً إذ الروایة التاریخیّة لا تُردّ إذا کان المصدر متأخّراً غایة الأمر أنّ المصدر المتأخّر بنفسه لا یُعتمَد علیه منفرداً بنفسه، بل یکون کقرینة محتملة لابدّ أن تنضمّ إلیها قرائن أخری فکون هذا الکتاب أو المقتل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العاشر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سبباً لطرحه، وإن کان موجباً لضعف الدرجة الاحتمالیّة للإعتبار؛ المهمّ أنّه ناقلٌ للکتاب أو للروایة التاریخیّة وإن لم یُکتب فیه السند وباب الروایة التاریخیّة لا یُطلب فیها ما یُطلب فی باب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بحث مبسوط، لکنّنا نذکره بشکل مختصر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فضابطة الروایة التاریخیّة أنّها تعتمد علی الکتب التاریخیّة المتداولة ولو کانت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الکتب المتقدّمة أکثر اعتماداً؛ وأنّ الباحث التاریخیّ یستنفذ جهده ووُسعه فی تحصیل القُصاصات والقرائن والشواهد إلی أن ترتسم له حقیقة الحال بحیث یوقفک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تلک القرائن والشواهد علی الصورة الحقیقیّة لهذه الواقعة التاریخیّة وهذا المنهج وهو منهج تحصیل الاطمئنان هو المتّبع فی العدید من العلوم، مثل عِلم الرجال، فإنّ عمدة مسلک علماء الرجال فی المفردات الرجالیّة</w:t>
      </w:r>
      <w:r>
        <w:rPr>
          <w:rStyle w:val="FootnoteAnchor"/>
          <w:rtl w:val="true"/>
        </w:rPr>
        <w:footnoteReference w:id="163"/>
      </w:r>
      <w:r>
        <w:rPr>
          <w:rFonts w:ascii="IRNazanin" w:hAnsi="IRNazanin" w:eastAsia="IRNazanin"/>
          <w:color w:val="111111"/>
          <w:sz w:val="28"/>
          <w:sz w:val="28"/>
          <w:szCs w:val="28"/>
          <w:rtl w:val="true"/>
          <w:lang w:bidi="fa-IR"/>
        </w:rPr>
        <w:t>فی التوثیق والتضعیف هو أن یقفوا علی حقیقة المفردة بغضّ النظر عن أقوال التوثیق وأقوال التضعیف وبغضّ النظر عمّا قیل فیها من جرح وتعدیل وإنّما یُعتدّ بالجرح والتعدیل کقرائن لا کمصادر منحصرة، وبالدرجة التی یحصل عندها الاطمئنان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عدّة مناهج رجالیّة فی‌هذا الباب؛ عمدتها منهج‌التحلیل والجمع لأکبر عدد من‌الشواهد والدلالات لتحصیل الإطمئنان برؤیة معیّنة، وهذا هونفس المنهج التاریخیّ وهو أن یصل‌الباحث إلی‌واقع حقیقة المفردة ودرجتها العلمیة ودرجتها الاجتماعیّة،</w:t>
      </w:r>
      <w:bookmarkStart w:id="397" w:name="pg2944_24555"/>
    </w:p>
    <w:p>
      <w:pPr>
        <w:pStyle w:val="BookText"/>
        <w:rPr/>
      </w:pPr>
      <w:bookmarkEnd w:id="397"/>
      <w:r>
        <w:rPr>
          <w:rFonts w:ascii="IRNazanin" w:hAnsi="IRNazanin" w:eastAsia="IRNazanin"/>
          <w:color w:val="111111"/>
          <w:sz w:val="28"/>
          <w:sz w:val="28"/>
          <w:szCs w:val="28"/>
          <w:rtl w:val="true"/>
          <w:lang w:bidi="fa-IR"/>
        </w:rPr>
        <w:t>ویعرف متی استقامت ومتی انحرفت وأیّ درجة من الانحراف فیها؟؟ إلی أن یصل إلی واقع الحال وهذا من دأب ومنحی المنهج التاریخیّ</w:t>
      </w:r>
      <w:r>
        <w:rPr>
          <w:rFonts w:eastAsia="IRNazanin" w:cs="IRNazanin"/>
          <w:color w:val="111111"/>
          <w:sz w:val="28"/>
          <w:szCs w:val="28"/>
          <w:rtl w:val="true"/>
          <w:lang w:bidi="fa-IR"/>
        </w:rPr>
        <w:t>.</w:t>
      </w:r>
    </w:p>
    <w:p>
      <w:pPr>
        <w:pStyle w:val="Heading5"/>
        <w:numPr>
          <w:ilvl w:val="4"/>
          <w:numId w:val="1"/>
        </w:numPr>
        <w:rPr/>
      </w:pPr>
      <w:bookmarkStart w:id="398" w:name="__RefHeading___Toc110696_2749589250"/>
      <w:bookmarkStart w:id="399" w:name="_Toc150"/>
      <w:bookmarkEnd w:id="398"/>
      <w:r>
        <w:rPr>
          <w:rtl w:val="true"/>
        </w:rPr>
        <w:t>ضابطة الروایة القصصیّة</w:t>
      </w:r>
      <w:bookmarkEnd w:id="399"/>
    </w:p>
    <w:p>
      <w:pPr>
        <w:pStyle w:val="BookText"/>
        <w:rPr/>
      </w:pPr>
      <w:r>
        <w:rPr>
          <w:rFonts w:ascii="IRNazanin" w:hAnsi="IRNazanin" w:eastAsia="IRNazanin"/>
          <w:color w:val="111111"/>
          <w:sz w:val="28"/>
          <w:sz w:val="28"/>
          <w:szCs w:val="28"/>
          <w:rtl w:val="true"/>
          <w:lang w:bidi="fa-IR"/>
        </w:rPr>
        <w:t>وقد تسمّی بالروایة التمثیلیّة أو الروایة التخییلیّة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القصصیّة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الروایة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مقام الإخبار بالجملة أو قُل لیست فی مقام الإخبار للمدلول المطابقیّ لکنّها فی مقام الإخبار للمدلول الالتزامیّ، نظیر باب الکنایة والتعریض بل هی متقوّمة بحیثیّة عدم الإخبار وإنّما تقتصر علی إنشاء تخیّل وتصوّر لمعانٍ تخیّلیّة ولها أقسام وفنون متعدّدة مذکورة فی الأدب القصصیّ وهو مختصّ بالعلوم الأدبیّة، أو بعلوم الفنون التشکیلیّة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موجودة حتّی فی علوم الحوزة الدینیّة، مثل علم البلاغة الذی یشمل البیان والمعانی والبدیع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تری القصة التی کتبها القصصیّ لا وجود لها بتاتاً، وأنّه لیس بصدد تألیف هذه القصّة فی مقام الإخبار بل الهدف المرجوّ من کتابة هذه القصة لأجل التوصّل إلی معنی آخر مثلاً من خلال القصة یحاول بیان معنی العدالة أو یسعی لتوضیح معنی سوء الخلق أو بذاءة الفاحشة، أو لذّة الروحانیّات والعبادات والأُنس بها،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فارق بین الروایة التاریخیّة والروایة القصصیّة المنوال القصصیّ والحبکة القصصیّة الغرض منه الحکایة عن معنی آخر وذلک المعنی الآخر هو المعنی الإلتزامیّ، فإن کان المعنی صادقاً یقال بأنّ هذا الراوی القصصیّ صادق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ذاک المعنی کاذباً أو قبیحاً، یُقال أنّ هذا الروای القصصیّ مدلّس أو متحلّل أو منحرف ولیس له هدف تربویّ نبیل، وأنّ إخباره کاذب، إذ من المسلّم قبح 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أردنا معرفة هدف الراوی القصصیّ فی قصّته، وأنّ روایته</w:t>
      </w:r>
    </w:p>
    <w:p>
      <w:pPr>
        <w:pStyle w:val="BookText"/>
        <w:rPr/>
      </w:pPr>
      <w:r>
        <w:rPr>
          <w:rFonts w:ascii="IRNazanin" w:hAnsi="IRNazanin" w:eastAsia="IRNazanin"/>
          <w:color w:val="111111"/>
          <w:sz w:val="28"/>
          <w:sz w:val="28"/>
          <w:szCs w:val="28"/>
          <w:rtl w:val="true"/>
          <w:lang w:bidi="fa-IR"/>
        </w:rPr>
        <w:t>القصصیّة کاذبة أو صادقة، وما هو موطن الموافقة وعدم الموافقة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موطن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اللازم مطابقته للواقع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الالتزامیّ للمغزی وموطن اللامطابقة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اللازم مطابقته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المدلول المطابقیّ للروایة القصصیّة، کما هو الحال فی الکنایة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القصصیّة بعد العلم بضابطتها تقع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نفس الأشخاص الذین تُذکر حولهم الروایة القصصیّة هم أشخاص موهومون وبعبارة أخری أنّ کلّ الروایة القصصیّة هی خیالیّة، ولکنّ معناها ومغزاها حقیقیّ، وقد یکون صادقاً وقد یکون کاذباً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فیه حقیقیّون لکنّ النسبة فی الروایات القصصیّة لیست نسبة حقیقیّة، بل نسبة قصصیّة، من أمثلة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دعبل الخزاعیّ فی قصیدته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الحسینَ مُجَدّلاً</w:t>
      </w:r>
    </w:p>
    <w:p>
      <w:pPr>
        <w:pStyle w:val="BookText"/>
        <w:rPr/>
      </w:pPr>
      <w:r>
        <w:rPr>
          <w:rFonts w:ascii="Amiri" w:hAnsi="Amiri" w:eastAsia="Amiri" w:cs="Amiri"/>
          <w:color w:val="111111"/>
          <w:sz w:val="28"/>
          <w:sz w:val="28"/>
          <w:szCs w:val="28"/>
          <w:rtl w:val="true"/>
          <w:lang w:bidi="ar-SA"/>
        </w:rPr>
        <w:t>وقد ماتَ عَطْشاناً بشطِّ فُراتِ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فهو لم یحضر ولم یشهد الواقعة لکنّه یرسم رسماً تصویریّاً فالزهراء علیها السلام لیست شخصاً تخیّلیاً وإنّما هی حقیقة والحسین علیه السلام أیضاً طرف فی هذه الصورة لکنّ هذا التجسیم والتمثیل شعریّ وإن کان قصصیّاً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یرید أن یُبیّن بواسطته معنیً معیّناً وهو عظم الفاجعة وشدّة المصیبة وفَداحة المصاب فالروایة القصصیّة تارة یکون المحمول فقط فیها قصصیّاً فرضیّاً فی القضیّة، وتارة یکون کلا الموضوع والمحمول معاً قصصیّاً تخیّلیّاً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حظر ولا منع من کون الروایة القصصیّة تضمّ طرفاً حقیقیّاً وطرفاً تخیّلیّاً، ولا یستلزم ذلک الکذب والتدلیس ولا ضرورة ولا لزوم أن تکون کلّ روایة قصصیّة</w:t>
      </w:r>
    </w:p>
    <w:p>
      <w:pPr>
        <w:pStyle w:val="BookText"/>
        <w:rPr/>
      </w:pPr>
      <w:r>
        <w:rPr>
          <w:rFonts w:ascii="IRNazanin" w:hAnsi="IRNazanin" w:eastAsia="IRNazanin"/>
          <w:color w:val="111111"/>
          <w:sz w:val="28"/>
          <w:sz w:val="28"/>
          <w:szCs w:val="28"/>
          <w:rtl w:val="true"/>
          <w:lang w:bidi="fa-IR"/>
        </w:rPr>
        <w:t>مجموعها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الخلط قد وقع عند البعض وهذا هو معنی لسان الحال الذی یعبّر عنه الخطباء والشعراء والذی له طرف حقیقیّ وطرف قصصیّ والطرف القصصیّ لیس بخرافة وأمّا الذی یُسمّی ذلک خرافة فهو لا یفهم معنی الروایة القصصیّة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یتعاطی أهل الفن الروایة القصصیّة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للإخبار عن الواقع بنفس المدلول المطابقیّ وإنّما لأجل الإخبار عن الواقع بالمدلول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المزبور یدلّ علی عدم فهم معنی الروایة القصصیّة نعم یجب علی الراوی فی الروایة القصصیّة أن ینصب قرینة لیس قرینة بلسان الحال بل قرینة واضحة مثل بیت الشعر الذی ذکرناه قبل قلیل لدعبل الخزاعیّ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أفاطم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القرینة علی أنّه لیس إخباراً عن الواقع بنفس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الفیلم کون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روایة قصصیّة والمسرحیّة أیضاً کذلک إذن لابدّ أن ینصب الراوی القَصصیّ قرینة معیّنة کی یمیّزها عن الروایة الخبریّة البحتة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یرسم الکاتب أو الخطیب أو الشاعر، أو الرادود أو الراثی صورة قصصیّة مفجِعة جدّاً عن واقعة کربلاء دون أن یکون فی مقام الإخبار ویبیّن أنّها لیست فی مقام الإخبار بقرینة معینة، إمّا لفظیّة أو حالیّة کی یصوّر شدة المصاب أو شدّة الخطب الذی مرّ علی سیّد الشهداء علیه السلام أو قوّة الإباء عنده علیه السلام أو تصلّبه علیه السلام فی ذات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 البعض ممن کتب فی المقاتل، أو فی الکتب التاریخیّة یفنّد تفنیداً شدیداً هذا الباب مع العلم بأنّ هذا الباب لا یمکن إغلاقه وإلغاؤه عن مسرح الشعائر، ولا حتّی عن الحیاة الاجتماعیّة والثقافیّة الیومیّة، ففی الحضارات المختلفة للبشر هناک کثیر من المعانی یمکن أن تصل إلی المجتمع ویُربّی علیها بتوسط دوالّ وعلامات أخری</w:t>
      </w:r>
      <w:r>
        <w:rPr>
          <w:rFonts w:eastAsia="IRNazanin" w:cs="IRNazanin"/>
          <w:color w:val="111111"/>
          <w:sz w:val="28"/>
          <w:szCs w:val="28"/>
          <w:rtl w:val="true"/>
          <w:lang w:bidi="fa-IR"/>
        </w:rPr>
        <w:t>.</w:t>
      </w:r>
      <w:bookmarkStart w:id="400" w:name="pg2944_24558"/>
    </w:p>
    <w:p>
      <w:pPr>
        <w:pStyle w:val="BookText"/>
        <w:rPr/>
      </w:pPr>
      <w:bookmarkEnd w:id="400"/>
      <w:r>
        <w:rPr>
          <w:rFonts w:ascii="IRNazanin" w:hAnsi="IRNazanin" w:eastAsia="IRNazanin"/>
          <w:color w:val="111111"/>
          <w:sz w:val="28"/>
          <w:sz w:val="28"/>
          <w:szCs w:val="28"/>
          <w:rtl w:val="true"/>
          <w:lang w:bidi="fa-IR"/>
        </w:rPr>
        <w:t>لأن المفروض أنّ المدلول الالتزامیّ القصصیّ أو المغزی هو معنی حقیقیّ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الجهة الرابعة من الشعائر الحسینیّة فی خصوص الروایة وأقسامها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والقصصیّة والشرعیّة الفرعیّة والعقائدیّة فی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بنا خصائص قانون الروایة التاریخیّة، وکذلک قانون الروایة القصصیّة</w:t>
      </w:r>
      <w:r>
        <w:rPr>
          <w:rFonts w:eastAsia="IRNazanin" w:cs="IRNazanin"/>
          <w:color w:val="111111"/>
          <w:sz w:val="28"/>
          <w:szCs w:val="28"/>
          <w:rtl w:val="true"/>
          <w:lang w:bidi="fa-IR"/>
        </w:rPr>
        <w:t>.</w:t>
      </w:r>
    </w:p>
    <w:p>
      <w:pPr>
        <w:pStyle w:val="Heading5"/>
        <w:numPr>
          <w:ilvl w:val="4"/>
          <w:numId w:val="1"/>
        </w:numPr>
        <w:rPr/>
      </w:pPr>
      <w:bookmarkStart w:id="401" w:name="__RefHeading___Toc110698_2749589250"/>
      <w:bookmarkStart w:id="402" w:name="_Toc151"/>
      <w:bookmarkEnd w:id="401"/>
      <w:r>
        <w:rPr>
          <w:rtl w:val="true"/>
        </w:rPr>
        <w:t>الروایة الشرعیّة</w:t>
      </w:r>
      <w:bookmarkEnd w:id="402"/>
    </w:p>
    <w:p>
      <w:pPr>
        <w:pStyle w:val="BookText"/>
        <w:rPr/>
      </w:pPr>
      <w:r>
        <w:rPr>
          <w:rFonts w:ascii="IRNazanin" w:hAnsi="IRNazanin" w:eastAsia="IRNazanin"/>
          <w:color w:val="111111"/>
          <w:sz w:val="28"/>
          <w:sz w:val="28"/>
          <w:szCs w:val="28"/>
          <w:rtl w:val="true"/>
          <w:lang w:bidi="fa-IR"/>
        </w:rPr>
        <w:t>أمّا الروایة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یُعتمد علیها فی استنباط الأحکام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فضابطتها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 الکتب المعتمدة بین الطائفة، والبعیدة عن شبهة الدسّ والتدلیس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وبحمد الله فإنّ کتب الطائفة مسطورة ومنتشرة ومعروفة وهی علی درجات فی شدّة الاعتبار وتوسّط الاعتبار ثمّ لابد أن تعتمد هذه الروایة الشرعیّة نفس الموازین المأخوذة والمُتبّعة فی الفروع فتجری علیها موازین الاعتبار والحجّیّة للروایة، فإمّا أن تکون صحیحة، أو موثّقة، أو حسنة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فمناط حجّیّة الخبر فی الفروع مختلفة حسب الأقوال وأمّا الخبر الضعیف إذا استخرج من کتاب مُعتبر فلا یُهمل ولا یُطرح جانباً بل علی الأقلّ یُتّخذ کقرینة تعضد بقیة الروایات أو یشکّل رقماً إضافیاً لتحقّق التواتر، حیث إنّ الخبر المتواتر یعتمد علی قاعدة ریاضیّة برهانیّة فی تولّد القطع، وهو تصاعد الإحتمالات نفیاً أو إیجاباً إلی أن نصل إلی درجة القطع فقد یُعتبر هذا الخبر مادّة للتواتر أو مادّة للإستفاضة، أو مادّة لاعتبار وثوق الخبر، فلا یمکن طرح الخبر الضعیف من رأس؛ وهذا محرّر أیضاً فی علم الدِرایة</w:t>
      </w:r>
      <w:r>
        <w:rPr>
          <w:rFonts w:eastAsia="IRNazanin" w:cs="IRNazanin"/>
          <w:color w:val="111111"/>
          <w:sz w:val="28"/>
          <w:szCs w:val="28"/>
          <w:rtl w:val="true"/>
          <w:lang w:bidi="fa-IR"/>
        </w:rPr>
        <w:t>.</w:t>
      </w:r>
      <w:bookmarkStart w:id="403" w:name="pg2944_24559"/>
    </w:p>
    <w:p>
      <w:pPr>
        <w:pStyle w:val="Heading5"/>
        <w:numPr>
          <w:ilvl w:val="4"/>
          <w:numId w:val="1"/>
        </w:numPr>
        <w:rPr/>
      </w:pPr>
      <w:bookmarkStart w:id="404" w:name="__RefHeading___Toc110700_2749589250"/>
      <w:bookmarkStart w:id="405" w:name="_Toc152"/>
      <w:bookmarkEnd w:id="403"/>
      <w:bookmarkEnd w:id="404"/>
      <w:r>
        <w:rPr>
          <w:rtl w:val="true"/>
        </w:rPr>
        <w:t>عدم جواز ردّ الخبر الضعیف</w:t>
      </w:r>
      <w:bookmarkEnd w:id="405"/>
    </w:p>
    <w:p>
      <w:pPr>
        <w:pStyle w:val="BookText"/>
        <w:rPr/>
      </w:pPr>
      <w:r>
        <w:rPr>
          <w:rFonts w:ascii="IRNazanin" w:hAnsi="IRNazanin" w:eastAsia="IRNazanin"/>
          <w:color w:val="111111"/>
          <w:sz w:val="28"/>
          <w:sz w:val="28"/>
          <w:szCs w:val="28"/>
          <w:rtl w:val="true"/>
          <w:lang w:bidi="fa-IR"/>
        </w:rPr>
        <w:t>وللخبر الضعیف أحکام تختلف عن أحکام الخبر المعتبر لا أنّه لیس له أیّ حکم أبداً وأحد أحکام الخبر الضعیف حُرمة ردّه ما لم یَذُدک عنه دلیلٌ قطعیّ لدلالة قطعیّة قرآنیّة، أو سُنّة قطعیّة یعنی إذا لم یتعارض مع الدلالة القطعیّة للکتاب والسُّنّة وحُرمة ردّ الخبر الضعیف قاعدة مُسلّمة عند الأصولیّین والأخباریّین وحرمة الردّ غیر حُجّیّة الخبر الکثیر یختلط علیه الأمر بین حُجّیّة الخبر وحُرمة الردّ حرمة الردّ تتناول حتّی الخبر الضعیف وقد عقد صاحب الوسائل فی أبواب کیفیّة القضاء أو کیفیّة حکم القاضی باباً یذکر فیه تلک الروایات الدالّة علی هذه القاعدة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الضعیف فی علم الدرایة والحدیث یختلف عن الخبر الموضوع والمدسوس والمجعول وتلک الأخبار تشمل الخبر الذی عُلم وَضْعه یُسمّی ذلک الخبر مدسوساً أو مجعولاً أو موضوهاً؛ أمّا الذی لم تتوفّر فیه شرائط الحجّیّة، فلا یُقال أنّه مدسوس أو موضوع لاسیّما بعد عملیة الغربلة والتنقیة والتنقیح التی قامت بها طبقات عدیدة من محدّثی الشیعة ورواتهم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الضعیف له أحکام إلزامیّة وقد ورد بیان لهذه القاعدة فی بعض الروایات بألسنة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الخبر بمنزلة الردّ علی الله سبحانه من فوق عرشه، أو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نکتة لها علاقة ببحث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کربلاء، واقعة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أحتفّ بها قبل وبعد وقوعها حوادث ومواقف ذات أهمیّة بالغة، تظافرت الدواعی والجهود لرصدها ونقلها مضافاً إلی التقدیر الإلهیّ لبقاء ذِکرها وخلود سیرتها</w:t>
      </w:r>
      <w:bookmarkStart w:id="406" w:name="pg2944_24560"/>
    </w:p>
    <w:p>
      <w:pPr>
        <w:pStyle w:val="BookText"/>
        <w:rPr/>
      </w:pPr>
      <w:bookmarkEnd w:id="406"/>
      <w:r>
        <w:rPr>
          <w:rFonts w:ascii="IRNazanin" w:hAnsi="IRNazanin" w:eastAsia="IRNazanin"/>
          <w:color w:val="111111"/>
          <w:sz w:val="28"/>
          <w:sz w:val="28"/>
          <w:szCs w:val="28"/>
          <w:rtl w:val="true"/>
          <w:lang w:bidi="fa-IR"/>
        </w:rPr>
        <w:t>إلی یوم القیامة والسرّ فی ذلک هو أهمیّتها فی مسار الدین ومسار المسلمین ولذلک تظافرت الدواعی والجهود لنقلها، حتّی إنّه قد ذکر غیر واحد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تُرصد واقعة تاریخیّة من حیث التفاصیل والأحداث والجهات الأخری کما رُصدت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هذه المادّة الوفیرة والکثیرة لا ینبغی لأحد أن یترک الضبط، غایة الأمر لابدّ من اتّباع الموازین کما سیتبیّن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عقد ابن عساکر فی تاریخ دمشق باباً خاصّاً فی تاریخ الحسین علیه السلام وما جری علیه من أحداث حتی شهادته علیه السلام ونقل بطرق عدیدة، وهو حافظ من الحفّاظ الکبار عند العامّة وذکر من مصادر عدیدة أنّ السماء بکت دماً وأنّه ما قُلب حجر یوم عاشوراء بعد مصرع سیّد الشهداء علیه السلام إلاّوکان خلفه 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 أرض الشامات وما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ابن عساکر حوادث أخری فی تاریخه، وذکرها غیره أیضاً، ومنهم الخطیب البغدادیّ فی تاریخه؛ ومن کتب العامّه التی تناولت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وتاریخ الطبریّ، والکامل لابن الأثیر وغیرها من مصادر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نُقلت واقعة الطفّ فی کثیر من مصادر الشیعة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أمالی الشیخ الصدوق قدس سره فیه عدة مجالس، إذا جُمعت تکون مقتل خاص، ویذکرها بأسانید له تصل إلی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لضابطة الروایة فی باب الفروع</w:t>
      </w:r>
      <w:r>
        <w:rPr>
          <w:rFonts w:eastAsia="IRNazanin" w:cs="IRNazanin"/>
          <w:color w:val="111111"/>
          <w:sz w:val="28"/>
          <w:szCs w:val="28"/>
          <w:rtl w:val="true"/>
          <w:lang w:bidi="fa-IR"/>
        </w:rPr>
        <w:t>.</w:t>
      </w:r>
    </w:p>
    <w:p>
      <w:pPr>
        <w:pStyle w:val="Heading5"/>
        <w:numPr>
          <w:ilvl w:val="4"/>
          <w:numId w:val="1"/>
        </w:numPr>
        <w:rPr/>
      </w:pPr>
      <w:bookmarkStart w:id="407" w:name="__RefHeading___Toc110702_2749589250"/>
      <w:bookmarkStart w:id="408" w:name="_Toc153"/>
      <w:bookmarkEnd w:id="407"/>
      <w:r>
        <w:rPr>
          <w:rtl w:val="true"/>
        </w:rPr>
        <w:t>الروایة فی باب العقائد</w:t>
      </w:r>
      <w:bookmarkEnd w:id="4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الروایة فی باب العقائد، فالذی علیه مشهور متکلّمی الشیعة أنّ العقائد لا تثبت إلاّبالخبر القطعیّ، ولا تثبت بالخبر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مشهور المحدّثین فقد ذهبوا إلی أنّ العقائد یمکن أن تثبت حتّی بالخبر الظنّیّ المُعتَدّ به وأمّا بقیّة فقهاء الشیعة فبعضهم التزم بأنّ العقائد لا تثبت إلاّبالخبر القطعیّ وذهب بعضهم إلی التفصیل، فالمعارف الأساسیّة لابدّ من الدلیل القطعیّ فی مقام إثباتها أمّا المعارف غیر الأساسیّة وتفاصیل وفروع المعارف،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نشأة البرزخ، وکیفیّة نشأة القیامة وتفاصیلها التی لا یصل إلیها العقل ونشأة الجنة وتفاصیلها فیمکن إثباتها بالأخبار الظنّیّة وقد ذکر هذه الاقوال الشیخ الأنصاریّ فی بحث الانسداد وذهب الی التفصیل الشیخ الطوسیّ والمحقّق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الخواجة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والمقدّس الأردبیلیّ، والمیرزا القمّیّ صاحب القوانین، والشیخ البهائیّ، والعلاّمة المجلسیّ والتزموا بإمکان ثبوت تفاصیل المعارف والعقائد بالأخبار الظنّیة اعتماداً علی الدلیل المعتبر الظنّیّ ومن المتأخّرین فی عصرنا ممّن اختار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قدس سره فی کتاب مصباح الأصول، ضمن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الظن فی الأصول الاعتقادیة</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وأستاذه المرحوم المحقّق الشیخ محمّدحسین الاصفهانیّ قدس سره فی شرحه علی الکفایة فی باب الانسداد حیث قرّر إمکان الإعتماد علی الدلیل الظنّیّ المعتبر فی تفاصیل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آثار وتقریرات المرحوم أقا ضیاء العراقیّ المیل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تشکّل من الخبر الواحد درجة من الاطمئنان أو التواتر أو الإستفاضة، فیمکن إثبات العقائد به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یتشکّل منه التواتر أو الاستفاضة فإن کان الخبر الواحد معتبراً، فهناک ثلّة من علماء الإمامیّة قدیماً وحدیثاً ذهبوا إلی إمکان إثبات فروع وتفاصیل العقائد بالخبر الظنّیّ المعتبر وإلاّ فیمکن جعله قرینة إضافیّة یُضَمّ إلی قرائن أخری لیقوی احتمال ثبوت المؤدّی وذلک حسب نظریّة تراکم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 باب النموذج فی أصول الکافی روایة معتبرة السند فی فضیلة لیلة القدر، عن الإمام أبی جعفر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 الله جلّ ذکره لیلة القدر، أوّل ما خلق الدنیا ولقد خلق فیها أوّل نبیّ یکون، وأوّل وصیّ یکون، ولقد قضی أن یکون فی کلّ سنة لیلة یهبط فیها بتفسیر الأمور إلی مثلها من السنة المقبلة من جحد ذلک فقدّ ردّ علی الله عز وجلّ عِلمه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تدلّ علی لزوم الأخذ بالخبر المعتبر فی تفاصیل العقائد؛ نظیر العدید من الروایات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کلّه فی مقام الروایة أی الروایة فی الواقعة العاشوریّة الروایة فی الشعائر الحسینیة، وقبل أن نتعرّض إلی المقام الثانی، وهو مقام تمحیص مفاد الروایة فی الشعائر الحسینیّة، نستخلص نقطة للمقام الأوّل</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أنّ الروایة التاریخیّة فی الضابطة التی ذکرناها هل لها موطن قدم فی الروایات المنقولة عن کربلاء وعن نهضة کربلاء؟ وما حال الروایة فیها؛ هل هی الروایة القصصیّة؟ أم الروایة فی الفروع؟ أم الروایة العقائدیّة؟ أم الروایة التاریخیّة؟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نهضة الإمام الحسین علیه السلام هی نهضة معصوم وفِعل معصوم، فمن ثمّ یجب أن تخضع الروایة التی ینقلها الخطیب أو الشاعر أو الراثی إلی موازین الروایة فی الفروع وإلاّ کانت تقوّلاً علی المعصوم علیه السلام، وأن یُنسب للمعصوم ما لا نملک دلیلاً علی نسبته إلیه؛ ولکنّ هذه الدعوی بإطلاقها غیر صحیحة، فنحن نسلّم أنّ نهضة الحسین علیه السلام فِعل المعصوم إلاّأن تاریخ النبیّ صلی الله علیه وآله وسلم وتاریخ بقیة الأئمة علیهم السلام أیضاً یخضع للضوابط</w:t>
      </w:r>
    </w:p>
    <w:p>
      <w:pPr>
        <w:pStyle w:val="BookText"/>
        <w:rPr/>
      </w:pPr>
      <w:r>
        <w:rPr>
          <w:rFonts w:ascii="IRNazanin" w:hAnsi="IRNazanin" w:eastAsia="IRNazanin"/>
          <w:color w:val="111111"/>
          <w:sz w:val="28"/>
          <w:sz w:val="28"/>
          <w:szCs w:val="28"/>
          <w:rtl w:val="true"/>
          <w:lang w:bidi="fa-IR"/>
        </w:rPr>
        <w:t>التاریخیّة، والهدف من الروایة المنقولة هو نقل مسرح الأحداث وتفاصیلها التی لا تتّصل بالمواقف الرئیسیة المتعلّقة بالحکم الشرعیّ أو العقائدیّ، أو من جهة أخذ العِبرة کما فی باب الآداب الشرعیّة أو العامّة أو أخذ العبرة فی باب الحکمة أی أنّنا لا نتوقّع من هذه الروایة التاریخیّة أن تُثبت فرعاً من الفروع أو حُکماً من الأحکام، فرعیّاً أو عقائدیّاً، وإنّما الهدف لما کان حکمه ثابتاً ومقرّراً أن نأخذ العبرة فی کیفیّة تطبیقه ونأخذ العبرة فی کیفیّة لزوم التقوی مثلاً ونأخذ العبرة فی ما شابه ذلک من السیر والسلوک الأخلاقیّ فإذن هذه هی ضابطة المادّة التاریخیّة والبحث التاریخیّ، وهو أن لا تُثبت حکماً فرعیّاً أو عقائدیّاً وإنّما الغایة هو أخذ العبرة والموعظة لما هو مقرّر وثابت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تثبت ضابطة البحث التاریخیّ، وهذا هو مجال الروایة التاریخیّة فی الواقعة الحسینیّة وفی نهضة الحسین علیه السلام وفی عاشوراء سواء فی الروایة، أو فی الکتابة، أو الخطابة، أو الشعر، أو غیر ذلک لاسیّما إذا کان هذا الأمر التاریخیّ واصلاً علی نحو الاستفاضة، بنفس الضوابط التاریخیة التی مرّ ذکرها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لیس کلّ ما یُسرد روایة فی باب أقسام الشعائر الحسینیّة من الخطابة والشعر والنثر والکتابة له حیثیّة أحکام فرعیّة أو عقائدیّة بل شطر منه من باب الروایة التاریخیّة والمواعظ والعبر وما یقوم به الواعظ أو المُرشد لبیان سیرة الأئمّة علیهم السلام وآدابهم ومظلومیّتهم لیس فی مقام تثبیت حکم شرعیّ ولا حکم عقائدیّ، وإنّما فی مقام تربیة السامع ووعظه وإرشاده فحینئذ فی مقام المواعظ والنصائح التی تقع فی مضانّها لا یُطالَب الناقل بالسند المعتبر، ولا یجری توخّی میزان الروایة فی باب الاستنباط والحکم الشرعیّ، بل ینبغی أن تجری ضابطة النقل التاریخیّ لأنّ الناقل فی مقام العبرة والموعظة وبیان الحکمة أو فی مقام الإخبار عن مجمل وتفاصیل الحدث لا مجریاته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مسرح ومجال الروایة التاریخیّة فی واقعة عاشوراء ونهضة الإمام الحسین علیه السلام هو هذا الجانب أی جانب العِبرة والموعظة والنصیحة والإرشاد والسرد لتفاصیل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أمیر المؤمنین علیه السلام فی نهج البلاغة فی خطبة غرّاء فی قواعد علم التاریخ هذا المضمون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وإن لم أکن عمّرتُ عُمْرَ مَن کان قبلی، فقد نظرتُ فی أعمالهم، وفکّرتُ فی أخبارهم، وسِرتُ فی آثارهم، حتّی عدتُ کأحدهم، بل کأنّی بما انتهی إلیّ من أمورهم قد عمّرت مع أوّلهم إلی آخرهم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والعِبر والموعظة والمعرفة التفصیلیّة لجزئیّات الأحداث مطلب یُغایر باب الاستنباط وتحریر الأحکام الشرعیّة وهذه هی ضابطة الروایة التاریخیّة فی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القصصیّة التی ذکرنا أنّ الخطباء والشعراء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یتعرّضون لها، أو ما یسمّی بالتمثیل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وغیره، حیث یؤتی بما یُعبّر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ولو تری أعینُ الزهراء قرَّتها</w:t>
      </w:r>
    </w:p>
    <w:p>
      <w:pPr>
        <w:pStyle w:val="BookText"/>
        <w:rPr/>
      </w:pPr>
      <w:r>
        <w:rPr>
          <w:rFonts w:ascii="Amiri" w:hAnsi="Amiri" w:eastAsia="Amiri" w:cs="Amiri"/>
          <w:color w:val="111111"/>
          <w:sz w:val="28"/>
          <w:sz w:val="28"/>
          <w:szCs w:val="28"/>
          <w:rtl w:val="true"/>
          <w:lang w:bidi="ar-SA"/>
        </w:rPr>
        <w:t>والنبلُ من فوقه کالهُدب ینعَقد</w:t>
      </w:r>
    </w:p>
    <w:p>
      <w:pPr>
        <w:pStyle w:val="BookText"/>
        <w:rPr/>
      </w:pPr>
      <w:r>
        <w:rPr>
          <w:rFonts w:ascii="Amiri" w:hAnsi="Amiri" w:eastAsia="Amiri" w:cs="Amiri"/>
          <w:color w:val="111111"/>
          <w:sz w:val="28"/>
          <w:sz w:val="28"/>
          <w:szCs w:val="28"/>
          <w:rtl w:val="true"/>
          <w:lang w:bidi="ar-SA"/>
        </w:rPr>
        <w:t>إذاً لحنَّتْ وأنَّتْ وانهمَت مُقَلٌ</w:t>
      </w:r>
    </w:p>
    <w:p>
      <w:pPr>
        <w:pStyle w:val="BookText"/>
        <w:rPr/>
      </w:pPr>
      <w:r>
        <w:rPr>
          <w:rFonts w:ascii="IRNazanin" w:hAnsi="IRNazanin" w:eastAsia="IRNazanin"/>
          <w:color w:val="111111"/>
          <w:sz w:val="28"/>
          <w:sz w:val="28"/>
          <w:szCs w:val="28"/>
          <w:rtl w:val="true"/>
          <w:lang w:bidi="fa-IR"/>
        </w:rPr>
        <w:t>منها وحَرّت بنیران الأسی کبد</w:t>
      </w:r>
    </w:p>
    <w:p>
      <w:pPr>
        <w:pStyle w:val="BookText"/>
        <w:rPr/>
      </w:pPr>
      <w:r>
        <w:rPr>
          <w:rFonts w:ascii="IRNazanin" w:hAnsi="IRNazanin" w:eastAsia="IRNazanin"/>
          <w:color w:val="111111"/>
          <w:sz w:val="28"/>
          <w:sz w:val="28"/>
          <w:szCs w:val="28"/>
          <w:rtl w:val="true"/>
          <w:lang w:bidi="fa-IR"/>
        </w:rPr>
        <w:t>ویتوصّل به إلی ترسیم الصورة المراد تجسیدها فالضابطة التی ینبغی اتّباعها وممارستها فی بیان حوادث وأبعاد واقعة عاشوراء هی أن یؤول إلی أمر حقیقیّ بأن یتوخّی الخطیب أو الشاعر، أو الکاتب، أو الراثی نقل أمرٍ تاریخیّ ثابت بحسب الضابطة التاریخیّة، لا بالضابطة الشرعیّة للإستنباط بعد أن یتثبّت الأمر تاریخیّاً، أو قُل یثبّت أمراً فرعیّاً حتّی یتناول ذلک المعنی الصادق بالروایة القصصیّة، أو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یُقال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 والتصویر التمثیلیّ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البلاغة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أنّه قد ثبت لدی الشاعر أو الناثر شکل تفجّع الزهراء علیها السلام أو العقیلة زینب علیها السلام مثلاً أو غیرها من المواقف المؤلمة، فیرید أن یصوّر تلک</w:t>
      </w:r>
    </w:p>
    <w:p>
      <w:pPr>
        <w:pStyle w:val="BookText"/>
        <w:rPr/>
      </w:pPr>
      <w:r>
        <w:rPr>
          <w:rFonts w:ascii="IRNazanin" w:hAnsi="IRNazanin" w:eastAsia="IRNazanin"/>
          <w:color w:val="111111"/>
          <w:sz w:val="28"/>
          <w:sz w:val="28"/>
          <w:szCs w:val="28"/>
          <w:rtl w:val="true"/>
          <w:lang w:bidi="fa-IR"/>
        </w:rPr>
        <w:t>الحقیقة التی هی حقیقة مؤثّرة ومفجعة لا یتحمّلها إنسان ذو ضمیر، ویرسمها بشکل لسان الحال فضابطة الروایة القصصیّة هنا ینبغی أن تَتبَع حقیقة ما إمّا حقیقة تاریخیّة، أو حقیقة فرعیّة، أو حقیقة عقائدیّة ولولا ذلک لکانت الروایة القصصیّة خرافیّة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المراد الإخبار عن مغزی معین وقد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فیلماً لیس له واقعیّة لیس له غالباً إخبار عن الواقع لکنّ مغزاه الذی یروم الکاتب القصصیّ التوصّل إلیه له مغزی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الکاتب صادقاً فی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یرید أن یتوصّل إلی حُسن الوفاء مثلاً، أو إلی دناءة الفاحشة فیجب أن یعتمد الراوی لقضیّة قصصیّة علی حقیقةٍ ما أوّلاً، ثمّ یصوّرها بترسیم تنفیذیّ، بالاستعارة وأقسامها، والتشبیه، والبدیع کما هو مرسوم فی علم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 یجب أن یعتمد علی الحقیقة وهذه ضابطة لا بدّ منها فی واقعة عاشوراء، حیث یجب علی الخطیب القصصیّ أو الراثی أو الناثر أو الشاعر أن یلتزم بهذه الضابطة، وینصب قرینة علی أنّه بصدد التصویر التمثیلیّ لا الإخبار الحقیقیّ نعم، مغزی وهدف التصویر التمثیلیّ هو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یکون هذا الرسم متناسباً مع الحقیقة ولیس مناقضاً لها، لأنّ الأدیب یرید أن یصوّر صَبر العقیلة علیها السلام مثلاً ثمّ یرسم رسماً تصویریّاً فی نثر أو شعر أو خطابة یناقض صبر العقیلة کان غیر موفّق فی عمله، فلا بدّ أن یکون رسماً یناسب ذلک المعنی والمغزی المراد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إذن الضابطة فی الروایة القصصیّة وهناک أمر آخر فی ضابطة الروایة القصصیّة، هی غیر الضابطة الذاتیّة الداخلیّة التی ذکرناها للروایة القصصیّة، وهی أنّه یجب أن یخصع الأسلوب القصصیّ التصویریّ للسمت التاریخیّ أو السمت الروائیّ الفرعیّ لأنّ المفروض هو أنّ هذا القسم من الکتابة، أو من الاسلوب الأدبیّ، أو</w:t>
      </w:r>
    </w:p>
    <w:p>
      <w:pPr>
        <w:pStyle w:val="BookText"/>
        <w:rPr/>
      </w:pPr>
      <w:r>
        <w:rPr>
          <w:rFonts w:ascii="IRNazanin" w:hAnsi="IRNazanin" w:eastAsia="IRNazanin"/>
          <w:color w:val="111111"/>
          <w:sz w:val="28"/>
          <w:sz w:val="28"/>
          <w:szCs w:val="28"/>
          <w:rtl w:val="true"/>
          <w:lang w:bidi="fa-IR"/>
        </w:rPr>
        <w:t>التصویر التمثیلیّ لیس عُمدة فی باب الأدب، وإنّما هو کحاشیة وأسلوب یُستعان به فی بیان الحقائق فالواقعة التی هی ناصعة بالحقیقة ملیئة بالعطاء یجب أن لا نتوخّی فیها الرسم القصصیّ والروایة القصصیّة، بحیث یکون لها الغلبة علی الأنحاء الأخری للروایة المسندة أو التاریخیّة ونترک السرد التاریخیّ الحقیقیّ أو نترک السرد الروائیّ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إفراط فی التصویر التمثیلیّ قد ینقض الغرض من التصویر التمثیلیّ بَدل أن یحقّقه لأنّه إذا أفرطنا فی التصویر التمثیلیّ وأکثرنا فیه علی حساب السرد التاریخیّ أو التحلیل التاریخیّ، وعلی حساب الروایات المسنَدة من المصادر المعتبرة فإنّنا سوف نحجب الصورة الحقیقیّة للواقعة لأنّ الغایة من الأسلوب الادبیّ فی الروایة القصصیّة أو النثر القصصیّ أو الشعر هو نشر الحقائق لا طمسها فالإفراط فیه علی حساب بقیّة الجهات من الروایة التاریخیّة أو الروایة المسندة فی الفروع، أو المسندة فی العقائد، لا شکّ أنّه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للغرض من الشعائر الحسینیّة بالذات ونقض للغرض حتّی من نفس الروایة والأسلوب القصصیّ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أوّلاً وبالذات، ینبغی أن یعتمد الخطیب والشاعر والکاتب والراثی علی بیان الحقائق التاریخیّة، أو الحقایق المسندة بالروایات وبالکتب التاریخیّة أو الروائیّة الحدیثیّة، ثمّ إذا ثبّت للآخرین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مستمعین کانوا أو مشاهدین أو قارئین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الواقع شرع بعد ذلک یستثیر عواطفهم ویصوّر لهم عظمة وهَوْل هذه الحقائق ومقدار عظم الفاجعة وجلل الرزیة فیأتی الدور المتأخّر للروایة القصصیّة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وکثیراً ما یُخلط بین المساحة للروایة التاریخیّة، والمساحة للروایة القصصیّة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المقدار فی المقام الأوّل من الجهة الرابعة اتّضح ضابطة وموارد الروایة التاریخیّة فی واقعة عاشوراء وموطن الروایة القصصیّة، وموطن وضابطة</w:t>
      </w:r>
      <w:bookmarkStart w:id="409" w:name="pg2944_24567"/>
    </w:p>
    <w:p>
      <w:pPr>
        <w:pStyle w:val="BookText"/>
        <w:rPr/>
      </w:pPr>
      <w:bookmarkEnd w:id="409"/>
      <w:r>
        <w:rPr>
          <w:rFonts w:ascii="IRNazanin" w:hAnsi="IRNazanin" w:eastAsia="IRNazanin"/>
          <w:color w:val="111111"/>
          <w:sz w:val="28"/>
          <w:sz w:val="28"/>
          <w:szCs w:val="28"/>
          <w:rtl w:val="true"/>
          <w:lang w:bidi="fa-IR"/>
        </w:rPr>
        <w:t>الروایة العقائدیّة أو الفرعیّة إذ لیس من الصحیح بحالٍ من الأحوال أن تأخذ الضابطة لأحدها علی حساب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للمقام الأوّل</w:t>
      </w:r>
      <w:r>
        <w:rPr>
          <w:rFonts w:eastAsia="IRNazanin" w:cs="IRNazanin"/>
          <w:color w:val="111111"/>
          <w:sz w:val="28"/>
          <w:szCs w:val="28"/>
          <w:rtl w:val="true"/>
          <w:lang w:bidi="fa-IR"/>
        </w:rPr>
        <w:t>.</w:t>
      </w:r>
    </w:p>
    <w:p>
      <w:pPr>
        <w:pStyle w:val="Heading4"/>
        <w:numPr>
          <w:ilvl w:val="3"/>
          <w:numId w:val="1"/>
        </w:numPr>
        <w:rPr/>
      </w:pPr>
      <w:bookmarkStart w:id="410" w:name="__RefHeading___Toc110704_2749589250"/>
      <w:bookmarkStart w:id="411" w:name="_Toc154"/>
      <w:bookmarkEnd w:id="410"/>
      <w:r>
        <w:rPr>
          <w:rtl w:val="true"/>
        </w:rPr>
        <w:t>المقام الثانی</w:t>
      </w:r>
      <w:bookmarkEnd w:id="411"/>
    </w:p>
    <w:p>
      <w:pPr>
        <w:pStyle w:val="Heading5"/>
        <w:numPr>
          <w:ilvl w:val="4"/>
          <w:numId w:val="1"/>
        </w:numPr>
        <w:rPr/>
      </w:pPr>
      <w:bookmarkStart w:id="412" w:name="__RefHeading___Toc110706_2749589250"/>
      <w:bookmarkStart w:id="413" w:name="_Toc155"/>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ضابطة ومیزان التحلیل للروایة وکیفیة قبولها سواء کانت تاریخیّة أو قصصیّة أو فرعیّة أو عقائدیّة</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قد یحکّم الإدراکات العقلیّة الظنیّة والبعض الآخر قد یحکّم الاستحسانات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الروایة التاریخیّة أو الروایات الحدیثیّة عن واقعة کربلاء أو تفنیدها؟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المقام الثانی هل أنّ میزان اعتبار الروایات بأقسامها الأربعة التی ذکرناها، یخضع للإدراکات الظنّیّة العقلیّة أو للإستحسانات، أم لأمور أخری؟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فی الفروع أو فی العقائد إذا کانت عن واقعة عاشوراء، فمن الواضح أنّها خاضعة لموازین باب الاستنباط فی الفروع أو فی العقائد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نلاحظ نقضاً أو إبراماً، نفیاً أو إثباتاً ممّن یقوم بالمساهمة فی الشعائر الحسینیّة حیث لا یستعین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فی مفاد الفروع، أو مفاد 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بموازین مقررّة، فمع کونه غیر مجتهد فإنّه لا یستعین بآراء فقهاء الإمامیّة وإنّما یتّخذ الموقف بنفسه والحال أنّه ینبغی له أن یستعرض أقوال العلماء فی المسألة، لأنّ المفروض أنّ هذا بحث تخصّصیّ، فإذا کان کذلک، فهو إذا قام بنشاط فی مجال الشعائر من طریقة الشعر، أو النثر، أو الخطابة، أو الرثاء، وتعرّض لذلک المفاد الفرعیّ أو المفاد العقائدیّ نفیاً أو إثباتاً بمعزل عن آراء الفقهاء والعلماء وبعیداً عن أقوالهم؛ فسوف لن یصل هذا الشخص إلی النتیجة الصائبة والهدف المطلوب، بل سوف یُسی للشعائر الحسینیّة وهو یحسب أنّه یُحسن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شملت نهضة الإمام الحسین علیه السلام سنناً عدیدة فرعیّة أو عقائدیّة ممّا یستلزم رجوع المُساهم فیها إلی أصحاب التخصّص إذا أراد معالجة حکمٍ فرعیّ أو حکمٍ 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إلی قضیة البکاء التی سنبحثها فی الجهة الآتیة إذ هناک تحلیلات حول استحباب البکاء أو رجحانه وحول إدخال التمثیل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الآلات الموسیقیة فی الموکب الحسینیّ وغیر ذلک فالمفروض أن یُرجع فی مثل هذا البحث إلی أهل الاختصاص ومن هذا القبیل أمر تحلیل الروایة فی شؤون واقعة کربلاء سواء الروایة الفرعیّة أو المرتبطة بمضمونٍ 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فتحکیم العقل الظنّیّ أو العقل الاستحسانیّ یشکّل خطورة علی المعتقدات ویعتبر مَحْقاً للدین، لأنّ ذلک لیس مقیاساً ومیزاناً لمثل هذه الأمور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استخلاص المفاد فی الروایة التاریخیّة أو الروایة القصصیّة فإنّ التحلیل التاریخی یخضع لوجود قرائن ومصادر تاریخیّة ولو کانت هذه المصادر متأخّرة بحسب درجتها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لو ذکرت المصادر التاریخیّة المتأخّرة حدثاً تأریخیّاً لم نعثر علیه فی المصادر المتقدّمة التی وصلت بأیدینا، فلا ینبغی طرحه وإهماله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أخبار المدینة للزبیر بن بکّار ینقل کثیراً من الحقائق التی لم تدوّن فی کتب التاریخ والسیرة وینقلها عنه ابن أبی الحدید فی شرحه علی نهج البلاغة والحال أنّ الزبیر بن بکّار کان فی أوائل أو منتصف القرن الثالث ویذکر حقائق حول قضایا تاریخیّة حول تاریخ المدینة فلا تطرح هذه الأحداث بسبب عدم درجها وتدوینها فی الکتب التاریخیة التی تقدّمت علیه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ذکر أحد المتقدّمین واقعة تاریخیّة أو حدثاً ولم یکن منحرفاً فی عقیدته فلا</w:t>
      </w:r>
    </w:p>
    <w:p>
      <w:pPr>
        <w:pStyle w:val="BookText"/>
        <w:rPr/>
      </w:pPr>
      <w:r>
        <w:rPr>
          <w:rFonts w:ascii="IRNazanin" w:hAnsi="IRNazanin" w:eastAsia="IRNazanin"/>
          <w:color w:val="111111"/>
          <w:sz w:val="28"/>
          <w:sz w:val="28"/>
          <w:szCs w:val="28"/>
          <w:rtl w:val="true"/>
          <w:lang w:bidi="fa-IR"/>
        </w:rPr>
        <w:t>یُهمل ذلک النقل ولا یُطرح إذ من المحتمل أنّه توفّرت لدیه مصادر غنیّة جدّاً لم تصل بأیدینا کما یُنقل عن السیّد ابن طاووس حیث إنّ المصادر التی توفّرت عنده کانت کثیرة جدّاً وغنیّة ذکرها أصحاب التراجم لکن المصادر القدیمة التی سبقت ابن طاووس لم تصل بأیدینا فحینما یذکر ابن طاووس فی کتابه 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تاریخیّاً، فلابدّ من الأخذ به لتعذّر إثبات عدم نقل المصادر المتقدّمة عنه لذلک الحدث التاریخیّ هذا إذا کانت حیثیّة البحث تاریخیّة ولیست استنباطیّة فرعیّة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التفریق بین الحیثیّات نفیاً وإثباتاً فإذا کان الباحث فی مقام حیثیّة البحث التاریخیّ فلا یحتاج أن یکون الحدیث مُسنداً متسلسلاً روائیّاً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تبقی الواقعة المذکورة کواقعة تاریخیّة ذُکرت وأُرّخت محتملة الصدق والکذب ما لم تقم علیها شواهد أخری مؤیّدة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أنّ أقسام الشعائر الحسینیّة لم تقتصر علی الروایات التی هی فی باب الفروع أو الروایات التی هی فی باب العقائد، وقد یکون جملة منها من قسم الروایة التاریخیّة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أیّة مُفردة تاریخیّة فی الشعائر الحسینیّة لابدّ من تحلیلها تحلیلاً وافیاً من جمیع الجهات، وینبغی عدم الخلط بین موازین الروایة فی باب الفروع، أو فی باب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میزان استنباطیّ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میزان الروایة التاریخیّة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واقعة کربلاء قلنا أنّ حیثیّات وجهات الروایة تختلف علی صعید الأقسام الأربعة للروایة</w:t>
      </w:r>
      <w:r>
        <w:rPr>
          <w:rFonts w:eastAsia="IRNazanin" w:cs="IRNazanin"/>
          <w:color w:val="111111"/>
          <w:sz w:val="28"/>
          <w:szCs w:val="28"/>
          <w:rtl w:val="true"/>
          <w:lang w:bidi="fa-IR"/>
        </w:rPr>
        <w:t>.</w:t>
      </w:r>
      <w:bookmarkStart w:id="414" w:name="pg2944_24570"/>
    </w:p>
    <w:p>
      <w:pPr>
        <w:pStyle w:val="Heading5"/>
        <w:numPr>
          <w:ilvl w:val="4"/>
          <w:numId w:val="1"/>
        </w:numPr>
        <w:rPr/>
      </w:pPr>
      <w:bookmarkStart w:id="415" w:name="__RefHeading___Toc110708_2749589250"/>
      <w:bookmarkStart w:id="416" w:name="_Toc156"/>
      <w:bookmarkEnd w:id="414"/>
      <w:bookmarkEnd w:id="415"/>
      <w:r>
        <w:rPr>
          <w:rtl w:val="true"/>
        </w:rPr>
        <w:t>إشکال وجواب</w:t>
      </w:r>
      <w:bookmarkEnd w:id="416"/>
    </w:p>
    <w:p>
      <w:pPr>
        <w:pStyle w:val="BookText"/>
        <w:rPr/>
      </w:pPr>
      <w:r>
        <w:rPr>
          <w:rFonts w:ascii="IRNazanin" w:hAnsi="IRNazanin" w:eastAsia="IRNazanin"/>
          <w:color w:val="111111"/>
          <w:sz w:val="28"/>
          <w:sz w:val="28"/>
          <w:szCs w:val="28"/>
          <w:rtl w:val="true"/>
          <w:lang w:bidi="fa-IR"/>
        </w:rPr>
        <w:t>ومن الإشکالات التی تطرح استخلاص المادة التصویریّة التمثیلیّة، هی أنّ واقعة کربلاء باعتبارها واقعة صدق وواقعة حقیقة، فکیف نرسمها نحن بتصویر تمثیلیّ علی أساس قواعد علم الأدب والبلاغة أو علی غرار الروایة القصصیّة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نرسمها بأسلوب قصصیّ؛ هذا ممّا یطمس الحقائق فی واقعة کربلاء ویُخفی الصدق فی تلک الواقعة والحال أنّه لابدّ أن یظهر الصدق والحقیقة فیها، فکیف نطمسها بخرافات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أنّ هذه الدعوة فی الجملة صحیحة وهی أنّ طغیان الأسلوب القصصیّ أو التصویر التمثیلیّ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یعبّر عنه بلسان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بلسان التمثیل إذا طغی علی جمیع مُجریات الشعیرة الحسینیّة، فلا ریب أنّه سوف یزوی جانب الحقیقة، ویحید جانب الصدق فی واقعة کربلاء فالمفروض أن لا یکون همّ الخطیب أو الراثی أو الشاعر منحصراً فی التصویر بالروایة التاریخیّة أو القصصیّة لأنّه إذا ملأه بهذا الجانب فإنّه سوف یطمس جانب الواقع والحقیقة ولکنّ هذا لا یعنی أنّنا نُلغی ونسدّ باب الأسلوب القصصیّ والتمثیلیّ فی واقعة کربلاء بل حتّی فی الوقائع الأخری لأنّنا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ینبغی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منهج وضابطة الأسلوب القصصیّ والتصویر التمثیلیّ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یجری ذکر الحقیقة، وذکر کلّ خصوصیّات الحقیقة فی أیّ واقعة معیّنة، فیُذکر مَعْلم من معالم واقعة کربلاء الخالدة، ثمّ لأجل التفاعل المطلوب اللازم مع حجم وخطورة الحدث فی الدین واستثارة 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واستثارتها بحقّ لا بباطل، إذ کلّ حقیقة تتطلّب حیویّة روحیّة تناسب درجتها، أی تجسید هذه الواقعة الحقیقیة کصورة ماثلة حیّة لدی المستمعین أو القرّاء أو المشاهدین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اعتماد التصویر التمثیلیّ والغرض منه لیس الإخبار بالمفاد المطابقیّ بل الإخبار بالمفاد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واللحاظ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بدّ للناثر والخطیب والشاعر والراثی بعدما یروی روایة تاریخیّة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من مقاطع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 یبیّن شدّة الحزن وعظم</w:t>
      </w:r>
    </w:p>
    <w:p>
      <w:pPr>
        <w:pStyle w:val="BookText"/>
        <w:rPr/>
      </w:pPr>
      <w:r>
        <w:rPr>
          <w:rFonts w:ascii="IRNazanin" w:hAnsi="IRNazanin" w:eastAsia="IRNazanin"/>
          <w:color w:val="111111"/>
          <w:sz w:val="28"/>
          <w:sz w:val="28"/>
          <w:szCs w:val="28"/>
          <w:rtl w:val="true"/>
          <w:lang w:bidi="fa-IR"/>
        </w:rPr>
        <w:t>الفاجعة فیها أن یستعین بأسالیب معیّنة ومنها التمثیل حیث له دور فی اتّساع المخیّلة والواهمة وفتح بقیّة قوی النفس علی مصراعیها لأجل الانجذاب إلی العقل وإلی ما أدرکه العقل من صدق الواقعة ومن عظم المصاب فیها، وما أدرکه من ضرورة الوقوف إلی جانب الحقّ ونصرته، ومُجانبة الظلم والعدوان ومحاربته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یفنّد بعض المحقّقین باب الروایة القصصیّة أو التصویر التمثیلیّ ویفنّده بدعوی أنّ الأسلوب القصصیّ کاذب، فلا یمکن اعتماد الکذب فی واقعة کربلاء 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البشریّة کلّها تعتمد هذا الأُسلوب؛ ومدار الصدق والکذب فی هذا الأسلوب هو المدلول الإلتزامیّ لا المدلول المطابقیّ مثلاً إنتاج الفیلم لیس له أیّ واقعیّة حینما یکتبه کاتب قصصیّ، فإذا کانت غایة الفیلم تربیة المجتمع علی قضیّة أخلاقیّة سامیة، فیقال بأنّ هذه الروایة القصصیّة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صادقة لا بلحاظ مضمونها المطابقیّ وإنّما بلحاظ غایتها أمّا إذا کان فیلماً روائیّاً یصوَّر من قِبل الراوی القصصیّ لأجل إشاعة الخیانة أو التعدّی علی الآخرین؛ فیقال أنّ هذا الکاتب منحلّ وکاذب ومخالف للحقیقة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فالصدق والکذب فی الروایة القصصیّة یدور مدار الغایة والجنبة الإلتزامیّة ولا یدور مدار المفاد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لکلّ من الروایة القصصیّة والروایة التاریخیّة والروایة الفرعیّة مجالاً، کما أنّ للروایة فی باب العقائد مجالاً ضمن مجموع نشاطات وآلیّات الشعائر الحسینیّة أی الشعر والنثر، والخطابة، والرثاء فالمفروض هو عدم طغیان أحد الجوانب علی الجانب الآخر وینبغی أن یکون الأسلوب القصصیّ مؤدّیاً للتفاعل مع الحقیقة، ولکن بشکل عاطفی صادق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والأمثلة کثیرة ولکن ینبغی الانتباه فی تطبیق الضوابط السابقة التی ذکرناها للقاری الکریم</w:t>
      </w:r>
      <w:r>
        <w:rPr>
          <w:rFonts w:eastAsia="IRNazanin" w:cs="IRNazanin"/>
          <w:color w:val="111111"/>
          <w:sz w:val="28"/>
          <w:szCs w:val="28"/>
          <w:rtl w:val="true"/>
          <w:lang w:bidi="fa-IR"/>
        </w:rPr>
        <w:t>.</w:t>
      </w:r>
      <w:bookmarkStart w:id="417" w:name="pg2944_24573"/>
    </w:p>
    <w:p>
      <w:pPr>
        <w:pStyle w:val="Heading3"/>
        <w:numPr>
          <w:ilvl w:val="2"/>
          <w:numId w:val="1"/>
        </w:numPr>
        <w:rPr/>
      </w:pPr>
      <w:bookmarkStart w:id="418" w:name="__RefHeading___Toc110710_2749589250"/>
      <w:bookmarkStart w:id="419" w:name="_Toc157"/>
      <w:bookmarkEnd w:id="417"/>
      <w:bookmarkEnd w:id="418"/>
      <w:r>
        <w:rPr>
          <w:rtl w:val="true"/>
        </w:rPr>
        <w:t>الجهة الخامسة</w:t>
      </w:r>
      <w:r>
        <w:rPr>
          <w:rtl w:val="true"/>
        </w:rPr>
        <w:t xml:space="preserve">: </w:t>
      </w:r>
      <w:r>
        <w:rPr>
          <w:rtl w:val="true"/>
        </w:rPr>
        <w:t>البکاء فی الشعائر الحسینیّة</w:t>
      </w:r>
      <w:bookmarkEnd w:id="4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110712_2749589250"/>
      <w:bookmarkStart w:id="421" w:name="_Toc158"/>
      <w:bookmarkEnd w:id="420"/>
      <w:r>
        <w:rPr>
          <w:rtl w:val="true"/>
        </w:rPr>
        <w:t>اشارة</w:t>
      </w:r>
      <w:bookmarkStart w:id="422" w:name="pg2944_24575"/>
      <w:bookmarkEnd w:id="421"/>
    </w:p>
    <w:p>
      <w:pPr>
        <w:pStyle w:val="Heading4"/>
        <w:numPr>
          <w:ilvl w:val="3"/>
          <w:numId w:val="1"/>
        </w:numPr>
        <w:rPr/>
      </w:pPr>
      <w:bookmarkStart w:id="423" w:name="__RefHeading___Toc110714_2749589250"/>
      <w:bookmarkStart w:id="424" w:name="_Toc159"/>
      <w:bookmarkEnd w:id="422"/>
      <w:bookmarkEnd w:id="423"/>
      <w:r>
        <w:rPr>
          <w:rtl w:val="true"/>
        </w:rPr>
        <w:t>البکاء فی المصادر المعتبرة</w:t>
      </w:r>
      <w:bookmarkEnd w:id="424"/>
    </w:p>
    <w:p>
      <w:pPr>
        <w:pStyle w:val="BookText"/>
        <w:rPr/>
      </w:pP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أقسام الشعائر الحسینیّة، ولأهمّیّته عقد المرحوم الشیخ المجلسیّ قدس سره فی کتابه بحار الأنوار باباً خاصّاً للبکاء علی مصیبة سیّد الشهداء</w:t>
      </w:r>
      <w:r>
        <w:rPr>
          <w:rStyle w:val="FootnoteAnchor"/>
          <w:rtl w:val="true"/>
        </w:rPr>
        <w:footnoteReference w:id="175"/>
      </w:r>
      <w:r>
        <w:rPr>
          <w:rFonts w:ascii="IRNazanin" w:hAnsi="IRNazanin" w:eastAsia="IRNazanin"/>
          <w:color w:val="111111"/>
          <w:sz w:val="28"/>
          <w:sz w:val="28"/>
          <w:szCs w:val="28"/>
          <w:rtl w:val="true"/>
          <w:lang w:bidi="fa-IR"/>
        </w:rPr>
        <w:t xml:space="preserve">، وقد جمع فی ذلک الباب ما یزید علی الخمسین طریق أو روایة وأیضاً عقد باباً آخر، وهو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أنشد فی الحسین علیه السلام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عقد الشیخ الحرّ العاملی بدوره فی کتاب وسائل الشیعة، کتاب المزار، آخر کتاب الحجّ</w:t>
      </w:r>
      <w:r>
        <w:rPr>
          <w:rStyle w:val="FootnoteAnchor"/>
          <w:rtl w:val="true"/>
        </w:rPr>
        <w:footnoteReference w:id="176"/>
      </w:r>
      <w:r>
        <w:rPr>
          <w:rFonts w:ascii="IRNazanin" w:hAnsi="IRNazanin" w:eastAsia="IRNazanin"/>
          <w:color w:val="111111"/>
          <w:sz w:val="28"/>
          <w:sz w:val="28"/>
          <w:szCs w:val="28"/>
          <w:rtl w:val="true"/>
          <w:lang w:bidi="fa-IR"/>
        </w:rPr>
        <w:t xml:space="preserve">باباً جمع فیه بالتحدید عشرین روایة أو طریق فی ثواب البکاء وهناک أبواب أُخری ذکرها صاحب الوسائل تقرب من أربعین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أبواب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اشتملت علی أقسام عدیدة فی الحثّ علی الشعائر الحسینیّة، من قبیل زیارته علیه السلام، وإقامة المأتم علیه، والبکاء، وإنشاء الشعر وإنشاده وغیرها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التی جمعها صاحب الوسائل فی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هی الروایات الوحیدة التی وردت فی البکاء، بل الأبواب الأخری أیضاً متضمّنة لذلک حیث فیها روایات عدیدة متعرّضة لأمور أخری ثمّ تعرّج علی البکاء بنحو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وکمحاولة لجمع الروایات فی هذا الباب فهی تقرب من خمسمائة روایة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ولذا یوصی بعض أکابر العلماء بمراجعة الدورة الفقهیّة الموجودة فی بحار الأنوار والمختصّة بالفروع، والتی هی تبدأ من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حیث إنّ هذه الروایات فی البحار مصادرها تختلف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کتاب الطهارة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الروایات الموجودة فی الوسائل، وإن کان بینها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کتاب مستدرک الوسائل للمحقّق الشیخ النّوری قدس سره فقد نقل فی أبواب المزار</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هناک نظرة وهی أنّ کلّ ما فی المستدرک من طُرق فهی ضعیفة، وهذه نظرة خاطئة لأنّ المستدرک یعتمد علی الروایات التی فاتت صاحب الوسائل والموجودة فی مصادر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ومحاسن البرقیّ، وکتب الصدوق، کعیون أخبار الرضا علیه السلام ومعانی الأخبار والأمالی وعلل الشرائع وغیرها هذه الروایات من هذه الکتب أکثرها مسندة ولیست مرسلة ولا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تطرّقت لموضوع البکاء بطرق عدیدة سواء کانت تحت عنوان البکاء مباشرة، أو تحت عناوین أخری أیضاً واردة لمناسبة أو أخری، إلاّ أنّها تتعرّض للبکاء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الکتب التی تطرّقت لهذا البحث کتاب کامل الزیارات لابن قولویه شیخ الطائفة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وهو أستاذ الشیخ المفید والکتاب مشهور بین علماء الطائفة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والمجامیع المتأخّرة وإن کانت تبوّب هذه الأبواب، إلاّ أنّ المتتبّع لها وللکتب القدیمة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عثر علیها فی بعض الکتب المتأخّرة الثقافیّة، منقولة عن کتاب محاسن البرقی لم یوردها صاحب الوسائل ولا المستدرک، ونقلها البرقی فی باب</w:t>
      </w:r>
      <w:bookmarkStart w:id="425" w:name="pg2944_24577"/>
    </w:p>
    <w:p>
      <w:pPr>
        <w:pStyle w:val="BookText"/>
        <w:rPr/>
      </w:pPr>
      <w:bookmarkEnd w:id="425"/>
      <w:r>
        <w:rPr>
          <w:rFonts w:ascii="IRNazanin" w:hAnsi="IRNazanin" w:eastAsia="IRNazanin"/>
          <w:color w:val="111111"/>
          <w:sz w:val="28"/>
          <w:sz w:val="28"/>
          <w:szCs w:val="28"/>
          <w:rtl w:val="true"/>
          <w:lang w:bidi="fa-IR"/>
        </w:rPr>
        <w:t>الأطعمة والاشربة، عند ذکر الطعام الذی یقدّم للسجاد علیه السلام وهی مرتبطة بالبکاء علی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فتقصّی الکتب المتقدّمة والمتأخّرة ومراجعتها أمر لازم وقد مرّ بنا أنّ فی کتاب أمالی الصدوق قدس سره عُقدت عدّة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المقتل قد یطلق علیه مقتل الصدوق، ولو اقتطع هذا الجزء وأُبرز ککتاب مستقلّ بحیث یکون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الشیخ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مصدراً معتمداً فی هذا الباب أیضاً</w:t>
      </w:r>
      <w:r>
        <w:rPr>
          <w:rFonts w:eastAsia="IRNazanin" w:cs="IRNazanin"/>
          <w:color w:val="111111"/>
          <w:sz w:val="28"/>
          <w:szCs w:val="28"/>
          <w:rtl w:val="true"/>
          <w:lang w:bidi="fa-IR"/>
        </w:rPr>
        <w:t>.</w:t>
      </w:r>
    </w:p>
    <w:p>
      <w:pPr>
        <w:pStyle w:val="Heading4"/>
        <w:numPr>
          <w:ilvl w:val="3"/>
          <w:numId w:val="1"/>
        </w:numPr>
        <w:rPr/>
      </w:pPr>
      <w:bookmarkStart w:id="426" w:name="__RefHeading___Toc110716_2749589250"/>
      <w:bookmarkStart w:id="427" w:name="_Toc160"/>
      <w:bookmarkEnd w:id="426"/>
      <w:r>
        <w:rPr>
          <w:rtl w:val="true"/>
        </w:rPr>
        <w:t>البکاء ذروة الشعائر الحسینیّة</w:t>
      </w:r>
      <w:bookmarkEnd w:id="427"/>
    </w:p>
    <w:p>
      <w:pPr>
        <w:pStyle w:val="BookText"/>
        <w:rPr/>
      </w:pPr>
      <w:r>
        <w:rPr>
          <w:rFonts w:ascii="IRNazanin" w:hAnsi="IRNazanin" w:eastAsia="IRNazanin"/>
          <w:color w:val="111111"/>
          <w:sz w:val="28"/>
          <w:sz w:val="28"/>
          <w:szCs w:val="28"/>
          <w:rtl w:val="true"/>
          <w:lang w:bidi="fa-IR"/>
        </w:rPr>
        <w:t>یعتبر البکاء من عمدة أقسام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کلمات الفقهاء والمحقّقین والمؤرّخین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نستطیع أن نسمّیه الشریان الدمویّ للعدید من الأقسام فی الشعائر الحسینیّة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الخطابة، أو إلی الشعر أو النثر أو الرثاء، أو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انظر إلی اللطم والعزاء أو لبس السواد، فإنّ کلّ هذه الظواهر المختلفة من الشعائر الحسینیّة، حینما ترید أن تتألّق وتحلِّق وتبلغ ذروتها تصل إلی حدّ البکاء فالبکاء حینما جعلناه قسماً من أقسام الشعائر الحسینیّة، فإنّه فی الحقیقة هو لیس قسماً مقابل الأقسام الأخری بل ربّما جعله بعضهم مَقسماً لأقسام الشعائر الحسینیّة وإن کان المَقسم للشعائر الحسینیّة هو ما ذکرناه فی الجهة الأولی من تحدید الماهیّة الحقیقیّة للشعائر الحسینیّة، بلحاظ أنّها شعیرة وعلامة علی معنیً سامٍ وحقیقة خالدة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الاهتمام الکبیر بالبکاء إنّما نشأ من توصیة الرسول الکریم صلی الله علیه وآله وسلم والأئمّة علیهم السلام من خلال الحثّ الأکید والتوجیه الشدید إلیه لذا اعتدّ به علماء الإمامیّة، سواء المحدّثون أو المؤرّخون أو الفقهاء فی فتاواهم المتعلّقة بالشعائر الحسینیّة، حیث یبرز البکاء عندهم کأنّه العمود فی خیمة الشعائر الحسینیّة وما ذهب إلیه فقهاء الإمامیّة أو بقیّة أصناف علماء الإمامیّة لیس هو فقط کفتاوی مسلّمة،</w:t>
      </w:r>
    </w:p>
    <w:p>
      <w:pPr>
        <w:pStyle w:val="BookText"/>
        <w:rPr/>
      </w:pPr>
      <w:r>
        <w:rPr>
          <w:rFonts w:ascii="IRNazanin" w:hAnsi="IRNazanin" w:eastAsia="IRNazanin"/>
          <w:color w:val="111111"/>
          <w:sz w:val="28"/>
          <w:sz w:val="28"/>
          <w:szCs w:val="28"/>
          <w:rtl w:val="true"/>
          <w:lang w:bidi="fa-IR"/>
        </w:rPr>
        <w:t>وإنّما هو ما تشیر إلیه الأبواب العدیدة الواردة فی الشعائر الحسینیّة وهو أنّ البکاء هو عمدة ولُباب الشعائر الحسینیّة ولیس فقط قسماً من أقسام الشعائر الحسینیّة، بل هو لبّ الشعائر الحسینیّة وأهمّها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کما فی مزار الوسائل، ومزار المستدرک، وفی کامل الزیارات، وکتب الشیخ الصدوق التی خُصّصت للروایات الواردة فی قضیّة الحسین علیه السلام، مثل مقتل الصدوق ضمن عدّة مجالس وردت فی أمالی الصدوق وعلل البکاء فی علل الصدوق وغیره، حتّی کتاب محاسن البرقی، وکتاب قرب الإسناد وقد جُمعت کثیر من الروایات فی نفس عنوان الباب حول الحسین علیه السلام إلا أنّها کلّها تردّد عنواناً معیناً بألفاظ مختلفة وهو البکاء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ذکرنا أنّ الروایات التی تحثّ علی البکاء وتبیّن فضیلته لیست هی فقط تلک الأبواب التی عُقِدت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البکاء وثواب البکاء علی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الأبواب التی وردت حوله تشیر بأدنی مناسبة للبکاء إمّا بلفظ البکاء أو بما یرادفها أو یلازمها وبإشارات مختلفة حتّی أنّ بعض المتتبّعین ممّن له باع واسع فی هذا التحقیق ذکر أنّه ورد فی ما یلازم ویرادف البکاء ما یقرب من خمسین لفظة حول الشعائر الحسینیّة،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 أو اللّدم، القلق، الهلع، الجزع، البکاء، النوح، الندبة، الصیحة، الصرخة، الحزن، التفجّع، التألّم، وغیرها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هناک إشارات أخری فی کیفیّة الترکیز علی البکاء، وأنّه من عمدة أبواب الشعائر الحسینیّة کذلک ما ذُکر فی تاریخ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لکتب التاریخ المختلفة، وکثیر منها عن طریق مصادر العامّة، مثل تاریخ ابن عساکر، وتاریخ الخطیب البغدادی وغیرها وکلّها تذکر البکاء علی سیّد الشهداء علیه السلام؛ حتّی الأنبیاء قد بَکوه قبل ولادته، بل قبل ولادة النبیّ الخاتم صلی الله علیه وآله وسلم</w:t>
      </w:r>
      <w:r>
        <w:rPr>
          <w:rFonts w:eastAsia="IRNazanin" w:cs="IRNazanin"/>
          <w:color w:val="111111"/>
          <w:sz w:val="28"/>
          <w:szCs w:val="28"/>
          <w:rtl w:val="true"/>
          <w:lang w:bidi="fa-IR"/>
        </w:rPr>
        <w:t>.</w:t>
      </w:r>
      <w:bookmarkStart w:id="428" w:name="pg2944_24579"/>
    </w:p>
    <w:p>
      <w:pPr>
        <w:pStyle w:val="BookText"/>
        <w:rPr/>
      </w:pPr>
      <w:bookmarkEnd w:id="428"/>
      <w:r>
        <w:rPr>
          <w:rFonts w:ascii="IRNazanin" w:hAnsi="IRNazanin" w:eastAsia="IRNazanin"/>
          <w:color w:val="111111"/>
          <w:sz w:val="28"/>
          <w:sz w:val="28"/>
          <w:szCs w:val="28"/>
          <w:rtl w:val="true"/>
          <w:lang w:bidi="fa-IR"/>
        </w:rPr>
        <w:t>وتذکر أبواب عدیدة فی هذا السیاق،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أنواع المخلوقات ویبیّن مجموع الروایات فی الأبواب العدیدة جزع وبکاء الخِلقة بأکملها علی مصیبة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کون البکاء هو العمدة فی الشعائر الحسینیّة یکاد یکون أمراً واضحاً؛ ولربّما یُدقّق فی التعبیر بأن یُقال بأنّ البکاء هو جوهر وروح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وبحسب الأدلّة الواردة فإنّنا لو کنّا نجمد علی ظاهر الأدلّة، لرأینا أنّ للبکاء مکانةً وأهمیّةً یتفرّد بها من بین أقسام الشعائر الحسینیّة الأخری فالبکاء کالجوهر والروح لأقسام الشعائر الحسینیّة، وکأنّما إلغاء البکاء عن الشعیرة الحسینیّة هو عبارة عن تخلیته عن جوهره، ومسخ لتلک الشعائر عن حقیقتها</w:t>
      </w:r>
      <w:r>
        <w:rPr>
          <w:rFonts w:eastAsia="IRNazanin" w:cs="IRNazanin"/>
          <w:color w:val="111111"/>
          <w:sz w:val="28"/>
          <w:szCs w:val="28"/>
          <w:rtl w:val="true"/>
          <w:lang w:bidi="fa-IR"/>
        </w:rPr>
        <w:t>.</w:t>
      </w:r>
    </w:p>
    <w:p>
      <w:pPr>
        <w:pStyle w:val="Heading4"/>
        <w:numPr>
          <w:ilvl w:val="3"/>
          <w:numId w:val="1"/>
        </w:numPr>
        <w:rPr/>
      </w:pPr>
      <w:bookmarkStart w:id="429" w:name="__RefHeading___Toc110718_2749589250"/>
      <w:bookmarkStart w:id="430" w:name="_Toc161"/>
      <w:bookmarkEnd w:id="429"/>
      <w:r>
        <w:rPr>
          <w:rtl w:val="true"/>
        </w:rPr>
        <w:t>الجزع فی الشعائر الحسینیّة</w:t>
      </w:r>
      <w:bookmarkEnd w:id="430"/>
    </w:p>
    <w:p>
      <w:pPr>
        <w:pStyle w:val="BookText"/>
        <w:rPr/>
      </w:pPr>
      <w:r>
        <w:rPr>
          <w:rFonts w:ascii="IRNazanin" w:hAnsi="IRNazanin" w:eastAsia="IRNazanin"/>
          <w:color w:val="111111"/>
          <w:sz w:val="28"/>
          <w:sz w:val="28"/>
          <w:szCs w:val="28"/>
          <w:rtl w:val="true"/>
          <w:lang w:bidi="fa-IR"/>
        </w:rPr>
        <w:t>الجزع هو غیر الحزن وغیر البکاء إذ أنّ الجزع فی اللغة هو شدّة الحزن وعدم التصبّر، أو هو نوع من إبداء التفجّع الشدید، بشقّ الجیب ونتف الشعر وضرب الرأس، وخمش الوجوه، أو الصراخ الشدید وهذه کلّها تعبیرات عن معنی الجزع باللازم، وإلاّ فإنّ معنی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إظهار المرء للألم الشدید عند الحزن بصخب وتفاعل ساخن هذا هو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روایات فی ذلک؛ وقد عثرنا علی ما یزید علی عشرین روایة واردة فی الجزع فقط وعدّة من أسانیدها صحیحة؛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الإمام الصادق 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الجزع والبکاء مکروه، ما خلا الجزع والبکاء لقتل الحسین علیه السلام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صاحب الوسائل عن جعفر بن قولویه فی المزار، بسنده عن الحسن بن علیّ بن أبی حمزة،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والجزع مکروهٌ للعبد فی کلّ ما جَزِع، ما خلا البکاء علی الحسین بن علیّ علیه السلام فإنّه فیه مأجور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مسمع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تذکر ما صُنع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والله، وأستعبر بذلک حتّی یری أهلی أثَر ذلک علیّ، فأمتنع من الطعام حتی یتبین ذلک من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دمعتک، أما إنّک من الّذین یُعدّون من أهل الجزع لنا، والذین یفرحون لفرحنا، ویحزنون لحزننا، أما إنّک ستری عند موتِک حضورَ آبائی لک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الوسائل عن مصباح الشیخ الطوسیّ، بسنده عن علقمة، عن أبی</w:t>
      </w:r>
    </w:p>
    <w:p>
      <w:pPr>
        <w:pStyle w:val="BookText"/>
        <w:rPr/>
      </w:pPr>
      <w:r>
        <w:rPr>
          <w:rFonts w:ascii="IRNazanin" w:hAnsi="IRNazanin" w:eastAsia="IRNazanin"/>
          <w:color w:val="111111"/>
          <w:sz w:val="28"/>
          <w:sz w:val="28"/>
          <w:szCs w:val="28"/>
          <w:rtl w:val="true"/>
          <w:lang w:bidi="fa-IR"/>
        </w:rPr>
        <w:t>جعفر علیه السلام، فی حدیث زیارة الحسین علیه السلام یوم عاشوراء من قرب وبعد،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لیندُبِ الحسین علیه السلام ویبکیه ویأمر مَن فی داره مِمَّن لا یتّقیه بالبُکاء علیه، ویقیم فی داره المصیبة بإظهار الجَزَع علیه، ولیُعزِّ بعضُهم بعضاً بمصابهم بالحسین علیه السلام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مستدرک الوسائل عن نهج البلاغة؛ قال علیّ أمیر المؤمنین علیه السلام علی قبر رسول الله صلی الله علیه وآله وسلم ساعة دُفِن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لَجمیلٌ إلاّ عنک، وإنّ الجَزع لقبیحٌ إلاّ علیک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وهب نقلاً عن باب المزار فی الوسائل، دعا الصادق علیه السلام بهذا التعبیر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تلکَ الوُجوه الّتی قد غیّرتها الشمسُ، وارحَم تلک الخُدود التی تقلّبت علی حُفرة أبی عبد الله علیه السلام، وارحَم تلک الأعین التی جَرت دموعُها رَحمةً لنا، وارحَم تلک القلوب التی جَزَعت واحتَرقت لنا، وارحَم الصرخة التی کانت لنا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فالروایات طُرقها عدیدة وصحیحة، وبعضها موثّق فإذن الجزع هو إشارة من إشارات البکاء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هذا التعدّد فی الطرق لهذه الطائفة من الروایات نجده فی الکتب الأربعة أیضاً، فی کتاب التهذیب للشیخ الطوسیّ، وکتاب الفقیه للشیخ الصدوق، وکتاب الکافی للشیخ الکُلینیّ التی هی من أهمّ مصادرنا</w:t>
      </w:r>
      <w:r>
        <w:rPr>
          <w:rFonts w:eastAsia="IRNazanin" w:cs="IRNazanin"/>
          <w:color w:val="111111"/>
          <w:sz w:val="28"/>
          <w:szCs w:val="28"/>
          <w:rtl w:val="true"/>
          <w:lang w:bidi="fa-IR"/>
        </w:rPr>
        <w:t>.</w:t>
      </w:r>
      <w:bookmarkStart w:id="431" w:name="pg2944_24582"/>
    </w:p>
    <w:p>
      <w:pPr>
        <w:pStyle w:val="BookText"/>
        <w:rPr/>
      </w:pPr>
      <w:bookmarkEnd w:id="431"/>
      <w:r>
        <w:rPr>
          <w:rFonts w:ascii="IRNazanin" w:hAnsi="IRNazanin" w:eastAsia="IRNazanin"/>
          <w:color w:val="111111"/>
          <w:sz w:val="28"/>
          <w:sz w:val="28"/>
          <w:szCs w:val="28"/>
          <w:rtl w:val="true"/>
          <w:lang w:bidi="fa-IR"/>
        </w:rPr>
        <w:t>فالحاصل أنّ البکاء فی الشعائر الحسینیة حسب ما ترسمه النظرة الأوّلیّة العابرة للروایات المتواترة حول الشعائر الحسینیّة وإقامتها فی المصادر الروائیّة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ترسم للناظر وللمتتبّع رسماً أوّلیّاً بدیهیّاً فطریاً، أنّ البکاء هو جوهر الشعائر، وهو جوهر ذکری نهضة الحسین علیه السلام هذا کبحث إجمالیّ أوّلیّ من جهة أقوال علماء الإمامیّة، ومن جهة نفس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کنظرة أوّلیّة فی الروایات أو فی فتاوی العلماء، یظهر أنّ الحزن لا ینقضی إلاّ بظهور الإمام الثانی عشر عجّل الله تعالی فرجه الشریف والأخذ بثأر الدماء التی أریقت فی کربلاء مع الحسین علیه السلام وتطبیق أهداف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نصل إلی صلاح البشریّة وانتشار القسط والعدل، وتحقیق أغراض وأهداف مسیرة الأنبیاء وهذا نوع من الثأر الشریف المنشود لدم الحسین علیه السلام إذن، الذی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بحث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علماء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ومتکلّمین ومفسّرین ومحدّثین ومؤرّخین، ومن الروایات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البکاء الدعامة الأصلیّة فی الشعائر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البکاء وتأبیده إلی یوم الثأر وقبل الخوض فی تفاصیل ظاهرة البکاء یجب الالتفات إلی جانب مهمّ جدّاً</w:t>
      </w:r>
      <w:r>
        <w:rPr>
          <w:rFonts w:eastAsia="IRNazanin" w:cs="IRNazanin"/>
          <w:color w:val="111111"/>
          <w:sz w:val="28"/>
          <w:szCs w:val="28"/>
          <w:rtl w:val="true"/>
          <w:lang w:bidi="fa-IR"/>
        </w:rPr>
        <w:t>.</w:t>
      </w:r>
    </w:p>
    <w:p>
      <w:pPr>
        <w:pStyle w:val="Heading4"/>
        <w:numPr>
          <w:ilvl w:val="3"/>
          <w:numId w:val="1"/>
        </w:numPr>
        <w:rPr/>
      </w:pPr>
      <w:bookmarkStart w:id="432" w:name="__RefHeading___Toc110720_2749589250"/>
      <w:bookmarkStart w:id="433" w:name="_Toc162"/>
      <w:bookmarkEnd w:id="432"/>
      <w:r>
        <w:rPr>
          <w:rtl w:val="true"/>
        </w:rPr>
        <w:t>حقیقة البکاء</w:t>
      </w:r>
      <w:bookmarkEnd w:id="43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البکاء مادة حیویّة للبحث فی عدّة علوم، مثل علم النفس، والاجتماع، والأخلاق والفلسفة وعلم التّمدن والحضارة، قد شغل حیزاً فی اهتمام العلوم الإسلامیّة وبمحاولة لمعرفة حقیقة البکاء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من أفعال النفس الجانحیّة لا الجارحیّة وهنا تظهر تساؤلات علی السطح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تصدر النفس البکاء، وکیف تصدره، ومتی؟ هل البکاء فعلٌ سَلبیّ أم إیجابیّ باعتبار أنّ أفعال النفس الجانحیة أو</w:t>
      </w:r>
    </w:p>
    <w:p>
      <w:pPr>
        <w:pStyle w:val="BookText"/>
        <w:rPr/>
      </w:pPr>
      <w:r>
        <w:rPr>
          <w:rFonts w:ascii="IRNazanin" w:hAnsi="IRNazanin" w:eastAsia="IRNazanin"/>
          <w:color w:val="111111"/>
          <w:sz w:val="28"/>
          <w:sz w:val="28"/>
          <w:szCs w:val="28"/>
          <w:rtl w:val="true"/>
          <w:lang w:bidi="fa-IR"/>
        </w:rPr>
        <w:t>الجارحیّة لا تتّصف بلون ما بذاتها، وإنّما تتصف بلحاظ الغایات فیا تُری؛ کیف هو البکاء فی لونه الذاتیّ؟ فلابدّ من تحلیله موضوعیّاً ماهویّاً تحلیلاً عقلیاً کاملاً لنری ما هی أجوبة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یجب الالتفات إلی ما ذکرنا فی جهات سابقة فی الفصل الأوّل من الشعائر الدینیّة العامّة، وهو وجود أجنحة مختلفة فی النفس قد جهّزها الله عزّ وجلّ بها ولا ریب أنّ أحد أبواب معرفة الله سبحانه ناشی‌ء من معرفة النفس، فقد ورد فی الأثر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کذلک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أعرَفُکم بنفسِه، أعرفُکم بربّه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یعرف نفسه سوف یعرف نقاط الضعف من نقاط القوّة فیها ومن ثمّ لا تُزعزعه دواهی الدهر فمعرفة النفس لها فوائد عدیدة فی سبیل الاتصاف بالأخلاق، وفی بناء شخصیّة الإنسان والنفس فیها أجنحة عدیدة، وأحد أجنحة النفس مشجّرات القوی الإدراکیّة، وهی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الإدراکات الحصولیّة، والإدراکات الحضوریّة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الإدراکات الحصولیّة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الحسّ، وقوّة المخیّلة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وقوّة الوهم، ثمّ قوّة العقل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الإدراکات الحضوریّة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إدراکات عیانیّة للأشیاء فی نشآت أخری غیر النشأة المادّیّة الحسّیّة</w:t>
      </w:r>
      <w:r>
        <w:rPr>
          <w:rFonts w:eastAsia="IRNazanin" w:cs="IRNazanin"/>
          <w:color w:val="111111"/>
          <w:sz w:val="28"/>
          <w:szCs w:val="28"/>
          <w:rtl w:val="true"/>
          <w:lang w:bidi="fa-IR"/>
        </w:rPr>
        <w:t>.</w:t>
      </w:r>
      <w:bookmarkStart w:id="434" w:name="pg2944_24584"/>
    </w:p>
    <w:p>
      <w:pPr>
        <w:pStyle w:val="Heading4"/>
        <w:numPr>
          <w:ilvl w:val="3"/>
          <w:numId w:val="1"/>
        </w:numPr>
        <w:rPr/>
      </w:pPr>
      <w:bookmarkStart w:id="435" w:name="__RefHeading___Toc110722_2749589250"/>
      <w:bookmarkStart w:id="436" w:name="_Toc163"/>
      <w:bookmarkEnd w:id="434"/>
      <w:bookmarkEnd w:id="435"/>
      <w:r>
        <w:rPr>
          <w:rtl w:val="true"/>
        </w:rPr>
        <w:t>القوّة الادراکیّة والقوّة العملیّة</w:t>
      </w:r>
      <w:bookmarkEnd w:id="436"/>
    </w:p>
    <w:p>
      <w:pPr>
        <w:pStyle w:val="BookText"/>
        <w:rPr/>
      </w:pPr>
      <w:r>
        <w:rPr>
          <w:rFonts w:ascii="IRNazanin" w:hAnsi="IRNazanin" w:eastAsia="IRNazanin"/>
          <w:color w:val="111111"/>
          <w:sz w:val="28"/>
          <w:sz w:val="28"/>
          <w:szCs w:val="28"/>
          <w:rtl w:val="true"/>
          <w:lang w:bidi="fa-IR"/>
        </w:rPr>
        <w:t>علی کلّ حال، هناک أیضاً جناح أخر فی النفس هو جناح القوة العملیّة، أو ما یسمّی بالقوّة العمّالة، مثل القوی العضلیّة والقوی الشهویّة والغرائز المختلفة فی النَّفس، وقوّة العقل العملیّ؛ هذه القوی سِمتها المهمّة الممیِّزة لها عن الجناح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الأجنحة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باعثة ومحرّکة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فلدینا جناحان من الأجنحة العدیدة فی النفس، أو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الإدراکیّة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الجناح الذی هو فی الجهة العملیّة هو المحرّک والباعث، لکنّه لیس بکلّ درجاته خالیاً من الإدراک کلاّ بل هو فی بعض درجاته مزیج ومختلط بالإدراک، مثل قوّة العقل العَملیّ وخاصیّة قوّة العقل العملیّ هو الإدراک مع کونه محرّکاً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یدرک الإنسان حسن فضیلة معیّنة ویتشوّق إلیها، فیُمارسها ویعزم علیها ویوطّن نفسه علی تطبیقها أو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أن یتشوّق إلی فضیلة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یستنکر رذیلة ما وینفر منها ویشحن نفسه بالنفرة منها فتراه ینقطع فی سلوکه العملیّ عن تلک الرذیلة وهلمّ 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العملیّ حیث إنّه محرِّک عملیّ، إلاّ أنّ جنبة الإدراک تتوفّر فیه أیضاً هذا من جهة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لابدّ من امتزاج هاتین القوّتَین العملیّة والإدراکیّة فی النفس الإنسانیّة، فافتراض وجود إنسان له جانب إدراکیّ فقط، أو له جانب عملیّ فقط مخالف للفطرة الإنسانیّة وبعبارة أخری، فأنت ترید بافتراضک هذا أن تجعله إنساناً له جانب عمّالی فقط دون جانب إدراکیّ أو بالعکس لکنّ مثل هذا الشخص لیس من</w:t>
      </w:r>
    </w:p>
    <w:p>
      <w:pPr>
        <w:pStyle w:val="BookText"/>
        <w:rPr/>
      </w:pPr>
      <w:r>
        <w:rPr>
          <w:rFonts w:ascii="IRNazanin" w:hAnsi="IRNazanin" w:eastAsia="IRNazanin"/>
          <w:color w:val="111111"/>
          <w:sz w:val="28"/>
          <w:sz w:val="28"/>
          <w:szCs w:val="28"/>
          <w:rtl w:val="true"/>
          <w:lang w:bidi="fa-IR"/>
        </w:rPr>
        <w:t>الحقیقة الإنسانیة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الحقیقة الإنسانیّة فَطرها الله عزّ وجلّ علی مزیج من القوی العملیّة والقوی الإدراکیّة فمن المحال وجود حقیقة إنسانیّة تتمحّض فی إدراک المعلومات فحسب بل لابدّ أن تجد فیها جناحاً آخر وجنبة أخری وهی جنبة عمّالیة کذلک من المحال أن تری إنساناً فیه جنبة عمّالیة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جملة من الحیوانات تکون الجنبة الإدراکیّة خفیفة فیها لکنّ الجنبة العمّالیة فیها بارزة وظاهرة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وزّع الله عزّ وجلّ الصفات العملیّة فی الحیوانات بشکل عجیب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الحرص تجده فی النمل</w:t>
      </w:r>
      <w:r>
        <w:rPr>
          <w:rStyle w:val="FootnoteAnchor"/>
          <w:rtl w:val="true"/>
        </w:rPr>
        <w:footnoteReference w:id="188"/>
      </w:r>
      <w:r>
        <w:rPr>
          <w:rFonts w:ascii="IRNazanin" w:hAnsi="IRNazanin" w:eastAsia="IRNazanin"/>
          <w:color w:val="111111"/>
          <w:sz w:val="28"/>
          <w:sz w:val="28"/>
          <w:szCs w:val="28"/>
          <w:rtl w:val="true"/>
          <w:lang w:bidi="fa-IR"/>
        </w:rPr>
        <w:t xml:space="preserve">، والوفاء تراه فی حیوان آخر، والغیرة علی الأُنثی فی حیوان، وانعدام الغیرة فی حیوان کأنّ هذه الصفات العملیّة وزّعت علی کثیر من أقسام الحیوانات عبرةً للإنسان والفطرة الإنسانیّة تختلف عن الفطرة الحیوانیّة التی تکمن فیها الجنبة العملیّة فقط، وإن کان هناک صفات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موزّعة وموجودة لدی الحیوانات من اللطائف ومن یتتبّع حیاة بعض الحیوانات سوف یلاحظ فی کلّ حیوان صفة معیّنة وهذا مورد للاعتبار،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یُحشر حسب صفته؛ وهذه الأشکال من الحیوانات الموجودة هی نموذج وأمثال للصفات المختلفة، فإن کانت صفات الإنسان رذیلیّة لا سامح الله، فإنّه سوف یُحشر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الفطرة الإنسانیّة تحتوی علی جانب إدراکیّ محض ولا علی جانب عملیّ محض بل هما جناحان ممتزجان لا یمکن أن ینفکّ أحدهما عن الآخر، ولا یُفصل بینهما فی حاقّ النفس البشریّة وإذا وجدنا بعض الناس فیه طغیان جنبة إدراکیّة علی جنبة عملیّة، أو طغیان جنبة عملیّة علی جنبة إدراکیّة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نوع من الاختلال وعدم التوازن والتکامل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الحَسد، أو الشهوة هما من جنبة إدراک المخیّلة التی هی النافذة العظمی للشیطان فی الإنسان، التی یدخل من خلالها حیث یُری الشیطان الصور للإنسان من بعید یُریه صورة لفعل أو لشی‌ء، ثمّ یشوّقه نحو ذلک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لِی عَلَیْکُمْ مِنْ سُلْطَانٍ إِلَّا أَنْ دَعَوْتُکُمْ فَاسْتَجَبْتُمْ لِی</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فبتوسّط نفس الدعوة من بعید یُری الصورة فی عالم النفس، ثمّ یُغری الإنسان فیتشوّق ویتحرّک نحوها؛ فالإنسان إذا عزف وانصرف عن هذا الإغراء ینقطع سلطان الشیطان عنه أمّا مع رغبة النفس وترکیزها وانجذابها، فإنّ الشیطان سوف یستولی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قد یکون تفسیر الحدیث المعروف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یجری فی الإنسان مجری الدم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سلّطتَ علیّ الشیطان وأجریتَه منّی مجری 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وباعتبار أنّ هذه النوافذ الإدراکیّة لا یضبطها الإنسان ولا یحرسها بحراسة جیّدة، وأنّه یُطلِق عنانها من دون مراقبة النفس فإنّ الشیطان سیخترق النفس من خلالها وینفذ إلی إعماقها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فالفطرة الإنسانیّة ذات جنبتَین لا یمکن تفکیک إحداهما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ونواصل بعض الأمثلة لکی نکون علی بصیرة من هذا البحث، حتّی نصل إلی حقیقة النُکات الفلسفیّة والعقلیّة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یروّج البعض فی بعض الأبحاث الفکریّة والثقافیّة الحدیثة أنّ التقدیس</w:t>
      </w:r>
    </w:p>
    <w:p>
      <w:pPr>
        <w:pStyle w:val="BookText"/>
        <w:rPr/>
      </w:pPr>
      <w:r>
        <w:rPr>
          <w:rFonts w:ascii="IRNazanin" w:hAnsi="IRNazanin" w:eastAsia="IRNazanin"/>
          <w:color w:val="111111"/>
          <w:sz w:val="28"/>
          <w:sz w:val="28"/>
          <w:szCs w:val="28"/>
          <w:rtl w:val="true"/>
          <w:lang w:bidi="fa-IR"/>
        </w:rPr>
        <w:t>والقدسیّة والتعظیم هی نوع من الحجاب أمام التحرّر الثقافیّ والانفتاح الفکریّ لذا لابدّ من إزالة هذا الحاجب والوقوف فی وجه أشکال التقدیس والاحترام والتعظیم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یندرج ویجری فی نفس المسار فی بحث البکاء أیضاً؛ فما مدی صحّة هذه المقولة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للإجابة عن ذلک، ولتمحیص حقیقة هذه المزاعم والدعاوی لابدّ من معرفة ماهیّة القدسیّة، وأنّها فعل أیّ قوّة من قوی النفس، وأیّ جناح من أجنحة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قیل أنّ التشکیک نبراس ومَعلَم للحریّة الفکریّة وللأسلوب الفکریّ والتحقیقیّ وأنّه دیدن العلم هل هذا صحیح بقول مطلق أم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التشکیک أیضاً عملیّة فکریّة تمارسها بعض القوی الإدراکیّة فهل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سلیم دوماً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أن ندرس أفعال النفس بدقّة کی لا نقع فی الخطأ ولا فی المغالطات، ولا فی الإلتباسات وعلینا أن نتعرّف علی مجال ممارسة النفس لها، ومواطن عدم الممارسة کذلک البکاء فِعل من أفعال النفس، وکذلک التقدیس والتعظیم والإذعان والمتابعة النفسیّة کلّها من أفعال النفس، وترتبط بالقضایا الإدراکیّة والاعتقادیّة والفکریّة والسلوکیّة وهی برنامج یتعلّق بسیر الإنسان فی معاشه وحیاته فمتی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تمارسه النفس بصحّة، ومتی تمارسه النفس خطأً؟</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أو التساؤل أو التنقیب فِعل من أفعال النفس، فمتی تمارسه النفس بشکل صحیح، ومتی تمارسه النفس خطأً؟ هل یجب أن یقف الإنسان دوماً فی منطقة التشکیک والتساؤل؟ أم ینبغی علیه أن یتجاوز ذلک کلّ هذه الابحاث ونحوها مما ترتبط بمباحث دینیّة حسّاسة وخطیرة، فلابدّ من الوقفة العلمیّة عندها، لإنعام النظر فیها</w:t>
      </w:r>
      <w:r>
        <w:rPr>
          <w:rFonts w:eastAsia="IRNazanin" w:cs="IRNazanin"/>
          <w:color w:val="111111"/>
          <w:sz w:val="28"/>
          <w:szCs w:val="28"/>
          <w:rtl w:val="true"/>
          <w:lang w:bidi="fa-IR"/>
        </w:rPr>
        <w:t>.</w:t>
      </w:r>
      <w:bookmarkStart w:id="437" w:name="pg2944_24588"/>
    </w:p>
    <w:p>
      <w:pPr>
        <w:pStyle w:val="Heading4"/>
        <w:numPr>
          <w:ilvl w:val="3"/>
          <w:numId w:val="1"/>
        </w:numPr>
        <w:rPr/>
      </w:pPr>
      <w:bookmarkStart w:id="438" w:name="__RefHeading___Toc110724_2749589250"/>
      <w:bookmarkStart w:id="439" w:name="_Toc164"/>
      <w:bookmarkEnd w:id="437"/>
      <w:bookmarkEnd w:id="438"/>
      <w:r>
        <w:rPr>
          <w:rtl w:val="true"/>
        </w:rPr>
        <w:t>ثوابت عن ظاهرة التقدیس</w:t>
      </w:r>
      <w:bookmarkEnd w:id="439"/>
    </w:p>
    <w:p>
      <w:pPr>
        <w:pStyle w:val="BookText"/>
        <w:rPr/>
      </w:pPr>
      <w:r>
        <w:rPr>
          <w:rFonts w:ascii="IRNazanin" w:hAnsi="IRNazanin" w:eastAsia="IRNazanin"/>
          <w:color w:val="111111"/>
          <w:sz w:val="28"/>
          <w:sz w:val="28"/>
          <w:szCs w:val="28"/>
          <w:rtl w:val="true"/>
          <w:lang w:bidi="fa-IR"/>
        </w:rPr>
        <w:t>کیف یمارس الإنسان عملیّة التقدیس بشکل صحیح؟ التقدیس والقدسیّة عبارة عن الإذعان وحینما یذعن الإنسان لشی‌ء ویتصوّر أنّه حقیقة فإنّه یُبدی المتابعة أو الخضوع له فالتقدیس عبارة عن خضوع النفس عملیّاً ومتابعة القوی العملیّة فی النفس لأمرٍ أذعنت النفس له وتصوّرت أنّه حقیقة فمن ثمّ یظهر لنا متی یکون التقدیس صحیحاً ومتی یکون خاطئاً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ما أذعنت له النفس حقیقة من سنخ الواقع، فالتقدیس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وإصرار النفس علیه ممدوح، وتعظیمها لتلک المعلومة الحقیقة راجح وصحیح، لأنّ المفروض أنّها من نفس الواقع ورفع الید عنها یعنی ارتطام النفس ودفعها فی سلسلة الجهل مثل العالم التجریبیّ إذا وصل إلی حقیقة معیّنة، ثمّ یرفع الید عنها ولا یعتمد علیها أو لا یستفید منها فیکون ذلک ضیاعاً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التقدیس والقدسیّة إن کانت لأمر مخالف للواقع أو للحقیقة، أو کانت نابعة عن تصوّر وتخیّل رسمته المخیّلة بعیداً عن الواقع، کانت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متابعة النفس لما أذعنت له وتصوّرت أنّه حقیقة، فإن کان حقیقة واقعاً، ومُبتنیاً علی مقدّمات وأدلّة یقینیّة منتجة، فیکون هذا التقدیس صحیحاً وراجحاً ولکن لابدّ أن یوضع حریم حوله لأنّ المفروض أنّ الدلیل الذی أوصلک إلی مثل هذا بعد عناء وجهد إذا لم تعمل به یکون ابتعاداً عن الواقع وإغراقاً فی الجهالات والظلمات، وهذه حقیقة متّبعة فی جمیع العلوم التجریبیّة والعلوم المرتبطة بالنشآت وعلوم العقیدة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التقدیس ناتجاً من إدراک حقیقة، فهو حالة طبیعیّة فی النفس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ویبدأ التقدیس من أرفع درجة من درجات القوی العملیّة فی النفس، وهو العقل</w:t>
      </w:r>
    </w:p>
    <w:p>
      <w:pPr>
        <w:pStyle w:val="BookText"/>
        <w:rPr/>
      </w:pPr>
      <w:r>
        <w:rPr>
          <w:rFonts w:ascii="IRNazanin" w:hAnsi="IRNazanin" w:eastAsia="IRNazanin"/>
          <w:color w:val="111111"/>
          <w:sz w:val="28"/>
          <w:sz w:val="28"/>
          <w:szCs w:val="28"/>
          <w:rtl w:val="true"/>
          <w:lang w:bidi="fa-IR"/>
        </w:rPr>
        <w:t>العملیّ، فیتابع العقل النظریّ فیما أدرکه من حقیقة وأما لو کان التقدیس نتیجة لإدراک تخیّلیّ أو ظنّیّ أو وهمیّ أو غیر مبرهن وغیر ثابت، کان التقدیس نوعاً من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وصف التقلید أو الإتّباع الأعمی علی التقدیس مطلقاً أمرٌ فیه مغالطة حیث تَبیّن أن لیس کلّ تقدیس هو تقلید بل حقیقة التَقدیس هی تعظیم للحقائق فیما إذا کان ولیداً وتابعاً لإدراک حقیقة ما نعم لو کان التقدیس أو المتابعة أو الإخبات والخضوع فی الجناح العملیّ فی النفس نتیجة لإدراک تخیّلیّ أو وهمیّ، کانت حقیقة هذا التقدیس إتّباعاً أعمی وتقلیداً خاطئاً إذن لیس من الصحیح ذمّ التقدیس فی نفسه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انعکس التقدیس إلی حالة الرَفض الدائم فی الجانب العملیّ للنفس، وهو ما قد یسمّی بالتشکیک إذا کان رفضاً دائماً فسیکون حالة مَرَضیة فی النفس ولیس حالة صحّیّة فی بعض أقسامه، حیث إنّ الجناح الإدراکیّ فی النفس إذا أدرک حقیقةً ما ولم یتابعه الجناح العَملیّ ولم تتابعه القوی العملیّة التجریبیّة أو غیر التجریبیّة إذا لم تحصل المتابعة بین الجناح العملیّ والجناح الإدراکیّ، ستکون هذه حالة مَرَضیّة فی النفس لأنّها تُدرک الحقائق ولکن لا تنتفع بها ولا تستفید منها وإصرار النفس علی الرفض والإباء عن متابعة الحقائق یؤدّی إلی تضییع الحقیقة والتفریط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یفسّر المحقّق الاصفهانیّ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فی البدایة قد یکون هناک لدیهم إیقان مع الجحود، لکن فی النهایة والمآل فإنّ هذا الإیقان یذهب کشی‌ء ووجود شریف ثمین، یذهب وتفتقده النفس بسبب عدم</w:t>
      </w:r>
    </w:p>
    <w:p>
      <w:pPr>
        <w:pStyle w:val="BookText"/>
        <w:rPr/>
      </w:pPr>
      <w:r>
        <w:rPr>
          <w:rFonts w:ascii="IRNazanin" w:hAnsi="IRNazanin" w:eastAsia="IRNazanin"/>
          <w:color w:val="111111"/>
          <w:sz w:val="28"/>
          <w:sz w:val="28"/>
          <w:szCs w:val="28"/>
          <w:rtl w:val="true"/>
          <w:lang w:bidi="fa-IR"/>
        </w:rPr>
        <w:t>متابعة الجانب العملیّ للجانب الإدراکیّ</w:t>
      </w:r>
      <w:r>
        <w:rPr>
          <w:rStyle w:val="FootnoteAnchor"/>
          <w:rtl w:val="true"/>
        </w:rPr>
        <w:footnoteReference w:id="192"/>
      </w:r>
      <w:r>
        <w:rPr>
          <w:rFonts w:ascii="IRNazanin" w:hAnsi="IRNazanin" w:eastAsia="IRNazanin"/>
          <w:color w:val="111111"/>
          <w:sz w:val="28"/>
          <w:sz w:val="28"/>
          <w:szCs w:val="28"/>
          <w:rtl w:val="true"/>
          <w:lang w:bidi="fa-IR"/>
        </w:rPr>
        <w:t>ولعلّ إلیه الإشارة الأخری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أنّ الجانب العملیّ فی النفس یتأثر بالجانب الإدراکیّ، فإنّ الجانب الإدراکیّ فی النفس کذلک یتأثّر بدوره بالجانب العملیّ وأمراض الجانب العملیّ فی النفس تسبّب أمراضاً فی الجانب الإدراکیّ أیضاً وکذلک الحال فی أمراض القوی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کالوسوسة، أو سرعة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غلبة الوهم والتخیّل علی التعقّل، حیث لا یستطیع أن یدرک المعانی العقلیّة نتیجة السجن الذهنیّ فی القضایا الخیالیّة والوهمیّة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أمراض فی الجانب الإدراکیّ کما أنّ هناک أمراضاً تقابلها فی الجانب العملیّ إضافة للصفات الصحیحة فی الجانب العملیّ ومثال من أمثلة أمراض الجانب العملی دوام الإباء فی الجانب العملیّ للنفس، أو دوام الإخبات والخضوع لکلّ مقولة ولأیّ دعوی فهذه تعتبر حالة غیر صحیحة وغیر سلیمة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الأمراض فی الجانب العملی لها أسماء أیضاً،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العام الأعمی،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الدائم التی هی حالة السفسطة، فالحالة السفسطائیّة الدائمة المطلقة هی حالة مَرَضیّة فی الجانب العملیّ فی النفس وحالة التقلید الأعمی هی أیضاً حالة مَرَضیّة ومذمومة عند العقلاء وإلیها وإلی غیرها من الأمراض یشیر إلیها القرآن الکریم وتشیر الأحادیث النبویة؛ وقد تعرّض لها أمیر المؤمنین علیه السلام ضمن خطبه الشریفة فی نهج البلاغة مثل</w:t>
      </w:r>
      <w:r>
        <w:rPr>
          <w:rFonts w:eastAsia="IRNazanin" w:cs="IRNazanin"/>
          <w:color w:val="111111"/>
          <w:sz w:val="28"/>
          <w:szCs w:val="28"/>
          <w:rtl w:val="true"/>
          <w:lang w:bidi="fa-IR"/>
        </w:rPr>
        <w:t>:</w:t>
      </w:r>
      <w:bookmarkStart w:id="440" w:name="pg2944_24591"/>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الشیء یُعمی ویُصمّ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حالات الجانب العملیّ، فإذا اشتدّت المحبة فإنّها تُوجب ظلامة وحاجباً فی الجانب الإدراکیّ وشدّة البغض کذلک قد توجب التأثّر والستر فی الجانب الإدراکیّ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بمعنی أن لا تشتدّ محبّة الإنسان لمن أمره الله بمحبته إذ أنّ الله سبحانه أمر بمحبّة نفسه، وأمر بمحبّة رسوله وأهل بیته علیهم السلام أو لا تشتدّ عداوته لمن أمر الله سبحانه بعداوته ولیس المعنی أنّ زیادة المحبّة المأمور بها تکون خاطئة أو الکراهة والبغض المأمور بها کذلک لیس المراد ذلک ولسنا وراء ما یطرحه العلمانیّون أو ما یُسمی بالعولمة، أی الحیادیّة فی کلّ شی‌ء، وأنّ المدار الأول والأخیر هو نفسیّ ونفسیّ فقط، کطُرُق العولمة المطروحة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الثقافات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هو المقصود ولیس الإتّزان هو عدم المحبّة فی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أمر بها الشارع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العداوة الشدیدة فی موردها الذی بیَّنه الشارع بل الکلام أنّ الإنسان إذا أراد أن یُدرک أمراً، ینبغی له عدم جعل المحبّة مؤثّرة فی کیفیة الإدراک حتّی لو کانت محبّة فی موردها، وکذلک الأمر فی العداوة الشدیدة فضلاً عمّا لو کانت لیست فی محلّها وإنّما ینبغی جعل موازین الإدراک علی ما هی علیه وجعل موازین الحرکات والأفعال فی النفس علی ما هی علیه هذا هو المنطق القرآنیّ والتوجیه النبویّ والعَلَویّ</w:t>
      </w:r>
      <w:r>
        <w:rPr>
          <w:rFonts w:eastAsia="IRNazanin" w:cs="IRNazanin"/>
          <w:color w:val="111111"/>
          <w:sz w:val="28"/>
          <w:szCs w:val="28"/>
          <w:rtl w:val="true"/>
          <w:lang w:bidi="fa-IR"/>
        </w:rPr>
        <w:t>.</w:t>
      </w:r>
    </w:p>
    <w:p>
      <w:pPr>
        <w:pStyle w:val="Heading4"/>
        <w:numPr>
          <w:ilvl w:val="3"/>
          <w:numId w:val="1"/>
        </w:numPr>
        <w:rPr/>
      </w:pPr>
      <w:bookmarkStart w:id="441" w:name="__RefHeading___Toc110726_2749589250"/>
      <w:bookmarkStart w:id="442" w:name="_Toc165"/>
      <w:bookmarkEnd w:id="441"/>
      <w:r>
        <w:rPr>
          <w:rtl w:val="true"/>
        </w:rPr>
        <w:t>المنطق الشرعیّ وظاهرة البکاء</w:t>
      </w:r>
      <w:bookmarkEnd w:id="442"/>
    </w:p>
    <w:p>
      <w:pPr>
        <w:pStyle w:val="BookText"/>
        <w:rPr/>
      </w:pPr>
      <w:r>
        <w:rPr>
          <w:rFonts w:ascii="IRNazanin" w:hAnsi="IRNazanin" w:eastAsia="IRNazanin"/>
          <w:color w:val="111111"/>
          <w:sz w:val="28"/>
          <w:sz w:val="28"/>
          <w:szCs w:val="28"/>
          <w:rtl w:val="true"/>
          <w:lang w:bidi="fa-IR"/>
        </w:rPr>
        <w:t>إنّ المنطق الذی یطرحه القرآن والسنّة المعصومیّة النبویّة والمعصومیّة العلویّة فی نهج البلاغة منطق لیس أُحادیّاً ولا تمایلیّاً إلی طرف معین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مثلاً إلی المنطق الأرسطیّ الذی یضع موازین معیّنة علی فرض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من جوانب الأدراکات وهو فقط الإدراک الحصولیّ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بعض تقادیره لیس کلّ الإدراکات؛ أمّا الإدراک العیانیّ فإنّه لا یضع له میزاناً أو الإدراک الحصولیّ من تقادیر أخری قد لا یضع لها میزاناً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أنّک تری مثلاً المنطق الریاضیّ یضع موازین من جانب آخر أو تری المنطق النفسیّ الحدیث المتداول أو المنطق الوضعیّ، ومدارس منطقیّة کثیرة کلّها تتناول جانباً معیّناً وتهمل الجوانب الأخری ومع ذلک فإنّ تلک الجوانب المتناولة قد تکون غیر مستوعبة لوضع الموازین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المنطق الشرعیّ فإنّک تری خلاف ذلک المنطق الشرعیّ یتناول موازین القوی العملیّة ویتناول موازین القوی الإدراکیّة، وعلی صعید الإدراک العَیانیّ والإدراک الحصولیّ، وهلمّ جرّاً یعنی أنّه یتناول الموازین فی أجنحة النفس العدیدة، وینظر فی کیفیّة ملائمة هذه الأجنحة فی النفس مع بعضها البعض وهذا ممّا لا تتناوله مدرسة منطقیّة بشریّة إلی الآن هذا هو المنطق الشرعیّ أو المنطق الذی تقدّمه المعرفة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منطق الإنسان المتکامل فی کلّ أجنحة النفس، وهو أیضاً یحدّد العلاقة بین أجنحة النفس بعضها البعض وإلاّ فأیّ منطق تراه یحدّثک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 والبُغض یُعمی ویُصمّ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أو یتناول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الدنیا علی أحدٍ أعارته محاسنَ غیره، وإذا أدبرتْ عنه سَلَبته محاسنَ نفسه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التعبیرات وهذه أمور منحصرة فی منطق الأطروحة الدینیّة</w:t>
      </w:r>
      <w:r>
        <w:rPr>
          <w:rFonts w:eastAsia="IRNazanin" w:cs="IRNazanin"/>
          <w:color w:val="111111"/>
          <w:sz w:val="28"/>
          <w:szCs w:val="28"/>
          <w:rtl w:val="true"/>
          <w:lang w:bidi="fa-IR"/>
        </w:rPr>
        <w:t>.</w:t>
      </w:r>
      <w:bookmarkStart w:id="443" w:name="pg2944_24593"/>
    </w:p>
    <w:p>
      <w:pPr>
        <w:pStyle w:val="Heading4"/>
        <w:numPr>
          <w:ilvl w:val="3"/>
          <w:numId w:val="1"/>
        </w:numPr>
        <w:rPr/>
      </w:pPr>
      <w:bookmarkStart w:id="444" w:name="__RefHeading___Toc110728_2749589250"/>
      <w:bookmarkStart w:id="445" w:name="_Toc166"/>
      <w:bookmarkEnd w:id="443"/>
      <w:bookmarkEnd w:id="444"/>
      <w:r>
        <w:rPr>
          <w:rtl w:val="true"/>
        </w:rPr>
        <w:t>التشکیک سلاح ذو حَدّین</w:t>
      </w:r>
      <w:bookmarkEnd w:id="445"/>
    </w:p>
    <w:p>
      <w:pPr>
        <w:pStyle w:val="Heading5"/>
        <w:numPr>
          <w:ilvl w:val="4"/>
          <w:numId w:val="1"/>
        </w:numPr>
        <w:rPr/>
      </w:pPr>
      <w:bookmarkStart w:id="446" w:name="__RefHeading___Toc110730_2749589250"/>
      <w:bookmarkStart w:id="447" w:name="_Toc167"/>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فالإباء المطلق حالة مَرَضیّة فی النفس فی الجانب العملیّ، والتشکیک أو التساؤل فی منطق المعرفة الدینیّة وفی المنطق العقلیّ البشریّ إنّما هو قنطرة لکی یراجع الإنسان حسابات الأدلة التی یعقد علیها إیمانه، ثمّ بعد ذلک یتوصّل إلی الحقیقة فی أیّ مجال من المجالات، وفی أیّ علم من العلوم المرتبطة بالنشأة الدینویّة، أو المرتبطة بالنشآت الأخری، ثمّ بعد ذلک یتوصّل إلی الحقیقة التی إمّا أن تکون مطابقة أو غیر مطابقة لا أن یبقی فی الإنسان منطقة التساؤل أبد الدهر فلیس التساؤل إلاّ محرّکاً وآلة للفحص وطاقة للبحث ولیس الفحص إلاّ طریق للوصول للحقیقة ولو وقف الإنسان دائماً فی منطقة التساؤل من دون أن یتحرّک، فهذه تُعتبر حالة مَرَضیة فی النفس ولیست حالة صحیحة إنّما التساؤل یُعتبر بوّابة لأجل الفحص، لأجل التنقیب، لأجل التحرّی للوصول إلی الحقائق وإلاّ فإنّنا لو اقتصرنا علی الوقوف دوماً فی منطقة التساؤل والتشکیک لما اکتُشف شی‌ء فی العلوم القدیمة والحدیثة فلیست هذه حالة صحّیّة أمّا إذا کان التشکیک بمعنی التساؤل، ثمّ یأتی بعده التحرّی والتنقیب الذی یستتبع الجزم والتصمیم علی ضوء المُعطَیات البرهانیّة الیقینیّة، کانت الحالة حالة سلیمة وصحیّة للنفس أمّا أن نقف فی دوّامة التساؤل والإباء والرفض فهذه حالة جهالة ولیست حالة علمیّة ولا صحیحة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یعیش بشکل دائم حالة سفسطائیّة وتشکیکیّة سیؤدّی به ذلک إلی القضاء علی الفطرة عِلماً وعملاً إدراکاً وتطبیقاً ولیس فیه نوع من التقدّم بل سوف یتحجّر المرء علی نفسه ولو کان الأمر کذلک لما وصلت البشریّة إلی ما وصلت إلیه من الاختراعات والاکتشافات والإبداعات هذا کمثال فی العلوم التجریبیّة، فکیف فی العلوم الإنسانیّة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والحیرة حینئذ یشکّلان داعیاً وباعثاً للتساؤل الذی یستعقبه تحرّک وفحص وتنقیب وتحقیق حتّی یحصل الجزم والوصول إلی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ضمن الفحص والتحقیق والسیر ربّما یسیر ویفحص وتنتابه حالة مَرَضیة أخری غیر السفسطة، وقد تکون مقابلة لها؛ وهی حالة بُطأ الیقین لدیه أو سرعة الیقین لدیه وکلاهما من الحالات المَرَضیة فی الإدراک والمفروض أنّ الحالة الصحّیّة المتّزنة هی أنّه إذا رأی النتائج مقنعة للنفس بشکل قطعیّ وبمعزل عن میوله الشخصیّة وقناعاته الخاصّة، فإذا کانت النتائج بنفسها موزونة ومنتجة، فاللازم أن یسلّم ویُذعن ویقرُّ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فقیمة الشکّ إذن من جهة الفحص والوصول إلی النتائج أما إذا کان الشکّ محطّة دائمة فیصبح صورة سلبیّة وصفة 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یقال فإنّ العلوم خزائن مفتاحها السؤال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ذهب الفقهاء وعلماء الکلام إلی أنّ من اعتقد عقائدَ الحق لا عن دلیل، فهو وإن کان من الناجین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قد ارتکب معصیة لأنّه لم یعتقد ذلک عن دلیل وبرهان إذ أنّ العلم بالحقائق عن دلیل واجب، وإن کانت النجاة مرهونة بصرف اعتقاد الحقّ ولو کان عن تقلید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فالاعتقاد والاعتناق عن تقلید بدون تفکیر وتدبّر لا یُعتبر اعتقاداً تامّاً لأنّه یکون فی معرض الحرمان والزوال بخلاف الاعتناق والاعتقاد عن دلیل وبرهان وحجّة، فإنّه</w:t>
      </w:r>
      <w:bookmarkStart w:id="448" w:name="pg2944_24595"/>
    </w:p>
    <w:p>
      <w:pPr>
        <w:pStyle w:val="BookText"/>
        <w:rPr/>
      </w:pPr>
      <w:bookmarkEnd w:id="448"/>
      <w:r>
        <w:rPr>
          <w:rFonts w:ascii="IRNazanin" w:hAnsi="IRNazanin" w:eastAsia="IRNazanin"/>
          <w:color w:val="111111"/>
          <w:sz w:val="28"/>
          <w:sz w:val="28"/>
          <w:szCs w:val="28"/>
          <w:rtl w:val="true"/>
          <w:lang w:bidi="fa-IR"/>
        </w:rPr>
        <w:t>یظلّ دائماً متمسّکاً بتلک العقیدة ثابت القدم علی أرکانها</w:t>
      </w:r>
      <w:r>
        <w:rPr>
          <w:rFonts w:eastAsia="IRNazanin" w:cs="IRNazanin"/>
          <w:color w:val="111111"/>
          <w:sz w:val="28"/>
          <w:szCs w:val="28"/>
          <w:rtl w:val="true"/>
          <w:lang w:bidi="fa-IR"/>
        </w:rPr>
        <w:t>.</w:t>
      </w:r>
    </w:p>
    <w:p>
      <w:pPr>
        <w:pStyle w:val="Heading5"/>
        <w:numPr>
          <w:ilvl w:val="4"/>
          <w:numId w:val="1"/>
        </w:numPr>
        <w:rPr/>
      </w:pPr>
      <w:bookmarkStart w:id="449" w:name="__RefHeading___Toc110732_2749589250"/>
      <w:bookmarkStart w:id="450" w:name="_Toc168"/>
      <w:bookmarkEnd w:id="449"/>
      <w:r>
        <w:rPr>
          <w:rtl w:val="true"/>
        </w:rPr>
        <w:t>حصیلة المطاف</w:t>
      </w:r>
      <w:bookmarkEnd w:id="450"/>
    </w:p>
    <w:p>
      <w:pPr>
        <w:pStyle w:val="BookText"/>
        <w:rPr/>
      </w:pPr>
      <w:r>
        <w:rPr>
          <w:rFonts w:ascii="IRNazanin" w:hAnsi="IRNazanin" w:eastAsia="IRNazanin"/>
          <w:color w:val="111111"/>
          <w:sz w:val="28"/>
          <w:sz w:val="28"/>
          <w:szCs w:val="28"/>
          <w:rtl w:val="true"/>
          <w:lang w:bidi="fa-IR"/>
        </w:rPr>
        <w:t>هذان نموذجان بشکل مختصر عن التقدیس والتشکیک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موضعهما من أفعال النفس ومتی یصبحان حالة مَرَضیّة أو حالة سلیمة فی جهاز الوجود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البکاء، فعلینا التعرّف أنّ حکم الفعل من قِبل أیّ جناح من أجنحة النفس یصدر، وهل له ارتباط مع جناح آخر للنفس؟ وهل هو صحیح وسلیم مطلقاً؟ أو قد یکون حالة مَرَضیّة؟</w:t>
      </w:r>
      <w:r>
        <w:rPr>
          <w:rFonts w:eastAsia="IRNazanin" w:cs="IRNazanin"/>
          <w:color w:val="111111"/>
          <w:sz w:val="28"/>
          <w:szCs w:val="28"/>
          <w:rtl w:val="true"/>
          <w:lang w:bidi="fa-IR"/>
        </w:rPr>
        <w:t>.</w:t>
      </w:r>
    </w:p>
    <w:p>
      <w:pPr>
        <w:pStyle w:val="Heading4"/>
        <w:numPr>
          <w:ilvl w:val="3"/>
          <w:numId w:val="1"/>
        </w:numPr>
        <w:rPr/>
      </w:pPr>
      <w:bookmarkStart w:id="451" w:name="__RefHeading___Toc110734_2749589250"/>
      <w:bookmarkStart w:id="452" w:name="_Toc169"/>
      <w:bookmarkEnd w:id="451"/>
      <w:r>
        <w:rPr>
          <w:rtl w:val="true"/>
        </w:rPr>
        <w:t>تعریف البکاء</w:t>
      </w:r>
      <w:bookmarkEnd w:id="452"/>
    </w:p>
    <w:p>
      <w:pPr>
        <w:pStyle w:val="BookText"/>
        <w:rPr/>
      </w:pPr>
      <w:r>
        <w:rPr>
          <w:rFonts w:ascii="Amiri" w:hAnsi="Amiri" w:eastAsia="Amiri" w:cs="Amiri"/>
          <w:color w:val="111111"/>
          <w:sz w:val="28"/>
          <w:sz w:val="28"/>
          <w:szCs w:val="28"/>
          <w:rtl w:val="true"/>
          <w:lang w:bidi="ar-SA"/>
        </w:rPr>
        <w:t>یعرّف اللغویّون البکاء بخروج الدمع حزناً وتأثّراً</w:t>
      </w:r>
      <w:r>
        <w:rPr>
          <w:rStyle w:val="FootnoteAnchor"/>
          <w:rtl w:val="true"/>
        </w:rPr>
        <w:footnoteReference w:id="199"/>
      </w:r>
      <w:r>
        <w:rPr>
          <w:rFonts w:ascii="IRNazanin" w:hAnsi="IRNazanin" w:eastAsia="IRNazanin"/>
          <w:color w:val="111111"/>
          <w:sz w:val="28"/>
          <w:sz w:val="28"/>
          <w:szCs w:val="28"/>
          <w:rtl w:val="true"/>
          <w:lang w:bidi="fa-IR"/>
        </w:rPr>
        <w:t>وهذا التعبیر إنّما هو باللازم للمعنی الحقیقیّ أمّا علماء الأخلاق والحکماء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هو حالة انفعال فی الجناح العملیّ للنفس وهو ما یسمّی بتأثّر الضمیر والوجدان فی الإنسان سواء خرج الدمع أم لا؛ مع الصیحة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بالضمیر والوجدان هو تأثّر الجانب العملیّ الذی فیه مزیج إدراکیّ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أشرنا إلی أنّ الجناح العملیّ فی النفس فی بعض درجاته وإن کان عملیّاً إلاّ أنّه ممزوج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بالإدراک، أی فیه جنبة إدراکیّة یعنی لیست جنبة عملیّة بحتة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قوّة العقل العملیّ نظیر الشوق، إذ لابدّ من إدراکٍ ما ثمّ یستتبعه العمل ونظیر الغضب، وما شابه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فبعض الدرجات العملیّة هی موجودة بالإدراک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البکاء فعل ناتج وناشی‌ء من القوی النفسیّة الموجودة، وهو عبارة عن حالة انکسار، أو تأثّر، أو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الجانب العملیّ نتیجة لإدراک ما وذاک الإدراک هو إدراک لحرمان ما لأنّ الکمال لم یستتمّ لدی الإنسان حتّی ینفعل تشوّقاً إلیه فقد یکون البکاء عن تشوّق وقد یکون عن حزن لفقد حقّ من الحقوق وقد یکون مزیجاً من الحزن والشوق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أنّه نوع من الانفعال فی الجانب العملیّ فی النفس نتیجة لإدراک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الإدراک هو فقدٌ لشی‌ء ما، سواء فی صورة الحزن، أو فی صورة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لو کان الإنسان حاصلاً علی ذلک الشی‌ء فإنّه لا یتشوّق إلیه هذا تعریف إجمالیّ من الحکماء أو علماء الأخلاق للبکاء وأمّا حکم البکاء بأنّه علی الإطلاق حالة سلیمة فی النفس، أم هو حالة مَرَضیة أو علی التفصیل، فلا بدّ هنا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البکاء یتبع معنیً ما هذا الانفعال فی الجانب العملیّ یتبع معنیً معین فإن کان المعنی الذی یتبعه الانفعال النفسیّ بحیث یکون الانفعال عنه ایجابیّاً وذلک المعنی هو معنیً حقیقیّ وصادق إن کان ناشئاً عن معنیً صادق وحقیقة صادقة، والتأثّر کان إیجابیاً، فیکون حالة صحیحة فی النفس، وأمّا إن کان المعنی الموجود معنیً غیر صادق، أو کان صادقاً لکنّ التأثّر به غیر ملائم فسوف یکون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إنسان یبکی لفقد کمال معیّن، کعلم معیّن أو احترام معیّن أو قدرة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مالیّة أو غیر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لفقدها، فإدراک هذا الفقد حقیقیّ ولیس کاذباً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أدرک أنه فاقد للکمال، والمفروض أنّ کمالیّة ذلک الشی‌ء واقعیة، فإنّ تأثّره بهذا الفقدان أیضاً شی‌ء إیجابیّ لأنّ المفروض أنّه یتأثر کی یستعدّ للحرکة، ولزیادة شدّة حرکة النفس وطاقتها وانشدادها باتّجاه ذلک الکمال ولزیادة السعی نحو تحصیل ذلک الکمال وعلی عکس المقولة المعترضة علی ظاهرة البکاء بأنّه یُعدّ مفرّغاً للطاقة،</w:t>
      </w:r>
    </w:p>
    <w:p>
      <w:pPr>
        <w:pStyle w:val="BookText"/>
        <w:rPr/>
      </w:pPr>
      <w:r>
        <w:rPr>
          <w:rFonts w:ascii="IRNazanin" w:hAnsi="IRNazanin" w:eastAsia="IRNazanin"/>
          <w:color w:val="111111"/>
          <w:sz w:val="28"/>
          <w:sz w:val="28"/>
          <w:szCs w:val="28"/>
          <w:rtl w:val="true"/>
          <w:lang w:bidi="fa-IR"/>
        </w:rPr>
        <w:t>بل هو یزید سعرات الطاقة ویسرّع حرکة النفس نحو تحصیل ذلک الکمال نعم هو مفرّغ للحصر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 به علماء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یوجب تخفیف تشوق النفس نحو المطلوب ونحو المُتشوَّق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فقد الإنسان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الشی‌ء موجوداً عند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لأجل إزالة الشی‌ء عن صدیقه وحصوله عنده فهذا نوع من الحسد طبعاً، إن کانت المعلومة صادقة، وهی فقد ذلک الکمال ولکن تأثّره موجّه باتّجاه أن یسعی لإزالة کمال عن الآخرین ولا ریب أنّ هذا التأثّر سلبیّ ولیس تأثّراً ایجابیّاً فتارة تکون المعلومة صادقة ولکنّ التأثّر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الإنسان قد یفقد أعزّ أحبّته فیتأثّر وهو جیّد لکن إذا اشتدّ البکاء أو تحوّل إلی حالة من السخط والجزع والاعتراض علی الله سبحانه أو فهذا المظهر یکون خاطئاً، وإن کانت المعلومة صادقة، لأنّ تأثّره وجّه بتوجیه خاطئ، ولغایة معیّنة وإنّ أیّ فعل عملیّ ترتکبه النفس، کأی فعل إدراکیّ ترتکبه النفس دائماً یکون لغایة فلابدّ أن نلاحظ العلّة، ونلاحظ العلل الفرعیّة والعلّة الغائیّة کما فی العلّة المادیّة والصوریّة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کان البکاء منطلقاً ومتولّداً من معلومة حقیقیّة، فیکون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تأثّره موجّهاً إلی غایة کمالیّة هادفة، فإنّه أیضاً یکون إیجابیّاً وسلیماً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البکاء الذی یکون لأجل غایة سلبیّة وبخلافه ما إذا کان مع الصبر والتحمّل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والبکاء إنّما یحصل للتأثّر ولبیان المحبة التی کانت بین الباکی وبین المفقود مثلاً، الذی لأجله حصل البکاء، فیعتبر هذا نوع من الصلة للمیّت کما قال النبیّ صلی الله علیه وآله وسلم حینما فقد ابنه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العین، ویحزن القلب، ولا أقول إلاّ ما یُرضی ربّنا، وإنّا بکَ یا إبراهیم لمحزونون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عاش إبراهیم لکان نبیّاً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نوع من إظهار المحبة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فالفعل الذی یصدره الجناح العَملیّ للنفس تأثّراً بالجانب الإدراکیّ فی النفس یشترط فیه أمران لکی یکون إیجابیّاً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منطلقاً من إدراک صادق ومعلومة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غایته غایة هادفة وإیجابیّة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اختلّ أحد هذین الشرطَین یکون البکاء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قرّره العلماء فی البحوث العقلیّة والحکمیّة والاخلاقیّة وفی علم النفس، علی نحو الإجمال، حول موضوع البکاء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النفس وعلم الاجتماع الحدیث یذکرون فی بعض تعریفاتهم أنّ البکاء تنفیس عن الضغط لأنّ الإنسان قد تتکدّس علیه ضغوط، فتنشأ منها حالة البکاء لدی الإنسان؛ ویکون بکاؤه نوعاً من التنفیس والتخفیف هذه هی کلماتهم بغضّ النظر عن تصویبها أو تخطئتها أو مقارنتها مع ما ذُکر فی علوم أُخر</w:t>
      </w:r>
      <w:r>
        <w:rPr>
          <w:rStyle w:val="FootnoteAnchor"/>
          <w:rtl w:val="true"/>
        </w:rPr>
        <w:footnoteReference w:id="202"/>
      </w:r>
      <w:r>
        <w:rPr>
          <w:rFonts w:ascii="IRNazanin" w:hAnsi="IRNazanin" w:eastAsia="IRNazanin"/>
          <w:color w:val="111111"/>
          <w:sz w:val="28"/>
          <w:sz w:val="28"/>
          <w:szCs w:val="28"/>
          <w:rtl w:val="true"/>
          <w:lang w:bidi="fa-IR"/>
        </w:rPr>
        <w:t>ففی علم النفس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السیکولوجیا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بأنّ الذی تلمّ به فادحة ومصیبة ویتّخذ البکاء کوسیلة لتهدئته</w:t>
      </w:r>
    </w:p>
    <w:p>
      <w:pPr>
        <w:pStyle w:val="BookText"/>
        <w:rPr/>
      </w:pPr>
      <w:r>
        <w:rPr>
          <w:rFonts w:ascii="IRNazanin" w:hAnsi="IRNazanin" w:eastAsia="IRNazanin"/>
          <w:color w:val="111111"/>
          <w:sz w:val="28"/>
          <w:sz w:val="28"/>
          <w:szCs w:val="28"/>
          <w:rtl w:val="true"/>
          <w:lang w:bidi="fa-IR"/>
        </w:rPr>
        <w:t>والتخفیف عنه، یکون أبعد من غیره فی احتمال وقوعه فی الاختلال الروحیّ حیث یکون لدیه اتّزان روحیّ فی الحوادث والمصائب؛ وإنّ نفسه تسلم وتطهر وتتخلّص من العقد بخلاف الذی یمتنع عن البکاء ویتجلّد، حیث تنشأ لدیه نوع من العُقد والإعتقادات الخاطئة أو تتکوّن لدیه وساوس وأحقاد علی البشریّة وربما تصیّره وَحشاً علی من حوله أو علی بیئته بسبب تلک الإعتقادات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فالبکاء یولّد نوع من الاتّزان الروحیّ ووقایة عن الاختلال الروحیّ فی النفس، ویُحصّنها من ابتلائها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إحصائیّات فی هذا الصدد أنّ من یمارس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عادة من الأمراض النفسیّة أو العُقد أو من تلک الحالات التی تکون قریبة من الکآبة والتمرّد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هذه الضمائم نسبیّة والجانب العاطفیّ عند المرأة أکثر من الجانب العاطفیّ عند الرجل ومن ثمّ فإنّ مقابلة الرجل للصدمات أکثر من المرأة ولذا جعل الدین الإسلامیّ الرجل هو القیّم وجعل بعهدته الجانب الإداریّ والتنفیذیّ لأنّه أشدّ وأصلب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نفس هذا التحلیل جُعل إشکالاً وعاد إنتقاداً علی ظاهرة البکاء؛ بتقریب أنّ البکاء ینفّس عن الإنسان الحالة الضاغطة، فهو یقلّل سعرة الحرکة والعمل لأنّه ینفّس ویُهدّئ فیبرد الإنسان ویبقی علی حالة إتّزانه فمن ثمّ یکون البکاء سلبیّاً فی بعض الموارد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وقع الظلم علی الانسان فهو ینفّس عن نفسه بالبکاء وبذلک یرجع إلی الحالة الطبیعیّة ویفقد السُعرة والطاقة والباعث نحو التصدّی والمقابلة لذلک الفعل الموجّه ضدّه، ویتقاعس عن أخذ حقّه، وهو أثر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الجواب نقول أنّ البکاء ینفّس عن الحالة الضاغطة، لا أنّه یقلّل السُعرة ویُخمد الهمّة لاسترجاع الحقّ بل علی العکس، لأنّ المفروض أنّ البکاء لابدّ أن یوجَّه إلی غایة معینة مثل أنّ المظلوم یبکی لفقد حقّ من حقوقه وفقد ما هو کمال له، وهذا وإن نفّس عن نفسه من جهة الضغط المتراکم علیه نتیجة ذلک الفقدان، لکن لا زال البکاء یزید المظلوم تشوّقاً إلی ذلک الکمال والحقّ المطلوب فلا یکون نوعاً من تقلیل السعرة والإرادة لإرجاع حقّه فإذا کان أحد الناس فاقداً لشی‌ء وبکی لفقده، فإنّنا نری بالوجدان والعیان أنّه یزداد إرادة وتصمیماً من ناحیة، وطاقةً وعملاً من ناحیة أخری نحو تحصیل ذلک المفقود منه وأنّ بکاءه لا یعیقه ولا یمنع حرکته بتاتاً فالإشکال بأنّ البکاء هو نوع من الممانعة نحو الحرکة للکمال علی إطلاقه غیر صحیح وغیر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علماء النفس أو علماء الاجتماع الحدیث لا یتضارب مع ما نقوله من أنّ البکاء علی تفصیل بلحاظ اجتماع الشرطَین</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ایجابیّاً، ومع فقد أحدهما یکون سلبیّاً أمّا أنّ البکاء هو حالة إنقهاریّة وانهزامیّة للنفس فهی مقولة غیر سلیمة علی إطلاقها ومن عمدة البحث أن نری الرؤیة الشرعیّة حول حقیقة البکاء هل یری الشارع أنّ البکاء حالة سلبیّة أم ایجابیّة؟ وعلی التفصیل فهل یکون بتوفّر الشرطین السابقین ایجابیّاً وإلاّ کان سلبیّاً کما ذکر الحکماء وعلماء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استعراض الآیات القرآنیّة العدیدة والروایات الواردة فی هذا الموضوع ومن ثمّ نبدأ فی تحلیل تفصیلی لأجوبة بقیة الإشکالات السبعة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تقدّم من الشرطَین فی إیجابیّته هو مورد توافق العلوم العقلیّة والإنسانیّة التقلیدیّة القدیمة فی البشریّة والعلوم النفسیّة والإنسانیّة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النفس وعلم الاجتماع وعلم السیکولوجیا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تتوافق تقریباً علی مثل هذا التقسیم للبکاء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وعلماء الاجتماع یلاحظون ظاهرة مفارقة بین بلدان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بلاد الغرب ویشاهدون أنّ فی الشرق ظاهرة وفور من العاطفة والأحاسیس وأنّ کثیراً من الفضائل الأخلاقیّة التی هی من سنخ القوی العقلیّة فی النفس، سواء کانت تلک الفضائل العقلیّة عملاً محضاً، أو کانت مزیجاً من جهات إدراکیّة علمیّة یلاحظون ویرون بأنّ نظم العاطفة ونظم الوجدان الموجود فی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الشرق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أقوی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الغرب وکأنّما الغرب فقط قوالب إدراکیّة طبیعة الإنسیة البشریّة الموجودة هناک کأنّها تقتصر علی قوالب إدراکیّة قد فُرِّغت من الجانب العاطفیّ والجانب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نجد الإحصائیّات 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بروز الأمراض الروحیّة والعُقد وتفکّک الأُسرة إلی غیر ذلک ممّا هو مرتبط بجانب العاطفة والوجدان والروح والخُلق المتعلّق بالجانب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فارق شاسع جدّاً بین بلاد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وبلاد الغرب بین أولئک الذین یتّخذون نمطاً من الحیاة المادّیّة والذین یتّخذون نمطاً من الحیاة الروحیّة، ولو کانوا علی غیر دین الإسلام من بلاد الشرق، کالهنود والبوذیّین وما شابه ذلک، وقد أضحی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الآونة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یتخوّفون من الغزو الثقافیّ الغربیّ والأمریکیّ الذی یکاد یهدّد الثوابت الروحیّة والعاطفیّة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والقوانین المدنیّة إنّما وُجدت لأجل سلامة المحیط الاجتماعیّ،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الحریّات فی المجتمعات الشرقیّة وتخلّف القانون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الشرق أسلم منه من الغرب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هو أنّ الإنسان فی زوایا نفسه ودرجات روحه لا یقتصر علی جناح الإدراک، وهو لیس مجرد علبة کمبیوتریّة تُزقّ بالمعلومات الإنسان یحتوی علی</w:t>
      </w:r>
    </w:p>
    <w:p>
      <w:pPr>
        <w:pStyle w:val="BookText"/>
        <w:rPr/>
      </w:pPr>
      <w:r>
        <w:rPr>
          <w:rFonts w:ascii="IRNazanin" w:hAnsi="IRNazanin" w:eastAsia="IRNazanin"/>
          <w:color w:val="111111"/>
          <w:sz w:val="28"/>
          <w:sz w:val="28"/>
          <w:szCs w:val="28"/>
          <w:rtl w:val="true"/>
          <w:lang w:bidi="fa-IR"/>
        </w:rPr>
        <w:t>جناح عملیّ أیضاً بل الجناح الإدراکیّ لیس یقتصر علی قنوات إدراک، بل فیه إدراکات روحیّة وما یسمّی بالحاسّة السادسة، وهی غیر الإدراکات الحصولیّة التی هی من قبیل المفاهیم والإدراکات الباطنیّة التی هی فی أعماق الروح یعبّر عنها الحکماء القدماء بالقلب والسرّ والخفیّ والأخفی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الدرجات فضلاً عن الجناح العملیّ فی النفس فکثیر من أجنحة النفس لیست إدراکاً محضاً، والجناح الإدراکیّ الفوقانیّ</w:t>
      </w:r>
      <w:r>
        <w:rPr>
          <w:rStyle w:val="FootnoteAnchor"/>
          <w:rtl w:val="true"/>
        </w:rPr>
        <w:footnoteReference w:id="204"/>
      </w:r>
      <w:r>
        <w:rPr>
          <w:rFonts w:ascii="IRNazanin" w:hAnsi="IRNazanin" w:eastAsia="IRNazanin"/>
          <w:color w:val="111111"/>
          <w:sz w:val="28"/>
          <w:sz w:val="28"/>
          <w:szCs w:val="28"/>
          <w:rtl w:val="true"/>
          <w:lang w:bidi="fa-IR"/>
        </w:rPr>
        <w:t>هو غیر جناح الإدراک التحتانیّ</w:t>
      </w:r>
      <w:r>
        <w:rPr>
          <w:rStyle w:val="FootnoteAnchor"/>
          <w:rtl w:val="true"/>
        </w:rPr>
        <w:footnoteReference w:id="205"/>
      </w:r>
      <w:r>
        <w:rPr>
          <w:rFonts w:ascii="IRNazanin" w:hAnsi="IRNazanin" w:eastAsia="IRNazanin"/>
          <w:color w:val="111111"/>
          <w:sz w:val="28"/>
          <w:sz w:val="28"/>
          <w:szCs w:val="28"/>
          <w:rtl w:val="true"/>
          <w:lang w:bidi="fa-IR"/>
        </w:rPr>
        <w:t>الذی ذکرنا له درجات،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الخیال العقل النظریّ الجناح الإدراکیّ الفوقانیّ فی النفس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السرّ، الخفیّ، الأخفی، أو ما یسمّی بأعماق الباطن فی النفس أعماق النفس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الفلسفة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صرف إدراک محض بل فیه جذب وقطع، وصل ونفرة، إنقباض وانبساط، إقبال وإدبار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حالات غامضة روحیّة تناولتها الشریعة والفلسفة القدیمة والحدیثة والعرفان بالتحلیل والدراسة فهذه حالات لیست حالات إدراکیّة جافّة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الجانب العملیّ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الشهوة، الغرائز المختلفة، قوّة العقل العملیّ، الإرادة، الصبر، الشجاعة، العفة هی کلّها من أفعال النفس التی یتکفّل بها دائماً الجانب العملیّ فی النفس ولیس الجانب الإدراکیّ النازل، فالجانب العملیّ سواء النازل</w:t>
      </w:r>
      <w:r>
        <w:rPr>
          <w:rStyle w:val="FootnoteAnchor"/>
          <w:rtl w:val="true"/>
        </w:rPr>
        <w:footnoteReference w:id="206"/>
      </w:r>
      <w:r>
        <w:rPr>
          <w:rFonts w:ascii="Amiri" w:hAnsi="Amiri" w:eastAsia="Amiri" w:cs="Amiri"/>
          <w:color w:val="111111"/>
          <w:sz w:val="28"/>
          <w:sz w:val="28"/>
          <w:szCs w:val="28"/>
          <w:rtl w:val="true"/>
          <w:lang w:bidi="ar-SA"/>
        </w:rPr>
        <w:t>أو العملیّ الفوقانیّ</w:t>
      </w:r>
      <w:r>
        <w:rPr>
          <w:rStyle w:val="FootnoteAnchor"/>
          <w:rtl w:val="true"/>
        </w:rPr>
        <w:footnoteReference w:id="207"/>
      </w:r>
      <w:r>
        <w:rPr>
          <w:rFonts w:ascii="IRNazanin" w:hAnsi="IRNazanin" w:eastAsia="IRNazanin"/>
          <w:color w:val="111111"/>
          <w:sz w:val="28"/>
          <w:sz w:val="28"/>
          <w:szCs w:val="28"/>
          <w:rtl w:val="true"/>
          <w:lang w:bidi="fa-IR"/>
        </w:rPr>
        <w:t>، فی الإدراک الفوقانیّ هو من الجوانب العملیّة فی النفس ولیس إدراکات جافّة محضة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ألقی المتحدّثون علی الناس عشرات المحاضرات والعدید من الأفکار من</w:t>
      </w:r>
    </w:p>
    <w:p>
      <w:pPr>
        <w:pStyle w:val="BookText"/>
        <w:rPr/>
      </w:pPr>
      <w:r>
        <w:rPr>
          <w:rFonts w:ascii="IRNazanin" w:hAnsi="IRNazanin" w:eastAsia="IRNazanin"/>
          <w:color w:val="111111"/>
          <w:sz w:val="28"/>
          <w:sz w:val="28"/>
          <w:szCs w:val="28"/>
          <w:rtl w:val="true"/>
          <w:lang w:bidi="fa-IR"/>
        </w:rPr>
        <w:t>دون تطعیمها بعاطفة صادقة ومن دون إثارة عملیّة، للأفکار، لم تحصل الفائدة المرجوّة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قوالب جافّة وسوف لن تصل هذه البرامج الفکریّة المحضّة فی تأثیرها إلی البرامج العملیّة ولن یؤثّر ذلک بالمجتمع فی طریق إصلاحه مع أنّ الغایة من البرامج الفکریّة هو الإقدام العملیّ فی شرائح المجتمع وهذا نظیر ما یقوله القائل فی شأن المرحلیّة الفکریّة والفکر من دون تطعیمه بعاطفة صادقة وقد شرحنا العاطفة الصادقة حینما تطرّقنا فی البحث عن البکاء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البکاء الصادق هو أحد الحالات والظواهر العاطفیّة الصادقة کالتقدیس، باعتبار أنّ تحقّق الإدراک الصادق یحصل بمتابعة غایة صادقة وصحیحة، فتنشأ العاطفة الصادقة أی تکون العاطفة ترجماناً عملیّاً للفکرة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تزریق المستمع أو القارئ أو المشاهد بأفکار ومعلومات من دون أن تستثیر فیه الجانب العملیّ والعاطفیّ، فإنّه سیُخفق فی التأثیر علیه، ولن ینجح فی إرشاده إلی الصلاح سواء فی التربیة المدرسیّة، أو الاجتماعیة أو الدینیّة أو الحسینیّة ومثل تلک الطریقة لن تصلحه ولن تستثیره بل المفروض هو أن تشحذ همّة إرادته حیث توجد عنده إرادة عازمة حازمة، لکی یبدأ بتغییر مسیره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البکاء یختصر الطریق البکاء أو العواطف الصادقة تختصر الطریق أمام آلاف المحاضرات والأفکار وإنّ فکرة جامعة لمادة غنیّة بالأفکار مقرونة بإثارة عاطفیّة صادقة نابعة من هذه الفکرة الإجمالیّة الجامعة الصحیحة ربّما تقلب الإنسان رأساً علی عقب فیتبدّل وضعه، وتتغیّر بیئته السلبیّة، وینقلب فجأة إلی العزم للمضیّ نحو الفضائل وینشأ ذلک من الإثارة العاطفیّة الصادقة إذ المفروض أن الإثارة العاطفیة الصادقة رسالة، مستمعها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الجانب العملیّ فی النفس، والجانب العاطفیّ فی النفس المنفعل والمتقبّل لها هو الجانب العاطفیّ فی النفس، فإذا کان المشتری والسامع</w:t>
      </w:r>
    </w:p>
    <w:p>
      <w:pPr>
        <w:pStyle w:val="BookText"/>
        <w:rPr/>
      </w:pPr>
      <w:r>
        <w:rPr>
          <w:rFonts w:ascii="IRNazanin" w:hAnsi="IRNazanin" w:eastAsia="IRNazanin"/>
          <w:color w:val="111111"/>
          <w:sz w:val="28"/>
          <w:sz w:val="28"/>
          <w:szCs w:val="28"/>
          <w:rtl w:val="true"/>
          <w:lang w:bidi="fa-IR"/>
        </w:rPr>
        <w:t>والمنفّذ لها هو الجانب العملیّ فی النفس، فهذا إختصار للطریق وبعبارة أخری، فإنّ معیّة الفکر مع العاطفة أو مع الجانب العملیّ فی النفس ضرورة لا یمکن التفریط بها للوصول إلی الإرشاد والإصلاح الإجتماعی أو الفردیّ أو التربیة السلیمة والکمال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حصل الفارق بین المجتمعات الغربیّة والمجتمعات الشرقیّة فمن الخطورة بمکان أن ننحو نحو سلبیّات الغرب بخلاف إیجابیّات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التقدّم العلمی والتکنولوجیّ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لابدّ من الأخذ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نکون مجمعاً للروافد السلبیّة المنتشرة والشائعة فی مجتمعاتهم، فهذا مرفوض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حقیقة الفطرة الإنسانیّة مزدوجة من جانبَین بل قیادة النفس إنّما هی بالإرادة، والإرادة صفة عملیة، والذی یوجدها ویولّدها ویثیرها ویحرّکها هو جانب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جانب العقل العملیّ الصادق الولید للجانب الإدراکیّ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فقد الإنسان إرادته، فإنّه سوف یفقد کلّ شی‌ء فی شخصیته فالإرادة التی هی أثمن شی‌ء فی الوجود، وهی الصفة التی امتاز بها الإنسان عن بقیّة المخلوقات هذه الإرادة لابدّ من تطعیمها بعاطفة صادقة فحینئذ من الجنایة علی المجتمع والفکر والحقیقة بمکان أن نُسمّی الفکر الجافّ، أو نسمّی عدم التفاعل الصادق مع الحقائق والجمود فی قبال الحقائق، نسمّیه نوع إعتدال، أو نوع تقدّم أو حالة حضاریّة بل هی حالة تخلّف تقودها جاهلیّة الغرب، وهم یعانون منها الآن ونحن بالتبع نجترّها نجترّ فضلاتهم بعناوین برّاقة زائفة وأثواب جمیلة خادعة، ونتنازل عن المفاهیم والعناوین الصادرة عن تراثنا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لقطة أخیرة من حقیقة البکاء، وهی أنّ البکاء وأخواته من الأفعال العاطفیّة النفسیّة إذا کان ضمن الصور الإیجابیّة، فهو من کمالات النفس ومن کمالات المجتمع</w:t>
      </w:r>
      <w:bookmarkStart w:id="453" w:name="pg2944_24605"/>
    </w:p>
    <w:p>
      <w:pPr>
        <w:pStyle w:val="BookText"/>
        <w:rPr/>
      </w:pPr>
      <w:bookmarkEnd w:id="453"/>
      <w:r>
        <w:rPr>
          <w:rFonts w:ascii="IRNazanin" w:hAnsi="IRNazanin" w:eastAsia="IRNazanin"/>
          <w:color w:val="111111"/>
          <w:sz w:val="28"/>
          <w:sz w:val="28"/>
          <w:szCs w:val="28"/>
          <w:rtl w:val="true"/>
          <w:lang w:bidi="fa-IR"/>
        </w:rPr>
        <w:t>والبشریّة، التی تحتاج إلیها لتصل إلی رقیّها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وأمثلة المفردات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والتقدیس،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الآن مفردة أخری وفعلاً عملیّاً آخر یُثار وهو وصف شخص بأنّه عاطفیّ، وانتقاده لأنّه یتأثّر بالخبر مباشرة سلباً أو إیجاباً وأنّ الشخص السویّ والسلیم هو الذی إذا رأی صورة صادقة لا یتأثّر بها ولا یتحمّس لها وإذا رأی صورة باطلة لا یتنفّر منها ولا یرفضها،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باب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العقل العملیّ من فطرة الله سبحانه، وأنّ الغایة منه قیادة حرکة نورانیّة فی النفس، بحیث ینفّرها عن المنکر والنقص والمساوی، ویجذبها نحو الخیر والکمال والفضائل فهو حبل ربّانی نورانیّ وهدایة ورحمة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الفطرة التی أنعم بها الباری عزّ وجلّ علی الإنسان، لماذا نطمسها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نقول بأنّ العاطفة فی الإنسان تعتبر حالة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لیست بجمیع صورها خاطئة العاطفة ترجمان عملیّ صادق حقیقیّ طبیعیّ للإنسان إذا کان ناتجاً عن معلومة صادقة أو تأثّر بالنفرة والإنکار من معلومة کاذبة کیف تلغی العاطفة من وجود الإنسان کیف تُهمل من وجود المجتمع اللهمّ إلاّأن نَصْبُوا الی مجتمع مفکّک عن العاطفة والأخلاق، کالمجتمع الغربیّ الذی یسبح فی بحر الرذائل ویتخبّط فی أدنی مستوی من الانحطاط</w:t>
      </w:r>
      <w:r>
        <w:rPr>
          <w:rFonts w:eastAsia="IRNazanin" w:cs="IRNazanin"/>
          <w:color w:val="111111"/>
          <w:sz w:val="28"/>
          <w:szCs w:val="28"/>
          <w:rtl w:val="true"/>
          <w:lang w:bidi="fa-IR"/>
        </w:rPr>
        <w:t>.</w:t>
      </w:r>
    </w:p>
    <w:p>
      <w:pPr>
        <w:pStyle w:val="Heading4"/>
        <w:numPr>
          <w:ilvl w:val="3"/>
          <w:numId w:val="1"/>
        </w:numPr>
        <w:rPr/>
      </w:pPr>
      <w:bookmarkStart w:id="454" w:name="__RefHeading___Toc110736_2749589250"/>
      <w:bookmarkStart w:id="455" w:name="_Toc170"/>
      <w:bookmarkEnd w:id="454"/>
      <w:r>
        <w:rPr>
          <w:rtl w:val="true"/>
        </w:rPr>
        <w:t>التناسب الطردی بین المعلومة والعاطفة</w:t>
      </w:r>
      <w:bookmarkEnd w:id="4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الجدیر بالذکر أنّ کلّ معلومة لها حجم مقدّر من العاطفة،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السیکولوجیا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زاد التفاعل معها عن حجمها کان إفراطاً، وإذا نقص عن حجمها کان تفریطاً وهذا مقرّر فی تعالیمنا الدینیّة مثلاً علی الإنسان أن لا یتعدّی</w:t>
      </w:r>
    </w:p>
    <w:p>
      <w:pPr>
        <w:pStyle w:val="BookText"/>
        <w:rPr/>
      </w:pPr>
      <w:r>
        <w:rPr>
          <w:rFonts w:ascii="IRNazanin" w:hAnsi="IRNazanin" w:eastAsia="IRNazanin"/>
          <w:color w:val="111111"/>
          <w:sz w:val="28"/>
          <w:sz w:val="28"/>
          <w:szCs w:val="28"/>
          <w:rtl w:val="true"/>
          <w:lang w:bidi="fa-IR"/>
        </w:rPr>
        <w:t>بالغیرة علی غیرة الله فی محرماته فإذا جعل الله لشارب الخمر حدّاً معیّناً، فیجب أن لا تشتدّ الغیرة فیُحدّ أکثر من حدّ الله سبحانه فإنکار المُنکر الیسیر یختلف عن المنکر المتوسط والمنکر الشدید الذی یصل إلی حدّ الکبیرة، والکبائر أیضاً لها درجات فالزائد یکون إفراطاً ولیس فی محلّه وهناک ترابط، فکلّ معلومة لها حجم عاطفیّ معیّن لابدّ أن یتولّد منها، وعدم تولّده یعنی مسخ الفطرة الإنسانیّة عمّا هی علیه لأنّ المفروض أنّ المُدرکة لابدّ أن تُترجَم علی الصعید العملیّ، ولو لم تُترجَم فلا فائدة من الإدراک وهذا هو الفرق بین النفس وبین الکمبیوتر، وبینها وبین الکتب، وبینها وبین مجرّد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فالفکرة والمعلومة کما هی خطیرة جداً، وکذلک العاطفة والمقولة العاطفیّة الصحیحة خطیرة جدّاً أیضاً وخطورتها إیجابیّة أیضاً، سواء فی النفس، أو فی الإنسان، أو فی المجتمع وکما أنّنا لا یمکننا إلغاء الأفکار فکذلک لا یمکننا إلغاء العاطفة الناتجة من تلک الأفکار وتبدیل العلم إلی الجهل مساوق لإلغاء وتعطیل العمل؛ وقوام العمل بالزخم الروحیّ والقوّة العاطفیّة الصادقة التی تقوم بها النفس، من البکاء والتقدیس والتأثر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المنحی المادّیّ، أو اللاروحیّ، أو اللاخلقیّ، ینتشر فی الأوساط الفکریّة العِلمانیّة والأوساط الإسلامیّة المتأثّرة بالعلمانیّة تدریجیّاً وهو أمر بالغ الخطورة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البحث التخصصیّ فی موضوعات ظاهرة البکاء حیث ألقینا الضوء علی البکاء من ناحیة تخصصیّة بغضّ النظر عن الفقه، وبغض النظر عن روایات الشریعة الواردة فی خصوص البکاء علی الحسین علیه السلام بغضّ النظر عن ذلک کلّه، وفی الواقع فإنّ الشریعة لا تتناول البکاء فقط، بل تتناول کثیراً من الأفعال العملیّة التی تقوم بها النفس وتمارسها ولکن وفق شروط وضوابط معیّنة</w:t>
      </w:r>
      <w:r>
        <w:rPr>
          <w:rFonts w:eastAsia="IRNazanin" w:cs="IRNazanin"/>
          <w:color w:val="111111"/>
          <w:sz w:val="28"/>
          <w:szCs w:val="28"/>
          <w:rtl w:val="true"/>
          <w:lang w:bidi="fa-IR"/>
        </w:rPr>
        <w:t>.</w:t>
      </w:r>
      <w:bookmarkStart w:id="456" w:name="pg2944_24607"/>
    </w:p>
    <w:p>
      <w:pPr>
        <w:pStyle w:val="Heading4"/>
        <w:numPr>
          <w:ilvl w:val="3"/>
          <w:numId w:val="1"/>
        </w:numPr>
        <w:rPr/>
      </w:pPr>
      <w:bookmarkStart w:id="457" w:name="__RefHeading___Toc110738_2749589250"/>
      <w:bookmarkStart w:id="458" w:name="_Toc171"/>
      <w:bookmarkEnd w:id="456"/>
      <w:bookmarkEnd w:id="457"/>
      <w:r>
        <w:rPr>
          <w:rtl w:val="true"/>
        </w:rPr>
        <w:t>البکاء فی القرآن الکریم</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یُثنی علی ظاهرة البکاء التی تنشأ من دَرک الحقیقة أی أنّه یمدح التأثّر والتحسّس العاطفیّ الذی یکون البکاء مظهراً من مظاهره، وقسماً من 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یمدحه القرآن ویصفه بأنّه تأثّر صادق ومطلوب وطبیعیّ وفطریّ وکمالیّ إذا نتج من معلومة حقیقیّة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أَعْیُنَهُمْ تَفِیضُ 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إشارة لنفس الشرطَین اللذَین ذکرناهما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تأثّر من المعلومة الحقیقیّة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الضُّعَفَاءِ وَلَا عَلَی الْمَرْضَی وَلَا عَلَی الَّذِینَ لَا یَجِدُونَ مَا یُنْفِقُونَ حَرَجٌ إِذَا نَصَحُوا لِلَّهِ وَرَسُولِهِ مَا عَلَی الْمُحْسِنِینَ مِنْ سَبِیلٍ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فیمدحهم القرآن علی تأثّرهم هذا التأثّر هو علی نحو الانفعال البکائیّ نتیجة التشوّق للمشارکة فی فعل الخیر من الجهاد والإنفاق هذا التأثّر یمدحه القرآن ویصفه بأنّه فعل إیجابیّ وکمالیّ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مدحهم لأجل البکاء والتأثّر ولو کانوا یستمعون فقط لِما أُنزل من الوحی ولا یبکون، فلن یکون لدیهم خشوع والخشوع الذی هو ذروة الحالات النفسیّة العملیّة هو فی الواقع حالة عملیّة؛ لیس من الجناح العملیّ النازل بل من الجناح العملیّ الصاعد حیث مرّ بنا أنّه من أجنحة النفس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السرّ، الخفیّ، الأخفی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فالخشوع هو فعل من أفعال القلب ولیس فعلاً من أفعال الغرائز ولیس فعلاً من أفعال العقل العَملی ولیس فعلاً من أفعال الشهوة ولیس من أفعال الحسّ ولا من الإدراک الحصولیّ إنّما هو فعل من أفعال إدراک الباطن العلویّ فی النفس وهو القلب فلولا البکاء لما حصَلَ ذلک الفعل العلویّ للنفس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ﮃ  ﮄ  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ناتج من معلومة صادقة وغایة صادقة وهو الفرار من الذنوب والتشوّق إلی النشآت الأبدیّة الخالدة وهذا التشوّق والتأثّر یمدحه القرآن وهو سیر نفسانیّ، وسیر حقیقیّ فی النشآت الأبدیّة الخالدة یمدحه القرآن الکریم وإن لم ندرکه نحن الآن، وسیُکشف لنا الغطاء إن شاء الله فنُدرک أنّ هذا السیر النفسانیّ هو سیر فی تلک النشآت وکمال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هذه الآیة الأنبیاء والصفة البارزة لکلّ نبیّ منهم، إلی أن تقول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فالأنبیاء هم الأمثولة المحتذی بها والأنموذج المُقتدی للبشریّة وهم المَثل السامی للبشریة والقرآن الکریم یمدحهم بأنّ لهم تأثّراً عاطفیّاً یظهر بشکل البکاء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نحو القضیة الحقیقیّة، أی کلّما تُلیت 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علی مرّ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فئة ممّن هداهم الله سبحانه واجتباهم یتأثّرون بها فیخرّون للسجود ویبکون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سُجَّدًا وَبُکِیًّا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أُخبر یعقوب بأنّ ابنه الثانی أیضاً قد أُخذ منه،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أمارسه هو فعل من الأفعال الراجحة ویعقوب نبیّ من أنبیاء الله عزّوجلّ والقرآن یخلّد ذِکره ویخلّد فعله لنا، ویعطینا قُدوة نموذجیّة وأمثولة للاقتداء به فی هذا التفاعل العاطفیّ هذا البکاء والتشوّق لنبیّ آخر هو من أبنائه لیس تشوّقاً إلی کمالٍ زائل وإنّما هو تشوّق لنبوّة نبیّ آخر فالغایة سامیة، والتأثّر لأجل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بکاؤه استمرّ طیلة غیاب یوسف، وأدّی إلی بیاض عینیه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وَابْیَضَّتْ عَیْنَاهُ مِنَ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عمیت اشتدّ به البکاء إلی درجة العمی فالبکاء کان باختیاره وقد وصل به البکاء باختیاره إلی العمی فإذا کان النبیّ یتشوّق ویبکی إلی هذا الحدّ، وقد کان ضِمن مَنْ وصفهم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فیعقوب ضمن هؤلاء الأئمّة ومع ذلک یتشوّق إلی نبیّ مثله فکیف إذا تشوّق غیرُ النبیّ وغیر المعصوم إلی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تشوّقه أو بکاؤه لو وصل به الأمر إلی الإضرار بالعین فعلاً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بحث آخر سیأتی فی جهة الضرر الحاصل بسبب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نوع من السلوک والخلق النبویّ الذی سطّره لنا القرآن الکریم بُغیة الاحتذاء به واتّباعه، حیث یقول فی آخر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وبهدف التأسّی من هذه النماذج</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هذا الفعل من یعقوب علیه السلام أورده الباری سبحانه فی هذه السورة لأجل أن یُحتذی به، وهو فعل کمالیّ ولیس فعلاً مذموماً أو فیه منقصة وآیة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أصیب بالعمی؛ تصل الدرجة لنبیّ من الأنبیاء أنّه مارس البکاء</w:t>
      </w:r>
    </w:p>
    <w:p>
      <w:pPr>
        <w:pStyle w:val="BookText"/>
        <w:rPr/>
      </w:pPr>
      <w:r>
        <w:rPr>
          <w:rFonts w:ascii="IRNazanin" w:hAnsi="IRNazanin" w:eastAsia="IRNazanin"/>
          <w:color w:val="111111"/>
          <w:sz w:val="28"/>
          <w:sz w:val="28"/>
          <w:szCs w:val="28"/>
          <w:rtl w:val="true"/>
          <w:lang w:bidi="fa-IR"/>
        </w:rPr>
        <w:t>بهذه الشدّة، فکیف یمکن أن یکون الفعل سلبیّاً؛ بل فعلُه ایجابیّ، ولذلک ضربه الله سبحانه أنموذجاً یُحتذی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وَتَضْحَکُونَ وَلَا تَبْکُونَ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زجرٌ ونهی عن الضحک وعن الإمساک عن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تطالبنا به هذه الآیات الکریمة هو البکاء المتوفّر فیه الشرطان السابقان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انطلاقه وتولّده من معلومة حقّانیّة، واندراجه تحت غایة کمالیّة، مثل هکذا بکاء یمتدحه القرآن أشدّ 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الجانب الآخر هناک آیات تنهی عن الفرح المذموم،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أَذَقْنَاهُ نَعْمَاءَ بَعْدَ ضَرَّاءَ مَسَّتْهُ لَیَقُولَنَّ ذَهَبَ السَّیِّئَاتُ عَنِّی إِنَّهُ لَفَرِحٌ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الآیات تذمّ الفرح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 إِنَّ اللَّهَ لَا یُحِبُّ الْفَرِحِینَ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والفرح الذی یکون منشأهُ حدث دنیویّ أو ترقّب حدث دنیویّ یذمّه القرآن أشدّ الذم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فَبِذَلِکَ فَلْیَفْرَحُوا هُوَ خَیْرٌ مِمَّا یَجْمَعُونَ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بما عند الله، بالآخرة یخصّص الفرح الممدوح بما یکون فی سیاق النشأة الأخرویّة کما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بأیّهما أنا أشدّ فرحاً بقدوم جعفر أم بفتح خیبر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هذه فی سلسلة النشأة الأخرویّة وأمّا ما لا یصبّ فی سبیل النشأة الأخرویّة فیذمّه القرآن أشدّ ذم ویخصّص شطراً کبیراً منه بذمّ الفرح إلاّ ما کان قد تعلّق بالتشوّق إلی الجانب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الخشیة والخشوع اللذان هما صفتان وفعلان نفسیّان قریبا الأفق من البکاء، فهما صنفان یتلازمان ویتزامنان مع البکاء والآیات المادحة لذلک کثیرة جداً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الخشیة أو الخشوع والإشفاق حالات نفسیّة من أفعال الجانب العملیّ فی النفس، وتکون مقرونة بالبکاء، بل فی أکثر الأحیان ناشئة منه، ولا تنفکّ غالباً عنه وإذا کان ما هو ناتج عن البکاء مستحبّاً وراجحاً ومرغوباً فیه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مرغّب فیه من قبل الشریعة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البکاء من خشیة الله یُعَدّ من أعظم العبادات، حتّی إنّه وردت روایات عدیدة فی أنّ البکاء فی الصلاة من أفضل 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البکاء المتوفّر فیه هذان الشرطان هو من الأفعال الکمالیّة النفسانیّة ومن الفطرة المستقیمة للبشر، والقرآن یمدح هذه الحالة فی أنبیائه ورُسله ویضرب لنا فی ذلک أمثولة وقدوة نتأسّی بها حتّی فی الحزن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فنظرة الآیات القرآنیة، وقبل أربعة عشر قرناً تُقرّر وتثبت ما توصّلت إلیه البحوث العقلیّة والعلوم الحدیثة من أنّ البکاء لیس سلبیّاً علی إطلاقه، بل أغلب وأکثر أفراده إیجابیّةً</w:t>
      </w:r>
      <w:r>
        <w:rPr>
          <w:rFonts w:eastAsia="IRNazanin" w:cs="IRNazanin"/>
          <w:color w:val="111111"/>
          <w:sz w:val="28"/>
          <w:szCs w:val="28"/>
          <w:rtl w:val="true"/>
          <w:lang w:bidi="fa-IR"/>
        </w:rPr>
        <w:t>.</w:t>
      </w:r>
      <w:bookmarkStart w:id="459" w:name="pg2944_24613"/>
    </w:p>
    <w:p>
      <w:pPr>
        <w:pStyle w:val="Heading4"/>
        <w:numPr>
          <w:ilvl w:val="3"/>
          <w:numId w:val="1"/>
        </w:numPr>
        <w:rPr/>
      </w:pPr>
      <w:bookmarkStart w:id="460" w:name="__RefHeading___Toc110740_2749589250"/>
      <w:bookmarkStart w:id="461" w:name="_Toc172"/>
      <w:bookmarkEnd w:id="459"/>
      <w:bookmarkEnd w:id="460"/>
      <w:r>
        <w:rPr>
          <w:rtl w:val="true"/>
        </w:rPr>
        <w:t>بعض الأدلّة الواردة فی البکاء</w:t>
      </w:r>
      <w:bookmarkEnd w:id="461"/>
    </w:p>
    <w:p>
      <w:pPr>
        <w:pStyle w:val="BookText"/>
        <w:rPr/>
      </w:pPr>
      <w:r>
        <w:rPr>
          <w:rFonts w:ascii="IRNazanin" w:hAnsi="IRNazanin" w:eastAsia="IRNazanin"/>
          <w:color w:val="111111"/>
          <w:sz w:val="28"/>
          <w:sz w:val="28"/>
          <w:szCs w:val="28"/>
          <w:rtl w:val="true"/>
          <w:lang w:bidi="fa-IR"/>
        </w:rPr>
        <w:t>أمّا الروایات الواردة فی الحثّ علی البکاء، والمدح والثناء للباکین،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النبی صلی الله علیه وآله وسلم عمّه حمزة وحثّه وترغیبه البکاء علیه، ویظهر ذلک من عدة أدلّة تاریخیّة،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النبی صلی الله علیه وآله وسلم حمزة قتیلاً بکی، فلمّا رأی ما مُثّل به شهق</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کان یومئذٍ</w:t>
      </w:r>
      <w:r>
        <w:rPr>
          <w:rStyle w:val="FootnoteAnchor"/>
          <w:rtl w:val="true"/>
        </w:rPr>
        <w:footnoteReference w:id="222"/>
      </w:r>
      <w:r>
        <w:rPr>
          <w:rFonts w:ascii="IRNazanin" w:hAnsi="IRNazanin" w:eastAsia="IRNazanin"/>
          <w:color w:val="111111"/>
          <w:sz w:val="28"/>
          <w:sz w:val="28"/>
          <w:szCs w:val="28"/>
          <w:rtl w:val="true"/>
          <w:lang w:bidi="fa-IR"/>
        </w:rPr>
        <w:t xml:space="preserve">إذا بکت صفیة یبکی، واذا نشَجت یَنشج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فاطمة تبکی، فلمّا بکت بکی رسول الله صلی الله علیه وآله وسلم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رسول الله صلی الله علیه وآله وسلم باکیاً قط أشدّ من بکائه علی حمزة بن عبد المطلب لما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فی القبر ثمّ وقف صلی الله علیه وآله وسلم علی جنازته وانتحب حتّی نشغ</w:t>
      </w:r>
      <w:r>
        <w:rPr>
          <w:rStyle w:val="FootnoteAnchor"/>
          <w:rtl w:val="true"/>
        </w:rPr>
        <w:footnoteReference w:id="224"/>
      </w:r>
      <w:r>
        <w:rPr>
          <w:rFonts w:ascii="IRNazanin" w:hAnsi="IRNazanin" w:eastAsia="IRNazanin"/>
          <w:color w:val="111111"/>
          <w:sz w:val="28"/>
          <w:sz w:val="28"/>
          <w:szCs w:val="28"/>
          <w:rtl w:val="true"/>
          <w:lang w:bidi="fa-IR"/>
        </w:rPr>
        <w:t>من البکاء</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الإمام أحمد بن حنبل من حدیث ابن عمر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من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رسول الله صلی الله علیه وآله وسلم لمّا رجع من أُحد جعلت نساء الأنصار یبکین علی مَن قُتل من أزواجهن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حمزة لا بواکی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فانتبه وهنّ یبکین،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 الیوم إذا یبکین یندبن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ترجمة حمزة من الاستیعاب نقلاً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امرأةٌ من الأنصار علی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بَدَأْنَ بالبکاء علی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النبی جعفر بن ابی طالب وحثّ النساء بالبکاء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المزّی فی تهذیب الکمال عن مغازی الواقدی، بسنده عن أم جعفر بنت محمّد بن جعفر، عن جدّتها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 الیوم الذی أُصیب فیه جعفر وأصحابه، فأتانی رسول الله صلی الله علیه وآله وسلم وقد هیأتُ أربعین منیئاً من أُدُم، وعجنتُ عجینی، وأخذت بنییّ، وغسلتُ وجوههم، ودهنتُهم؛ فدخل علیّ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فجئت به الیهم فضمّهم وشمّهم ثمّ ذَرفت عیناه فَبکی،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رسول الله صلی الله علیه وآله وسلم لعلّه بلغکَ عن جعفر شی؛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قُتِل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أصیحُ واجتمع إلیّ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 لا تقولی هَجراً ولا تضربی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وآله وسلم حتی دخل علی ابنته فاطمة؛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 جَعفر فلتبکِ الباکیة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اصنعوا لآل جعفر طعاماً فقد شُغِلوا عن أنفسهم الیوم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النبیّ صلی الله علیه وآله وسلم علی ولده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فی صحیحه،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علیه صلی الله علیه وآله وسلم وإبراهیم یجود بنفسه، فجعلت عینا رسول الله صلی الله علیه وآله وسلم تذرفان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عوف إنّها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أتبعها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العین تَدمع والقَلب یحزن ولا نقول إلاّ ما یُرضی رَبنا، وإنّا بفراقک یا ابراهیم لمحزونون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وبکی کذلک علی عثمان بن مظعون، وسعد بن معاذ، وزید بن حارثة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خطبة الأمیر علیه السلام فی وصف المتّقین، وشدّة انفعال همّام إلی حدّ الموت، فصُعق همام صعقةً کانت نفسه فیها 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لقد کنتُ أخافها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بأهلها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w:t>
      </w:r>
      <w:r>
        <w:rPr>
          <w:rStyle w:val="FootnoteAnchor"/>
          <w:rtl w:val="true"/>
        </w:rPr>
        <w:footnoteReference w:id="22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إنّ لکلّ أجلٍ وقتاً لا یعدوه ولا یتجاوزه فمَهلاً لا تَعُد لمثلها فإنّما نفث الشیطانُ علی لسانک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الأمیر علیه السلام عندما غارت خیل معاویة علی الأنبار، وقُتل حسّان بن حسان البکریّ فکان علیه السلام متأثّراً ومتذمّراً، وهو یستنهض الناس فی الکوفة للقتال ضد معاویة فکان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بلغنی أنّ الرجل منهم کان یدخل علی المرأة المسلمة والأخری المُعاهدة، فینتزع حِجلها وقلائدَها ورُعُثَها، ما تمتنع منه إلاّ بالاسترجاع والاسترحام؛ ثمّ انصرفوا وافِرین، ما نال رجلاً منهم کلم ولا أُریق لهم دمٌ فلو أنّ إمرءاً مسلماً مات بعد هذا أسفاً، ما کان به ملوماً بل کان به عندی جدیراً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یصف شدّة الانفعال من جهة الغیرة</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 أبی غیوراً، وأنا أغیر منه، وأرغم اللَّه أنف مَن لا یغار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هی أیضاً صفة نفسانیّة، عاطفیّة، منطلقة وولیدة من إدراک معلومة حقیقیّة، ولأجل غایة حقیقیّة، وهی الذبّ عن حریم الدین وحریم المسلمین والدفاع عن شرف وکرامة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الجامع بین الخشیة والخشوع والأسی والحزن هو شدّة الانفعال، وهو من المعانی الحقیقیةّ؛ هذه الشدّة لا یعتبرها الإمام إفراطاً، ولا مغالاة مثل ما وقع من النبیّ یعقوب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وَابْیَضَّتْ عَیْنَاهُ مِنَ الْحُزْنِ فَهُوَ کَظِیمٌ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کما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به عندی جدیراً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یصفها بأنّها فعلٌ کمالیّ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زیارة الناحیة التی نقلها صاحب البحار، وهی منسوبة للإمام الحجّة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فلأندُبنَّکَ صباحاً ومساءً، ولأبکینّ علیک بَدَل الدموع دماً حسرةً علیک وتأسّفاً وتحسّراً علی ما دهاک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نوع من شدّة الانفعال التی هی لیست بمذمومة بل ممدوحة ومطلوبة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القصیدة التی ألقاها دعبل الخزاعیّ فی محضر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الحسینَ مُجَدّلاً</w:t>
      </w:r>
    </w:p>
    <w:p>
      <w:pPr>
        <w:pStyle w:val="BookText"/>
        <w:rPr/>
      </w:pP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p>
    <w:p>
      <w:pPr>
        <w:pStyle w:val="BookText"/>
        <w:rPr/>
      </w:pPr>
      <w:r>
        <w:rPr>
          <w:rFonts w:ascii="Amiri" w:hAnsi="Amiri" w:eastAsia="Amiri" w:cs="Amiri"/>
          <w:color w:val="111111"/>
          <w:sz w:val="28"/>
          <w:sz w:val="28"/>
          <w:szCs w:val="28"/>
          <w:rtl w:val="true"/>
          <w:lang w:bidi="ar-SA"/>
        </w:rPr>
        <w:t>وأجریتِ دَمْعَ العین فی الوَجَناتِ</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فعلا صراخ حرم الإمام علیه السلام من وراء الستر، ولَطمن الخدود، وبکی الإمام الرضا علیه السلام حتّی أُغمی علیه مرّتین من شدة الانفعال والتأثر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فی التاریخ من إغماء أمیر المؤمنین علیه السلام مراراً من خشیة الله فی صلاة اللیل، وهی مسندة فی تاریخ أمیر المؤمنین علیه السلام فی المصادر المختلفة ونفس الحالة ثابتة أیضاً لباقی الأئمّة علیهم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کامل الزیارات ابن قولویه</w:t>
      </w:r>
      <w:r>
        <w:rPr>
          <w:rStyle w:val="FootnoteAnchor"/>
          <w:rtl w:val="true"/>
        </w:rPr>
        <w:footnoteReference w:id="235"/>
      </w:r>
      <w:r>
        <w:rPr>
          <w:rFonts w:ascii="IRNazanin" w:hAnsi="IRNazanin" w:eastAsia="IRNazanin"/>
          <w:color w:val="111111"/>
          <w:sz w:val="28"/>
          <w:sz w:val="28"/>
          <w:szCs w:val="28"/>
          <w:rtl w:val="true"/>
          <w:lang w:bidi="fa-IR"/>
        </w:rPr>
        <w:t>، ونقله صاحب البحار أیضاً من کامل الزیارات نفس الروایة</w:t>
      </w:r>
      <w:r>
        <w:rPr>
          <w:rStyle w:val="FootnoteAnchor"/>
          <w:rtl w:val="true"/>
        </w:rPr>
        <w:footnoteReference w:id="236"/>
      </w:r>
      <w:r>
        <w:rPr>
          <w:rFonts w:ascii="IRNazanin" w:hAnsi="IRNazanin" w:eastAsia="IRNazanin"/>
          <w:color w:val="111111"/>
          <w:sz w:val="28"/>
          <w:sz w:val="28"/>
          <w:szCs w:val="28"/>
          <w:rtl w:val="true"/>
          <w:lang w:bidi="fa-IR"/>
        </w:rPr>
        <w:t>الواردة فی بکاء السجاد علیه السلام وقول 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یابن رسول الله، إنّی أخاف علیک أن تکون من الهالکین،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أشکو بَثّی وحُزنی إلی الله وأعلمُ مِن الله ما لا تعلمون؛ إنّی لم أذکر مصرع بنی فاطمة إلاّ خنقتنی العبرة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لحُزنکَ أن ینقضی؟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 یعقوب النبیّ علیه السلام کان له اثنا عشر ابناً، فغیَّب الله واحداً منهم، فابیضّت عیناه من کثرة بکائه علیه، واحدَودَب ظهرُه من الغمّ، وکان ابنه حیّاً فی الدنیا، وأنا نظرتُ إلی أبی وأخی وعمّی وسبعة عشر من أهل بیتی مقتولین حولی، فکیف ینقضی حزنی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صاحب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بکی حتّی خیف علی عینیه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الصدوق فی علل الشرائع</w:t>
      </w:r>
      <w:r>
        <w:rPr>
          <w:rStyle w:val="FootnoteAnchor"/>
          <w:rtl w:val="true"/>
        </w:rPr>
        <w:footnoteReference w:id="238"/>
      </w:r>
      <w:r>
        <w:rPr>
          <w:rFonts w:ascii="IRNazanin" w:hAnsi="IRNazanin" w:eastAsia="IRNazanin"/>
          <w:color w:val="111111"/>
          <w:sz w:val="28"/>
          <w:sz w:val="28"/>
          <w:szCs w:val="28"/>
          <w:rtl w:val="true"/>
          <w:lang w:bidi="fa-IR"/>
        </w:rPr>
        <w:t>، من العلّة التی من أجلها جعل الله عزّ وجلّ موسی خادماً لشعیب علیهما السلام وهی لکثرة بکاء النبیّ شعیب من خشیة الله حتّی عمی مرتین أو ثلاث یعمی ویردّ الله علیه بصره ثمّ یبکی بشدة ویردّ الله علیه بصره، حیث ورد فی هذه الروایة عن النبی صلی الله علیه وآله وسلم أنّه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شعیب علیه السلام من حبّ الله عزّ وجلّ حتّی عمی، فردّ الله عزّ وجلّ علیه بصره، ثمّ بکی حتّی عمی فردّ الله علیه بصره، ثمّ بکی حتیّ عمی فردّ الله علیه بصره، فلمّا کانت الرابعة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إلی متی یکون هذا أبداً منک، إن یکن هذا خوفاً من النار فقد أَجَرْتُک،</w:t>
      </w:r>
    </w:p>
    <w:p>
      <w:pPr>
        <w:pStyle w:val="BookText"/>
        <w:rPr/>
      </w:pPr>
      <w:r>
        <w:rPr>
          <w:rFonts w:ascii="IRNazanin" w:hAnsi="IRNazanin" w:eastAsia="IRNazanin"/>
          <w:color w:val="111111"/>
          <w:sz w:val="28"/>
          <w:sz w:val="28"/>
          <w:szCs w:val="28"/>
          <w:rtl w:val="true"/>
          <w:lang w:bidi="fa-IR"/>
        </w:rPr>
        <w:t>وإن یکن شوقاً إلی الجنة فقد أبحتک،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أنت تعلم أنّی ما بکیتُ خوفاً من نارک ولا شوقاً إلی جنّتک، ولکن عقد حبّک علی قلبی، فلست أصبر أو أراک، فأوحی الله جلّ جلاله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هذا هکذا فمن أجل هذا سأُخدمک کلیمی موسی بن عمران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الرباب زوجة الإمام الحسین علیه السلام، فإنّها من شدّة التأثّر لم تستظلّ تحت السقف</w:t>
      </w:r>
      <w:r>
        <w:rPr>
          <w:rStyle w:val="FootnoteAnchor"/>
          <w:rtl w:val="true"/>
        </w:rPr>
        <w:footnoteReference w:id="240"/>
      </w:r>
      <w:r>
        <w:rPr>
          <w:rFonts w:ascii="IRNazanin" w:hAnsi="IRNazanin" w:eastAsia="IRNazanin"/>
          <w:color w:val="111111"/>
          <w:sz w:val="28"/>
          <w:sz w:val="28"/>
          <w:szCs w:val="28"/>
          <w:rtl w:val="true"/>
          <w:lang w:bidi="fa-IR"/>
        </w:rPr>
        <w:t>عاماً کاملاً إلی أنّه توفّیت، وکان ذلک بمسمع وبمرأی من السجّاد علیه السلام أی مع تقریر المعصوم علی هذا الفعل فیکون نوعاً من التصحیح والإمضاء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موارد عدیدة غیر ذلک تصوّر شدّة الانفعال، وتدلّ علی رجحان البکاء والجامع بین هذه الموارد والصور المتعدّدة للتفاعل العاطفیّ هو شدّة التأثّر للإدراکات الحقیقیّة، ولعلّ المتتبّع یجمع أکثر من هذه الموارد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یظهر أنّ البکاء والتأثّر العاطفیّ من معلومة حقیقیّة وإدراک حقیقیّ هو لأجل غایة حقیقیّة وهذه من خاصّیّة النوع الإنسانیّ وخاصّیّة الفطرة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دون ذلک سوف یفقد الإنسان إنسانیّته ویکون حاله حال الجمادات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أدون من العجماوات حیث أثبت القرآن الکریم أنّ للسماء والأرض بکاءً کما فی سورة الدخان</w:t>
      </w:r>
      <w:r>
        <w:rPr>
          <w:rStyle w:val="FootnoteAnchor"/>
          <w:rtl w:val="true"/>
        </w:rPr>
        <w:footnoteReference w:id="241"/>
      </w:r>
      <w:r>
        <w:rPr>
          <w:rFonts w:ascii="IRNazanin" w:hAnsi="IRNazanin" w:eastAsia="IRNazanin"/>
          <w:color w:val="111111"/>
          <w:sz w:val="28"/>
          <w:sz w:val="28"/>
          <w:szCs w:val="28"/>
          <w:rtl w:val="true"/>
          <w:lang w:bidi="fa-IR"/>
        </w:rPr>
        <w:t>روی الفریقان تحقّق هذا الأمر فی شهادة الحسین علیه السلام مثل ابن عساکر فی تاریخه فی ترجمة سیّد الشهداء علیه السلام، حیث ذکر جُملة من الروایات المسندة فی ذلک عن مشاهدة الدم تحت الأحجار وفوق الحیطان وغیر ذلک</w:t>
      </w:r>
      <w:r>
        <w:rPr>
          <w:rFonts w:eastAsia="IRNazanin" w:cs="IRNazanin"/>
          <w:color w:val="111111"/>
          <w:sz w:val="28"/>
          <w:szCs w:val="28"/>
          <w:rtl w:val="true"/>
          <w:lang w:bidi="fa-IR"/>
        </w:rPr>
        <w:t>.</w:t>
      </w:r>
      <w:bookmarkStart w:id="462" w:name="pg2944_24620"/>
    </w:p>
    <w:p>
      <w:pPr>
        <w:pStyle w:val="Heading4"/>
        <w:numPr>
          <w:ilvl w:val="3"/>
          <w:numId w:val="1"/>
        </w:numPr>
        <w:rPr/>
      </w:pPr>
      <w:bookmarkStart w:id="463" w:name="__RefHeading___Toc110742_2749589250"/>
      <w:bookmarkStart w:id="464" w:name="_Toc173"/>
      <w:bookmarkEnd w:id="462"/>
      <w:bookmarkEnd w:id="463"/>
      <w:r>
        <w:rPr>
          <w:rtl w:val="true"/>
        </w:rPr>
        <w:t>أوجه الاعتراض علی ظاهرة البکاء والجواب علیها</w:t>
      </w:r>
      <w:bookmarkEnd w:id="464"/>
    </w:p>
    <w:p>
      <w:pPr>
        <w:pStyle w:val="Heading5"/>
        <w:numPr>
          <w:ilvl w:val="4"/>
          <w:numId w:val="1"/>
        </w:numPr>
        <w:rPr/>
      </w:pPr>
      <w:bookmarkStart w:id="465" w:name="__RefHeading___Toc110744_2749589250"/>
      <w:bookmarkStart w:id="466" w:name="_Toc174"/>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نذکر بعد ذلک ما یُثار حول ظاهرة البکاء من انتقادات وإشکالات ونتعرّض للجواب عنها بالتفصیل تباعاً فهناک عدّة نظریات وآراء مخالفة لظاهرة البکاء تعتمد علی وجوه عدیدة</w:t>
      </w:r>
      <w:r>
        <w:rPr>
          <w:rFonts w:eastAsia="IRNazanin" w:cs="IRNazanin"/>
          <w:color w:val="111111"/>
          <w:sz w:val="28"/>
          <w:szCs w:val="28"/>
          <w:rtl w:val="true"/>
          <w:lang w:bidi="fa-IR"/>
        </w:rPr>
        <w:t>.</w:t>
      </w:r>
    </w:p>
    <w:p>
      <w:pPr>
        <w:pStyle w:val="Heading5"/>
        <w:numPr>
          <w:ilvl w:val="4"/>
          <w:numId w:val="1"/>
        </w:numPr>
        <w:rPr/>
      </w:pPr>
      <w:bookmarkStart w:id="467" w:name="__RefHeading___Toc110746_2749589250"/>
      <w:bookmarkStart w:id="468" w:name="_Toc175"/>
      <w:bookmarkEnd w:id="467"/>
      <w:r>
        <w:rPr>
          <w:rtl w:val="true"/>
        </w:rPr>
        <w:t>الوجه الأوّل</w:t>
      </w:r>
      <w:bookmarkEnd w:id="468"/>
    </w:p>
    <w:p>
      <w:pPr>
        <w:pStyle w:val="BookText"/>
        <w:rPr/>
      </w:pPr>
      <w:r>
        <w:rPr>
          <w:rFonts w:ascii="IRNazanin" w:hAnsi="IRNazanin" w:eastAsia="IRNazanin"/>
          <w:color w:val="111111"/>
          <w:sz w:val="28"/>
          <w:sz w:val="28"/>
          <w:szCs w:val="28"/>
          <w:rtl w:val="true"/>
          <w:lang w:bidi="fa-IR"/>
        </w:rPr>
        <w:t>أنّ أدلة وروایات البکاء تشتمل علی مضامین لا یقبلها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بَکی ودَمِعَت عیناه بقَدر جَناح ذُبابة، غُفَر له کلّ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 إسرائیلیّ شبیه لما لدی النصاری من أنّ المسیح قُتِل لتُغفر ذنوب أمّته فهذه الروایات فیها ما یشابه هذا المضمون أنّ الحسین قُتل لیُکفِّر عن ذنوب شیعته إلی یوم القیامة،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إغراء بالذنوب وإغراء للمعاصی فلا یمکن العمل بهذه الروایات لأنّ فیها نفس الإغراء الموجود فی الفکرة المسیحیّة والیهودیّة فحینئذ مضمون هذه الروایات لا یقبلها العقل ولا یصدّقها وهو مضمون دخیل کما عبّروا وهذا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المضمون، لاشتماله علی هذا الإغراء الباطل</w:t>
      </w:r>
      <w:r>
        <w:rPr>
          <w:rFonts w:eastAsia="IRNazanin" w:cs="IRNazanin"/>
          <w:color w:val="111111"/>
          <w:sz w:val="28"/>
          <w:szCs w:val="28"/>
          <w:rtl w:val="true"/>
          <w:lang w:bidi="fa-IR"/>
        </w:rPr>
        <w:t>.</w:t>
      </w:r>
    </w:p>
    <w:p>
      <w:pPr>
        <w:pStyle w:val="Heading5"/>
        <w:numPr>
          <w:ilvl w:val="4"/>
          <w:numId w:val="1"/>
        </w:numPr>
        <w:rPr/>
      </w:pPr>
      <w:bookmarkStart w:id="469" w:name="__RefHeading___Toc110748_2749589250"/>
      <w:bookmarkStart w:id="470" w:name="_Toc176"/>
      <w:bookmarkEnd w:id="469"/>
      <w:r>
        <w:rPr>
          <w:rtl w:val="true"/>
        </w:rPr>
        <w:t>الجواب</w:t>
      </w:r>
      <w:bookmarkEnd w:id="47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ضعف السند فقد ذکرنا سابقاً أنّ کتاب بحار الأنوار یتضمّن باب ثواب البکاء علی الحسین علیه السلام ویحتوی علی خمسین روایة فی فضل واستحباب البکاء وهذه الروایات الخمسون، مما جمعها صاحب البحار هی غیر الروایات العشرین التی جمعها صاحب الوسائل وغیر الروایات المتناثرة التی تربو علی العشرات فی الأبواب الأخری فکیف نردّ هذه الروایات؟ وبأیّ میزان درائیّ ورجالی نشکّک بها فالقول</w:t>
      </w:r>
    </w:p>
    <w:p>
      <w:pPr>
        <w:pStyle w:val="BookText"/>
        <w:rPr/>
      </w:pPr>
      <w:r>
        <w:rPr>
          <w:rFonts w:ascii="IRNazanin" w:hAnsi="IRNazanin" w:eastAsia="IRNazanin"/>
          <w:color w:val="111111"/>
          <w:sz w:val="28"/>
          <w:sz w:val="28"/>
          <w:szCs w:val="28"/>
          <w:rtl w:val="true"/>
          <w:lang w:bidi="fa-IR"/>
        </w:rPr>
        <w:t>بضعف السند لهذه الروایات ناتج من ضعف الانتباه أو ضعف الحیطة العلمیّة، لأنّه بأدنی تصفّح فی المصادر المعتبرة الحدیثیّة تحصل القناعة والیقین بوجود أسانید کثیرة جدّاً، منها الصحیح، ومنها الموثّق، ومنها المعتبر، فضلاً عن کونها تصل إلی حدّ الاستفاضة بل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المضمون فقد طعن علیه غیر واحد،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الثواب فی البکاء علی الحسین علیه السلام فیه إغراء للناس لارتکاب الذنوب والاتکاء علی البکاء، ویستشهدون علی ذلک بکون کثیر من العوامّ یرتکبون المعاصی ویشارکون فی نفس الوقت مشارکة فعالة فی الشعائر الحسینیّة ویخدمون ویحضرون المجالس ویبکون واتّکالاً علی هذه المشارکة وتذرّعاً بهذا البکاء فإنّهم یرتکبون ما یروق لهم من المعاصی فبالتالی یصبح مضمون هذه الشعائر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الإشکال أنّ مثل هذا المضمون موجود فی موارد عدیدة فی الشریعة، وهی موارد مسلّمة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هذا إغراء بالصغائر 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هذا إغراء بکلّ المعاصی غیر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روایات عدیدة أخری وردت من طرق العامّة والخاصّة فی ثواب البکاء من خشیة الله، منها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عینیه مثل الذباب من الدمع من خشیة الله آمنه الله یومَ الفزع الأکبر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علی ذنبه حتّی تسیل دموعه علی لحیته حرّم الله دیباجة وجهه علی النار</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هذا إغراء لارتکاب المعاصی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ورد فی ثواب الحجّ والصلاة المفترضة والصوم وغیرها من الثواب العظیم، وغفران الذنوب بل یمکن الردّ علی الإشکال فی هذه الموارد بوجوه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نفس العمل، لا أنّه إغراء بالمنافرات والمضادّات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التوبة وعدم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البکاء من خشیة الله إنّما یکون من باب المقتضی للتکفیر عن الصغائر أو لغفران الذنب ولیس من باب العلّة التامّة أی أنّ هناک أموراً وشرائط أخری لابدّ من توفّرها مع المقتضی، من قبیل عدم الإصرار علی الصغائر، والعزم والتصمیم علی الإقلاع عن المعصیة وغیر ذلک فإذا تمّت جمیع هذه المقدّمات وتوفّر المقتضی فتحصل العلّة التامة للتکفیر أو للمغفرة لذلک نقول أنّ هذه الأمور هی من باب المقتضی ولیست من باب العلّة التامة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تکفیر الذنوب السابقة ولیس الآتیة فی المستقبل والذی یرتکب الذنوب فی المستقبل قد لا یوفق إلی مثل هذا التکفیر والغُفران وهذا نظیر ما ورد فی 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حجّ یُقال له بعد رجوعه استأنف</w:t>
      </w:r>
    </w:p>
    <w:p>
      <w:pPr>
        <w:pStyle w:val="BookText"/>
        <w:rPr/>
      </w:pPr>
      <w:r>
        <w:rPr>
          <w:rFonts w:ascii="IRNazanin" w:hAnsi="IRNazanin" w:eastAsia="IRNazanin"/>
          <w:color w:val="111111"/>
          <w:sz w:val="28"/>
          <w:sz w:val="28"/>
          <w:szCs w:val="28"/>
          <w:rtl w:val="true"/>
          <w:lang w:bidi="fa-IR"/>
        </w:rPr>
        <w:t>العمل</w:t>
      </w:r>
      <w:r>
        <w:rPr>
          <w:rStyle w:val="FootnoteAnchor"/>
          <w:rtl w:val="true"/>
        </w:rPr>
        <w:footnoteReference w:id="246"/>
      </w:r>
      <w:r>
        <w:rPr>
          <w:rFonts w:ascii="IRNazanin" w:hAnsi="IRNazanin" w:eastAsia="IRNazanin"/>
          <w:color w:val="111111"/>
          <w:sz w:val="28"/>
          <w:sz w:val="28"/>
          <w:szCs w:val="28"/>
          <w:rtl w:val="true"/>
          <w:lang w:bidi="fa-IR"/>
        </w:rPr>
        <w:t>، أو أنّه یرجع کما ولدته أمّه، ویُغفر لما سبق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لیس إغراءً بالجهل وبالذنوب بل المقصود أنّ هذه مقتضیات، لا أنّها تحدّد المصیر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النهائیة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الولایة، یَشْفَع ویشَفَّع</w:t>
      </w:r>
      <w:r>
        <w:rPr>
          <w:rStyle w:val="FootnoteAnchor"/>
          <w:rtl w:val="true"/>
        </w:rPr>
        <w:footnoteReference w:id="247"/>
      </w:r>
      <w:r>
        <w:rPr>
          <w:rFonts w:ascii="IRNazanin" w:hAnsi="IRNazanin" w:eastAsia="IRNazanin"/>
          <w:color w:val="111111"/>
          <w:sz w:val="28"/>
          <w:sz w:val="28"/>
          <w:szCs w:val="28"/>
          <w:rtl w:val="true"/>
          <w:lang w:bidi="fa-IR"/>
        </w:rPr>
        <w:t>لکن من یضمن أنّه یموت علی الولایة إذا کان یرتکب الذنوب والکبائر فلیست ولایة أهل البیت مُغریة للوقوع فی الذنوب والمعاصی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ارتکاب المعاصی یُسبّب فقدان أغلی جوهرة وأعظم حبل للنجاة، وهو العقیدة ویؤدّی إلی ضیاع الإیمان،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مجموع الدین یعتبر کتلة واحدة، ولا ننظر إلی الدین من جهة دون أخری وإذا کان تمام الأدّلة الدینیّة یُشیر إلی أن ارتکاب المعاصی والإصرار علیها یُؤدّی إلی فقدان الإیمان والمآل إلی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فیها جانب إغراء، بل فیها إشارة إلی جهة معیّنة، وهی أنها تخلّص الإنسان</w:t>
      </w:r>
    </w:p>
    <w:p>
      <w:pPr>
        <w:pStyle w:val="BookText"/>
        <w:rPr/>
      </w:pPr>
      <w:r>
        <w:rPr>
          <w:rFonts w:ascii="IRNazanin" w:hAnsi="IRNazanin" w:eastAsia="IRNazanin"/>
          <w:color w:val="111111"/>
          <w:sz w:val="28"/>
          <w:sz w:val="28"/>
          <w:szCs w:val="28"/>
          <w:rtl w:val="true"/>
          <w:lang w:bidi="fa-IR"/>
        </w:rPr>
        <w:t>وتنقذه من حضیض المعاصی والرذائل وتَعرُج به إلی سمو الفضائل وجادّة الصواب والصراط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التفاعل العاطفیّ مع أحداث عاشوراء لیس ینفّر من أعداء أهل البیت علیهم السلام فقط بل هو أیضاً ینفّر من السلوکیّات المنحرفة المبتلی بها، وتتولّد فی أعماق الشخص المتأثّر حالة تأنیب الضمیر لذلک؛ فهو یجسّد فی نفسه الصراع والجهاد فإذا عرضت له أشکال من المعصیة کأنّما یتحرّک عنده هاجس الحرارة الحسینیّة وینشأ فی روحه جانب تأنیب الضمیر فهذا نوع من الإنجذاب القلبیّ والعزم الإرادیّ نحو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مفاد الروایات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الحسین فله الضمان فی حسن العاقبة، وله النتیجة النهائیة فی الصلاح والفلاح لیس مفادها ذلک إنّما مفاد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الحسین غُفرت له ذنوبه مثل أثر فریضة الحجّ وغفران الذنوب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بالموافاة والموافاة اصطلاح کلامیّ وروائیّ أی أن یوافی الإنسان خاتمة أجره بحُسن العاقبة وإلاّ فمع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علیه السیئات وتُحبط الحسنات ولا تُکتب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منطق هذه الروایات إغراء بالمعاصی، ولیست هی کعقیدة النصاری بأنّ المسیح قد قُتل لیغفر للنصاری جمیعاً حتّی وإن عملوا المعاصی والکبائر وأنواع الظلم والعدوان ولا کعقیدة الیهود الذین قالوا أنّ عُزیراً أو غیره له هذه القابلیّة علی محو المعاصی والکبائر عن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لأشکل علینا أنّ قرآننا توجد فیه اسرائیلیّات فمنطق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یختلف عن ذاک المنطق الذی یُنادی به النصاری أولئک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نعمل ما نشاء</w:t>
      </w:r>
      <w:bookmarkStart w:id="471" w:name="pg2944_24625"/>
    </w:p>
    <w:p>
      <w:pPr>
        <w:pStyle w:val="BookText"/>
        <w:rPr/>
      </w:pPr>
      <w:bookmarkEnd w:id="471"/>
      <w:r>
        <w:rPr>
          <w:rFonts w:ascii="IRNazanin" w:hAnsi="IRNazanin" w:eastAsia="IRNazanin"/>
          <w:color w:val="111111"/>
          <w:sz w:val="28"/>
          <w:sz w:val="28"/>
          <w:szCs w:val="28"/>
          <w:rtl w:val="true"/>
          <w:lang w:bidi="fa-IR"/>
        </w:rPr>
        <w:t>والعاقبة ستُختم لنا بالحُسنی فأین هذا عن المعنی الذی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أن یُغفَر له ولو کان کزبد البحر، مخالفٌ غیر ذلک المعنی أصلاً بل فیه نوع من إدانة المذنبین، إضافةً إلی فتح باب الأمل وعدم القنوط وعدم الیأس، بل الأمل بروح الله أن ینجذب الإنسان إلی الصراط المستقیم وجانب الطاعات ولا یقع فی طریق المعاصی ویتخبّط فی الذنوب</w:t>
      </w:r>
      <w:r>
        <w:rPr>
          <w:rFonts w:eastAsia="IRNazanin" w:cs="IRNazanin"/>
          <w:color w:val="111111"/>
          <w:sz w:val="28"/>
          <w:szCs w:val="28"/>
          <w:rtl w:val="true"/>
          <w:lang w:bidi="fa-IR"/>
        </w:rPr>
        <w:t>.</w:t>
      </w:r>
    </w:p>
    <w:p>
      <w:pPr>
        <w:pStyle w:val="Heading5"/>
        <w:numPr>
          <w:ilvl w:val="4"/>
          <w:numId w:val="1"/>
        </w:numPr>
        <w:rPr/>
      </w:pPr>
      <w:bookmarkStart w:id="472" w:name="__RefHeading___Toc110750_2749589250"/>
      <w:bookmarkStart w:id="473" w:name="_Toc177"/>
      <w:bookmarkEnd w:id="472"/>
      <w:r>
        <w:rPr>
          <w:rtl w:val="true"/>
        </w:rPr>
        <w:t>الوجه الثانی</w:t>
      </w:r>
      <w:bookmarkEnd w:id="473"/>
    </w:p>
    <w:p>
      <w:pPr>
        <w:pStyle w:val="BookText"/>
        <w:rPr/>
      </w:pPr>
      <w:r>
        <w:rPr>
          <w:rFonts w:ascii="IRNazanin" w:hAnsi="IRNazanin" w:eastAsia="IRNazanin"/>
          <w:color w:val="111111"/>
          <w:sz w:val="28"/>
          <w:sz w:val="28"/>
          <w:szCs w:val="28"/>
          <w:rtl w:val="true"/>
          <w:lang w:bidi="fa-IR"/>
        </w:rPr>
        <w:t>سلّمنا بکَون هذه الروایات المشتملة علی البکاء تامّة سنداً ومتناً ومضموناً لکن مضمونها غیر أبدیّ، ولیس بدائم مضمونها هو الحثّ علی البکاء فی فترة الأئمة علیهم السلام، وهی فترة وحقبة التقیّة حیث کان الأسلوب الوحید لإبراز المعارضة والاستنکار للظلم وإبراز التضامن مع أهل البیت علیهم السلام هو البکاء، أمّا فی یومنا هذا، فالشیعة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یعیشون فی جوّ من الحریّة النسبیّة فلیست هذه الوسیلة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الهدف من تشریع هذه الوسیلة والحثّ علیها حصول غرض معیّن، وهو إبراز التضامن مع أهل البیت علیهم السلام أو التولّی لأهل البیت، وإظهار الاستنکار والتبرّی من أعدائهم والمعارضة لخطّهم باعتبار أنّ الظرف کان ظرف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الأفواه مُکَمّمة وکانت النفوس فی معرض الخطر من الظالم فقد یکون البکاء هو الأسلوب الوحید آنذاک أمّا فی أیّامنا هذه وقد زال الخوف، فهذا لیس بالأسلوب الصحیح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الآن فقد انتفت الغایة منها فتکون أشبه بالقضیّة الخارجیّة الظرفیّة، لا القضیّة الحقیقیّة العامّة الدائمة</w:t>
      </w:r>
      <w:r>
        <w:rPr>
          <w:rFonts w:eastAsia="IRNazanin" w:cs="IRNazanin"/>
          <w:color w:val="111111"/>
          <w:sz w:val="28"/>
          <w:szCs w:val="28"/>
          <w:rtl w:val="true"/>
          <w:lang w:bidi="fa-IR"/>
        </w:rPr>
        <w:t>.</w:t>
      </w:r>
      <w:bookmarkStart w:id="474" w:name="pg2944_24626"/>
    </w:p>
    <w:p>
      <w:pPr>
        <w:pStyle w:val="Heading5"/>
        <w:numPr>
          <w:ilvl w:val="4"/>
          <w:numId w:val="1"/>
        </w:numPr>
        <w:rPr/>
      </w:pPr>
      <w:bookmarkStart w:id="475" w:name="__RefHeading___Toc110752_2749589250"/>
      <w:bookmarkStart w:id="476" w:name="_Toc178"/>
      <w:bookmarkEnd w:id="474"/>
      <w:bookmarkEnd w:id="475"/>
      <w:r>
        <w:rPr>
          <w:rtl w:val="true"/>
        </w:rPr>
        <w:t>الجواب</w:t>
      </w:r>
      <w:bookmarkEnd w:id="476"/>
    </w:p>
    <w:p>
      <w:pPr>
        <w:pStyle w:val="Heading6"/>
        <w:numPr>
          <w:ilvl w:val="5"/>
          <w:numId w:val="1"/>
        </w:numPr>
        <w:rPr/>
      </w:pPr>
      <w:bookmarkStart w:id="477" w:name="__RefHeading___Toc110754_2749589250"/>
      <w:bookmarkStart w:id="478" w:name="_Toc179"/>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أحد الغایات للبکاء فتام، لکن لیس هو تمام غایة البکاء، بل هو أحد الغایات والسُبل لإظهار الظلامة هذا أوّلاً وثانیاً ما الموجب لکون هذه الغایة غیر قابلة للتحقق، بل هی مستمرة قابلة للتحقّق لأنّ البکاء نوع من السلوک التربویّ لإثارة وجدان أبناء الفِرق الأخری من المسلمین ومن غیر المسلمین وإلاّ لو حاولت إظهار النفرة لظالمی أهل البیت والتبرّی من أعداء الدین الذین قادوا التحریف والانحراف فی الأمّة الإسلامیّة لو حاولت ذلک بمجرد کلمات فکریّة أو إدراکیّة یکون الأسلوب غیر ناجح وغیر نافع وقد یسبب ردّة فعل سلبیّة عندهم أمّا أسلوب العاطفة الصادقة فهو أکثر إثارة، وأنجح علاجاً لهدایة الآخرین، لما مرّ من أنّ الطبیعة الإنسانیّة مرکّبة من نمطَین جِبلییّن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إدراکیّ وعملیّ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والغایة لیست منحصرة فی ذلک بل هناک علل کثیرة کما سنقرأ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ختام بحث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وحَصر علّة البکاء بهذه العلّة غیر صحیح</w:t>
      </w:r>
      <w:r>
        <w:rPr>
          <w:rFonts w:eastAsia="IRNazanin" w:cs="IRNazanin"/>
          <w:color w:val="111111"/>
          <w:sz w:val="28"/>
          <w:szCs w:val="28"/>
          <w:rtl w:val="true"/>
          <w:lang w:bidi="fa-IR"/>
        </w:rPr>
        <w:t>.</w:t>
      </w:r>
    </w:p>
    <w:p>
      <w:pPr>
        <w:pStyle w:val="Heading6"/>
        <w:numPr>
          <w:ilvl w:val="5"/>
          <w:numId w:val="1"/>
        </w:numPr>
        <w:rPr/>
      </w:pPr>
      <w:bookmarkStart w:id="479" w:name="__RefHeading___Toc110756_2749589250"/>
      <w:bookmarkStart w:id="480" w:name="_Toc180"/>
      <w:bookmarkEnd w:id="479"/>
      <w:r>
        <w:rPr>
          <w:rtl w:val="true"/>
        </w:rPr>
        <w:t>اعتراض</w:t>
      </w:r>
      <w:bookmarkEnd w:id="480"/>
    </w:p>
    <w:p>
      <w:pPr>
        <w:pStyle w:val="BookText"/>
        <w:rPr/>
      </w:pPr>
      <w:r>
        <w:rPr>
          <w:rFonts w:ascii="IRNazanin" w:hAnsi="IRNazanin" w:eastAsia="IRNazanin"/>
          <w:color w:val="111111"/>
          <w:sz w:val="28"/>
          <w:sz w:val="28"/>
          <w:szCs w:val="28"/>
          <w:rtl w:val="true"/>
          <w:lang w:bidi="fa-IR"/>
        </w:rPr>
        <w:t>أمّا ما یقال بأنّ الحسین علیه السلام قد منع الفواطم أو العقائل من شق الجیوب، وخمش الوجوه، ونهاهنّ عن البکاء فهذا النهی فی الواقع مُغیّی ومُعلَّل عندما أخبر الحسین علیه السلام زینب العقیلة علیها السلام بأنّه راحل عن قریب، لطمت وجهها وصاحت وبکت، فقال لها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لا تُشمِتی القوم بنا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حذّرها شماتة الأعداء قبل انتهاء الحرب وقبل حلول الفادحة والمصیبة العظمی، لأنّه یسبّب نوعاً من الضعف النفسیّ فی معسکر الحسین علیه السلام أمّا إخماد الجزع بعد شهادته علیه السلام، أو إخماد الوَلولة وکَبْت شِدّة الحُزن فهی نوع من إخماد</w:t>
      </w:r>
      <w:bookmarkStart w:id="481" w:name="pg2944_24627"/>
    </w:p>
    <w:p>
      <w:pPr>
        <w:pStyle w:val="BookText"/>
        <w:rPr/>
      </w:pPr>
      <w:bookmarkEnd w:id="481"/>
      <w:r>
        <w:rPr>
          <w:rFonts w:ascii="IRNazanin" w:hAnsi="IRNazanin" w:eastAsia="IRNazanin"/>
          <w:color w:val="111111"/>
          <w:sz w:val="28"/>
          <w:sz w:val="28"/>
          <w:szCs w:val="28"/>
          <w:rtl w:val="true"/>
          <w:lang w:bidi="fa-IR"/>
        </w:rPr>
        <w:t>وإسکات لصوت نهضة الحسین علیه السلام، وحدٌّ من وصول ظُلامته إلی أسماع العالَم بأسره وکلّ مستقرئ یری أنّ الذی أوصل صوت الحسین علیه السلام إلی العالم، وأنجح نهضته إلی الیوم وإلی یوم القیامة هم السبایا ومواقف العقیلة علیها السلام وخُطبها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السجاد علیه السلام فی المواضع المختلفة من مشاهد السبیّ لأهل البیت علیهم السلام</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سیطول بعدی یا سکینةُ فاعلمی</w:t>
      </w:r>
    </w:p>
    <w:p>
      <w:pPr>
        <w:pStyle w:val="BookText"/>
        <w:rPr/>
      </w:pPr>
      <w:r>
        <w:rPr>
          <w:rFonts w:ascii="IRNazanin" w:hAnsi="IRNazanin" w:eastAsia="IRNazanin"/>
          <w:color w:val="111111"/>
          <w:sz w:val="28"/>
          <w:sz w:val="28"/>
          <w:szCs w:val="28"/>
          <w:rtl w:val="true"/>
          <w:lang w:bidi="fa-IR"/>
        </w:rPr>
        <w:t>منکِ البکاء إذا الحِمام دهانی</w:t>
      </w:r>
    </w:p>
    <w:p>
      <w:pPr>
        <w:pStyle w:val="BookText"/>
        <w:rPr/>
      </w:pPr>
      <w:r>
        <w:rPr>
          <w:rFonts w:ascii="IRNazanin" w:hAnsi="IRNazanin" w:eastAsia="IRNazanin"/>
          <w:color w:val="111111"/>
          <w:sz w:val="28"/>
          <w:sz w:val="28"/>
          <w:szCs w:val="28"/>
          <w:rtl w:val="true"/>
          <w:lang w:bidi="fa-IR"/>
        </w:rPr>
        <w:t>لا تُحرقی قلبی بدمعک حسرةً</w:t>
      </w:r>
    </w:p>
    <w:p>
      <w:pPr>
        <w:pStyle w:val="BookText"/>
        <w:rPr/>
      </w:pPr>
      <w:r>
        <w:rPr>
          <w:rFonts w:ascii="IRNazanin" w:hAnsi="IRNazanin" w:eastAsia="IRNazanin"/>
          <w:color w:val="111111"/>
          <w:sz w:val="28"/>
          <w:sz w:val="28"/>
          <w:szCs w:val="28"/>
          <w:rtl w:val="true"/>
          <w:lang w:bidi="fa-IR"/>
        </w:rPr>
        <w:t>مادام منی الروح فی جثمانی</w:t>
      </w:r>
    </w:p>
    <w:p>
      <w:pPr>
        <w:pStyle w:val="BookText"/>
        <w:rPr/>
      </w:pPr>
      <w:r>
        <w:rPr>
          <w:rFonts w:ascii="Amiri" w:hAnsi="Amiri" w:eastAsia="Amiri" w:cs="Amiri"/>
          <w:color w:val="111111"/>
          <w:sz w:val="28"/>
          <w:sz w:val="28"/>
          <w:szCs w:val="28"/>
          <w:rtl w:val="true"/>
          <w:lang w:bidi="ar-SA"/>
        </w:rPr>
        <w:t>واذا قُتِلْتُ فأنتِ أولی بالذی</w:t>
      </w:r>
    </w:p>
    <w:p>
      <w:pPr>
        <w:pStyle w:val="BookText"/>
        <w:rPr/>
      </w:pPr>
      <w:r>
        <w:rPr>
          <w:rFonts w:ascii="IRNazanin" w:hAnsi="IRNazanin" w:eastAsia="IRNazanin"/>
          <w:color w:val="111111"/>
          <w:sz w:val="28"/>
          <w:sz w:val="28"/>
          <w:szCs w:val="28"/>
          <w:rtl w:val="true"/>
          <w:lang w:bidi="fa-IR"/>
        </w:rPr>
        <w:t>تأتینه یا خیرة النسوانِ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واضح لأنّه حینما تکون حالة هیاج وحالة احتراق للخیام وتشرّد وهیام الأطفال والیتامی، فالظرف هنا لیس ظرف جزع ولا ظرف إظهار الندبة، بل هو ظرف حَزم الأمور وقوّة الجَنان، ومحاولة الإبقاء علی البقیّة الباقیة من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ظرف المرحلة بخصوصها هی جنبة ضبط وتدبیر وحزم، ولیس من الصحیح إظهار المآتم والعزاء فی ذلک الظرف فمن ثمّ فإنّ أمره علیه السلام مختصّ بذلک الظرف، وهو نوع من التدبیر والحکمة منه علیه السلام، ولابدّ من لمّ الشمل وجمع الشتات للأرامل والیتامی وأن ذلک الظرف لیس ظرف بکاء ورثاء ولا محل لإظهار المصیبة</w:t>
      </w:r>
      <w:r>
        <w:rPr>
          <w:rFonts w:eastAsia="IRNazanin" w:cs="IRNazanin"/>
          <w:color w:val="111111"/>
          <w:sz w:val="28"/>
          <w:szCs w:val="28"/>
          <w:rtl w:val="true"/>
          <w:lang w:bidi="fa-IR"/>
        </w:rPr>
        <w:t>.</w:t>
      </w:r>
    </w:p>
    <w:p>
      <w:pPr>
        <w:pStyle w:val="Heading6"/>
        <w:numPr>
          <w:ilvl w:val="5"/>
          <w:numId w:val="1"/>
        </w:numPr>
        <w:rPr/>
      </w:pPr>
      <w:bookmarkStart w:id="482" w:name="__RefHeading___Toc110758_2749589250"/>
      <w:bookmarkStart w:id="483" w:name="_Toc181"/>
      <w:bookmarkEnd w:id="482"/>
      <w:r>
        <w:rPr>
          <w:rtl w:val="true"/>
        </w:rPr>
        <w:t>خلاصة القول</w:t>
      </w:r>
      <w:bookmarkEnd w:id="4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 الإجابة علی الانتقادات والإعتراضات السابقة، أنّ ما ذُکر فی العلوم التخصصیّة فی حقیقة البکاء من جهة البحث الموضوعیّ هو أنّ هناک شرطان لرجحان</w:t>
      </w:r>
      <w:bookmarkStart w:id="484" w:name="pg2944_24628"/>
    </w:p>
    <w:p>
      <w:pPr>
        <w:pStyle w:val="BookText"/>
        <w:rPr/>
      </w:pPr>
      <w:bookmarkEnd w:id="484"/>
      <w:r>
        <w:rPr>
          <w:rFonts w:ascii="IRNazanin" w:hAnsi="IRNazanin" w:eastAsia="IRNazanin"/>
          <w:color w:val="111111"/>
          <w:sz w:val="28"/>
          <w:sz w:val="28"/>
          <w:szCs w:val="28"/>
          <w:rtl w:val="true"/>
          <w:lang w:bidi="fa-IR"/>
        </w:rPr>
        <w:t>البکاء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البکاء ولیداً لمعلومة ولإدراک حقیقیّ، وأن یکون لغایة حقیقیّة وهادفة إیجابیّة فیکون من سنخ الانفعالات الکمالیّة الممدوحة للنفس بلا ریب وهو کذلک ممدوح فی لغة القرآن ولغة النصوص الشرعیّة وخلصنا إلی أنّ البکاء هو نوع من التفاعل الجدّیّ والفعلیّ مع الحقیقة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إعطاء السامع أو القارئ أو المشاهد أو الموالی فکرة إدراکیّة بحتة غیر مثمر بمفرده وأنّ البکاء بمنزلة إمضاء محرّک للسیر علی تلک الفکرة أو ما یعبّر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إرادة جدّیّة عازمة فعلیّة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فالبکاء إذا ولّد حضور الفکرة العِبرة إذا تعقّبت العَبرة حینئذٍ یکون نوع من التفاعل الشدید والإیمان الأکید بالفکرة والعِبرة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ذلک نوعاً من التسجیل المؤکَّد لتفاعل الباکی وإیمانه واختیاره لمسیرة تلک العِبرة</w:t>
      </w:r>
      <w:r>
        <w:rPr>
          <w:rFonts w:eastAsia="IRNazanin" w:cs="IRNazanin"/>
          <w:color w:val="111111"/>
          <w:sz w:val="28"/>
          <w:szCs w:val="28"/>
          <w:rtl w:val="true"/>
          <w:lang w:bidi="fa-IR"/>
        </w:rPr>
        <w:t>.</w:t>
      </w:r>
    </w:p>
    <w:p>
      <w:pPr>
        <w:pStyle w:val="Heading5"/>
        <w:numPr>
          <w:ilvl w:val="4"/>
          <w:numId w:val="1"/>
        </w:numPr>
        <w:rPr/>
      </w:pPr>
      <w:bookmarkStart w:id="485" w:name="__RefHeading___Toc110760_2749589250"/>
      <w:bookmarkStart w:id="486" w:name="_Toc182"/>
      <w:bookmarkEnd w:id="485"/>
      <w:r>
        <w:rPr>
          <w:rtl w:val="true"/>
        </w:rPr>
        <w:t>الوجه الثالث</w:t>
      </w:r>
      <w:bookmarkEnd w:id="486"/>
    </w:p>
    <w:p>
      <w:pPr>
        <w:pStyle w:val="BookText"/>
        <w:rPr/>
      </w:pPr>
      <w:r>
        <w:rPr>
          <w:rFonts w:ascii="IRNazanin" w:hAnsi="IRNazanin" w:eastAsia="IRNazanin"/>
          <w:color w:val="111111"/>
          <w:sz w:val="28"/>
          <w:sz w:val="28"/>
          <w:szCs w:val="28"/>
          <w:rtl w:val="true"/>
          <w:lang w:bidi="fa-IR"/>
        </w:rPr>
        <w:t>الذی یُذکر للنقض علی البکاء أن لو سلّمنا أنّنا قبلنا بأمر البکاء فی الجملة، ولکنّ استمرار البکاء علی نحوٍ سنویّ، أو راتب شهریّ أو اسبوعیّ بشکل دائم یولّد حالة وانطباعاً عن الشیعة والموالین لأهل البیت علیهم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هؤلاء أصحاب أحقاد وضغون، وأنّهم یحملون العُقد واستمرارهم بالبکاء واجترارهم له یدلّ علی أنّهم عدیمی الأمل فهذه ظاهرة سلبیة انهزامیة تکشف عن عقد روحیة، وکبت نفسی دفین فبدل أن یقدِموا علی أعمال وبرامج ومراحل لبناء مذهبهم ولبناء أنفسِهم لیخرجوا من حالة المظلومیّة إلی حالة قیادة أنفسهم والغلبة علی من ظَلمهم، فإنّهم یبقون علی حالة الانتکاس والتراجع وهذه الحالة یمکن أن نسمّیها الحالة الروحیّة الشاذّة، هی حالة توجد خللاً فی الإتّزان الروحیّ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علم النفس وعلم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فالبکاء حیث إنّه فی علم النفس</w:t>
      </w:r>
      <w:bookmarkStart w:id="487" w:name="pg2944_24629"/>
    </w:p>
    <w:p>
      <w:pPr>
        <w:pStyle w:val="BookText"/>
        <w:rPr/>
      </w:pPr>
      <w:bookmarkEnd w:id="487"/>
      <w:r>
        <w:rPr>
          <w:rFonts w:ascii="IRNazanin" w:hAnsi="IRNazanin" w:eastAsia="IRNazanin"/>
          <w:color w:val="111111"/>
          <w:sz w:val="28"/>
          <w:sz w:val="28"/>
          <w:szCs w:val="28"/>
          <w:rtl w:val="true"/>
          <w:lang w:bidi="fa-IR"/>
        </w:rPr>
        <w:t>لیس بحالة اتّزان روحیّ وإنّما حالة اختلال واضطراب روحیّ فنحن‌نفرض علی‌أنفُسنا حالة اضطراب روحیّ واختلال فکریّ لانستطیع معهما أن نهتدی السبیل بل نحن عدیمو الأمل لدینا حالة کَبت، وهذه الأوصاف هی أوصاف مَرَضیة ولیست أوصاف روحیّة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الإبقاء علی مثل هذه الظاهرة إبقاءً علی حالة مَرَضیّة بإجماع العلوم الانسانیّة التجریبیّة الحدیثة، ولمّا کانت هذه الظاهرة المَرَضیّة تتشعّب إلی أمراض روحیّة أو فکریّة أو نفسیّة عدیدة فمن اللازم الإبتعاد عنها ونبذها 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الاعتراض فی هذا الوجه الثالث هو کَون البکاء عبارة عن مجموعة من العُقد النفسیة وهو یوجب انعکاس حالة مَرَضیة روحیّة لأفراد المذهب وأبناء الطائفة</w:t>
      </w:r>
      <w:r>
        <w:rPr>
          <w:rFonts w:eastAsia="IRNazanin" w:cs="IRNazanin"/>
          <w:color w:val="111111"/>
          <w:sz w:val="28"/>
          <w:szCs w:val="28"/>
          <w:rtl w:val="true"/>
          <w:lang w:bidi="fa-IR"/>
        </w:rPr>
        <w:t>.</w:t>
      </w:r>
    </w:p>
    <w:p>
      <w:pPr>
        <w:pStyle w:val="Heading5"/>
        <w:numPr>
          <w:ilvl w:val="4"/>
          <w:numId w:val="1"/>
        </w:numPr>
        <w:rPr/>
      </w:pPr>
      <w:bookmarkStart w:id="488" w:name="__RefHeading___Toc110762_2749589250"/>
      <w:bookmarkStart w:id="489" w:name="_Toc183"/>
      <w:bookmarkEnd w:id="488"/>
      <w:r>
        <w:rPr>
          <w:rtl w:val="true"/>
        </w:rPr>
        <w:t>الجواب</w:t>
      </w:r>
      <w:bookmarkEnd w:id="48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ذکرنا سابقاً من کلمات علماء النفس والاجتماع والفلسفة بأنّ الفطرة الإنسانیّة السلیمة التی هی باقیة علی حالها لابدّ لها من التأثّر والتفاعل أمّا التی لاتتأثر بالأمور المحرِّکة للعاطفة تکون ممسوخة، إذ فیها جناح واحد فقط وهو جناح الإدراک أما جناح العَمل فإنّه منعدم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الفرق بین المجتمعات الغربیّة والمجتمعات الشرقیّة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عکس زعم المعترض، تکون هذه حالة صحیحة وسلیمة ولیست حالة مَرَضیّة، ولا حالة عُقَد بل ذکرنا أنّ العُقَد إنّما تجتمع فیمن لا یکون له متنفّس للإنفعال یعنی أنّ الذی لا ینفعل، والذی لا یظهر انفعاله أزاء المعلومات الحقیقیّة التی تصیبه والذی یکبت ردود الفعل الطبیعیّة للحوادث سوف تتکدّس عنده الصدمات إلی أن تصبح عُقد وتناقضات، وإلی أن تنفجر یوماً ما وربّما تظهر لدیه حالات شاذة من قبیل سوء الظنّ بالآخرین أو اتّخاذ موقف العداء لجمیع من حوله</w:t>
      </w:r>
      <w:r>
        <w:rPr>
          <w:rFonts w:eastAsia="IRNazanin" w:cs="IRNazanin"/>
          <w:color w:val="111111"/>
          <w:sz w:val="28"/>
          <w:szCs w:val="28"/>
          <w:rtl w:val="true"/>
          <w:lang w:bidi="fa-IR"/>
        </w:rPr>
        <w:t>.</w:t>
      </w:r>
      <w:bookmarkStart w:id="490" w:name="pg2944_24630"/>
    </w:p>
    <w:p>
      <w:pPr>
        <w:pStyle w:val="BookText"/>
        <w:rPr/>
      </w:pPr>
      <w:bookmarkEnd w:id="490"/>
      <w:r>
        <w:rPr>
          <w:rFonts w:ascii="IRNazanin" w:hAnsi="IRNazanin" w:eastAsia="IRNazanin"/>
          <w:color w:val="111111"/>
          <w:sz w:val="28"/>
          <w:sz w:val="28"/>
          <w:szCs w:val="28"/>
          <w:rtl w:val="true"/>
          <w:lang w:bidi="fa-IR"/>
        </w:rPr>
        <w:t>والشخصیّات المعروفة فی المجتمعات البشریّة، بعد استقراء أحوالهم وأطوارهم نجدها تتمتّع بهذه الصفة الأساسیّة فی النفس فالذی لا یبدی العواطف الإنسانیّة الصادقة، ولا تظهر أشکالها علیه، سوف یجتمع فی خفایا نفسه رکام من الحقد وأکوام من العقد حیث إنّ الإنسان لا یخلو من جانب العاطفة؛ والإستجابة للعاطفة أمرٌ ثابت ناشئ ومتولّد عن الظاهرة العملیّة والوجدانیّة والضمیریّة من الإدراک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تحصل هذه الاستجابة فلابدّ من وجود اختلال فی توازن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أنّ المنطق القرآنیّ والإرشادات من السنّة النبویّة الشریفة والسیرة العلویّة الکریمة کلّها تقرّر هذه الموازنة والتعادل بین جمیع قوی النفس دون أن یتمّ ترجیحُ جانبٍ للنفس دون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المنطق المتعادل والمتوازن هو کون نفس الإنسان فی حالة من التجاذب والتأثیر والتأثّر بین أجنحتها المختلفة</w:t>
      </w:r>
      <w:r>
        <w:rPr>
          <w:rFonts w:eastAsia="IRNazanin" w:cs="IRNazanin"/>
          <w:color w:val="111111"/>
          <w:sz w:val="28"/>
          <w:szCs w:val="28"/>
          <w:rtl w:val="true"/>
          <w:lang w:bidi="fa-IR"/>
        </w:rPr>
        <w:t>.</w:t>
      </w:r>
    </w:p>
    <w:p>
      <w:pPr>
        <w:pStyle w:val="Heading5"/>
        <w:numPr>
          <w:ilvl w:val="4"/>
          <w:numId w:val="1"/>
        </w:numPr>
        <w:rPr/>
      </w:pPr>
      <w:bookmarkStart w:id="491" w:name="__RefHeading___Toc110764_2749589250"/>
      <w:bookmarkStart w:id="492" w:name="_Toc184"/>
      <w:bookmarkEnd w:id="491"/>
      <w:r>
        <w:rPr>
          <w:rtl w:val="true"/>
        </w:rPr>
        <w:t>الوجه الرابع</w:t>
      </w:r>
      <w:bookmarkEnd w:id="4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البکاء ظاهرة تنافی الصَبر المرغوب فیه، ولا تنسجم مع الاستعانة بالله عزّ وجلّ کما فی سورة البقرة</w:t>
      </w:r>
      <w:r>
        <w:rPr>
          <w:rFonts w:eastAsia="IRNazanin" w:cs="IRNazanin"/>
          <w:color w:val="111111"/>
          <w:sz w:val="28"/>
          <w:szCs w:val="28"/>
          <w:rtl w:val="true"/>
          <w:lang w:bidi="fa-IR"/>
        </w:rPr>
        <w:t>.</w:t>
      </w:r>
      <w:bookmarkStart w:id="493" w:name="pg2944_24631"/>
    </w:p>
    <w:p>
      <w:pPr>
        <w:pStyle w:val="BookText"/>
        <w:rPr/>
      </w:pPr>
      <w:bookmarkEnd w:id="4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فالبکاء منافٍ للصبر والتحمّل ومناقض للإستعانة بالله سبحانه</w:t>
      </w:r>
      <w:r>
        <w:rPr>
          <w:rFonts w:eastAsia="IRNazanin" w:cs="IRNazanin"/>
          <w:color w:val="111111"/>
          <w:sz w:val="28"/>
          <w:szCs w:val="28"/>
          <w:rtl w:val="true"/>
          <w:lang w:bidi="fa-IR"/>
        </w:rPr>
        <w:t>.</w:t>
      </w:r>
    </w:p>
    <w:p>
      <w:pPr>
        <w:pStyle w:val="Heading5"/>
        <w:numPr>
          <w:ilvl w:val="4"/>
          <w:numId w:val="1"/>
        </w:numPr>
        <w:rPr/>
      </w:pPr>
      <w:bookmarkStart w:id="494" w:name="__RefHeading___Toc110766_2749589250"/>
      <w:bookmarkStart w:id="495" w:name="_Toc185"/>
      <w:bookmarkEnd w:id="494"/>
      <w:r>
        <w:rPr>
          <w:rtl w:val="true"/>
        </w:rPr>
        <w:t>الجواب</w:t>
      </w:r>
      <w:bookmarkEnd w:id="495"/>
    </w:p>
    <w:p>
      <w:pPr>
        <w:pStyle w:val="BookText"/>
        <w:rPr/>
      </w:pPr>
      <w:r>
        <w:rPr>
          <w:rFonts w:ascii="IRNazanin" w:hAnsi="IRNazanin" w:eastAsia="IRNazanin"/>
          <w:color w:val="111111"/>
          <w:sz w:val="28"/>
          <w:sz w:val="28"/>
          <w:szCs w:val="28"/>
          <w:rtl w:val="true"/>
          <w:lang w:bidi="fa-IR"/>
        </w:rPr>
        <w:t>أمّا الجواب لما قیل من وجوب الصبر والتحمّل عند نزول المصیبة کما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یتّفق هذا مع بکاء یعقوب علی یوسف حتّی ابیضّت عیناه هل هذا خلاف الصبر؟ أو بکاء السجاد علی أبیه سیّد الشهداء علیه السلام والأوامر التی بلغت حدّ التواتر، الواردة فی ثواب البکاء علی الحسین علیه السلام إلی ظهور المهدیّ عجّل الله فرجه بل فی بعضها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یتنافی ذلک کلّه مع الصبر؟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والجزع مکروه للعبد فی کلّ ما جزع ما خلا البکاء علی الحسین بن علیّ علیه السلام، فإنّه فیه مأجور</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لیس استثناءً متّصلاً، بل هو استثناء منقطع لأنّ الجزع نوع اعتراض علی تقدیر الله ویعتبر حالة من الانهیار والتذمّر والانکسار أمّا فی الجزع علی الحسین فلیس اعتراضاً علی قضاء الله وقدره،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الاعتراض علی ما فعله أعداء الله ولا یُعدّ انهیاراً أو انکساراً، بل هو ذروة الإرادة للتخلّق والاتصاف بالفضائل، وشحذ الهمم للانتقام من الظالمین، والاستعداد لنصرة أئمة الدین والتهیئة لظهور الإمام الحجة المنتظر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الحالة التی یندب إلیها الشرع والقرآن عند المصیبة هی الصبر وقول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موضع للبکاء، بل البکاء یخالف الخُلق القرآنیّ والتوصیة الشرعیّة فی ذلک ونری أنّ القرآن حین یستعرض لنا بأنّ الصبر هو الموقف الإیجابیّ عند البلاء والمصیبة وفی نفس الوقت یستعرض لنا القرآن أمثولة نموذجیّة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یعقوب یستعرض فعله بمدیح وثناء لا انتقاص فیه، مضافاً إلی ما ورد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ینحلّ هذا التضاد البَدویّ بأدنی تأمّل؛ وذلک بالبحث عن سبب کراهة الجزع، أو عن سبب إیجابیّة الصبر فی المصائب، باعتبار أنّ الجزع مردّه إلی کراهة قضاء الله وقدّره، ومآله إلی الانهیار أو الانکسار مثلاً ولا ریب هذا أمر سلبیّ وغیر إیجابیّ لأنّه من الضعف وعدم الصمود والطیش، وعَدم رباطة الجأش، وعدم الرضا بقضاء الله سبحانه وتعالی وقدره أو مردّه إلی الاعتراض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کراهة ما قضی الله سبحانه ولذلک لو کان الصبر فی موضع آخر لما کان الصبر ممدوحاً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المسلمین مقابل کید الکافرین لیس موضع صبر لأنّ اللازم علیهم الردّ وحفظ عزّتهم لو کان لهم عَدَد وعُدّة ومع توفّر الشروط الموضوعیّة للقتال کما فی تعبیر الآیات القرآنیة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فالصبر ثمّة لیس فی محلّه ومثله تعبیر أمیر المؤمنین علیه السلام فی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السیوف من الدماء، ترووا من الماء</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غُزی قومٌ فی عُقر دارهم إلاّ ذلّوا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فیتبیّن أنّ الصبر لیس راجحاً فی کلّ مورد بل الصبر بلحاظ ظرفه وجهته یکون ممدوحاً أو حسناً وإلاّ قد یکون خلاف ذلک فمن ثمّ قد یکون إیجابیّاً أو سلبیّاً فلابدّ أن یُقسَّم الصبر إلی مذموم، وإلی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ما فی قول النبیّ صلی الله علیه وآله وسلم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فإنّ الشهادة من وراءک فکیف صبرک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هذا من مواطن الصبر، ولکن من مواطن البشری والشکر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هذا موضع إبراز الشکر لله، لا موضع السکوت والتحمّل والصبر نعم هو مقابل اصطدام البلیّة یکون صبراً أمّا فی مقابل تقدیر الله لیس علیک فقط أن تصبر، بل علیک الشکر والرضا بقضائه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فالصبر درجة أمّا الشکر لله‌سبحانه والرضا بقضائه وقدره فهو أرقی وأسمی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وتحمّل المصیبة یمثّل درجة، أمّا الإحساس بعذوبة تقدیره سبحانه وبحلاوة قضائه فیجسّد درجة أرقی فتکون مورداً للرضا وللشکر؛ وهذه الحالة لا تنافی الصبر بل تزید علیه فضیلة کذلک فی موارد التشوّق إلی ذِکر النبیّ صلی الله علیه وآله وسلم حیث ورد علی لسان الأئمة علیهم السلام أنّهم یعدّون خسران وفقدان النبیّ صلی الله علیه وآله وسلم مصیبة عظمی، وتعبیرهم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 أحد فیما یُصاب، کما یصاب بفقد النبیّ صلی الله علیه وآله وسلم إلی یوم القیامة فهی أعظم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الصبر معناه الحمد لله‌سبحانه علی قضائه وقدره، فهذا صحیح وفی محلّه، لکن لیس معنی ذلک استلزامه عدم إبراز الأحاسیس، وعدم حصول التشوّق والعاطفة الصادقة التی هی ولیدة الانجذاب للنبی صلی الله علیه وآله وسلم بل ههنا عدم إظهار ذلک غیر محمود الإظهار هو نوع من الفضیلة زائدة علی الصبر لا أنّ هذا الإظهار ینافی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مصحّحة معاویة بن وهب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الجزع والبکاء مکروهٌ ما خلا الجزع والبکاء لقتل الحسین علیه السلام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علیّ بن أبی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والجزع مکروهٌ للعبد فی کلّ ما جزع، ما خلا البکاء علی الحسین بن علیّ علیه السلام فإنّه فیه مأجور</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معاویة بن وهب الآخر، المروی بعدّة طرق عن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تلک الأَعیُن الّتی جَرَت دموعُها رحمةً لنا، وارحَمْ تلک القلوبَ الّتی جَزعت واحترقت لنا، وارْحَم الصرخةَ التی کانت لنا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الجزع بمعنی الانکسار ولکنّه هنا لیس انکساراً ولیس بجزع بحقیقته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جزع من ظلم الأعداء وجزع من رذائل الأعداء وهذا جزع محمود ولیس جزعاً مذموماً باعتبار أنّه نوع من التشوّق الشدید لسیّد الشهداء علیه السلام، کما رواه الشیخ فی أمالیه بسنده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إبراهیم بکی النبیُّ صلی الله علیه وآله وسلم حتّی جرت دموعه علی لحیته،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تنهی عن البکاء وأنت تبکی؟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بکاء، وإنّما هذه رحمة، ومن لا یَرحم لا یُرحم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هو أنّ أیّ فضیلة من الفضائل التی هی مربوطة بالخُلق الإلهیّ، أو بالآداب الإلهیّة، أو بکلمات الله، کنماذج مجسّمة فی المعصومین علیهم السلام فعدم التفاعل الشدید معها ومع هذا الخُلق ومع تلک الآداب یُعتبر أمراً غیر محمود بل مذموماً فلابدّ من الانجذاب والتولیّ والمتابعة والمودّة لهم وهذا التشوّق لیس بالمذموم بل محمود</w:t>
      </w:r>
      <w:bookmarkStart w:id="496" w:name="pg2944_24635"/>
    </w:p>
    <w:p>
      <w:pPr>
        <w:pStyle w:val="BookText"/>
        <w:rPr/>
      </w:pPr>
      <w:bookmarkEnd w:id="496"/>
      <w:r>
        <w:rPr>
          <w:rFonts w:ascii="IRNazanin" w:hAnsi="IRNazanin" w:eastAsia="IRNazanin"/>
          <w:color w:val="111111"/>
          <w:sz w:val="28"/>
          <w:sz w:val="28"/>
          <w:szCs w:val="28"/>
          <w:rtl w:val="true"/>
          <w:lang w:bidi="fa-IR"/>
        </w:rPr>
        <w:t>وحسن لیس هو من الجزع المذموم والتشکّی لیس فیه اعتراض علی الله، بل هو اعتراض واستنکار علی الظلم والظالمین ونبذ للرذیلة وأصحابها، کما فی جواب العقیلة علیها السلام حینما دَخلت فی الکوفة إلی مجلس عبید الله بن زیاد، وتوجه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بکِ وبأهل بیتکِ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إلاّجمیلاً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أنّها تُبدی استنکارَها من عِظَم الفجیعة وقد أحاطتها هالة من الحُزن والأسی</w:t>
      </w:r>
      <w:r>
        <w:rPr>
          <w:rFonts w:eastAsia="IRNazanin" w:cs="IRNazanin"/>
          <w:color w:val="111111"/>
          <w:sz w:val="28"/>
          <w:szCs w:val="28"/>
          <w:rtl w:val="true"/>
          <w:lang w:bidi="fa-IR"/>
        </w:rPr>
        <w:t>.</w:t>
      </w:r>
    </w:p>
    <w:p>
      <w:pPr>
        <w:pStyle w:val="Heading5"/>
        <w:numPr>
          <w:ilvl w:val="4"/>
          <w:numId w:val="1"/>
        </w:numPr>
        <w:rPr/>
      </w:pPr>
      <w:bookmarkStart w:id="497" w:name="__RefHeading___Toc110768_2749589250"/>
      <w:bookmarkStart w:id="498" w:name="_Toc186"/>
      <w:bookmarkEnd w:id="497"/>
      <w:r>
        <w:rPr>
          <w:rtl w:val="true"/>
        </w:rPr>
        <w:t>الوجه الخامس</w:t>
      </w:r>
      <w:bookmarkEnd w:id="498"/>
    </w:p>
    <w:p>
      <w:pPr>
        <w:pStyle w:val="BookText"/>
        <w:rPr/>
      </w:pPr>
      <w:r>
        <w:rPr>
          <w:rFonts w:ascii="IRNazanin" w:hAnsi="IRNazanin" w:eastAsia="IRNazanin"/>
          <w:color w:val="111111"/>
          <w:sz w:val="28"/>
          <w:sz w:val="28"/>
          <w:szCs w:val="28"/>
          <w:rtl w:val="true"/>
          <w:lang w:bidi="fa-IR"/>
        </w:rPr>
        <w:t>أنّ التمادی فی الشعائر الحسینیّة، وفی البکاء یسبب طغیان حالة الانفعال والعاطفة علی حالة التعقّل والتدبّر والتریّث والاقتباس من المُعطیات السامیة لنهضته علیه الصلاة والسّلام والحالة العاطفیّة لیست حالة عقلائیّة، بل هی حالة هیجان واضطراب نفسیّ وهذا خلاف ما هو الغایة والغرض من الشعائر الحسینیّة حیث إنّ الغایة والغرض والهدف منها هو الاتعاظ والاعتبار من المواقف النبیلة فی نهضته علیه السلام، والاقتباس من أنوار سیرته، ولیس حصول حالة هیجان عاطفیّ وحماسیّ فقط من دون تدبّر ورویّة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سوف تطغی الحالة العاطفیّة علی الحالة العقلائیّة والحال أنّ المطلوب من الشعائر هو التذکیر بالمعانی الدینیّة والمبادئ الدینیّة وأخذ العِبر والعظات التی ضحّی سیّد الشهداء علیه السلام من أجلها وحالة البکاء والهیجان خلاف ذلک فبَدلَ استلهام الدروس والعِبر تستبدل بحالة عاطفیّة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ترجع هذه الإشکالات بعضها إلی البعض الآخر، وإن اختلفت عناوینها</w:t>
      </w:r>
      <w:r>
        <w:rPr>
          <w:rFonts w:eastAsia="IRNazanin" w:cs="IRNazanin"/>
          <w:color w:val="111111"/>
          <w:sz w:val="28"/>
          <w:szCs w:val="28"/>
          <w:rtl w:val="true"/>
          <w:lang w:bidi="fa-IR"/>
        </w:rPr>
        <w:t>.</w:t>
      </w:r>
      <w:bookmarkStart w:id="499" w:name="pg2944_24636"/>
    </w:p>
    <w:p>
      <w:pPr>
        <w:pStyle w:val="BookText"/>
        <w:rPr/>
      </w:pPr>
      <w:bookmarkEnd w:id="499"/>
      <w:r>
        <w:rPr>
          <w:rFonts w:ascii="IRNazanin" w:hAnsi="IRNazanin" w:eastAsia="IRNazanin"/>
          <w:color w:val="111111"/>
          <w:sz w:val="28"/>
          <w:sz w:val="28"/>
          <w:szCs w:val="28"/>
          <w:rtl w:val="true"/>
          <w:lang w:bidi="fa-IR"/>
        </w:rPr>
        <w:t>وبعبارة أخری، أنّ التمادی فی البکاء یسبّب طغیان حالة الانفعال والعاطفة علی حالة التعقّل والتدبّر فالبکاء لیس فیه تفاعل إیجابیّ مع أغراض وغایات الشعائر الحسینیّة، وأنّه نوع من إخلاء الشعائر الحسینیّة عن محتواها وتفریغها عن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فالبکاء صرف تأثّر عاطفیّ من دون إدراک مضامین النهضة الحسینیّة أو من دون إدراک أغراض وغایات وأهداف النهضة الحسینیّة</w:t>
      </w:r>
      <w:r>
        <w:rPr>
          <w:rFonts w:eastAsia="IRNazanin" w:cs="IRNazanin"/>
          <w:color w:val="111111"/>
          <w:sz w:val="28"/>
          <w:szCs w:val="28"/>
          <w:rtl w:val="true"/>
          <w:lang w:bidi="fa-IR"/>
        </w:rPr>
        <w:t>.</w:t>
      </w:r>
    </w:p>
    <w:p>
      <w:pPr>
        <w:pStyle w:val="Heading5"/>
        <w:numPr>
          <w:ilvl w:val="4"/>
          <w:numId w:val="1"/>
        </w:numPr>
        <w:rPr/>
      </w:pPr>
      <w:bookmarkStart w:id="500" w:name="__RefHeading___Toc110770_2749589250"/>
      <w:bookmarkStart w:id="501" w:name="_Toc187"/>
      <w:bookmarkEnd w:id="500"/>
      <w:r>
        <w:rPr>
          <w:rtl w:val="true"/>
        </w:rPr>
        <w:t>الجواب</w:t>
      </w:r>
      <w:bookmarkEnd w:id="501"/>
    </w:p>
    <w:p>
      <w:pPr>
        <w:pStyle w:val="BookText"/>
        <w:rPr/>
      </w:pPr>
      <w:r>
        <w:rPr>
          <w:rFonts w:ascii="IRNazanin" w:hAnsi="IRNazanin" w:eastAsia="IRNazanin"/>
          <w:color w:val="111111"/>
          <w:sz w:val="28"/>
          <w:sz w:val="28"/>
          <w:szCs w:val="28"/>
          <w:rtl w:val="true"/>
          <w:lang w:bidi="fa-IR"/>
        </w:rPr>
        <w:t>لیس من المعقول أن تبدو فی الإنسان ظاهرة عاطفیّة إنفعالیّة من دون أن تکون ولیدة لإدراک معین، ولا ناشئة عن فهم معلومة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وأصلاً فإنّ التفکیک بین الانفعال والتأثّر العاطفیّ من جهة، وبین الإحساس والإدراک لأمرٍ ما من جهة أخری غیر ممکن بل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فیما سبق موضوعاً وحکماً سواءً بالحکم العقلیّ أو النقلیّ هو نوع من الإخبات للمعلومة الحقیقیّة، وشدّة التأثّر بها، وشدّة الإذعان والمتابعة لها فلو أنّ الإنسان ذکر معلومة من المعلومات الحقیقیّة المؤلمة ولم یتأثّر بها، فهذا یعنی أنّه لم یشتدّ إذعانه لها ولم یرتّب علیها آثار المعلومة الحقیقیّة بخلاف ما لو تأثّرَ بها بأیّ نوع من التأثر، فهذا یدلّ علی شدّة إیقانه بتلک الحقیقة ومن غیر الممکن أن توجد ظاهر البکاء فی الجناح العملیّ فی النفس وکفعل نفسانیّ من دون أن یکون هناک إدراک ما فکیف إذا کان إدراک حرمان ذروة التکامل فی المعصوم، وشدةّ الحسرة علی فقدان تلک الکمالات البشریّة ومن ثمّ شدّة التلهّف للاقتداء والانجذاب إلی ذلک الکمال والمَثَل الأعلی فسوف یتأثّر الإنسان بشدّة وینفعل بدرجة عالیة هذا أدنی ما یُمکن أن یُتصوّر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التفاعل إنّما هو انجذاب النفس إلی الکمالات الموجودة المطویّة فی شخصیّة المعصوم وإنّما التأثّر به والقُرب منه یُعدّ من أسمی الفضائل ویُعتبر نفرة عن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فالفضائل کلّها مجتمعة فی الذات المطهّرة لسیّد الشهداء علیه السلام والبراءة من أعدائه ومناوئیه تُعتبر نفرة من الرذائل والآثام المجتمعة فی أعداء أهل البیت علیهم السلام وهذه أقلّ حصیلة یمکن أن تتصوّر فی البکاء حیث إنّ أدنی مرتبة من مراتب مجلس الرثاء والتعزیة هی نفس هذا المقدار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الواقع أمر عظیم ینبغی عدم الاستهانة به حیث یولّد الانجذاب نحو الفضائل، والنفرة والارتداع عن الرذائل وهل المقصود من الأمر بالمعروف والنهی عن المنکر غیر هذا؟ وهل الغایة فی نشر الدین وتبلیغ الرسالة إلاّ انتشال الفرد من مستنقع الرذائل والصعود به وإلی سموّ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أدنی حصیلة عملیّة تنشأ من البکاء فهو نوع من المجاوبة والتفاعل لا الجمود والخمول، ولا الحیادیّة السلبیّة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یواجه الإنسان فضیلةً وتُعرض علیه رذیلةً، فیظلّ مرتاباً متردّداً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ومتربصاً فی نفسه لا یحسم الموقف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وَلَکِنَّکُمْ فَتَنْتُمْ أَنْفُسَکُمْ وَتَرَبَّصْتُمْ وَارْتَبْتُمْ وَغَرَّتْکُمُ الْأَمَانِیُّ</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فیضلّ یعیش فترة حیادیّة مع نفسه، لا هو ینجذب للفضائل، ولا یتأثّر بالرذائل، یعنی تسیطر علی نفسه حالة تربّص وهذه حالة التربّص قد ذمّها القرآن الکریم، وهی مرغوب عنها فی علم الأخلاق وعلم السیر والسلوک، لأنّ نفس التوقف هو تسافل ودرکات أمّا الانجذاب نحو الفضائل فیُعتبر نوعاً من التفاعل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فالبکاء یعنی التأثّر والانجذاب والإقرار والإذعان، وبالتالی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لم یبکِ الإنسان ولم یتفاعل، بل یکون موقفه التفرّج والحیادیّة، وشتّان بین الحالتین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إلی ذلک أنّ فی البکاء نوعاً من التولّی حیث إنّ البکاء یدلّ علی الحبّ،</w:t>
      </w:r>
      <w:bookmarkStart w:id="502" w:name="pg2944_24638"/>
    </w:p>
    <w:p>
      <w:pPr>
        <w:pStyle w:val="BookText"/>
        <w:rPr/>
      </w:pPr>
      <w:bookmarkEnd w:id="502"/>
      <w:r>
        <w:rPr>
          <w:rFonts w:ascii="IRNazanin" w:hAnsi="IRNazanin" w:eastAsia="IRNazanin"/>
          <w:color w:val="111111"/>
          <w:sz w:val="28"/>
          <w:sz w:val="28"/>
          <w:szCs w:val="28"/>
          <w:rtl w:val="true"/>
          <w:lang w:bidi="fa-IR"/>
        </w:rPr>
        <w:t>وهل التولّی إلاّ الحبّ؟ وهل هناک مصداق للحبّ أوضح وأصدق من البکاء علی مصابهم؟ والحزن لحزنهم؟ والنفرة من أعدائهم؟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للبکاء إلاّ هذا القدر من الفائدة لکفی، فهو نوع من المحافظة علی جذور وأسس رُکنَی العقیدة المقدّسة الشریفة ألا وهما التولّی لأولیاء الله سبحانه والتبرّی من أعدائه وأعدائهم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فیه من إعطاء حقّ جانب الإدراک، مثل لابدّیة إعطاء جانب العاطفة حقّها، دون أن یطغی أحد الجانبین علی الآخر کما یظهر من الروایات أنّ هناک دعوة إلی البکاء؛ کذلک هناک روایات للتدبّر والتأسیّ بأفعالهم علیهم السلام والاقتداء بسیرتهم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لکلّ مأمومٍ إماماً یقتدی به، ویستضی‌ء بنور عِلمه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ضمن مضامین متواترة من الآیات والروایات؛ التی لا یتم الاقتداء والتأسّی إلاّ بعد استخلاص العِبر وتحلیلها والتدبّر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 البکاء بأیّ درجة کان وبأیّ شکل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نثر أو شعر أو 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فرضه إلاّ مع فرض تقارنه مع معلومة معیّنة ینطوی ضمنها فهو یمتزج بنحو الإجمال مع تلک الحقائق الإدراکیّة ولا یمکن فرض البکاء من دون حصول العِظة والعبرة ولو بنحو الإجمال لأنّنا نفرض أنّ الحالة العاطفیّة هی دوماً معلولة لجانب إدراکیّ</w:t>
      </w:r>
      <w:r>
        <w:rPr>
          <w:rFonts w:eastAsia="IRNazanin" w:cs="IRNazanin"/>
          <w:color w:val="111111"/>
          <w:sz w:val="28"/>
          <w:szCs w:val="28"/>
          <w:rtl w:val="true"/>
          <w:lang w:bidi="fa-IR"/>
        </w:rPr>
        <w:t>.</w:t>
      </w:r>
    </w:p>
    <w:p>
      <w:pPr>
        <w:pStyle w:val="Heading5"/>
        <w:numPr>
          <w:ilvl w:val="4"/>
          <w:numId w:val="1"/>
        </w:numPr>
        <w:rPr/>
      </w:pPr>
      <w:bookmarkStart w:id="503" w:name="__RefHeading___Toc110772_2749589250"/>
      <w:bookmarkStart w:id="504" w:name="_Toc188"/>
      <w:bookmarkEnd w:id="503"/>
      <w:r>
        <w:rPr>
          <w:rtl w:val="true"/>
        </w:rPr>
        <w:t>الوجه السادس</w:t>
      </w:r>
      <w:bookmarkEnd w:id="5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البکاء فی الواقع یُستَخدم کسلاح ضدّ النفس والحال أنّ ما یمتلکه الإنسان من طاقة مملوءة ومخزونة یجب أن یوجّهها ضد العدو أو یوظّفها فی الإثارة نحو السلوک العملیّ والبرنامج التطبیقیّ بینما هذه الشحنة التی امتلأ بها واختزن بها إذا فرّغها عن</w:t>
      </w:r>
      <w:bookmarkStart w:id="505" w:name="pg2944_24639"/>
    </w:p>
    <w:p>
      <w:pPr>
        <w:pStyle w:val="BookText"/>
        <w:rPr/>
      </w:pPr>
      <w:bookmarkEnd w:id="505"/>
      <w:r>
        <w:rPr>
          <w:rFonts w:ascii="IRNazanin" w:hAnsi="IRNazanin" w:eastAsia="IRNazanin"/>
          <w:color w:val="111111"/>
          <w:sz w:val="28"/>
          <w:sz w:val="28"/>
          <w:szCs w:val="28"/>
          <w:rtl w:val="true"/>
          <w:lang w:bidi="fa-IR"/>
        </w:rPr>
        <w:t>طریق البکاء، فکأنّما وَجّه الصدمةَ إلی داخل أعماق نفسه بدل أن یستفید من تلک الصدمة أو المصیبة أو البلیّة أو المُدافعة کشُحنة مُختزَنة وطاقة مکبوتة یمکن أن یستفید منها فی المضیّ قُدماً نحو البرامج الهادفة ونحو السلوک العملیّ البنّاء فإذا أفرغها عن طریق البکاء، فحینئذ یکون قد ضیّع تلک الشحنة ولم یستفد منها فی سبیل تحقیق هدفه بل سوف تترک هذه الشحنة آثارها السلبیّة علی نفسه فإنّ شعور المظلوم المُفعَم بالعدوان علیه سوف یجد له طریقاً لتنفیسه بشکل سلبیّ، وسوف تضیع هذه الطاقة الکامنة للانتصار للمظلوم، وإعادة الحقّ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هذا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بشواهد عدیدة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أُصیبت قریش ونُکِبت فی معرکة بدر فإنّهم مَنعوا البکاء فی مکّة،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لا یبکی أحد، وظلّت شحنة المصیبة مختزَنة حتّی وقعت الحرب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قاموا بتفریغ تلک الشحنة وتمّ لهم النصر؛ هذا شاهد علی جدوی تأخّر امتصاص الصدمة إلی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العثور علی شواهد عدیدة فی تاریخ الأمم، أنّهم إذا أُصیبوا بمصیبة أو بلیّة أو فجیعة فإنّهم لا یفرّغون ذلک بتوسّط البکاء بل یُفرغوها عن طریق العمل المُبرمج والمدروس والهادف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مختصرة فأنّ البکاء سلاح ضد النفس والمفروض أن یکون سلاحاً ضدّ الأعداء، وهو نوع من تفریغ سعرة الطاقة الکامنة فی النفس</w:t>
      </w:r>
      <w:r>
        <w:rPr>
          <w:rFonts w:eastAsia="IRNazanin" w:cs="IRNazanin"/>
          <w:color w:val="111111"/>
          <w:sz w:val="28"/>
          <w:szCs w:val="28"/>
          <w:rtl w:val="true"/>
          <w:lang w:bidi="fa-IR"/>
        </w:rPr>
        <w:t>.</w:t>
      </w:r>
    </w:p>
    <w:p>
      <w:pPr>
        <w:pStyle w:val="Heading5"/>
        <w:numPr>
          <w:ilvl w:val="4"/>
          <w:numId w:val="1"/>
        </w:numPr>
        <w:rPr/>
      </w:pPr>
      <w:bookmarkStart w:id="506" w:name="__RefHeading___Toc110774_2749589250"/>
      <w:bookmarkStart w:id="507" w:name="_Toc189"/>
      <w:bookmarkEnd w:id="506"/>
      <w:r>
        <w:rPr>
          <w:rtl w:val="true"/>
        </w:rPr>
        <w:t>الجواب</w:t>
      </w:r>
      <w:bookmarkEnd w:id="50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الإشکال قد ذکرنا له أمثلة نقضیّة، وهو أنّ مَن یفقد شیئاً یتشوّق إلیه فإذا بکی یزداد حرصاً وطلباً وإرادةً للوصول إلی ذلک المفقود، لا أن تخفّ الطاقة المحرّکة نحو ذلک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 سلاحاً ضدّ النفس فهذا غیر صحیح نعم من یبکی بداعی الاعتراض علی أمر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ویجزع وییأس من روح الله ولا یسلّم بما یُکتب له فی حیاته، فهذا نوع من الجَزع الممقوت، ونوع من الانکسار والانهیار، وهذا خُلف الفرض الذی نفرضه فی البکاء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فی البکاء علی سیّد الشهداء علیه السلام نوع من الانجذاب والتشوّق للفضائل والکمالات، لیس فیه نوع من الیأس، أو الحرمان أو التشاؤم وفی الروایات بیان ترتّب الفضل والثواب علی هذه الظاهرة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اصبتم بمصاب میّت، فاذکروا مصابَکم لفقدکم لرسول الله صلی الله علیه وآله وسلم، لم یُصَب أحدٌ بشی‌ءٍ بأعظم ممّا أُصیب بحِرمانه بفقدان رسول الله صلی الله علیه وآله وسلم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فالروایات تؤکّد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أُصِبتَ بمصیبة علیک أن توظّف هذه الطاقة العاطفیّة فی الانجذاب إلیه صلی الله علیه وآله وسلم وإلیهم علیهم السلام، فتنتشِل نفسک من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یصاب بمصاب ما، ثمّ یعقد مجلساً لندبة مصاب سیّد الشهداء علیه السلام ویبکی یُثاب علی ذلک لأنّه قد نقل نفسه من حالة انهیاریّة یائسة إلی حالة مِلؤها العمل، وملؤها الانجذاب إلی الفضائل والنفرة من الرذائل بل قد انتشل نفسه من مسیر خاطئ إلی مسیر سلیم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الفرق الدقیق بین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الممدوح للحصول علی الفضائل والنفرة من الرذائل وهو فعلٌ کمالی أمّا البکاء علی الرذائل فهو مذموم، یعنی لو بکی المرء لأجل خسارة مالیّة، بکاءً شدیداً وإذا تحوّل البکاء إلی نحو من الاعتراض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مذموماً بل من الکبائر</w:t>
      </w:r>
      <w:r>
        <w:rPr>
          <w:rFonts w:eastAsia="IRNazanin" w:cs="IRNazanin"/>
          <w:color w:val="111111"/>
          <w:sz w:val="28"/>
          <w:szCs w:val="28"/>
          <w:rtl w:val="true"/>
          <w:lang w:bidi="fa-IR"/>
        </w:rPr>
        <w:t>.</w:t>
      </w:r>
      <w:bookmarkStart w:id="508" w:name="pg2944_24641"/>
    </w:p>
    <w:p>
      <w:pPr>
        <w:pStyle w:val="BookText"/>
        <w:rPr/>
      </w:pPr>
      <w:bookmarkEnd w:id="508"/>
      <w:r>
        <w:rPr>
          <w:rFonts w:ascii="IRNazanin" w:hAnsi="IRNazanin" w:eastAsia="IRNazanin"/>
          <w:color w:val="111111"/>
          <w:sz w:val="28"/>
          <w:sz w:val="28"/>
          <w:szCs w:val="28"/>
          <w:rtl w:val="true"/>
          <w:lang w:bidi="fa-IR"/>
        </w:rPr>
        <w:t>بخلاف ما إذا کان البکاء علی الفضائل من حیث هی فضائل، کما هی الفضائل المجسّدة فی وجوداتهم علیهم السلام والرذائل المجسّمة فی أعدائهم فإنّه نوع من الانفتاح والرجاء وبدایة التصمیم علی الاقتداء وعدم التشاؤم، ونوع من تدّفق الروح والأمل فی السیر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فالإشکالیّة علی ظاهرة البکاء تدور ضمن هذه الوجوه السّتّة، وهی مجمل الانتقاد والمعارضة لهذه الظاهرة وقد سردنا أجوبة هذه الوجوه تباعاً</w:t>
      </w:r>
      <w:r>
        <w:rPr>
          <w:rFonts w:eastAsia="IRNazanin" w:cs="IRNazanin"/>
          <w:color w:val="111111"/>
          <w:sz w:val="28"/>
          <w:szCs w:val="28"/>
          <w:rtl w:val="true"/>
          <w:lang w:bidi="fa-IR"/>
        </w:rPr>
        <w:t>.</w:t>
      </w:r>
    </w:p>
    <w:p>
      <w:pPr>
        <w:pStyle w:val="Heading4"/>
        <w:numPr>
          <w:ilvl w:val="3"/>
          <w:numId w:val="1"/>
        </w:numPr>
        <w:rPr/>
      </w:pPr>
      <w:bookmarkStart w:id="509" w:name="__RefHeading___Toc110776_2749589250"/>
      <w:bookmarkStart w:id="510" w:name="_Toc190"/>
      <w:bookmarkEnd w:id="509"/>
      <w:r>
        <w:rPr>
          <w:rtl w:val="true"/>
        </w:rPr>
        <w:t>نظرة حول روایات البکاء</w:t>
      </w:r>
      <w:bookmarkEnd w:id="510"/>
    </w:p>
    <w:p>
      <w:pPr>
        <w:pStyle w:val="Heading5"/>
        <w:numPr>
          <w:ilvl w:val="4"/>
          <w:numId w:val="1"/>
        </w:numPr>
        <w:rPr/>
      </w:pPr>
      <w:bookmarkStart w:id="511" w:name="__RefHeading___Toc110778_2749589250"/>
      <w:bookmarkStart w:id="512" w:name="_Toc191"/>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ومن باب التیمّن والتبرّک نذکر بعض الروایات الواردة فی البکاء</w:t>
      </w:r>
      <w:r>
        <w:rPr>
          <w:rStyle w:val="FootnoteAnchor"/>
          <w:rtl w:val="true"/>
        </w:rPr>
        <w:footnoteReference w:id="266"/>
      </w:r>
      <w:r>
        <w:rPr>
          <w:rFonts w:ascii="IRNazanin" w:hAnsi="IRNazanin" w:eastAsia="IRNazanin"/>
          <w:color w:val="111111"/>
          <w:sz w:val="28"/>
          <w:sz w:val="28"/>
          <w:szCs w:val="28"/>
          <w:rtl w:val="true"/>
          <w:lang w:bidi="fa-IR"/>
        </w:rPr>
        <w:t>کنهایة للبحث فی هذه الجهة السادسة فی المقام الثانی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أنّ أبواب المزار التی تربو علی أربعین باباً، عقدها صاحب الوسائل فی زیارة الحسین علیه السلام، والبکاء علیه ورثائه وأنّها بشکل أو بآخر تتعرض للبکاء کذلک الأبواب العدیدة التی ذکرها المرحوم المجلسیّ فی تاریخ الحسین علیه السلام</w:t>
      </w:r>
      <w:r>
        <w:rPr>
          <w:rStyle w:val="FootnoteAnchor"/>
          <w:rtl w:val="true"/>
        </w:rPr>
        <w:footnoteReference w:id="267"/>
      </w:r>
      <w:r>
        <w:rPr>
          <w:rFonts w:ascii="IRNazanin" w:hAnsi="IRNazanin" w:eastAsia="IRNazanin"/>
          <w:color w:val="111111"/>
          <w:sz w:val="28"/>
          <w:sz w:val="28"/>
          <w:szCs w:val="28"/>
          <w:rtl w:val="true"/>
          <w:lang w:bidi="fa-IR"/>
        </w:rPr>
        <w:t>أو فی جزء کتاب المزار من البحار</w:t>
      </w:r>
      <w:r>
        <w:rPr>
          <w:rStyle w:val="FootnoteAnchor"/>
          <w:rtl w:val="true"/>
        </w:rPr>
        <w:footnoteReference w:id="268"/>
      </w:r>
      <w:r>
        <w:rPr>
          <w:rFonts w:ascii="IRNazanin" w:hAnsi="IRNazanin" w:eastAsia="IRNazanin"/>
          <w:color w:val="111111"/>
          <w:sz w:val="28"/>
          <w:sz w:val="28"/>
          <w:szCs w:val="28"/>
          <w:rtl w:val="true"/>
          <w:lang w:bidi="fa-IR"/>
        </w:rPr>
        <w:t>کلّها تشیر إلی جهة البکاء وسننتعرض لبعضها</w:t>
      </w:r>
      <w:r>
        <w:rPr>
          <w:rFonts w:eastAsia="IRNazanin" w:cs="IRNazanin"/>
          <w:color w:val="111111"/>
          <w:sz w:val="28"/>
          <w:szCs w:val="28"/>
          <w:rtl w:val="true"/>
          <w:lang w:bidi="fa-IR"/>
        </w:rPr>
        <w:t>.</w:t>
      </w:r>
    </w:p>
    <w:p>
      <w:pPr>
        <w:pStyle w:val="Heading5"/>
        <w:numPr>
          <w:ilvl w:val="4"/>
          <w:numId w:val="1"/>
        </w:numPr>
        <w:rPr/>
      </w:pPr>
      <w:bookmarkStart w:id="513" w:name="__RefHeading___Toc110780_2749589250"/>
      <w:bookmarkStart w:id="514" w:name="_Toc192"/>
      <w:bookmarkEnd w:id="513"/>
      <w:r>
        <w:rPr>
          <w:rtl w:val="true"/>
        </w:rPr>
        <w:t>الروایة الأولی</w:t>
      </w:r>
      <w:bookmarkEnd w:id="514"/>
    </w:p>
    <w:p>
      <w:pPr>
        <w:pStyle w:val="BookText"/>
        <w:rPr/>
      </w:pPr>
      <w:r>
        <w:rPr>
          <w:rFonts w:ascii="IRNazanin" w:hAnsi="IRNazanin" w:eastAsia="IRNazanin"/>
          <w:color w:val="111111"/>
          <w:sz w:val="28"/>
          <w:sz w:val="28"/>
          <w:szCs w:val="28"/>
          <w:rtl w:val="true"/>
          <w:lang w:bidi="fa-IR"/>
        </w:rPr>
        <w:t>الروایة الأولی</w:t>
      </w:r>
      <w:r>
        <w:rPr>
          <w:rStyle w:val="FootnoteAnchor"/>
          <w:rtl w:val="true"/>
        </w:rPr>
        <w:footnoteReference w:id="2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الثقاة الأجلاّء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بکر بن محمّد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لأنّه هو الذی یروی عنه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وأصحاب الإجماع فی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Style w:val="FootnoteAnchor"/>
          <w:rtl w:val="true"/>
        </w:rPr>
        <w:footnoteReference w:id="270"/>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ذُکِرنا عِندَه ففاضَت عیناه ولو مِثل جَناح الذُّبابة، غفر الله ذُنوبَه ولو کانت مِثلَ زَبَد البحر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صحیحة السند وذکرنا أنّه لا إیهام فی مضمون الروایة، وأنّ مؤدّاها لیس کمؤدّی صکوک الغفران النصرانیّة المسیحیّة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شئتَ إلی یوم القیامة 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ساءت عاقبتک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سیُغفر لک بقتل المسیح فإنّه قد تسبَّب بقتله تکفیر ذنوب أَتباعه وهذه عقیدة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بین المسلمین أنّ التوبة توجب محو الذنوب لکن من دون کَون التوبة تُغری للوقوع فی المعاصی ومن الأمور المسلّمة بین المسلمین أنّ التوبة بابها مفتوح حتّی تبلغ النفسُ التَّراقی من دون استلزامها للإغراء کما لا اغراء فی نصوص التوبة القرآنیّة والروائیّة لأنّها تنضّم إلی مفاد آخر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السُّوأَی أَنْ کَذَّبُوا بِآَیَاتِ اللَّهِ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الضمان أن یعیش أبد الدهر، أو یعیش أکثر عمره فی المعصیة والفجور والتجرّی علی الله سبحانه ثمّ یوفّق للتوبة، ولیس هناک من ضمان بأنّه سیتوب إذ قد یفاجأه الموت قبل التوبة</w:t>
      </w:r>
      <w:r>
        <w:rPr>
          <w:rFonts w:eastAsia="IRNazanin" w:cs="IRNazanin"/>
          <w:color w:val="111111"/>
          <w:sz w:val="28"/>
          <w:szCs w:val="28"/>
          <w:rtl w:val="true"/>
          <w:lang w:bidi="fa-IR"/>
        </w:rPr>
        <w:t>.</w:t>
      </w:r>
      <w:bookmarkStart w:id="515" w:name="pg2944_24643"/>
    </w:p>
    <w:p>
      <w:pPr>
        <w:pStyle w:val="BookText"/>
        <w:rPr/>
      </w:pPr>
      <w:bookmarkEnd w:id="515"/>
      <w:r>
        <w:rPr>
          <w:rFonts w:ascii="IRNazanin" w:hAnsi="IRNazanin" w:eastAsia="IRNazanin"/>
          <w:color w:val="111111"/>
          <w:sz w:val="28"/>
          <w:sz w:val="28"/>
          <w:szCs w:val="28"/>
          <w:rtl w:val="true"/>
          <w:lang w:bidi="fa-IR"/>
        </w:rPr>
        <w:t>أضف إلی ذلک لساناً أخراً من الآیات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لیست خطاباً فقط لمن لم یَتُب من الذین اجترحوا السیئات إذ أنّ اجتراح السیئة وإن کان یعقبه التوبة بعد ذلک، وکانت التوبة تمحو السیئات لکن لا یتساوی ذلک التائب مَحیاً ومماتاً وجزاءاً مع من کان طول عمره علی الطاعة، والآیة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تقید بأنّهم لم یتوبوا أن نجعلهم کالذین آمنوا لا یستوون وکذلک فی دعاء کمیل</w:t>
      </w:r>
      <w:r>
        <w:rPr>
          <w:rStyle w:val="FootnoteAnchor"/>
          <w:rtl w:val="true"/>
        </w:rPr>
        <w:footnoteReference w:id="274"/>
      </w:r>
      <w:r>
        <w:rPr>
          <w:rFonts w:ascii="IRNazanin" w:hAnsi="IRNazanin" w:eastAsia="IRNazanin"/>
          <w:color w:val="111111"/>
          <w:sz w:val="28"/>
          <w:sz w:val="28"/>
          <w:szCs w:val="28"/>
          <w:rtl w:val="true"/>
          <w:lang w:bidi="fa-IR"/>
        </w:rPr>
        <w:t>مثیل لمضمون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التوبة مفتوح حتّی آخر لحظة من لحظات العمر لکن لیس فی التوبة إغراء علی المعصیة لأنّه لابدّ من جمع ألسنة الشرع وتعالیم الشرع حتّی یتعرّف الإنسان علی مراد ومغزی الشارع إذن هذه الروایة تامّة الدلالة صحیحة وعالیة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المضمون هو أنّ الانجذاب لهم علیهم السلام هو ابتعاد عن الرذائل وعن حضیض الدَرکات والمُهلکات والعلو بالنفس إلی أوج الفضائل وذروة المکارم، ومن ثمّ تُغفر ذنوب المنجذب ولو کانت مثل زبد البحر</w:t>
      </w:r>
      <w:r>
        <w:rPr>
          <w:rFonts w:eastAsia="IRNazanin" w:cs="IRNazanin"/>
          <w:color w:val="111111"/>
          <w:sz w:val="28"/>
          <w:szCs w:val="28"/>
          <w:rtl w:val="true"/>
          <w:lang w:bidi="fa-IR"/>
        </w:rPr>
        <w:t>.</w:t>
      </w:r>
    </w:p>
    <w:p>
      <w:pPr>
        <w:pStyle w:val="Heading5"/>
        <w:numPr>
          <w:ilvl w:val="4"/>
          <w:numId w:val="1"/>
        </w:numPr>
        <w:rPr/>
      </w:pPr>
      <w:bookmarkStart w:id="516" w:name="__RefHeading___Toc110782_2749589250"/>
      <w:bookmarkStart w:id="517" w:name="_Toc193"/>
      <w:bookmarkEnd w:id="516"/>
      <w:r>
        <w:rPr>
          <w:rtl w:val="true"/>
        </w:rPr>
        <w:t>الروایة الثانیة</w:t>
      </w:r>
      <w:bookmarkEnd w:id="51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المعروف فی الطائفة، صاحب قرب الإسناد، وکانت حیاته فی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الجلیل، من عمدة الطائفة الذی تشرّف برؤیة الحجّة عجّل الله تعالی فرجه الشریف،</w:t>
      </w:r>
      <w:bookmarkStart w:id="518" w:name="pg2944_24644"/>
    </w:p>
    <w:p>
      <w:pPr>
        <w:pStyle w:val="BookText"/>
        <w:rPr/>
      </w:pPr>
      <w:bookmarkEnd w:id="518"/>
      <w:r>
        <w:rPr>
          <w:rFonts w:ascii="IRNazanin" w:hAnsi="IRNazanin" w:eastAsia="IRNazanin"/>
          <w:color w:val="111111"/>
          <w:sz w:val="28"/>
          <w:sz w:val="28"/>
          <w:szCs w:val="28"/>
          <w:rtl w:val="true"/>
          <w:lang w:bidi="fa-IR"/>
        </w:rPr>
        <w:t>وهو ممن أبلغ الشیعة بنیابة النائب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بکر بن محمّد الأزدی الذی مرّ سابقاً ویروی عنه أحمد بن إسحاق لأنه عمَّر طویلاً کما ذکر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وتتحدّثون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تلک المجالس أُحبّها فأَحْیُوا أمرَنا رَحِمَ الله مَن أحیا أمرنا یا فُضیل مَن ذَکَرَنا أو ذُکِرنا عنده، ففاضت عیناه ولو بمثل جناحِ الذباب، غفر الله ذنوبَه ولو کانت مثل زَبَد البحر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ومضمون هذه الروایة عین مضمون الروایة الأولی وللروایة طریقان ولها تتمّة زیادةً عن روایة محاسن البرقیّ، ولها طریق ثالث أیضاً صحیح السند، بنقل الصدوق عن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الصدوق، ومن عظماء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عن بکر بن محمّد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التی وردت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جناح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مرویة بثلاثة طرق من أعالی الإسناد</w:t>
      </w:r>
      <w:r>
        <w:rPr>
          <w:rFonts w:eastAsia="IRNazanin" w:cs="IRNazanin"/>
          <w:color w:val="111111"/>
          <w:sz w:val="28"/>
          <w:szCs w:val="28"/>
          <w:rtl w:val="true"/>
          <w:lang w:bidi="fa-IR"/>
        </w:rPr>
        <w:t>.</w:t>
      </w:r>
    </w:p>
    <w:p>
      <w:pPr>
        <w:pStyle w:val="Heading5"/>
        <w:numPr>
          <w:ilvl w:val="4"/>
          <w:numId w:val="1"/>
        </w:numPr>
        <w:rPr/>
      </w:pPr>
      <w:bookmarkStart w:id="519" w:name="__RefHeading___Toc110784_2749589250"/>
      <w:bookmarkStart w:id="520" w:name="_Toc194"/>
      <w:bookmarkEnd w:id="519"/>
      <w:r>
        <w:rPr>
          <w:rtl w:val="true"/>
        </w:rPr>
        <w:t>الروایة الثالثة</w:t>
      </w:r>
      <w:bookmarkEnd w:id="520"/>
    </w:p>
    <w:p>
      <w:pPr>
        <w:pStyle w:val="BookText"/>
        <w:rPr/>
      </w:pPr>
      <w:r>
        <w:rPr>
          <w:rFonts w:ascii="IRNazanin" w:hAnsi="IRNazanin" w:eastAsia="IRNazanin"/>
          <w:color w:val="111111"/>
          <w:sz w:val="28"/>
          <w:sz w:val="28"/>
          <w:szCs w:val="28"/>
          <w:rtl w:val="true"/>
          <w:lang w:bidi="fa-IR"/>
        </w:rPr>
        <w:t>روایة صحیحة السند، ولها ثلاثة طرق أیضاً أحسن طرقها، الطریق الذی یرویه علیّ بن إبراهیم فی تفسیره، عن أبیه إبراهیم ابن هاشم، عن الحسن بن محبوب عن العلاء بن رزین، عن محمد بن مسلم</w:t>
      </w:r>
      <w:r>
        <w:rPr>
          <w:rStyle w:val="FootnoteAnchor"/>
          <w:rtl w:val="true"/>
        </w:rPr>
        <w:footnoteReference w:id="276"/>
      </w:r>
      <w:r>
        <w:rPr>
          <w:rFonts w:ascii="IRNazanin" w:hAnsi="IRNazanin" w:eastAsia="IRNazanin"/>
          <w:color w:val="111111"/>
          <w:sz w:val="28"/>
          <w:sz w:val="28"/>
          <w:szCs w:val="28"/>
          <w:rtl w:val="true"/>
          <w:lang w:bidi="fa-IR"/>
        </w:rPr>
        <w:t>، عن أبی جعفر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طریق لابن قولویه أیضاً</w:t>
      </w:r>
      <w:r>
        <w:rPr>
          <w:rFonts w:eastAsia="IRNazanin" w:cs="IRNazanin"/>
          <w:color w:val="111111"/>
          <w:sz w:val="28"/>
          <w:szCs w:val="28"/>
          <w:rtl w:val="true"/>
          <w:lang w:bidi="fa-IR"/>
        </w:rPr>
        <w:t>.</w:t>
      </w:r>
      <w:bookmarkStart w:id="521" w:name="pg2944_24645"/>
    </w:p>
    <w:p>
      <w:pPr>
        <w:pStyle w:val="BookText"/>
        <w:rPr/>
      </w:pPr>
      <w:bookmarkEnd w:id="521"/>
      <w:r>
        <w:rPr>
          <w:rFonts w:ascii="IRNazanin" w:hAnsi="IRNazanin" w:eastAsia="IRNazanin"/>
          <w:color w:val="111111"/>
          <w:sz w:val="28"/>
          <w:sz w:val="28"/>
          <w:szCs w:val="28"/>
          <w:rtl w:val="true"/>
          <w:lang w:bidi="fa-IR"/>
        </w:rPr>
        <w:t>وعلی کلّ حال یکفینا طریق علیّ بن إبراهیم، وهو صحیح،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علیه السلام حتّی تسیل علی خدَّیه، بوّأه الله غُرَفاً یسکن فیها أحقاباً، وأیّما مؤمنٍ دمعت عیناه حتّی تسیل علی خدّه فیما مسّنا من الأذی مِن عدوّنا</w:t>
      </w:r>
      <w:r>
        <w:rPr>
          <w:rStyle w:val="FootnoteAnchor"/>
          <w:rtl w:val="true"/>
        </w:rPr>
        <w:footnoteReference w:id="277"/>
      </w:r>
      <w:r>
        <w:rPr>
          <w:rFonts w:ascii="Amiri" w:hAnsi="Amiri" w:eastAsia="Amiri" w:cs="Amiri"/>
          <w:color w:val="111111"/>
          <w:sz w:val="28"/>
          <w:sz w:val="28"/>
          <w:szCs w:val="28"/>
          <w:rtl w:val="true"/>
          <w:lang w:bidi="ar-SA"/>
        </w:rPr>
        <w:t>بوّأه الله مُبَوّأَ صِدقٍ، وأیّما مؤمنٍ مسّه أذیً فینا فدمعت عیناه حتّی تسیل علی خدِّه فیما أُوذی فینا، صَرَف الله عنه وجهَ الأذی، وآمَنه یومَ القیامةِ من سخطه والنار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10786_2749589250"/>
      <w:bookmarkStart w:id="523" w:name="_Toc195"/>
      <w:bookmarkEnd w:id="522"/>
      <w:r>
        <w:rPr>
          <w:rtl w:val="true"/>
        </w:rPr>
        <w:t>الروایة الرابعة</w:t>
      </w:r>
      <w:bookmarkEnd w:id="523"/>
    </w:p>
    <w:p>
      <w:pPr>
        <w:pStyle w:val="BookText"/>
        <w:rPr/>
      </w:pPr>
      <w:r>
        <w:rPr>
          <w:rFonts w:ascii="IRNazanin" w:hAnsi="IRNazanin" w:eastAsia="IRNazanin"/>
          <w:color w:val="111111"/>
          <w:sz w:val="28"/>
          <w:sz w:val="28"/>
          <w:szCs w:val="28"/>
          <w:rtl w:val="true"/>
          <w:lang w:bidi="fa-IR"/>
        </w:rPr>
        <w:t>دأب صاحب الوسائل أن یتعرّض فی أوائل کلّ باب للطرق، والروایات الصحیحة الإسناد، ثمّ للموثقة، ثمّ الضّعاف، ثمّ لروایات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من الروایات المعروفة المشهورة، وسندها معتبر، وهو کما یلی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عن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وثّقه غیر واحد من متأخّری الرجالیّین، ومن الأجلاء، وکان له نسبة مع البرقیّ، ومن رواة ومحدّثی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صاحب التفسیر المشهور، عن أبیه إبراهیم</w:t>
      </w:r>
      <w:r>
        <w:rPr>
          <w:rStyle w:val="FootnoteAnchor"/>
          <w:rtl w:val="true"/>
        </w:rPr>
        <w:footnoteReference w:id="279"/>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الریّان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فالروایة صحیحة السند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شَبیب، إن کنتَ باکیاً لشی‌ءٍ فَابْکِ للحسین بن علیّ علیه السلام، فإنّه ذُبح کما یُذبح الکَبش، وقُتِل معه من أهلِ بیته ثمانیةُ عشر رجلاً، ما لهم فی الأرض شَبیهٌ ولقد بکت السماواتُ السبع والأرَضُونَ لقتله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روایات عدیدة بهذا المضمون، أنّ سائر المخلوقات، من السماوات والأرضین والجبال والکائنات بکت الحسین علیه السلام، وبکاء السماء والأرض والحجر والمدر مرویّ بما یزید علی عشر طرق فی کتاب تاریخ دمشق للحاکم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وطُرق أخری عامّیّة، فضلاً عن الطرق الخاصّة وفضلاً عمّا نستفیده من الآیة الشریفة فی سورة الدخان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یوجد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أکلت السماء أو ما نامت السماء الفعل إذا نُفی عن شی‌ء دلّ علی أنّه من شأنه أن یفعل ذلک، فالآیة لا تنفی الشأنیّة بل هی تثبت الشأنیّة وتنفی وقوع الفعل فالسماء من شأنها البکاء، وقد بکت مع بقیة المخلوقات علی سیّد الشهداء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بکت السماوات السبع والأرضون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شبیب إن بکیتَ علی الحسین علیه السلام حتّی تسیل دموعک علی خدّیک غَفر الله لکَ کلَّ ذنبٍ أذنبتَه، صغیراً کان أو کبیراً، قلیلاً کان أو کثیراً، یا بنَ شبیب، إن سرَّکَ أن تلقی الله عزَّ وجلّ ولاذنبَ علیک</w:t>
      </w:r>
    </w:p>
    <w:p>
      <w:pPr>
        <w:pStyle w:val="BookText"/>
        <w:rPr/>
      </w:pPr>
      <w:r>
        <w:rPr>
          <w:rFonts w:ascii="IRNazanin" w:hAnsi="IRNazanin" w:eastAsia="IRNazanin"/>
          <w:color w:val="111111"/>
          <w:sz w:val="28"/>
          <w:sz w:val="28"/>
          <w:szCs w:val="28"/>
          <w:rtl w:val="true"/>
          <w:lang w:bidi="fa-IR"/>
        </w:rPr>
        <w:t>فزُر الحسین علیه السلام، یا بنَ شبیب إن سرّک أن تسکن الغرف المبنیّة بالجنة مع النبیّ وآله صلی الله علیه وآله وسلم، فالْعَنْ</w:t>
      </w:r>
      <w:r>
        <w:rPr>
          <w:rStyle w:val="FootnoteAnchor"/>
          <w:rtl w:val="true"/>
        </w:rPr>
        <w:footnoteReference w:id="282"/>
      </w:r>
      <w:r>
        <w:rPr>
          <w:rFonts w:ascii="IRNazanin" w:hAnsi="IRNazanin" w:eastAsia="IRNazanin"/>
          <w:color w:val="111111"/>
          <w:sz w:val="28"/>
          <w:sz w:val="28"/>
          <w:szCs w:val="28"/>
          <w:rtl w:val="true"/>
          <w:lang w:bidi="fa-IR"/>
        </w:rPr>
        <w:t>قتلة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 إن سرّک أن یکون لک من الثواب مثلُ ما لمن استشهد مع الحسین علیه السلام، فقل متی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Style w:val="FootnoteAnchor"/>
          <w:rtl w:val="true"/>
        </w:rPr>
        <w:footnoteReference w:id="283"/>
      </w:r>
      <w:r>
        <w:rPr>
          <w:rFonts w:ascii="IRNazanin" w:hAnsi="IRNazanin" w:eastAsia="IRNazanin"/>
          <w:color w:val="111111"/>
          <w:sz w:val="28"/>
          <w:sz w:val="28"/>
          <w:szCs w:val="28"/>
          <w:rtl w:val="true"/>
          <w:lang w:bidi="fa-IR"/>
        </w:rPr>
        <w:t>یا بن شبیب إن سرّک أن تکون معنا فی الدرجات العُلی من الجنان، فاحزن لحُزننا، وافرح لفرحنا، وعلیک بولایتنا، فلو أنّ رجلاً أحبّ حجراً لحشره الله معه یوم القیامة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الروایات ذکرناها للقارئ الکریم من باب التیمّن والتبرّک، والتی تدلّ علی فضیلة واستحباب البکاء علی سید الشّهداء علیه السلام</w:t>
      </w:r>
      <w:r>
        <w:rPr>
          <w:rFonts w:eastAsia="IRNazanin" w:cs="IRNazanin"/>
          <w:color w:val="111111"/>
          <w:sz w:val="28"/>
          <w:szCs w:val="28"/>
          <w:rtl w:val="true"/>
          <w:lang w:bidi="fa-IR"/>
        </w:rPr>
        <w:t>.</w:t>
      </w:r>
      <w:bookmarkStart w:id="524" w:name="pg2944_24649"/>
    </w:p>
    <w:p>
      <w:pPr>
        <w:pStyle w:val="Heading3"/>
        <w:numPr>
          <w:ilvl w:val="2"/>
          <w:numId w:val="1"/>
        </w:numPr>
        <w:rPr/>
      </w:pPr>
      <w:bookmarkStart w:id="525" w:name="__RefHeading___Toc110788_2749589250"/>
      <w:bookmarkStart w:id="526" w:name="_Toc196"/>
      <w:bookmarkEnd w:id="524"/>
      <w:bookmarkEnd w:id="525"/>
      <w:r>
        <w:rPr>
          <w:rtl w:val="true"/>
        </w:rPr>
        <w:t>الجهة السادسة</w:t>
      </w:r>
      <w:r>
        <w:rPr>
          <w:rtl w:val="true"/>
        </w:rPr>
        <w:t xml:space="preserve">: </w:t>
      </w:r>
      <w:r>
        <w:rPr>
          <w:rtl w:val="true"/>
        </w:rPr>
        <w:t>الشعائر الحسینیّة والضرر</w:t>
      </w:r>
      <w:bookmarkEnd w:id="52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110790_2749589250"/>
      <w:bookmarkStart w:id="528" w:name="_Toc197"/>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البحث فی الجهة السادسة فی الشعائر الحسینیّة، وهی مثار جدل ونقض وإبرام فی السطح العامّ دون الخاصّ وهو بحث الضرر الذی یحصل بسبب الشعائر الحسینیّة وأبرز ذلک فی أقسام العزاء اللطم، اللّدم بشدة، والبکاء والصیاح حتّی الإغماء، والضرب بالسلاسل، والتطبیر وإلی غیر ذلک من الأقسام، والجامع فیها هو الضرر الحاصل من جرّاء إقامة العزاء</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والسیّد الخوئی وتلامیذه أیضاً ذهبوا علی منواله وقد أشار المیرزا النائینیّ إلی نکات، ولعلّ کلامنا یکون کالتحلیل لمبانی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لدینا شی‌ء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یُذکر فی فهرسة وتبویب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فتوی المحقّق النائینیّ قدس سره وتعلیقة العلماء علیها حول الشعائر الحسینیّة، فی الملحق المرفق آخر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فالفهرسة لبحث الضرر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هو مانع وعائق عن الشعائر الحسینیّة أم لا؟ ویمکن ذکر عدم ممانعته ومعارضته لأقسام العزاء الحسینیّ بثلاثة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بحث مطرّد فی مطلق الضرر، ولیس فی خصوص الشعائر الحسینیّة</w:t>
      </w:r>
      <w:r>
        <w:rPr>
          <w:rFonts w:eastAsia="IRNazanin" w:cs="IRNazanin"/>
          <w:color w:val="111111"/>
          <w:sz w:val="28"/>
          <w:szCs w:val="28"/>
          <w:rtl w:val="true"/>
          <w:lang w:bidi="fa-IR"/>
        </w:rPr>
        <w:t>).</w:t>
      </w:r>
      <w:bookmarkStart w:id="529" w:name="pg2944_24652"/>
    </w:p>
    <w:p>
      <w:pPr>
        <w:pStyle w:val="Heading4"/>
        <w:numPr>
          <w:ilvl w:val="3"/>
          <w:numId w:val="1"/>
        </w:numPr>
        <w:rPr/>
      </w:pPr>
      <w:bookmarkStart w:id="530" w:name="__RefHeading___Toc110792_2749589250"/>
      <w:bookmarkStart w:id="531" w:name="_Toc198"/>
      <w:bookmarkEnd w:id="529"/>
      <w:bookmarkEnd w:id="530"/>
      <w:r>
        <w:rPr>
          <w:rtl w:val="true"/>
        </w:rPr>
        <w:t>الوجه الأوّل</w:t>
      </w:r>
      <w:bookmarkEnd w:id="531"/>
    </w:p>
    <w:p>
      <w:pPr>
        <w:pStyle w:val="BookText"/>
        <w:rPr/>
      </w:pPr>
      <w:r>
        <w:rPr>
          <w:rFonts w:ascii="Amiri" w:hAnsi="Amiri" w:eastAsia="Amiri" w:cs="Amiri"/>
          <w:color w:val="111111"/>
          <w:sz w:val="28"/>
          <w:sz w:val="28"/>
          <w:szCs w:val="28"/>
          <w:rtl w:val="true"/>
          <w:lang w:bidi="ar-SA"/>
        </w:rPr>
        <w:t xml:space="preserve">قصور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عموم حرمة الضرر والإضرار عن تناول إیقاع النفس فی معرض الخطر فی الموارد التی هی مُمضاة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لم تُبحث بشکل مفصّل فی أبواب الفقه ولکن لا بأس من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عموم حرمة الإلقاء فی التهلکة أو الإضرار لا یشمل موارد إلقاء الإنسان نفسه فی معرض قد یؤدّی به إلی تلف عضو، أو قد یؤدّی به إلی الهلکة لکن فی سبیل فضیلة دینیّة، أو من أجل السلوکیّة المُمضاة من قِبل الشارع وعدم الشمول إمّا قصوراً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مخصَّص بهذا المورد هذا ملخّص الوجه الأول</w:t>
      </w:r>
      <w:r>
        <w:rPr>
          <w:rFonts w:eastAsia="IRNazanin" w:cs="IRNazanin"/>
          <w:color w:val="111111"/>
          <w:sz w:val="28"/>
          <w:szCs w:val="28"/>
          <w:rtl w:val="true"/>
          <w:lang w:bidi="fa-IR"/>
        </w:rPr>
        <w:t>.</w:t>
      </w:r>
    </w:p>
    <w:p>
      <w:pPr>
        <w:pStyle w:val="Heading4"/>
        <w:numPr>
          <w:ilvl w:val="3"/>
          <w:numId w:val="1"/>
        </w:numPr>
        <w:rPr/>
      </w:pPr>
      <w:bookmarkStart w:id="532" w:name="__RefHeading___Toc110794_2749589250"/>
      <w:bookmarkStart w:id="533" w:name="_Toc199"/>
      <w:bookmarkEnd w:id="532"/>
      <w:r>
        <w:rPr>
          <w:rtl w:val="true"/>
        </w:rPr>
        <w:t>الوجه الثانی</w:t>
      </w:r>
      <w:bookmarkEnd w:id="533"/>
    </w:p>
    <w:p>
      <w:pPr>
        <w:pStyle w:val="BookText"/>
        <w:rPr/>
      </w:pPr>
      <w:r>
        <w:rPr>
          <w:rFonts w:ascii="IRNazanin" w:hAnsi="IRNazanin" w:eastAsia="IRNazanin"/>
          <w:color w:val="111111"/>
          <w:sz w:val="28"/>
          <w:sz w:val="28"/>
          <w:szCs w:val="28"/>
          <w:rtl w:val="true"/>
          <w:lang w:bidi="fa-IR"/>
        </w:rPr>
        <w:t xml:space="preserve">عدم إزالة الضرر الشخصیّ لأحکام الشعائر الحسینیّة، وهو ما ذکرناه فی الفصل الأوّل فی الجهات العامّة فی بحث عموم الشعائر الدینیّة من أنّ مبنی مشهور الفقهاء والعلماء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الأدلّة الأوّلیّة وهی لبّاً من باب التزاحم لا من باب التخصیص</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 الفقهاء علی أن لیس أیّ درجة من الضرر أو الحرج أو بقیة العناوین الثانویّة تُزیل کلّ حکم من الأحکام الشرعیّة الأوّلیّة وإن بلَغت أهمیّة الحکم إلی درجة قصوی لیس الحال کذلک مثلاً الحرج والضرر الذی یُزیل وجوب</w:t>
      </w:r>
    </w:p>
    <w:p>
      <w:pPr>
        <w:pStyle w:val="BookText"/>
        <w:rPr/>
      </w:pPr>
      <w:r>
        <w:rPr>
          <w:rFonts w:ascii="IRNazanin" w:hAnsi="IRNazanin" w:eastAsia="IRNazanin"/>
          <w:color w:val="111111"/>
          <w:sz w:val="28"/>
          <w:sz w:val="28"/>
          <w:szCs w:val="28"/>
          <w:rtl w:val="true"/>
          <w:lang w:bidi="fa-IR"/>
        </w:rPr>
        <w:t>الوضوء هو غیر الحرج والضرر الذی یزیل حرمة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مستویات ودرجات الضرر أو الحرج الرافع للأحکام الأوّلیّة هو من متفرّعات مبنی مشهور الفقهاء والأُصولیّین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سواء بنینا علی مبنی 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المبنی غیر المشهور</w:t>
      </w:r>
      <w:r>
        <w:rPr>
          <w:rStyle w:val="FootnoteAnchor"/>
          <w:rtl w:val="true"/>
        </w:rPr>
        <w:footnoteReference w:id="288"/>
      </w:r>
      <w:r>
        <w:rPr>
          <w:rFonts w:ascii="IRNazanin" w:hAnsi="IRNazanin" w:eastAsia="IRNazanin"/>
          <w:color w:val="111111"/>
          <w:sz w:val="28"/>
          <w:sz w:val="28"/>
          <w:szCs w:val="28"/>
          <w:rtl w:val="true"/>
          <w:lang w:bidi="fa-IR"/>
        </w:rPr>
        <w:t>علی کلا التقدیرَین یمکن أن نستدلّ علی أنّ الشعائر الحسینیّة من حیث الأهمیّة فی أقسامها تفوق أهمیّة دفع الضرر بشواهد مسندة روائیّة وغیرها، بل عند بعضهم أن الضرر وإن بلغ درجة التلف العضویّ أو تلف النفس، فهو لا یغیّر حکم الشعائر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ذلک أنّ الضرر الذی یرفع أهمیّة الشعائر الحسینیّة لیس هو الضرر الیسیر أو المتوسط وذهب بعض الأعلام إلی أنّ الضرر لو کان علی المذهب فله صلاحیّة أن یزیل رسماً أو قسماً أو لوناً أو طریقة من رسوم أو أقسام أو ألوان أو طرق الشعائر الحسینیة أما الضرر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بلغ لحدّ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بمزیل للشعائر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الوجه الثانی فلابدّ من تناسب الضرر مع حجم أهمیّة الشعائر الحسینیّة لیمکنه أن یزیلها وإلاّ فإنّ الضرر الشخصیّ علی اختلاف درجاته لیس بمزیل ولا مؤثّر علی الشعائر الحسینیّة هذا الوجه الثانی</w:t>
      </w:r>
      <w:r>
        <w:rPr>
          <w:rFonts w:eastAsia="IRNazanin" w:cs="IRNazanin"/>
          <w:color w:val="111111"/>
          <w:sz w:val="28"/>
          <w:szCs w:val="28"/>
          <w:rtl w:val="true"/>
          <w:lang w:bidi="fa-IR"/>
        </w:rPr>
        <w:t>.</w:t>
      </w:r>
      <w:bookmarkStart w:id="534" w:name="pg2944_24654"/>
    </w:p>
    <w:p>
      <w:pPr>
        <w:pStyle w:val="Heading4"/>
        <w:numPr>
          <w:ilvl w:val="3"/>
          <w:numId w:val="1"/>
        </w:numPr>
        <w:rPr/>
      </w:pPr>
      <w:bookmarkStart w:id="535" w:name="__RefHeading___Toc110796_2749589250"/>
      <w:bookmarkStart w:id="536" w:name="_Toc200"/>
      <w:bookmarkEnd w:id="534"/>
      <w:bookmarkEnd w:id="535"/>
      <w:r>
        <w:rPr>
          <w:rtl w:val="true"/>
        </w:rPr>
        <w:t>الوجه الثالث</w:t>
      </w:r>
      <w:bookmarkEnd w:id="536"/>
    </w:p>
    <w:p>
      <w:pPr>
        <w:pStyle w:val="BookText"/>
        <w:rPr/>
      </w:pPr>
      <w:r>
        <w:rPr>
          <w:rFonts w:ascii="IRNazanin" w:hAnsi="IRNazanin" w:eastAsia="IRNazanin"/>
          <w:color w:val="111111"/>
          <w:sz w:val="28"/>
          <w:sz w:val="28"/>
          <w:szCs w:val="28"/>
          <w:rtl w:val="true"/>
          <w:lang w:bidi="fa-IR"/>
        </w:rPr>
        <w:t>دعوی انتفاء الضرر موضوعاً، فلا رافع لحکم الشعائر التی تعنون فی الأقسام المختلفة المرسومة قدیماً وحدیثاً ولا تجری فیها قاعدة الضرر لانتفاء الموضوع من الأساس، لأنّ الضرر بحسب التحلیل الشرعی لا یتناول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الدرجات من النقص کما لا یسبّب شیئاً من النقص علی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یختلف عن الوجهَین السابقَین فدلیل الضرر من رأس لا یتناول الشعائر الحسینیّة من البدایة نظیر موارد عدیدة، مثل عملیّة جراحیّة یُجریها الإنسان لغرض معین فلا یُقال أنّ شقّ البطن مثلاً نوع من الضرر الوارد المحرّم بل هو نوع من المعالجة ومثلاً الحجامة فی الرأس، أو فی البدن تعتبر نوع من المعالجة فدعوی الضرر من الأصل 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الوجه الثانی والثالث أفاض فیه الکثیر من العلماء ومع ذلک سنوضّحه إجمالاً</w:t>
      </w:r>
      <w:r>
        <w:rPr>
          <w:rFonts w:eastAsia="IRNazanin" w:cs="IRNazanin"/>
          <w:color w:val="111111"/>
          <w:sz w:val="28"/>
          <w:szCs w:val="28"/>
          <w:rtl w:val="true"/>
          <w:lang w:bidi="fa-IR"/>
        </w:rPr>
        <w:t>.</w:t>
      </w:r>
    </w:p>
    <w:p>
      <w:pPr>
        <w:pStyle w:val="Heading4"/>
        <w:numPr>
          <w:ilvl w:val="3"/>
          <w:numId w:val="1"/>
        </w:numPr>
        <w:rPr/>
      </w:pPr>
      <w:bookmarkStart w:id="537" w:name="__RefHeading___Toc110798_2749589250"/>
      <w:bookmarkStart w:id="538" w:name="_Toc201"/>
      <w:bookmarkEnd w:id="537"/>
      <w:r>
        <w:rPr>
          <w:rtl w:val="true"/>
        </w:rPr>
        <w:t>تفصیل الوجه الأوّل</w:t>
      </w:r>
      <w:bookmarkEnd w:id="538"/>
    </w:p>
    <w:p>
      <w:pPr>
        <w:pStyle w:val="Heading5"/>
        <w:numPr>
          <w:ilvl w:val="4"/>
          <w:numId w:val="1"/>
        </w:numPr>
        <w:rPr/>
      </w:pPr>
      <w:bookmarkStart w:id="539" w:name="__RefHeading___Toc110800_2749589250"/>
      <w:bookmarkStart w:id="540" w:name="_Toc202"/>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والأهمّ فی بیان عدم ممانعة ومعارضة الضرر للشعائر الحسینیّة هو الوجه الأوّل، لأنّه ینطوی علی بیان قاعدة فقهیّة مرتکزة لدی علمائنا فی الأبواب المختلفة إلا أنّها لم تعنون کقاعدة بإطار مستقل، وهی</w:t>
      </w:r>
      <w:r>
        <w:rPr>
          <w:rFonts w:eastAsia="IRNazanin" w:cs="IRNazanin"/>
          <w:color w:val="111111"/>
          <w:sz w:val="28"/>
          <w:szCs w:val="28"/>
          <w:rtl w:val="true"/>
          <w:lang w:bidi="fa-IR"/>
        </w:rPr>
        <w:t>:</w:t>
      </w:r>
    </w:p>
    <w:p>
      <w:pPr>
        <w:pStyle w:val="Heading5"/>
        <w:numPr>
          <w:ilvl w:val="4"/>
          <w:numId w:val="1"/>
        </w:numPr>
        <w:rPr/>
      </w:pPr>
      <w:bookmarkStart w:id="541" w:name="__RefHeading___Toc110802_2749589250"/>
      <w:bookmarkStart w:id="542" w:name="_Toc203"/>
      <w:bookmarkEnd w:id="541"/>
      <w:r>
        <w:rPr>
          <w:rtl w:val="true"/>
        </w:rPr>
        <w:t>قاعدة معرضیّة الهلکة فی سبیل الفضیلة</w:t>
      </w:r>
      <w:bookmarkEnd w:id="542"/>
    </w:p>
    <w:p>
      <w:pPr>
        <w:pStyle w:val="Heading6"/>
        <w:numPr>
          <w:ilvl w:val="5"/>
          <w:numId w:val="1"/>
        </w:numPr>
        <w:rPr/>
      </w:pPr>
      <w:bookmarkStart w:id="543" w:name="__RefHeading___Toc110804_2749589250"/>
      <w:bookmarkStart w:id="544" w:name="_Toc204"/>
      <w:bookmarkEnd w:id="543"/>
      <w:r>
        <w:rPr>
          <w:rtl w:val="true"/>
        </w:rPr>
        <w:t>اشارة</w:t>
      </w:r>
      <w:bookmarkEnd w:id="54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نرید دفع ممانعته للشعائر الحسینیة هو الضرر البالغ إلی إزهاق النفس وجعل النفس فی معرض الهلکة والتلف، إذا کان فی سبیل فضیلة من الفضائل الدینیة، فالإقدام علی ذلک الفعل الذی یعرّض النفس لتلف عضوٍ، أو تلفها هی، وإقحام النفس فی ذلک الفعل، لیس مشمولاً لعموم حرمة قتل النفس، أو إلقاء النفس فی التهلکة، ولا مشمولاً لعموم حرمة الضرر أیضاً</w:t>
      </w:r>
      <w:r>
        <w:rPr>
          <w:rFonts w:eastAsia="IRNazanin" w:cs="IRNazanin"/>
          <w:color w:val="111111"/>
          <w:sz w:val="28"/>
          <w:szCs w:val="28"/>
          <w:rtl w:val="true"/>
          <w:lang w:bidi="fa-IR"/>
        </w:rPr>
        <w:t>.</w:t>
      </w:r>
      <w:bookmarkStart w:id="545" w:name="pg2944_24655"/>
    </w:p>
    <w:p>
      <w:pPr>
        <w:pStyle w:val="BookText"/>
        <w:rPr/>
      </w:pPr>
      <w:bookmarkEnd w:id="545"/>
      <w:r>
        <w:rPr>
          <w:rFonts w:ascii="IRNazanin" w:hAnsi="IRNazanin" w:eastAsia="IRNazanin"/>
          <w:color w:val="111111"/>
          <w:sz w:val="28"/>
          <w:sz w:val="28"/>
          <w:szCs w:val="28"/>
          <w:rtl w:val="true"/>
          <w:lang w:bidi="fa-IR"/>
        </w:rPr>
        <w:t xml:space="preserve">ولابدّ من توضیح صورة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نقیم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القاعدة هو أن یُقدِم الإنسان علی فعل فیه معرضیّة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حتمیّة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عضو، أو تلف النفس، وکان ذلک الفعل ذاته لا ینفکّ عن الإیصال إلی فضیلة دینیّة أو عقلیّة راجحة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الوقوع فی ذلک الفعل وإن أدی إلی تلف عضو أو تلف النفس، لیس مشمولاً لعموم حرمة إقدام النفس علی الضرر، بل هو مشمول لمدیح تلک الفضیلة الشرعیّة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الدعوی فی مفاد القاعدة ولنذکر بعض کلمات الفقهاء فی مسائل مشابهة کی یندفع استغراب ذلک وهو بالأحری استدلالٌ علی القاعدة</w:t>
      </w:r>
      <w:r>
        <w:rPr>
          <w:rFonts w:eastAsia="IRNazanin" w:cs="IRNazanin"/>
          <w:color w:val="111111"/>
          <w:sz w:val="28"/>
          <w:szCs w:val="28"/>
          <w:rtl w:val="true"/>
          <w:lang w:bidi="fa-IR"/>
        </w:rPr>
        <w:t>:</w:t>
      </w:r>
    </w:p>
    <w:p>
      <w:pPr>
        <w:pStyle w:val="Heading6"/>
        <w:numPr>
          <w:ilvl w:val="5"/>
          <w:numId w:val="1"/>
        </w:numPr>
        <w:rPr/>
      </w:pPr>
      <w:bookmarkStart w:id="546" w:name="__RefHeading___Toc110806_2749589250"/>
      <w:bookmarkStart w:id="547" w:name="_Toc205"/>
      <w:bookmarkEnd w:id="546"/>
      <w:r>
        <w:rPr>
          <w:rtl w:val="true"/>
        </w:rPr>
        <w:t>الشاهد الأول</w:t>
      </w:r>
      <w:bookmarkEnd w:id="547"/>
    </w:p>
    <w:p>
      <w:pPr>
        <w:pStyle w:val="BookText"/>
        <w:rPr/>
      </w:pPr>
      <w:r>
        <w:rPr>
          <w:rFonts w:ascii="IRNazanin" w:hAnsi="IRNazanin" w:eastAsia="IRNazanin"/>
          <w:color w:val="111111"/>
          <w:sz w:val="28"/>
          <w:sz w:val="28"/>
          <w:szCs w:val="28"/>
          <w:rtl w:val="true"/>
          <w:lang w:bidi="fa-IR"/>
        </w:rPr>
        <w:t>ملاک الدفاع عن النفس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باب الدفاع عن النفس فی کتاب الحدود أنّ الدفاع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النفس، أو عن العِرض، أو عن المال وکلّ قسم من هذه الاقسام إمّا أن یکون الدفاع مع ظنّ السلامة، أو الاطمئنان إلی السلامة أو مع احتمال التلف</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الدفاع عن النفس ففی کلّ الشقوق الثلاثة یکون واجباً فمع ظنّ السلامة، ومع الاطمئنان إلی السلامة فواضح، مثل الدفاع فی مقابل سارق أو قاطع طریق أو غاصب، أو وأمّا مع احتمال التلف فیجب أیضاً لأنّه لا یجوز تسلیم النفس إلی الهلکة بل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ظنّ التلف والاطمئنان بالتلف لا یجوز التسلیم أیضاً وهذا هو الصحیح فلا یجوز الإعانة علی النفس، فلابدّ من المعارضة والمقاومة نظیر بعض التقریبات فی وجوه واقعة کربلاء، فلا یجوز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للدفاع عن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وبالنسبة للدفاع عن العِرض مع ظنّ السلامة، والاطمئنان إلی السلامة أیضاً فقد قالوا بالوجوب أمّا مع احتمال التلف، فبعضٌ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بالنفس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قال بالعدم وأنّه رخصة غیر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إتّفق الجمیع علی جواز المدافعة والوقوع فی الدفاع وإن احتمل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الدفاع عن المال فالمنسوب الی الأکثر الرخصة مع ظنّ السلامة والاطمئنان إلیها، ولم یوجبه أحد إلاّإذا کان مالاً خطیراً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إلی الأکثر أیضاً جواز المدافعة وإن احتمل المعرضیّة والوقوع فی العطب والتلف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فالأکثر ذهب إلی جواز الدفاع عن المال، وقد ورد الدلیل عن أحدهما علیهما السلام،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أنا لترکتُ المال ولم أُقاتل</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مَظلَمتِه فهو شهید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مریم هل تدری ما دون مظلمتِه؟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یُقتَل دون أهلِه ودون ماله وأشباه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مریم إنّ من الفقه عرفانَ الحق</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الروایة الشریفة دلالة واضحة، أن الدفاع دون المال والأهل أمر راجح بل یصل ثوابه إلی درجة عالیة فی صورة التلف والدفاع عن المال والأهل هو أدنی درجات الدفاع فکیف بنصرة الحق، والدفاع عن المبادئ الإسلامیة العلیا، فی حالة تهدیدها بالخطر أو الإندراس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الثالثة من الدفاع عن المال یجوز المدافعة ولو مع احتمال التلف وتمسّکوا بإطلاق روایة معتبرة عن المعصومین علیهم السلام،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النصّ مروی بإسناد معتبر فی أبواب الحدود فی کتاب الوسائل، باب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ویشمله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فنستخلص من هذا الفرع الذی أفتی به الفقهاء أنّ الدفاع نوع من الغیرة والإباء باعتبار أنّ غیرة المؤمن تمنع من تحمّل الظلامة وتمنع من الخنوع والذلّ فی إباء الشرع الحنیف للمسلم والمؤمن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التعبیر فیه إشعار بالعلّة مع کون المظلمة هی مال، لیس من جهة رجحان المال، إذ أین النفس من المال؟ إذ لو کان من باب التزاحم بین المال والنفس، لحُرم</w:t>
      </w:r>
    </w:p>
    <w:p>
      <w:pPr>
        <w:pStyle w:val="BookText"/>
        <w:rPr/>
      </w:pPr>
      <w:r>
        <w:rPr>
          <w:rFonts w:ascii="IRNazanin" w:hAnsi="IRNazanin" w:eastAsia="IRNazanin"/>
          <w:color w:val="111111"/>
          <w:sz w:val="28"/>
          <w:sz w:val="28"/>
          <w:szCs w:val="28"/>
          <w:rtl w:val="true"/>
          <w:lang w:bidi="fa-IR"/>
        </w:rPr>
        <w:t>حینئذ ولَما ساغ وجاز لأنّ المال مهما عظم لا یصل إلی أهمیّة النفس لاسیّما أنهم لم یقیّدوا المال بکونه خطیراً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إلی الأکثر التمسّک بعموم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والعموم یتناوله کما هو الصحیح، لکن لیس من باب تزاحم حفظ المال وحفظ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فالنفس هی المعیّنة للحفظ، والواجب حفظها بل یُعاقب إذا لم یحفظها، ولا یمکن جعله فی عداد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من باب الدوران بین حفظ النفس أو حفظ الفضیلة وهی الإباء وعدم الذلّ وعدم الخنوع وهو نمط من إنکار المنکر لذلک فإنّ من قُتل دون ذلک فهو شهید وهذا الفرق یوقفنا علی فتاوی الفقهاء فی باب الأمر بالمعروف والنهی عن المنکر، أنّه من قُتل فی سبیل إنکار منکر أو فی طریق أمرٍ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 مذکور فی محلّه من جهة نوع المنکر ونوع المعروف ودرجتهما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 مخالفاً شرعاً فالضّرر إذا ترتّب فی الجملة علی هذا الواجب، لا یعنی أن ما فعله کان غیر سائغ وغیر جائزٍ لما قرّرنا وبیّنا، أن مشهور الفقهاء علی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رافعة من باب التزاحم ولیس من باب التخصیص فهی رافعة للتنجیز والعزیمة، لا أنّها رافعة لشرعیّة الحکم من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فرع آخر، فی باب الأمر بالمعروف والنهی عن المنکر ذکرناه علی نحو الاجمال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الشاهد الأول لقاعدة معرضیّة الهلکة فی سبیل الفضیلة</w:t>
      </w:r>
      <w:r>
        <w:rPr>
          <w:rFonts w:eastAsia="IRNazanin" w:cs="IRNazanin"/>
          <w:color w:val="111111"/>
          <w:sz w:val="28"/>
          <w:szCs w:val="28"/>
          <w:rtl w:val="true"/>
          <w:lang w:bidi="fa-IR"/>
        </w:rPr>
        <w:t>.</w:t>
      </w:r>
      <w:bookmarkStart w:id="548" w:name="pg2944_24659"/>
    </w:p>
    <w:p>
      <w:pPr>
        <w:pStyle w:val="Heading6"/>
        <w:numPr>
          <w:ilvl w:val="5"/>
          <w:numId w:val="1"/>
        </w:numPr>
        <w:rPr/>
      </w:pPr>
      <w:bookmarkStart w:id="549" w:name="__RefHeading___Toc110808_2749589250"/>
      <w:bookmarkStart w:id="550" w:name="_Toc206"/>
      <w:bookmarkEnd w:id="548"/>
      <w:bookmarkEnd w:id="549"/>
      <w:r>
        <w:rPr>
          <w:rtl w:val="true"/>
        </w:rPr>
        <w:t>الشاهد الثانی</w:t>
      </w:r>
      <w:bookmarkEnd w:id="550"/>
    </w:p>
    <w:p>
      <w:pPr>
        <w:pStyle w:val="BookText"/>
        <w:rPr/>
      </w:pPr>
      <w:r>
        <w:rPr>
          <w:rFonts w:ascii="IRNazanin" w:hAnsi="IRNazanin" w:eastAsia="IRNazanin"/>
          <w:color w:val="111111"/>
          <w:sz w:val="28"/>
          <w:sz w:val="28"/>
          <w:szCs w:val="28"/>
          <w:rtl w:val="true"/>
          <w:lang w:bidi="fa-IR"/>
        </w:rPr>
        <w:t>ما سیأتی فی الوجه الثانی</w:t>
      </w:r>
      <w:r>
        <w:rPr>
          <w:rStyle w:val="FootnoteAnchor"/>
          <w:rtl w:val="true"/>
        </w:rPr>
        <w:footnoteReference w:id="292"/>
      </w:r>
      <w:r>
        <w:rPr>
          <w:rFonts w:ascii="IRNazanin" w:hAnsi="IRNazanin" w:eastAsia="IRNazanin"/>
          <w:color w:val="111111"/>
          <w:sz w:val="28"/>
          <w:sz w:val="28"/>
          <w:szCs w:val="28"/>
          <w:rtl w:val="true"/>
          <w:lang w:bidi="fa-IR"/>
        </w:rPr>
        <w:t>من ورود جملة من الروایات المعتبرة فی أبواب المزار المعتضدة بسیرة الطائفة فی عصر الأئمة علیهم السلام، الدالّة علی ندب زیارة الحسین علیه السلام والحثّ علی ذلک ولو فی ظروف الخوف علی النفس أو العرض أو المال، وقد استظهر منها جملة من الأعلام عمومَ جواز الإقدام مع الخوف والرجحان فی مطلق أفراد الشعائر الحسینیّة، وسیأتی تقریر ذلک</w:t>
      </w:r>
      <w:r>
        <w:rPr>
          <w:rFonts w:eastAsia="IRNazanin" w:cs="IRNazanin"/>
          <w:color w:val="111111"/>
          <w:sz w:val="28"/>
          <w:szCs w:val="28"/>
          <w:rtl w:val="true"/>
          <w:lang w:bidi="fa-IR"/>
        </w:rPr>
        <w:t>.</w:t>
      </w:r>
    </w:p>
    <w:p>
      <w:pPr>
        <w:pStyle w:val="Heading6"/>
        <w:numPr>
          <w:ilvl w:val="5"/>
          <w:numId w:val="1"/>
        </w:numPr>
        <w:rPr/>
      </w:pPr>
      <w:bookmarkStart w:id="551" w:name="__RefHeading___Toc110810_2749589250"/>
      <w:bookmarkStart w:id="552" w:name="_Toc207"/>
      <w:bookmarkEnd w:id="551"/>
      <w:r>
        <w:rPr>
          <w:rtl w:val="true"/>
        </w:rPr>
        <w:t>الشاهد الثالث</w:t>
      </w:r>
      <w:bookmarkEnd w:id="552"/>
    </w:p>
    <w:p>
      <w:pPr>
        <w:pStyle w:val="BookText"/>
        <w:rPr/>
      </w:pPr>
      <w:r>
        <w:rPr>
          <w:rFonts w:ascii="IRNazanin" w:hAnsi="IRNazanin" w:eastAsia="IRNazanin"/>
          <w:color w:val="111111"/>
          <w:sz w:val="28"/>
          <w:sz w:val="28"/>
          <w:szCs w:val="28"/>
          <w:rtl w:val="true"/>
          <w:lang w:bidi="fa-IR"/>
        </w:rPr>
        <w:t>المصادر التی ذکرناها فی البحث الروائیّ للبکاء أوّلها قصّة یعقوب فی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تَفْتَأُ تَذْکُرُ یُوسُفَ حَتَّی تَکُونَ حَرَضًا أَوْ تَکُونَ مِنَ الْهَالِکِینَ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فواضح من الآیات أن النبیّ یعقوب علیه السلام حزن حزناً شدیداً، وهو فضیلة التشوّق من نبیّ لآخر لا إلی جهة البنوّة فقط وإلاّ فإنّ بقیة أولاد یعقوب بنون أیضاً وإنّما من جهة تشوّق النبیّ لنبیّ آخر وحبّ فی الجمال المجسَّم فی ذلک النبیّ الآخر فإیقاع النبیّ یعقوب نفسه فی الحُزن مع أنّه حینما اشتدّ به الحزن والأسی انتقده الآخرون حتّی أهله وبنوه ولکن فی تصوّرهم الخاطئ أنّ هذا الفعل یؤدّی به إلی أن یکون حرَضاً أو یکون من الهالکین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وَابْیَضَّتْ عَیْنَاهُ مِنَ الْحُزْنِ فَهُوَ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البکاء الشدید والحزن المستمر، معرضیّة تؤدی إلی الحَرَض أو إلی الهلاک وبعد ذلک، حصل بیاض العینین فعلاً، وقد عمیت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یقرّر القرآن قول یعقوب، وهو قول نبیّ من الأنبیاء أن هذا أمرٌ فضیلیّ، ولیس بأمر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إیقاع النبیّ یعقوب نفسه فی هذه المعرضیّة لیس فیه أیّة حریجة، بل بالعکس کان ذلک منه فضیلة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وَابْیَضَّتْ عَیْنَاهُ مِنَ الْحُزْنِ فَهُوَ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أعطی یوسف علیه السلام، قمیصه لأخوته کی یسلّموه لأبیهم لیرتدّ بصیراً فهذا فعلُ نبیٍّ مقرّر من الشریعة الإسلامیّة ولیس فعلاً منسوخاً، بل فعلٌ مقرَّر عُدّ قدوة لنا، کما قال تعالی فی ذیل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استشهد به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الشاهد مطابق تقریباً لنفس الفرض الذی نرید الوصول له، وهو أنّ البکاء نوع من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بکاء یعقوب علی یوسف فیه تدلیل علی عظمة النبوّة فی خصوص یوسف وعظمة النبوّة بصورة عامّة، ولیکون نوعاً من التنبیه والإشارة للأسباط من بنی یعقوب علی مقام النبوّة ثمّ لینتشر فی نسل بنی إسرائیل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فإلقاء النبیّ یعقوب نفسه فی معرضیّة التلف، أو تعریضه لأشرف وأکرم عضو من أعضاء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للتلف أوضح دلیل علی المطلوب</w:t>
      </w:r>
      <w:r>
        <w:rPr>
          <w:rFonts w:eastAsia="IRNazanin" w:cs="IRNazanin"/>
          <w:color w:val="111111"/>
          <w:sz w:val="28"/>
          <w:szCs w:val="28"/>
          <w:rtl w:val="true"/>
          <w:lang w:bidi="fa-IR"/>
        </w:rPr>
        <w:t>.</w:t>
      </w:r>
      <w:bookmarkStart w:id="553" w:name="pg2944_24661"/>
    </w:p>
    <w:p>
      <w:pPr>
        <w:pStyle w:val="BookText"/>
        <w:rPr/>
      </w:pPr>
      <w:bookmarkEnd w:id="553"/>
      <w:r>
        <w:rPr>
          <w:rFonts w:ascii="IRNazanin" w:hAnsi="IRNazanin" w:eastAsia="IRNazanin"/>
          <w:color w:val="111111"/>
          <w:sz w:val="28"/>
          <w:sz w:val="28"/>
          <w:szCs w:val="28"/>
          <w:rtl w:val="true"/>
          <w:lang w:bidi="fa-IR"/>
        </w:rPr>
        <w:t>ونظیره ما ذکرناه عن النبیّ شعیب مُسنَداً فی کتاب علل الشرائع</w:t>
      </w:r>
      <w:r>
        <w:rPr>
          <w:rStyle w:val="FootnoteAnchor"/>
          <w:rtl w:val="true"/>
        </w:rPr>
        <w:footnoteReference w:id="295"/>
      </w:r>
      <w:r>
        <w:rPr>
          <w:rFonts w:ascii="IRNazanin" w:hAnsi="IRNazanin" w:eastAsia="IRNazanin"/>
          <w:color w:val="111111"/>
          <w:sz w:val="28"/>
          <w:sz w:val="28"/>
          <w:szCs w:val="28"/>
          <w:rtl w:val="true"/>
          <w:lang w:bidi="fa-IR"/>
        </w:rPr>
        <w:t xml:space="preserve">، أنّه بکی من خشیة الله فعمیت عینه، ثمّ ردّ الله علیه بصره، ثمّ بکی من خشیة الله، فعمیت، ثمّ ردّ الله علیه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التسلیم بأنّ البکاء الشدید هو فی معرضیّة العمی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فعل نبیّ من أنبیاء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منقول عن أبی ذر أنّ أباذر عمی فی آخر حیاته لطول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الفعل قد أُثِرَ أیضاً فی ترجمة عدید من الأصحاب فی عهد الأئمّة علیهم السلام أو أصحاب أمیر المؤمنین علیه السلام وهی سیرة کثیر من أهل التقوی والورع والمهمّ من ذلک أنّ هذا الفعل کان علی مسمع ومرأی من الأئمّة علیهم السلام وقد اشتهر أنّ إطالة السجود تؤدّی فی جملة من الأحیان إلی عمی العین أی یکون الساجد فی معرض ذلک لکن لا یکون ملوماً ولا مذموماً</w:t>
      </w:r>
      <w:r>
        <w:rPr>
          <w:rFonts w:eastAsia="IRNazanin" w:cs="IRNazanin"/>
          <w:color w:val="111111"/>
          <w:sz w:val="28"/>
          <w:szCs w:val="28"/>
          <w:rtl w:val="true"/>
          <w:lang w:bidi="fa-IR"/>
        </w:rPr>
        <w:t>.</w:t>
      </w:r>
    </w:p>
    <w:p>
      <w:pPr>
        <w:pStyle w:val="Heading6"/>
        <w:numPr>
          <w:ilvl w:val="5"/>
          <w:numId w:val="1"/>
        </w:numPr>
        <w:rPr/>
      </w:pPr>
      <w:bookmarkStart w:id="554" w:name="__RefHeading___Toc110812_2749589250"/>
      <w:bookmarkStart w:id="555" w:name="_Toc208"/>
      <w:bookmarkEnd w:id="554"/>
      <w:r>
        <w:rPr>
          <w:rtl w:val="true"/>
        </w:rPr>
        <w:t>الشاهد الرابع</w:t>
      </w:r>
      <w:bookmarkEnd w:id="555"/>
    </w:p>
    <w:p>
      <w:pPr>
        <w:pStyle w:val="BookText"/>
        <w:rPr/>
      </w:pPr>
      <w:r>
        <w:rPr>
          <w:rFonts w:ascii="IRNazanin" w:hAnsi="IRNazanin" w:eastAsia="IRNazanin"/>
          <w:color w:val="111111"/>
          <w:sz w:val="28"/>
          <w:sz w:val="28"/>
          <w:szCs w:val="28"/>
          <w:rtl w:val="true"/>
          <w:lang w:bidi="fa-IR"/>
        </w:rPr>
        <w:t xml:space="preserve">بکاء الإمام زین العابدین علیه السلام المستمرّ والدائم علی أبیه الحسین علیه السلام ففی الصحیح الی العباس بن معروف عن محمد بن سهل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المستحسن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الی أبی عبدالله علیه السلام فی حدیث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الحسین علیه السلام فبکی علی الحسین علیه السلام عشرین سنة أو أربعین سنة، 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أن 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 بثّی وحُزنی إلی الله وأعلَم من الله مالا تعلمون، إنّی لم أذکر مصرع بنی فاطمة إلاّ خنقتنی لذلک عَبرة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الی أبی داود المسترقّ،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علیّ بن الحسین علی أبیه حسین بن علیّ علیه السلام عشرین سنة أو أربعین سنة، وما وُضع بین یدیه طعاماً إلاّ بکی علی الحسین علیه السلام حتّی قال له مولی له، جعلت فداک یابن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نفس الروایة السابقة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بسند صحیح إلی إسماعیل بن منصور،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مولی لعلیّ بن الحسین علیه السلام وهو فی سقیفة له ساجد یبکی،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علیّ بن الحسین أما آن لحزنک أن ینقضی، فرفع رأسه إلیه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ــ أو ثکلتک أمّک ــ والله لقد شکی یعقوب إلی ربّه فی أقلّ ممّا رأیت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أسفی علی یوسف، إنّه فقد ابناً واحداً، وأنا رأیت أبی وجماعة أهل بیتی یُذبَحون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إذا أخذ إناءً یشرب ماءً بکی حتّی یملأها دمعاً، فقیل له فی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لا أبکی وقد مُنع أبی من الماء الذی کان مطلقاً للسباع والوحوش</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نقل فی هذا الصدد الکثیر</w:t>
      </w:r>
      <w:r>
        <w:rPr>
          <w:rStyle w:val="FootnoteAnchor"/>
          <w:rtl w:val="true"/>
        </w:rPr>
        <w:footnoteReference w:id="300"/>
      </w:r>
      <w:r>
        <w:rPr>
          <w:rFonts w:ascii="IRNazanin" w:hAnsi="IRNazanin" w:eastAsia="IRNazanin"/>
          <w:color w:val="111111"/>
          <w:sz w:val="28"/>
          <w:sz w:val="28"/>
          <w:szCs w:val="28"/>
          <w:rtl w:val="true"/>
          <w:lang w:bidi="fa-IR"/>
        </w:rPr>
        <w:t>عن شدّة بکاء السجاد وخوف أهل بیته</w:t>
      </w:r>
      <w:bookmarkStart w:id="556" w:name="pg2944_24663"/>
    </w:p>
    <w:p>
      <w:pPr>
        <w:pStyle w:val="BookText"/>
        <w:rPr/>
      </w:pPr>
      <w:bookmarkEnd w:id="556"/>
      <w:r>
        <w:rPr>
          <w:rFonts w:ascii="IRNazanin" w:hAnsi="IRNazanin" w:eastAsia="IRNazanin"/>
          <w:color w:val="111111"/>
          <w:sz w:val="28"/>
          <w:sz w:val="28"/>
          <w:szCs w:val="28"/>
          <w:rtl w:val="true"/>
          <w:lang w:bidi="fa-IR"/>
        </w:rPr>
        <w:t>وعشیرته وبنی هاشم علیه وکذلک اشتدّ خوف عامّة المسلمین علیه لشدّة بکائه علی أبیه الحسین وقد نُقل أنّه علیه السلام بکی حتّی خیف علی عینیه</w:t>
      </w:r>
      <w:r>
        <w:rPr>
          <w:rStyle w:val="FootnoteAnchor"/>
          <w:rtl w:val="true"/>
        </w:rPr>
        <w:footnoteReference w:id="301"/>
      </w:r>
      <w:r>
        <w:rPr>
          <w:rFonts w:ascii="IRNazanin" w:hAnsi="IRNazanin" w:eastAsia="IRNazanin"/>
          <w:color w:val="111111"/>
          <w:sz w:val="28"/>
          <w:sz w:val="28"/>
          <w:szCs w:val="28"/>
          <w:rtl w:val="true"/>
          <w:lang w:bidi="fa-IR"/>
        </w:rPr>
        <w:t>، وهو علیه السلام یحتجّ بفعل یعقوب فکیف یکون هذا الفعل محرّماً بل إنّما یعتبر فضیلة ومکرمة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إغماء الرضا علیه السلام مرّتین فی إنشاء دعبل قصیدته التائیّة المشهورة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وقد مرّ وجه الاستشهاد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دعبل فلطمت النساء وجوههن وعلا الصراخ من وراء الستر، وبکی الرضا علیه السلام حتّی أغمی علیه مرّتین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 البکاء بهذه الشدة اختیاری والإغماء لیس بالشی‌ء غیر محتمل الخطر وقد ثبت علمیّاً أنّ فی الإغماء معرضیّة الموت فالإغماء معروف قدیماً وحدیثاً، وهو فعل غیر مضمون السلامة، وفی معرض الهلکة کما حصل لهمّام عندما سمع صفات المتّقین من سیّدهم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557" w:name="__RefHeading___Toc110814_2749589250"/>
      <w:bookmarkStart w:id="558" w:name="_Toc209"/>
      <w:bookmarkEnd w:id="557"/>
      <w:r>
        <w:rPr>
          <w:rtl w:val="true"/>
        </w:rPr>
        <w:t>الشاهد الخامس</w:t>
      </w:r>
      <w:bookmarkEnd w:id="55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إغماء أمیر المؤمنین والأئمّة علیهم السلام فی البکاء وهذا ممّا استفاض نقله فی کتب السیر والتاریخ من العامّة والخاصّة والروایات الواردة فی ذلک، سواء الروایات الحدیثیّة أو التاریخیّة، مجموعها موجب للاستفاضة أو الوثوق مضافاً إلی وجود سیرة متشرعیّة بذلک مقرّرة علی مسمع ومرئ من النبیّ صلی الله علیه وآله وسلم والمعصومین علیهم السلام مع أنّ فیه معرضیّة الخطر من تلف النفس</w:t>
      </w:r>
      <w:r>
        <w:rPr>
          <w:rFonts w:eastAsia="IRNazanin" w:cs="IRNazanin"/>
          <w:color w:val="111111"/>
          <w:sz w:val="28"/>
          <w:szCs w:val="28"/>
          <w:rtl w:val="true"/>
          <w:lang w:bidi="fa-IR"/>
        </w:rPr>
        <w:t>.</w:t>
      </w:r>
      <w:bookmarkStart w:id="559" w:name="pg2944_24664"/>
    </w:p>
    <w:p>
      <w:pPr>
        <w:pStyle w:val="Heading6"/>
        <w:numPr>
          <w:ilvl w:val="5"/>
          <w:numId w:val="1"/>
        </w:numPr>
        <w:rPr/>
      </w:pPr>
      <w:bookmarkStart w:id="560" w:name="__RefHeading___Toc110816_2749589250"/>
      <w:bookmarkStart w:id="561" w:name="_Toc210"/>
      <w:bookmarkEnd w:id="559"/>
      <w:bookmarkEnd w:id="560"/>
      <w:r>
        <w:rPr>
          <w:rtl w:val="true"/>
        </w:rPr>
        <w:t>الشاهد السادس</w:t>
      </w:r>
      <w:bookmarkEnd w:id="561"/>
    </w:p>
    <w:p>
      <w:pPr>
        <w:pStyle w:val="BookText"/>
        <w:rPr/>
      </w:pPr>
      <w:r>
        <w:rPr>
          <w:rFonts w:ascii="IRNazanin" w:hAnsi="IRNazanin" w:eastAsia="IRNazanin"/>
          <w:color w:val="111111"/>
          <w:sz w:val="28"/>
          <w:sz w:val="28"/>
          <w:szCs w:val="28"/>
          <w:rtl w:val="true"/>
          <w:lang w:bidi="fa-IR"/>
        </w:rPr>
        <w:t>شاهد آخر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أغار جیش معاویة علی الأنبار، فخطب خطبته المعروفة یستحثّ فیها أهل الکوفة للقتال ذکرها ابن الأثیر والطبریّ فی کتابیهما، ووردت فی کتاب الغارات لابن إسحاق الثقفی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الشاهد من الخطبة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 غالب، قد وَرَدت خیلُه الأنبارَ، وقد قَتَل حَسّان بن حَسّان البکریّ، وأزال خیلَکم عن مسالِحها، ولقد بلَغنی أن الرجُل منهم کان یدخل علی المرأةِ المُسلمة والأخری المعاهِدة، فینتَزِع حِجلَها وقَلْبها وقلائِدَها ورُعُثَها ما تمتنع منه إلاّ بالاسترجاع والاسترحام، ثمّ انصرفوا وافِرین ما نال رجلاً منهم کَلَمٌ، ولا أُریق لهم دم فلو أنّ امْرِءاً مسلماً مات من بعد هذا أَسفاً ما کان به مَلوماً بل کان به عندی جدیراً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الحجریة، باب ما جری من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زکی صفوت فی جمهرة خطب العرب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الفرج الأصفهانی فی الأغانی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ذکر الخبر فی مقتل ابن عبید اللَّه بن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الجاحظ فی البیان والتبیین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الرحمانیه بمصر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الجهاد باب فضل الجهاد مسندة، وهی غارة سفیان بن عوف الغامدیّ علی الأنبار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خطبة من مشاهیر خطبه علیه السلام قد ذکرها کثیر الناس ورواه أبو العباس المبرّد فی أوّل الکامل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والطبری فی ضمن ذکره لأحداث سنه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ومصادر أخری غیرها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2944_24665"/>
    </w:p>
    <w:p>
      <w:pPr>
        <w:pStyle w:val="BookText"/>
        <w:rPr/>
      </w:pPr>
      <w:bookmarkEnd w:id="562"/>
      <w:r>
        <w:rPr>
          <w:rFonts w:ascii="IRNazanin" w:hAnsi="IRNazanin" w:eastAsia="IRNazanin"/>
          <w:color w:val="111111"/>
          <w:sz w:val="28"/>
          <w:sz w:val="28"/>
          <w:szCs w:val="28"/>
          <w:rtl w:val="true"/>
          <w:lang w:bidi="fa-IR"/>
        </w:rPr>
        <w:t>لو لم یکن الموت اختیاریّاً لما کان هناک وجه لنفی اللوم، إذ لو کان موتاً عفویّاً، غیر اختیاریّ بل من الکمد والأسف، من شدّة التأسف، حیث إنّ الذمّ والمدح إنّما یتوجه علی الفعل الاختیاریّ القریب أو البعید أو علی الأقلّ تکون مقدماته اختیاریّة، فلو أنّ الإنسان یتأثّر لأجل الغیرة الدینیّة، ویشتدّ تفاعله، ویزداد ویتحسَّس، حتّی لو علم أن هذا الحماس سوف یؤدی به إلی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به ملوماً، بل کان به عندی جدیراً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هذا هو حکمٌ عقلیّ أیضاً فالعقل یقضی إذا کانت المقدمات البعیدة اختیاریة فی الفعل فإنّه حین یقع الإنسان فی دائرة الفعل یصبح غیرَ اختیاریّ لکنّ مقدّماته البعیدة اختیاریة فإذا وقع الإنسان فی معرضیّة التلف لا یُعدّ عند العقلاء مذموماً فعبارة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به ملوماً، بل کان به عندی جدیراً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الجدارة والاقتضاء العقلیّ والحمیّة الدینیّة</w:t>
      </w:r>
      <w:r>
        <w:rPr>
          <w:rFonts w:eastAsia="IRNazanin" w:cs="IRNazanin"/>
          <w:color w:val="111111"/>
          <w:sz w:val="28"/>
          <w:szCs w:val="28"/>
          <w:rtl w:val="true"/>
          <w:lang w:bidi="fa-IR"/>
        </w:rPr>
        <w:t>.</w:t>
      </w:r>
    </w:p>
    <w:p>
      <w:pPr>
        <w:pStyle w:val="Heading6"/>
        <w:numPr>
          <w:ilvl w:val="5"/>
          <w:numId w:val="1"/>
        </w:numPr>
        <w:rPr/>
      </w:pPr>
      <w:bookmarkStart w:id="563" w:name="__RefHeading___Toc110818_2749589250"/>
      <w:bookmarkStart w:id="564" w:name="_Toc211"/>
      <w:bookmarkEnd w:id="563"/>
      <w:r>
        <w:rPr>
          <w:rtl w:val="true"/>
        </w:rPr>
        <w:t>الشاهد السابع</w:t>
      </w:r>
      <w:bookmarkEnd w:id="564"/>
    </w:p>
    <w:p>
      <w:pPr>
        <w:pStyle w:val="BookText"/>
        <w:rPr/>
      </w:pPr>
      <w:r>
        <w:rPr>
          <w:rFonts w:ascii="IRNazanin" w:hAnsi="IRNazanin" w:eastAsia="IRNazanin"/>
          <w:color w:val="111111"/>
          <w:sz w:val="28"/>
          <w:sz w:val="28"/>
          <w:szCs w:val="28"/>
          <w:rtl w:val="true"/>
          <w:lang w:bidi="fa-IR"/>
        </w:rPr>
        <w:t>ما هو معروف فی خطبته علیه السلام فی وصف المتّقین لمّا طلب منه همّام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تمام الخطبة، صعق همام بن عبّاد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والمستدرک لکاشف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ومصادر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مطالب السؤول ومصباح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الصواعق المحرقة لابن حجر؛ منهاج البراعة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صعقةً کانت نفسه فیها، فقال علیه السلام</w:t>
      </w:r>
      <w:r>
        <w:rPr>
          <w:rFonts w:eastAsia="IRNazanin" w:cs="IRNazanin"/>
          <w:color w:val="111111"/>
          <w:sz w:val="28"/>
          <w:szCs w:val="28"/>
          <w:rtl w:val="true"/>
          <w:lang w:bidi="fa-IR"/>
        </w:rPr>
        <w:t>:</w:t>
      </w:r>
      <w:bookmarkStart w:id="565" w:name="pg2944_24666"/>
    </w:p>
    <w:p>
      <w:pPr>
        <w:pStyle w:val="BookText"/>
        <w:rPr/>
      </w:pPr>
      <w:bookmarkEnd w:id="565"/>
      <w:r>
        <w:rPr>
          <w:rFonts w:ascii="IRNazanin" w:hAnsi="IRNazanin" w:eastAsia="IRNazanin"/>
          <w:color w:val="111111"/>
          <w:sz w:val="28"/>
          <w:sz w:val="28"/>
          <w:szCs w:val="28"/>
          <w:rtl w:val="true"/>
          <w:lang w:bidi="fa-IR"/>
        </w:rPr>
        <w:t>أَمَا والله لقد کنتُ أخافُها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علیه، لیس من باب العلم اللّدنّیّ، إنّما من باب العلم العقلائیّ الحاصل من الحالة المعتادة، الذی هو علم ظاهریّ، وهو محلّ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إقدامه علی فعل فضیلیّ وهو شدة الخشیة من الله سبحانه إلی أن یُصعق، إنّما حصل من شدّة التأنیب والخوف والخشیة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تصنع المواعظُ البالغةُ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إنّه لکُلِ أَجَلٍ وقتاً لا یعدوه، وسبباً لا یتجاوزه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حالة فضیلة مثل أن یبرز للجهاد الذی هو میدان فضیلة وکمال، وهی نوع من التسبیب ونمط من الموت فی سبیل الله، وهذا تقریب آخر لمفاد الروایة والخطبة، وهو أن المدّعی فی هذه المسألة هو أنّ الموت فی الجوانب الفضیلیّة هو نوع من الموت فی سبیل الله عقلاً وشرعاً إذا کان الفرض أنّ الموت فی طریق فضیلة من الفضائل الشرعیّة الراجحة</w:t>
      </w:r>
      <w:r>
        <w:rPr>
          <w:rFonts w:eastAsia="IRNazanin" w:cs="IRNazanin"/>
          <w:color w:val="111111"/>
          <w:sz w:val="28"/>
          <w:szCs w:val="28"/>
          <w:rtl w:val="true"/>
          <w:lang w:bidi="fa-IR"/>
        </w:rPr>
        <w:t>.</w:t>
      </w:r>
    </w:p>
    <w:p>
      <w:pPr>
        <w:pStyle w:val="Heading6"/>
        <w:numPr>
          <w:ilvl w:val="5"/>
          <w:numId w:val="1"/>
        </w:numPr>
        <w:rPr/>
      </w:pPr>
      <w:bookmarkStart w:id="566" w:name="__RefHeading___Toc110820_2749589250"/>
      <w:bookmarkStart w:id="567" w:name="_Toc212"/>
      <w:bookmarkEnd w:id="566"/>
      <w:r>
        <w:rPr>
          <w:rtl w:val="true"/>
        </w:rPr>
        <w:t>الشاهد الثامن</w:t>
      </w:r>
      <w:bookmarkEnd w:id="567"/>
    </w:p>
    <w:p>
      <w:pPr>
        <w:pStyle w:val="BookText"/>
        <w:rPr/>
      </w:pPr>
      <w:r>
        <w:rPr>
          <w:rFonts w:ascii="IRNazanin" w:hAnsi="IRNazanin" w:eastAsia="IRNazanin"/>
          <w:color w:val="111111"/>
          <w:sz w:val="28"/>
          <w:sz w:val="28"/>
          <w:szCs w:val="28"/>
          <w:rtl w:val="true"/>
          <w:lang w:bidi="fa-IR"/>
        </w:rPr>
        <w:t>الاستشهاد بفعل الزهراء علیها السلام وشدّة بکائها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سبب شهادتها هو کسر الضلع وإسقاط الجنین کما تشیر إلی ذلک النصوص الکثیرة لکن، کان بکاؤها علیها السلام الشدید فی معرضیّة التلف أیضاً</w:t>
      </w:r>
      <w:r>
        <w:rPr>
          <w:rFonts w:eastAsia="IRNazanin" w:cs="IRNazanin"/>
          <w:color w:val="111111"/>
          <w:sz w:val="28"/>
          <w:szCs w:val="28"/>
          <w:rtl w:val="true"/>
          <w:lang w:bidi="fa-IR"/>
        </w:rPr>
        <w:t>.</w:t>
      </w:r>
      <w:bookmarkStart w:id="568" w:name="pg2944_24667"/>
    </w:p>
    <w:p>
      <w:pPr>
        <w:pStyle w:val="Heading6"/>
        <w:numPr>
          <w:ilvl w:val="5"/>
          <w:numId w:val="1"/>
        </w:numPr>
        <w:rPr/>
      </w:pPr>
      <w:bookmarkStart w:id="569" w:name="__RefHeading___Toc110822_2749589250"/>
      <w:bookmarkStart w:id="570" w:name="_Toc213"/>
      <w:bookmarkEnd w:id="568"/>
      <w:bookmarkEnd w:id="569"/>
      <w:r>
        <w:rPr>
          <w:rtl w:val="true"/>
        </w:rPr>
        <w:t>الشاهد التاسع</w:t>
      </w:r>
      <w:bookmarkEnd w:id="570"/>
    </w:p>
    <w:p>
      <w:pPr>
        <w:pStyle w:val="BookText"/>
        <w:rPr/>
      </w:pPr>
      <w:r>
        <w:rPr>
          <w:rFonts w:ascii="Amiri" w:hAnsi="Amiri" w:eastAsia="Amiri" w:cs="Amiri"/>
          <w:color w:val="111111"/>
          <w:sz w:val="28"/>
          <w:sz w:val="28"/>
          <w:szCs w:val="28"/>
          <w:rtl w:val="true"/>
          <w:lang w:bidi="ar-SA"/>
        </w:rPr>
        <w:t>فِعْلُ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الحسین علیه السلام</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فی عدم استظلالها بسقف بعد شهادة الحسین علیه السلام فی القرّ والحرّ وعدم الاستظلال بهذا الوصف مع الاستمرار بالبکاء هو فی معرضیّة الهلاک والتلف إلی أن توفیت کَمَداً، ومع ذلک لم یردعها السجاد علیه السلام وأقرّها علی فعلها، فیعتبر ذلک إمضاءً من المعصوم علیه السلام علی جواز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المقام ما ذُکر فی کتب السیر والتواریخ والمقاتل من ترک الحسین لشرب الماء کمؤیّد، حینما خاطبه أحد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هُتک حرمک فترک الماء لکی یُظهر أنّ غیرته علیه السلام وحمیته علی حرمه وعیاله یضحّی من أجلها بأغلی الأثمان، حتّی ولو بترک شرب الماء الذی کان فیه حیاته آنذاک، وکذلک موقف العبّاس بن أمیر المؤمنین علیه السلام یوم عاشوراء وعدم شربه للماء</w:t>
      </w:r>
      <w:r>
        <w:rPr>
          <w:rFonts w:eastAsia="IRNazanin" w:cs="IRNazanin"/>
          <w:color w:val="111111"/>
          <w:sz w:val="28"/>
          <w:szCs w:val="28"/>
          <w:rtl w:val="true"/>
          <w:lang w:bidi="fa-IR"/>
        </w:rPr>
        <w:t>.</w:t>
      </w:r>
    </w:p>
    <w:p>
      <w:pPr>
        <w:pStyle w:val="Heading6"/>
        <w:numPr>
          <w:ilvl w:val="5"/>
          <w:numId w:val="1"/>
        </w:numPr>
        <w:rPr/>
      </w:pPr>
      <w:bookmarkStart w:id="571" w:name="__RefHeading___Toc110824_2749589250"/>
      <w:bookmarkStart w:id="572" w:name="_Toc214"/>
      <w:bookmarkEnd w:id="571"/>
      <w:r>
        <w:rPr>
          <w:rtl w:val="true"/>
        </w:rPr>
        <w:t>شواهد أخری</w:t>
      </w:r>
      <w:bookmarkEnd w:id="572"/>
    </w:p>
    <w:p>
      <w:pPr>
        <w:pStyle w:val="BookText"/>
        <w:rPr/>
      </w:pPr>
      <w:r>
        <w:rPr>
          <w:rFonts w:ascii="IRNazanin" w:hAnsi="IRNazanin" w:eastAsia="IRNazanin"/>
          <w:color w:val="111111"/>
          <w:sz w:val="28"/>
          <w:sz w:val="28"/>
          <w:szCs w:val="28"/>
          <w:rtl w:val="true"/>
          <w:lang w:bidi="fa-IR"/>
        </w:rPr>
        <w:t>نعم هذه الموارد أو الشواهد العدیدة تدلّ علی المطلوب أوضح دلالة ویمکن للإنسان جمع شواهد ومؤیّدات أخری أیضاً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ولأبکینّک بَدل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الواردة فی زیارة الناحیة؛ ومفادها ظاهر ودالّ علی المطلوب فی المقام، ومثل ما ورد عن السجاد علیه السلام فی خطبته عند دخولهم المدینة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قلبٍ لا یتصدّع لقتلهِ ـــ یا لها مِن مصیبة ما أعظمها وأوجعها وأفجعها وأقضّها وأمّرها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573" w:name="pg2944_24668"/>
    </w:p>
    <w:p>
      <w:pPr>
        <w:pStyle w:val="BookText"/>
        <w:rPr/>
      </w:pPr>
      <w:bookmarkEnd w:id="573"/>
      <w:r>
        <w:rPr>
          <w:rFonts w:ascii="IRNazanin" w:hAnsi="IRNazanin" w:eastAsia="IRNazanin"/>
          <w:color w:val="111111"/>
          <w:sz w:val="28"/>
          <w:sz w:val="28"/>
          <w:szCs w:val="28"/>
          <w:rtl w:val="true"/>
          <w:lang w:bidi="fa-IR"/>
        </w:rPr>
        <w:t>والاستشهاد به لما یعمّ الشعائر الحسینیّة وغیرها فیستشهد به فی مطلق الإقدام علی فعلٍ فی معرضیّة التلف إذا کان الفعل لفضیلة دینیّة کی یکون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المتصفّح لفروع عدیدة فی الفقه، أو أبواب الأخلاق الممدوحة، یری أنّ جامع هذه الموارد هو أنّ الفعل الفضیلیّ والسلوک الکمالیّ إذا أقدم علیه الإنسان وکان فیه معرضیّة للخطر، فلا مَلامة عقلیّة فی البین؛ بل علی العکس یکون محلاً للمدیح العقلیّ والمدیح الشرعیّ، کما ظهر من هذه الشواهد أو المؤیّدات المُستخلَصة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أعمّ من بحث الأمر بالمعروف والنهی عن المنکر لأنّ مَنْ یموت فی سبیل فضیلة، إنّما یحاول فی الواقع إظهار وتثبیت تلک الفضیلة فی المجتمع، علی غِرار مفاد الحدیث النبویّ المستفیض بین الفریقَین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إلی یوم القیامة مِن غیر أن ینقص مِن أُجورِهم شی‌ء</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فتکون نوعاً من السنّة وإجراءاً لتلک الفضیلة التی مات هو دونها أی أنّ نفس الفضیلة سوف تُسنّ فی المجتمع</w:t>
      </w:r>
      <w:r>
        <w:rPr>
          <w:rFonts w:eastAsia="IRNazanin" w:cs="IRNazanin"/>
          <w:color w:val="111111"/>
          <w:sz w:val="28"/>
          <w:szCs w:val="28"/>
          <w:rtl w:val="true"/>
          <w:lang w:bidi="fa-IR"/>
        </w:rPr>
        <w:t>.</w:t>
      </w:r>
    </w:p>
    <w:p>
      <w:pPr>
        <w:pStyle w:val="Heading4"/>
        <w:numPr>
          <w:ilvl w:val="3"/>
          <w:numId w:val="1"/>
        </w:numPr>
        <w:rPr/>
      </w:pPr>
      <w:bookmarkStart w:id="574" w:name="__RefHeading___Toc110826_2749589250"/>
      <w:bookmarkStart w:id="575" w:name="_Toc215"/>
      <w:bookmarkEnd w:id="574"/>
      <w:r>
        <w:rPr>
          <w:rtl w:val="true"/>
        </w:rPr>
        <w:t>تفصیل الوجه الثانی</w:t>
      </w:r>
      <w:bookmarkEnd w:id="575"/>
    </w:p>
    <w:p>
      <w:pPr>
        <w:pStyle w:val="Heading5"/>
        <w:numPr>
          <w:ilvl w:val="4"/>
          <w:numId w:val="1"/>
        </w:numPr>
        <w:rPr/>
      </w:pPr>
      <w:bookmarkStart w:id="576" w:name="__RefHeading___Toc110828_2749589250"/>
      <w:bookmarkStart w:id="577" w:name="_Toc216"/>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عدم إزالة الضرر الشخصیّ لحکم الشعائر بناءً علی التمسّک بحرمة الضرر کرافع للأحکام الأوّلیّة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بنا أن طروّ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الشعائر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بأیّ درجة کان، لأنّ المفروض أنّ الضرر إنّما یرفع الحکم أو تنجیزه علی الاختلاف بین المشهور وغیره عندما یکون ملاک الحکم بدرجة مناسبة له لا أیّ ضرر یسیرٍ یسبب رفع عموم الأحکام ومن ثمّ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 وَمَا أُهِلَّ لِغَیْرِ اللَّهِ بِهِ فَمَنِ اضْطُرَّ غَیْرَ بَاغٍ وَلَا عَادٍ فَإِنَّ اللَّهَ غَفُورٌ رَحِیمٌ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درجة الضرر والاضطرار هی الإشراف علی الموت بخلاف الضرر والحرج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علی مسلک المحقق النائینی فی رفع الاضطرار من باب التخصیص، أو علی مسلک المشهور وهو من باب التزاحم وهو الصحیح والتزاحم یتطلّب مِلاکَین متقاربَین والملاک الیسیر لا یُدافع الملاک المهمّ والمصلحة الیسیرة لا تُدافع المصلحة الجلیلة إذا اتّضح ذلک، فتقرّر أنّ الملاک والمصلحة فی نظر الشارع فی الشعائر الحسینیّة أهمّ بکثیر من تلف عضو أو معرضیته لذلک</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فتوی المحقّق النائینیّ قدس سره وتعلیقة العلماء علیها حول الشعائر الحسینیّة، فی الملحق المرفق آخر الکتاب</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فالمصلحة والأهمیة فی الشعائر الحسینیّة تفوق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الضرر الشخصیّ أو ضرر تلف العضو والوجه فی ذلک إجمالاً أنّ بقاءها إبقاء للدین الحنیف</w:t>
      </w:r>
      <w:bookmarkStart w:id="578" w:name="pg2944_24670"/>
    </w:p>
    <w:p>
      <w:pPr>
        <w:pStyle w:val="BookText"/>
        <w:rPr/>
      </w:pPr>
      <w:bookmarkEnd w:id="578"/>
      <w:r>
        <w:rPr>
          <w:rFonts w:ascii="IRNazanin" w:hAnsi="IRNazanin" w:eastAsia="IRNazanin"/>
          <w:color w:val="111111"/>
          <w:sz w:val="28"/>
          <w:sz w:val="28"/>
          <w:szCs w:val="28"/>
          <w:rtl w:val="true"/>
          <w:lang w:bidi="fa-IR"/>
        </w:rPr>
        <w:t>کما هو مقتضی الحدیث النبویّ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10830_2749589250"/>
      <w:bookmarkStart w:id="580" w:name="_Toc217"/>
      <w:bookmarkEnd w:id="579"/>
      <w:r>
        <w:rPr>
          <w:rtl w:val="true"/>
        </w:rPr>
        <w:t>الشعائر الحسینیّة أهمّ ملاکاً من الضرر الشخصیّ</w:t>
      </w:r>
      <w:bookmarkEnd w:id="580"/>
    </w:p>
    <w:p>
      <w:pPr>
        <w:pStyle w:val="BookText"/>
        <w:rPr/>
      </w:pPr>
      <w:r>
        <w:rPr>
          <w:rFonts w:ascii="IRNazanin" w:hAnsi="IRNazanin" w:eastAsia="IRNazanin"/>
          <w:color w:val="111111"/>
          <w:sz w:val="28"/>
          <w:sz w:val="28"/>
          <w:szCs w:val="28"/>
          <w:rtl w:val="true"/>
          <w:lang w:bidi="fa-IR"/>
        </w:rPr>
        <w:t>ولابدّ من تفصیل الأدلّة فی تفوّق أهمیّة المصلحة فی الشعائر الحسینیّة علی الضرر فی تلف العضو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مقدّمة تاریخیّة لها علاقة بالمقام، وهی أنّ من الثابت تاریخیّاً أنّ قبر الحسین علیه السلام تعرّض للهدم عدّة مرات</w:t>
      </w:r>
      <w:r>
        <w:rPr>
          <w:rStyle w:val="FootnoteAnchor"/>
          <w:rtl w:val="true"/>
        </w:rPr>
        <w:footnoteReference w:id="314"/>
      </w:r>
      <w:r>
        <w:rPr>
          <w:rFonts w:ascii="IRNazanin" w:hAnsi="IRNazanin" w:eastAsia="IRNazanin"/>
          <w:color w:val="111111"/>
          <w:sz w:val="28"/>
          <w:sz w:val="28"/>
          <w:szCs w:val="28"/>
          <w:rtl w:val="true"/>
          <w:lang w:bidi="fa-IR"/>
        </w:rPr>
        <w:t>، حیث هدمه المنصور الدوانیقیّ، ثمّ هدمه هارون العبّاسیّ، وقطع السدرة</w:t>
      </w:r>
      <w:r>
        <w:rPr>
          <w:rStyle w:val="FootnoteAnchor"/>
          <w:rtl w:val="true"/>
        </w:rPr>
        <w:footnoteReference w:id="315"/>
      </w:r>
      <w:r>
        <w:rPr>
          <w:rFonts w:ascii="IRNazanin" w:hAnsi="IRNazanin" w:eastAsia="IRNazanin"/>
          <w:color w:val="111111"/>
          <w:sz w:val="28"/>
          <w:sz w:val="28"/>
          <w:szCs w:val="28"/>
          <w:rtl w:val="true"/>
          <w:lang w:bidi="fa-IR"/>
        </w:rPr>
        <w:t>التی کانت علامةً علی القبر ثمّ هدمه مرة أخری بعد تجدید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بُنی بعد هارون فی عهد المأمون، ثمّ هدمه المتوکّل عدّة مرات وأجری الماء علیه، هذا هو المذکور تاریخیّاً من مصادر العامّة والخاصّة، وبالدقة نذکر السنوات التی هدم المتوکّل فیها قبر الحسین علیه السلام وغیره من خلفاء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وفی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والمرّة الخامسة هدم القبر الموفّق ابن المتوکل، فهذه خمس مرات هُدم فیها القبر الشریف</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تاللَّه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Amiri" w:hAnsi="Amiri" w:eastAsia="Amiri" w:cs="Amiri"/>
          <w:color w:val="111111"/>
          <w:sz w:val="28"/>
          <w:sz w:val="28"/>
          <w:szCs w:val="28"/>
          <w:rtl w:val="true"/>
          <w:lang w:bidi="ar-SA"/>
        </w:rPr>
        <w:t>فلَقد أتاهُ بنو أبیه بمِثلها</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شایعوا</w:t>
      </w:r>
    </w:p>
    <w:p>
      <w:pPr>
        <w:pStyle w:val="BookText"/>
        <w:rPr/>
      </w:pPr>
      <w:r>
        <w:rPr>
          <w:rFonts w:ascii="IRNazanin" w:hAnsi="IRNazanin" w:eastAsia="IRNazanin"/>
          <w:color w:val="111111"/>
          <w:sz w:val="28"/>
          <w:sz w:val="28"/>
          <w:szCs w:val="28"/>
          <w:rtl w:val="true"/>
          <w:lang w:bidi="fa-IR"/>
        </w:rPr>
        <w:t>فی قتله فتتبعوه رمیما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شواهد تاریخیة، علی أنّ زیارة قبره علیه السلام کانت أمراً تحرص سلطات بنی أمیة وبنی العباس علی منعه ووضع العُیون لمعرفة زائریة، والتصدی لهم بشکل شدید وخطیر بل زاد العباسیّون طغیاناً فکانت زیارته علیه السلام تعتبر تعریضَ النفس للهلاک</w:t>
      </w:r>
      <w:r>
        <w:rPr>
          <w:rStyle w:val="FootnoteAnchor"/>
          <w:rtl w:val="true"/>
        </w:rPr>
        <w:footnoteReference w:id="317"/>
      </w:r>
      <w:r>
        <w:rPr>
          <w:rFonts w:ascii="IRNazanin" w:hAnsi="IRNazanin" w:eastAsia="IRNazanin"/>
          <w:color w:val="111111"/>
          <w:sz w:val="28"/>
          <w:sz w:val="28"/>
          <w:szCs w:val="28"/>
          <w:rtl w:val="true"/>
          <w:lang w:bidi="fa-IR"/>
        </w:rPr>
        <w:t>، أو تعریضاً لتلف عضو وقد قُطعت الأیدی کما هو المأثور فی سبیل زیارته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توجد العدید من الروایات فی کتاب المزار التی تشیر إلی نفس هذه الحقیقة الموضوعیّة التاریخیّة، وهی الخوف والرُعب الذی أوجدته السلطة الأمویّة والعباسیّة حول 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بعض الروایات الشریفة الدالّة علی ذلک وعلی تفوّق أهمیّة مصلحة الشعائر الحسینیّة علی الضرر فی تلف العضو أو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حسنة أو مصحّحة الحسین بن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 فیه من الفضل؟ 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 الفضل کفضل مَن زار قبر والده ــ یعنی رسول الله صلی الله علیه وآله وسلم 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خفتُ فلم یمکنّی أن أدخل داخلاً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 من وراء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فی کامل الزیارات أربع روایات</w:t>
      </w:r>
      <w:r>
        <w:rPr>
          <w:rStyle w:val="FootnoteAnchor"/>
          <w:rtl w:val="true"/>
        </w:rPr>
        <w:footnoteReference w:id="319"/>
      </w:r>
      <w:r>
        <w:rPr>
          <w:rFonts w:ascii="IRNazanin" w:hAnsi="IRNazanin" w:eastAsia="IRNazanin"/>
          <w:color w:val="111111"/>
          <w:sz w:val="28"/>
          <w:sz w:val="28"/>
          <w:szCs w:val="28"/>
          <w:rtl w:val="true"/>
          <w:lang w:bidi="fa-IR"/>
        </w:rPr>
        <w:t>مسندة فی الحثّ علی زیارة قبره علیه السلام فی حال الخوف؛ ومضاعفة الأجر فی ذلک، اخترنا منها هذه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بإسناده عن الأصمّ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أنزل الأرجان وقلبی ینازعنی إلی قبر أبیک فإذا خرجت فقلبی وجل مشفق حتّی أرجع خوفاً من السلطان والسعاة وأصحاب المسالح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بکیر؛ أما تحب أن یراک الله فینا خائفاً، أما تعلم أنّه من خاف لخوفنا أظلّه الله فی ظلّ عرشه، وکان محدثه الحسین علیه السلام تحت العرش، وآمنه الله من إفزاع یوم القیامة؛ یفزع الناس ولا یفزع، فإن فزع وقرته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وسکنت قلبه بالبشارة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حنان بن سدیر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زوروه ولا تجفوه، فإنّه سیّد شباب أهل الجنة وشبیه یَحیی بن زکریّا، وعلیهما بکت السماوات والأرض</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الجارود عن أبی جعفر علیه السلام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بینک وبین الحسین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للراکب ویوم وبعضُ یوم للماشی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أفتأتیه کلّ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آتیه إلاّ فی الحین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أجفاکَ، أما لو کان قریباً منّا لاتّخذناه هِجرةً، أی تهاجرنا إلیه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بینکم وبین قبر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تأتونه؟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أجفاکم؟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أجفاکم ــ یا فُضَیل ــ لا تزورون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أربعةُ آلافِ ملَکٍ شُعثاً غبراً یبکونه إلی یوم القیامة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فقال لرجل من أهل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تزور الحسین کلّ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کلّ شهر؟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کلّ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لَمحرومٌ من الخیر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علیّ بن میمون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بلغنی أنّ أُناساً من شیعتنا تمرّ بهم السنة والسنتان وأکثر من ذلک لا یزورون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أُناساً کثیرا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لِحظِّهم أخطأوا، وعن ثواب الله زاغوا، وعن جوار محمّد صلی الله علیه وآله وسلم فی الجنة تباعدوا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بإسنادَین متّصلَین إلی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سدیر تزور قبر الحسین علیه السلام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أتزوره فی کل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فتزوره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فتزوره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سدیر ما أجفاکم بالحسین علیه السلام، أما علمتَ أن لله‌ألفَ مَلَک شعثاً غُبراً یبکونه ویرثونه لا یفترون زوّاراً لقبر الحسین، وثوابهم لمن زاره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إلی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بن عامر یرویه عن البطائنیّ أیّام استقامته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تجفوه، یأتیه الموسر فی کلّ أربعة أشهر، والمعسر لا یُکلّف الله نفساً إلاّ وُسعها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بإسناد متصل عن صفوان الجمال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یأتیه زائراً ثمّ ینصرف عنه متی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 یُؤتی؟ وکم یوماً؟ وکم یسع الناس ترکه؟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أکثر من شهر، وأمّا بعید الدار ففی کلّ ثلاث سنین، فما جاز الثلاث سنین فلم یأته فقد عقّ رسولَ الله صلی الله علیه وآله وسلم وقطع حرمته إلاّ عن علّة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المستفیضة فی ذلک، الدالّة علی شدّة حثّ الصادقیْن علیهما</w:t>
      </w:r>
    </w:p>
    <w:p>
      <w:pPr>
        <w:pStyle w:val="BookText"/>
        <w:rPr/>
      </w:pPr>
      <w:r>
        <w:rPr>
          <w:rFonts w:ascii="IRNazanin" w:hAnsi="IRNazanin" w:eastAsia="IRNazanin"/>
          <w:color w:val="111111"/>
          <w:sz w:val="28"/>
          <w:sz w:val="28"/>
          <w:szCs w:val="28"/>
          <w:rtl w:val="true"/>
          <w:lang w:bidi="fa-IR"/>
        </w:rPr>
        <w:t>السلام والکاظم علیه السلام والرضا علیه السلام وبقیة الأئمة علیهم السلام الشیعة وموالیهم علی زیارة الحسین علیه السلام مع شدّة الظروف وصعوبة الأحوال، فکانوا علیه السلام یأمرون أفضل موالیهم وفقهائهم، کزرارة والفضیل بن یسار، وسدیر الصیرفیّ والحلبیّ وأترابهم بزیارته علیه السلام مع أنّ من الخطورة التفریط بمثل هذه النمازج؛ إلاّ أن زیارة الحسین علیه السلام وشعیرة سیّد الشهداء علیه السلام أعظم ملاکاً وأخطر فی التشریع، وقد تصل صعوبة الظروف المحیطة بزیارته علیه السلام إلی حدّ یهدد الطائفة الشیعیة بتمامها، فیعالج الأئمة علیهم السلام الظرف المزبور بتخفیف إقامة الشعیرة الحسینیّة لکن مِن دون قطع ولا انقطاع عنها، مع کلّ تلک الشدّة فی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مثل هذا الظروف المتصاعدة فی المحنة الطائفة التالیة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زیارة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مرّة، إنّی أخاف الشهرة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صحیحه الآخر تعلیله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أکره الشهرة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ثالث لعبید الله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نزور قبر الحسین علیه السلام فی السنة مرّتَین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أکره أن تُکثروا القصد إلیه، زوروه فی السنة مرة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أصلّی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خلفه عند کتفَیه ثم تُصلّی علی النبیّ صلی الله علیه وآله وسلم، وتصلّی علی الحسین علیه السلام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عن محمد بن عبد الله بن جعفر الحِمیریّ بإسناد متّصل إلی زرارة،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زار أباک علی خوف؟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یُؤمنه الله یومَ الفزع الأکبر، وتلقّاه الملائکة بالبشارة،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یومک الذی فیه فوزک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قولویه أیضا عن الحِمیریّ بإسناده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أنزل الأرجان وقلبی یُنازعنی إلی قبر أبیک فإذا خرجتُ فقلبی وَجِلٌ مُشفِق حتّی أرجع، خوفاً من السلطان والسعاة وأصحاب المسالح</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بکیر أما تحبّ أن یراک الله فینا خائفاً أما تعلم أنّه مَن خاف لخوفنا أظلّه الله فی ظلّ عرشه وکان مُحدّثه الحسین علیه السلام تحت العرش، وآمنه الله من أفزاع یوم القیامة، یفزع الناس ولا یفزع، فإن فزع وقّرته الملائکة وسکّنت قلبه بالبشارة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بأسانید صحیحة عن موسی بن عمر، عن غسّان البصریّ،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لا تدع زیارة قبر الحسین علیه السلام لخوف، فإنّ مَن ترک زیارته رأی من الحسرة ما یتمنّی أنّ قَبره کان عنده، أما تحبّ أن یری الله شخصَک وسوادَک فیمن یدعو له رسولُ الله صلی الله علیه وآله وسلم وعلیّ</w:t>
      </w:r>
    </w:p>
    <w:p>
      <w:pPr>
        <w:pStyle w:val="BookText"/>
        <w:rPr/>
      </w:pPr>
      <w:r>
        <w:rPr>
          <w:rFonts w:ascii="IRNazanin" w:hAnsi="IRNazanin" w:eastAsia="IRNazanin"/>
          <w:color w:val="111111"/>
          <w:sz w:val="28"/>
          <w:sz w:val="28"/>
          <w:szCs w:val="28"/>
          <w:rtl w:val="true"/>
          <w:lang w:bidi="fa-IR"/>
        </w:rPr>
        <w:t>وفاطمة والائمة علیهم السلام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فی ثواب الأعمال بسندٍ صحیح عالٍ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بطریقَین عن معاویة بن وهب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الأسانید الجمّة محمول علی خوف ضعیف یکون مع ظنّ السلامة، أو علی خوف فوات العزّة والجاه، وذهاب المال، لا تلف النفس والعِرض لعمومات التقیّة والنهی عن إلقاء النفس فی التهلکة، والله یعلم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المحقّق المیرزا القمّیّ وجماعة من الفقهاء عملوا بظاهر مثل هذه الروایات الآمرة بالزیارة فی ظرف الخوف مطلقاً من دون تفصیل، وأدرجوا شعیرة الحسین علیه السلام فی باب الجهاد وإقامة فریضة الولایة والتولّی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طریق الکلینی حیث نقل الروایة بطولها، أیضاً هذه الفقرة فی شأن زوّار الحسین علیه السلام،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واکْفِهِمْ شَرَّ کُلِّ جَبّارٍ عَنیدٍ، وَکُلَّ ضعیفٍ مِن خلقک أو شدید، وشرّ شیاطین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أعداءنا عابوا علیهم خروجَهم فلم یَنْهَهُمْ ذلک عن الشُّخوصِ إلینا وخِلافاً منهم علی مَن خالفنا، فارْحَم تلکَ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إشارة الروایة إلی عدم الاکتراث بالخوف فی هذه الشعیرة فضلاً عن</w:t>
      </w:r>
    </w:p>
    <w:p>
      <w:pPr>
        <w:pStyle w:val="BookText"/>
        <w:rPr/>
      </w:pPr>
      <w:r>
        <w:rPr>
          <w:rFonts w:ascii="IRNazanin" w:hAnsi="IRNazanin" w:eastAsia="IRNazanin"/>
          <w:color w:val="111111"/>
          <w:sz w:val="28"/>
          <w:sz w:val="28"/>
          <w:szCs w:val="28"/>
          <w:rtl w:val="true"/>
          <w:lang w:bidi="fa-IR"/>
        </w:rPr>
        <w:t>استهزاء وسخریة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قولویه بإسناد متّصل عن محمّد بن مسلم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محمّد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تأتی قبر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علی خوفٍ ووَجَل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هذا أشدّ فالثواب فیه علی قدر الخوف، ومَن خاف فی إیتانه آمَنَ الله رَوْعَتَهُ یوم القیامة، یوم یقوم الناس لرب العالمین؛ وانصرف بالمغفرة، وسلَّمَتْ علیه الملائکة، وزاره النبی صلی الله علیه وآله وسلم ودعا له، وانقلب بنعمةٍ الله وفضل لم یَمْسَسْهُ سوءٌ واتّبع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کما تری متضمّنة ومصرّحة باشتداد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هذا أشدّ فالثواب فیه علی قدر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 من الخطورة، لاسیّما وأنّ أصل الخوف فی تلک الأزمنة هو علی النفس، کما أُشیر إلیه فی العدید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مُسائلة الإمام الصادق علیه السلام عن ذلک لعدّة من الرواة والأصحاب وحثّه إیّاهم علی زیارة قبر الحسین علیه السلام مع أنّهم فی ظرف التقیة، فی زمن المنصور الدوانیقیّ وأمثاله من الطغاة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هذا التشدّد المعروف فی زمن العباسیین، نجد أن الأئمة علیهم السلام حثّوا شیعتهم علی هذه الشعیرة المهمّة ومارسوها علیهم السلام عملاً؛ فقد ورد أنّ الإمام الصادق علیه السلام والإمام الهادی علیه السلام مرِضا فندَبا مَن یدعو لهما تحت قبة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قولویه</w:t>
      </w:r>
      <w:r>
        <w:rPr>
          <w:rStyle w:val="FootnoteAnchor"/>
          <w:rtl w:val="true"/>
        </w:rPr>
        <w:footnoteReference w:id="342"/>
      </w:r>
      <w:r>
        <w:rPr>
          <w:rFonts w:ascii="IRNazanin" w:hAnsi="IRNazanin" w:eastAsia="IRNazanin"/>
          <w:color w:val="111111"/>
          <w:sz w:val="28"/>
          <w:sz w:val="28"/>
          <w:szCs w:val="28"/>
          <w:rtl w:val="true"/>
          <w:lang w:bidi="fa-IR"/>
        </w:rPr>
        <w:t>بطریقین عن أبی هاشم الجعفریّ، أحدهما صحیح والآخر مُصحَّح</w:t>
      </w:r>
      <w:r>
        <w:rPr>
          <w:rStyle w:val="FootnoteAnchor"/>
          <w:rtl w:val="true"/>
        </w:rPr>
        <w:footnoteReference w:id="343"/>
      </w:r>
      <w:r>
        <w:rPr>
          <w:rFonts w:ascii="IRNazanin" w:hAnsi="IRNazanin" w:eastAsia="IRNazanin"/>
          <w:color w:val="111111"/>
          <w:sz w:val="28"/>
          <w:sz w:val="28"/>
          <w:szCs w:val="28"/>
          <w:rtl w:val="true"/>
          <w:lang w:bidi="fa-IR"/>
        </w:rPr>
        <w:t>وکذلک روی الکلینیّ فی الکافی</w:t>
      </w:r>
      <w:r>
        <w:rPr>
          <w:rStyle w:val="FootnoteAnchor"/>
          <w:rtl w:val="true"/>
        </w:rPr>
        <w:footnoteReference w:id="344"/>
      </w:r>
      <w:r>
        <w:rPr>
          <w:rFonts w:ascii="IRNazanin" w:hAnsi="IRNazanin" w:eastAsia="IRNazanin"/>
          <w:color w:val="111111"/>
          <w:sz w:val="28"/>
          <w:sz w:val="28"/>
          <w:szCs w:val="28"/>
          <w:rtl w:val="true"/>
          <w:lang w:bidi="fa-IR"/>
        </w:rPr>
        <w:t>بطریق مصحّح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w:t>
      </w:r>
      <w:r>
        <w:rPr>
          <w:rStyle w:val="FootnoteAnchor"/>
          <w:rtl w:val="true"/>
        </w:rPr>
        <w:footnoteReference w:id="345"/>
      </w:r>
      <w:r>
        <w:rPr>
          <w:rFonts w:ascii="IRNazanin" w:hAnsi="IRNazanin" w:eastAsia="IRNazanin"/>
          <w:color w:val="111111"/>
          <w:sz w:val="28"/>
          <w:sz w:val="28"/>
          <w:szCs w:val="28"/>
          <w:rtl w:val="true"/>
          <w:lang w:bidi="fa-IR"/>
        </w:rPr>
        <w:t>أبو الحسن علیه السلام فی مرضه وإلی محمّد بن حمزة، فسبقنی إلیه محمّد بن حمزة، فأخبرنی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إلی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إلی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أذهب إلی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دخلتُ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أذهب إلی الحیر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لعلیّ بن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الحیر؟ هو الحیر، فقدمت العسکر فدخلتُ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حین أردت القیام، فلمّا رأیتُه أنس بی ذکرتُ له قول علی بن بلال،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قلتَ أنّ رسول الله صلی الله علیه وآله وسلم کان یطوف بالبیت ویُقبّل الحجر، وحُرمة النبیّ والمؤمن أعظم من حرمة البیت، وأَمَرَه الله عز وجل أن یقف بعرفة، وإنّما هی مواطن یحبّ الله أن یُذکَر فیها، فأنا أحبّ أن یُدعی لی حیث یُحبّ الله أن یُدعی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عُدّة الداعی عن الصادق علیه السلام أنه مرض فأمر من عنده أن یستأجروا له أجیراً یدعو له عند قبر الحسین علیه السلام، فوجدوا رجلاً فقالوا له 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أمضی ولکنّ الحسین إمام مفترض الطاعة، وهو إمام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الصادق علیه السلام وأخبروه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کما قال، ولکن أمَا عرف أنّ لله تعالی بِقاعاً یُستجاب فیها الدعاء، فتلک البقعة من تلک البقاع</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یقتضی أهمیّة ملاک الشعیرة الحسینیّة فی نظر الشارع وهو یُعدّ سیاسة تشریعیّة منهم لأجل دعم الشعائر الحسینیّة، وکون الدعاء مستجاباً تحت 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ونفهم منه أبعاداً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ذِکره وتخلیده علیه السلام وربط الناس به علیه السلام عَبر الأجیال تِلو الأجیال مع أنّ الصادق علیه السلام عاش فی زمن المنصور الدوانیقیّ الذی هَدم قبر الحسین علیه السلام وهَدْمُ القبر یعنی التصمیم والإرادة علی منع هذا الرافد للحقّ، وإطفاء هذا النور الذی یزیل ظلام الطاغوت العباسیّ علی المسلمین ومع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ینتدب الصادق علیه السلام مَن یدعو له تحت قبة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التعظیم والتخلید لشعیرة من شعائر الحسین علیه السلام؛ مع أنّه فی معرض تلف النفس أو تلف العضو علی الأقلّ أو تلف المال أو العِرض أو الضرر بالسجن أو التعرّض للضرب والإهانة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الإمام الهادی علیه السلام انتدب شخصاً یدعو له من سامراء إلی حائر الحسین، فذکر الرجل المنتدَب تساؤله بأنّ الإمام الهادی علیه السلام هو الحائر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الحسین علیه السلام حائر النور ودائرة النور فأجابه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صحیح، إلاّ أنّ لله مواقع یُحبّ أن یُدعی فیها وأنا أحببتُ ذلک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والهادی علیه السلام کان فی زمن المتوکّل لعنه الله الذی هدم القبر عدّة مرات وأرسل الماء لیُخفی ویطمس أثر وجود القبر والمعروف أنّ اسم الحائر کان لهذا السبب</w:t>
      </w:r>
      <w:r>
        <w:rPr>
          <w:rStyle w:val="FootnoteAnchor"/>
          <w:rtl w:val="true"/>
        </w:rPr>
        <w:footnoteReference w:id="347"/>
      </w:r>
      <w:r>
        <w:rPr>
          <w:rFonts w:ascii="IRNazanin" w:hAnsi="IRNazanin" w:eastAsia="IRNazanin"/>
          <w:color w:val="111111"/>
          <w:sz w:val="28"/>
          <w:sz w:val="28"/>
          <w:szCs w:val="28"/>
          <w:rtl w:val="true"/>
          <w:lang w:bidi="fa-IR"/>
        </w:rPr>
        <w:t>، واللطیف فی الروایة ورود لفظة الحیر وفیه إشارة لهذه المعجزة الباهرة إذن</w:t>
      </w:r>
    </w:p>
    <w:p>
      <w:pPr>
        <w:pStyle w:val="BookText"/>
        <w:rPr/>
      </w:pPr>
      <w:r>
        <w:rPr>
          <w:rFonts w:ascii="IRNazanin" w:hAnsi="IRNazanin" w:eastAsia="IRNazanin"/>
          <w:color w:val="111111"/>
          <w:sz w:val="28"/>
          <w:sz w:val="28"/>
          <w:szCs w:val="28"/>
          <w:rtl w:val="true"/>
          <w:lang w:bidi="fa-IR"/>
        </w:rPr>
        <w:t>الروایات عدیدة فی فضل زیارته علیه السلام والحثّ والأمر بها فی تلک الظروف الصعبة المحفوفة بالمخاطر والملیئة بالمصاعب والشدائد، ونضیف ذکر بعض هذه الروایات علاوةً علی ما مضی، للاستدلال علی شدّة هذا الأمر وأهمّیّته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وهب المعروفة وهذه الروایة لها عدّة أسانید، اثنان منها صحیحان</w:t>
      </w:r>
      <w:r>
        <w:rPr>
          <w:rStyle w:val="FootnoteAnchor"/>
          <w:rtl w:val="true"/>
        </w:rPr>
        <w:footnoteReference w:id="348"/>
      </w:r>
      <w:r>
        <w:rPr>
          <w:rFonts w:ascii="IRNazanin" w:hAnsi="IRNazanin" w:eastAsia="IRNazanin"/>
          <w:color w:val="111111"/>
          <w:sz w:val="28"/>
          <w:sz w:val="28"/>
          <w:szCs w:val="28"/>
          <w:rtl w:val="true"/>
          <w:lang w:bidi="fa-IR"/>
        </w:rPr>
        <w:t>، المتضمّنة لدعاء الصادق علیه السلام المعروف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علی أبی عبد الله علیه السلام فقیل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فوجدته فی مصلاّه، فجلست حتّی قضی صلاته فسمعته وهو یناجی ربّه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خصّنا بالکرامة وخصّنا بالوصیّة، وواعدنا الشفاعة، وأعطانا عِلمَ ما مضی وما بقی، وجعل أفئدةً من الناس تهوی إلینا اغفرلی ولأخوانی، ولزوّار قبر أبی الحسین علیه السلام الذین أنفقوا أموالهم وأشخصوا أبدانهم رغبةً فی بِرّنا، ورجاءً لما عندک فی صِلتنا، وسروراً أدخلوه علی نبیّک صواتک علیه وعلیهم</w:t>
      </w:r>
      <w:r>
        <w:rPr>
          <w:rStyle w:val="FootnoteAnchor"/>
          <w:rtl w:val="true"/>
        </w:rPr>
        <w:footnoteReference w:id="349"/>
      </w:r>
      <w:r>
        <w:rPr>
          <w:rFonts w:ascii="IRNazanin" w:hAnsi="IRNazanin" w:eastAsia="IRNazanin"/>
          <w:color w:val="111111"/>
          <w:sz w:val="28"/>
          <w:sz w:val="28"/>
          <w:szCs w:val="28"/>
          <w:rtl w:val="true"/>
          <w:lang w:bidi="fa-IR"/>
        </w:rPr>
        <w:t>وإجابةً منهم لأمرنا، وغیظاً أدخلوه علی عدوّنا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بذلک رِضاک، فَکافِهم عنّا بالرضوان، واکْلَأْهُم باللیل والنَهار، واخْلُف علی أهالیهم وأولادهم الذین خلّفوا بأحسن الخَلف، واصحبهم واکفِهم شرّ کلّ جبار عنید</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دلالة واضحة، بأنّ زیارة الحسین علیه السلام مشروعة فی ظروف الخوف وعدم الأمن ومعرضیة التلف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واکْفِهِم شرَّ کلّ جبّار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زیارة الحسین علیه السلام فی تلک الأزمنة، وأنّها مع ذلک مشروعة وإن کان یحتمل بسببها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أعداءنا عابوا علیهم خروجهم، فلم ینههم ذلک عن شخوصهم، وخلافاً منهم علی من خالفونا فارحم تلک الوجوه التی غیّرتها الشمس وارحَم تلک الخدود التی تَقلّبت علی حُفرة أبی عبد الله وارحَم تلک الأعین التی جَرت دموعها رحمةً لنا وارحم تلک القلوب التی جزعت واحترقت لنا</w:t>
      </w:r>
      <w:r>
        <w:rPr>
          <w:rStyle w:val="FootnoteAnchor"/>
          <w:rtl w:val="true"/>
        </w:rPr>
        <w:footnoteReference w:id="351"/>
      </w:r>
      <w:r>
        <w:rPr>
          <w:rFonts w:ascii="IRNazanin" w:hAnsi="IRNazanin" w:eastAsia="IRNazanin"/>
          <w:color w:val="111111"/>
          <w:sz w:val="28"/>
          <w:sz w:val="28"/>
          <w:szCs w:val="28"/>
          <w:rtl w:val="true"/>
          <w:lang w:bidi="fa-IR"/>
        </w:rPr>
        <w:t>وارحم الصرخة التی کانت لنا، اللهمّ إنّی استودعک تلک الأنفس وتلک الأبدان حتّی توافیهم الحوض یوم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وهو ساجد یدعو بهذا الدعاء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هذا الذی سمعتُ منک کان لمن لا یعرف الله لظننتُ أنّ النار لا تطعم منه شیئاً والله إنّی قد تمنّیت أنّی کنت زرتُه ولم أحجّ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أقربک منه، فما الذی یمنعک من زیارته؟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معاویة، لِمَ تدع ذلک؟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أنّ الأمر یبلغ هذا کلّه قال علیه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معاویة، إنّ مَن یدعو لزوّار الحسین علیه السلام فی السماء أکثر ممّن یبلغ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لا تدعه، فمَن ترکه رأی مِن الحسرة ما یتمنّی أنّ قبره کان عنده، أما تحبّ أن یری الله شخصَک وسوادَک فیمن یدعو له رسولُ الله صلی الله علیه وآله وسلم وعلیٌّ وفاطمة والأئمّة علیهم السلام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عقد صاحب الوسائل باباً آخراً وهو باب شدّة استحباب زیارة الحسین علیه السلام عند الخوف وکذلک صاحب کامل الزیارات وقد ذکرنا بعض تلک الروایات فیما مضی من البحث</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روایات خاصة لانتداب زیارته عند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فی هذا الباب، تتضمّن تأنیب الإمام الصادق علیه السلام أصحابه لعدم الزیارة، مع أنهم یتعذّرون بالخوف، ومع ذلک یؤنّبهم علی ترک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جُملة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الشعائر الحسینیّة أهمّ بکثیر من الضرر الشخصیّ سواء تلف العضو، بل تلف النفس، لشدّة أهمیة الملاک فی حکم الشعائر الحسینیّة والوجه بیّن فی ذلک، حیث إنّ شعائره علیه السلام یُعتبر بقاءاً للدین الحنیف، وأنّ فی جملة من الروایات دلالة علی أنّ زیارة الحسین علیه السلام أعظم ثواباً من الحجّ ویقول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أنّی أکره أن یَدع الناس الحجّ، لحدّثْتُک بحدیثٍ لا تدع زیارة قبر الحسین علیه السلام أبداً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صاحب الوسائل فی أبواب المزار فی باب استحباب اختیار زیارة الحسین علیه السلام علی الحجّ والعُمرة المندوبَین</w:t>
      </w:r>
      <w:r>
        <w:rPr>
          <w:rStyle w:val="FootnoteAnchor"/>
          <w:rtl w:val="true"/>
        </w:rPr>
        <w:footnoteReference w:id="356"/>
      </w:r>
      <w:r>
        <w:rPr>
          <w:rFonts w:ascii="IRNazanin" w:hAnsi="IRNazanin" w:eastAsia="IRNazanin"/>
          <w:color w:val="111111"/>
          <w:sz w:val="28"/>
          <w:sz w:val="28"/>
          <w:szCs w:val="28"/>
          <w:rtl w:val="true"/>
          <w:lang w:bidi="fa-IR"/>
        </w:rPr>
        <w:t>وأبواب أخری روایات کثیرة تبلغ حدّ</w:t>
      </w:r>
    </w:p>
    <w:p>
      <w:pPr>
        <w:pStyle w:val="BookText"/>
        <w:rPr/>
      </w:pPr>
      <w:r>
        <w:rPr>
          <w:rFonts w:ascii="IRNazanin" w:hAnsi="IRNazanin" w:eastAsia="IRNazanin"/>
          <w:color w:val="111111"/>
          <w:sz w:val="28"/>
          <w:sz w:val="28"/>
          <w:szCs w:val="28"/>
          <w:rtl w:val="true"/>
          <w:lang w:bidi="fa-IR"/>
        </w:rPr>
        <w:t>الاستفاضة أو أدنی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ذهب جُملة من الأعلام فی مسألة ما إذا نذر زیارة الحسین علیه السلام یوم عرفة ثمّ حدثت له الاستطاعة ودار الأمر بین الحجّ والوفاء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بقاء استطاعة الحج ومشروعیة النذر ورجحانه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تقدیم الزیارة المنذورة؛ منهم صاحب الجواهر والسیّد الیزدی، حیث قالوا بأن نذر زیارة الحسین علیه السلام یوم عَرَفة یُقدّم علی الحجّ الواجب ووجوب النذر ههنا یقدّم علی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والتقدیم لخصوص هذا النذر، وقد تمسّک السیّد فی العروة بأنّ الروایات الواردة فی فضل زیارة الحسین علیه السلام یظهر منها أهمیّة المِلاک؛ 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الشعائر الحسینیّة یفوق فی الأهمیّة ملاکات أحکامٍ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فی ذلک أنّ باب الشعائر الحسینیّة علیه السلام هو باب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یُنادَ بشی‌ءٍ کما نودی بالولایة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لاسیما ما فی بعض الروایات</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الأمر وسنامه، ومفتاحه، وباب الأشیاء ورضی الرحمن، الطاعة للإمام بعد معرفته، أما لو أنّ رجلاً قام لیلَه، وصام نهارَه، وتصدّق بجمیع ماله وحجّ جمیع دهره، ولم یعرف ولیَّ اللَّه فیُوالیه، وتکون جمیع أعماله بدلالته إلیه، ما کان له علی اللَّه حقّ فی ثوابه، ولا کان من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الولایة هی ولایة الله تعالی وولایة رسوله صلی الله علیه وآله وسلم والأئمة علیهم السلام فی قبال بقیة أرکان وفروع الدین فعظمة شعائر الحسین علیه السلام هی من عظمة ولایته علیه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للقارئ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آخر علی أهمیّة ملاک الشعائر الحسینیة،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جملة من الأدلة والروایات أنّ شعائر الحسین علیه السلام ممّا یجب إقامتها فی الجملة کما هو حال جملة من شعائر أرکان الدین، کالتظاهر بجماعات الصلاة ولواحق ذلک والحجّ وغیرهما، ویظهر ذلک فی العدید من الروایات التی مرّت الإشارة إلیها، والتی جمعها صاحب الوسائل فی أبواب المزار نظیر ما ورد فی الحجّ، أنّ الناس لو ترکوا الحجّ لعُوجلوا بالنقمة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یدفع بمن یصلّی من شیعتنا عمّن لا یصلّی من شیعتنا، ولو أجمعوا علی ترک الصلاة لهلکوا؛ وإنّ الله یَدفع بمَن یُزکّی من شیعتنا عمّن لا یزکّی من شیعیتنا، ولو أجمعوا علی ترک الزکاة لهلکوا؛ وإنّ الله لیدفع بمَن یحجّ من شیعتنا عمّن لا یحجّ من شیعتنا، ولو أجمعوا علی ترک الحجّ لهلکوا؛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359"/>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الحسین الأحمس،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ترک النّاسُ الحجَّ لما نوظروا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لنزل علیهم العذاب</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 حماد وموثق سدیر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وغیرهما من الأحادیث</w:t>
      </w:r>
      <w:r>
        <w:rPr>
          <w:rStyle w:val="FootnoteAnchor"/>
          <w:rtl w:val="true"/>
        </w:rPr>
        <w:footnoteReference w:id="364"/>
      </w:r>
      <w:r>
        <w:rPr>
          <w:rFonts w:ascii="IRNazanin" w:hAnsi="IRNazanin" w:eastAsia="IRNazanin"/>
          <w:color w:val="111111"/>
          <w:sz w:val="28"/>
          <w:sz w:val="28"/>
          <w:szCs w:val="28"/>
          <w:rtl w:val="true"/>
          <w:lang w:bidi="fa-IR"/>
        </w:rPr>
        <w:t xml:space="preserve">فهذه الشعیرة یجب أن تظلّ دائماً نابضة ومُستمرّة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روایات عدیدة فی أوائل أبواب وجوب الحجّ، فی الوسائل، وکذلک من الروایات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الناسَ لو ترکوا حجَّ هذا البیت لنزل بهم العذاب وما نوظروا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النحو من الوعید والإنذار ورد نظیره فی أدلة زیارات الحسین علیه السلام، وفی الشعائر الحسینیّة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ترک زیارته أو مَنْ جفاه عوجل بالنقمة، أو عوجل بالبلیّة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مَن ترک الزیارة له علیه السلام من غیر علّة فهو من أهل النار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یموت قبل أَجَله بثلاثین سنة</w:t>
      </w:r>
      <w:r>
        <w:rPr>
          <w:rStyle w:val="FootnoteAnchor"/>
          <w:rtl w:val="true"/>
        </w:rPr>
        <w:footnoteReference w:id="367"/>
      </w:r>
      <w:r>
        <w:rPr>
          <w:rFonts w:ascii="IRNazanin" w:hAnsi="IRNazanin" w:eastAsia="IRNazanin"/>
          <w:color w:val="111111"/>
          <w:sz w:val="28"/>
          <w:sz w:val="28"/>
          <w:szCs w:val="28"/>
          <w:rtl w:val="true"/>
          <w:lang w:bidi="fa-IR"/>
        </w:rPr>
        <w:t>کما فی صحیح 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Style w:val="FootnoteAnchor"/>
          <w:rtl w:val="true"/>
        </w:rPr>
        <w:footnoteReference w:id="368"/>
      </w:r>
      <w:r>
        <w:rPr>
          <w:rFonts w:ascii="IRNazanin" w:hAnsi="IRNazanin" w:eastAsia="IRNazanin"/>
          <w:color w:val="111111"/>
          <w:sz w:val="28"/>
          <w:sz w:val="28"/>
          <w:szCs w:val="28"/>
          <w:rtl w:val="true"/>
          <w:lang w:bidi="fa-IR"/>
        </w:rPr>
        <w:t>عنبسة بن مصعب، أنّ مَن ترک زیارة الحسین علیه السلام مُنتقَص الإیمانَ مُنتقَص الدین؛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زیارته حقٌّ من حقوق رسول الله صلی الله علیه وآله وسلم؛ وإنّ حقّ الحسین علیه السلام فریضةٌ من الله تعالی واجبة علی کلّ مسلم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 إلی أمّ سعید الأحمسیّة، عنه علیه السلام</w:t>
      </w:r>
      <w:r>
        <w:rPr>
          <w:rFonts w:eastAsia="IRNazanin" w:cs="IRNazanin"/>
          <w:color w:val="111111"/>
          <w:sz w:val="28"/>
          <w:szCs w:val="28"/>
          <w:rtl w:val="true"/>
          <w:lang w:bidi="fa-IR"/>
        </w:rPr>
        <w:t>:</w:t>
      </w:r>
      <w:bookmarkStart w:id="581" w:name="pg2944_24688"/>
    </w:p>
    <w:p>
      <w:pPr>
        <w:pStyle w:val="BookText"/>
        <w:rPr/>
      </w:pPr>
      <w:bookmarkEnd w:id="581"/>
      <w:r>
        <w:rPr>
          <w:rFonts w:ascii="IRNazanin" w:hAnsi="IRNazanin" w:eastAsia="IRNazanin"/>
          <w:color w:val="111111"/>
          <w:sz w:val="28"/>
          <w:sz w:val="28"/>
          <w:szCs w:val="28"/>
          <w:rtl w:val="true"/>
          <w:lang w:bidi="fa-IR"/>
        </w:rPr>
        <w:t>إنّ زیارة الحسین علیه السلام واجبة علی الرجال والنساء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علی شیعتنا بالمواثیق زیارتنا کلّ عام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بمثل هذه التعبیرات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الفریضة قد ورد فی الروایات وکذلک أنّ زیارته فریضة علی النساء، وورد</w:t>
      </w:r>
      <w:r>
        <w:rPr>
          <w:rStyle w:val="FootnoteAnchor"/>
          <w:rtl w:val="true"/>
        </w:rPr>
        <w:footnoteReference w:id="37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تزور الحسین علیه السلام من دون محرم کما هو حکم النساء فی فریضة الحجّ إذ لیس من شرط الاستطاعة علی المرأة ذهابها مع المحرم، بل یجوز لها أن تذهب بدون محرم إذا أمنت الرفقة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تشابه کبیر بین لسان أدلّة شعیرة الحجّ وبین لسان أدلّة شعیرة زیارة الحسین علیه السلام</w:t>
      </w:r>
      <w:r>
        <w:rPr>
          <w:rFonts w:eastAsia="IRNazanin" w:cs="IRNazanin"/>
          <w:color w:val="111111"/>
          <w:sz w:val="28"/>
          <w:szCs w:val="28"/>
          <w:rtl w:val="true"/>
          <w:lang w:bidi="fa-IR"/>
        </w:rPr>
        <w:t>.</w:t>
      </w:r>
    </w:p>
    <w:p>
      <w:pPr>
        <w:pStyle w:val="Heading5"/>
        <w:numPr>
          <w:ilvl w:val="4"/>
          <w:numId w:val="1"/>
        </w:numPr>
        <w:rPr/>
      </w:pPr>
      <w:bookmarkStart w:id="582" w:name="__RefHeading___Toc110832_2749589250"/>
      <w:bookmarkStart w:id="583" w:name="_Toc218"/>
      <w:bookmarkEnd w:id="582"/>
      <w:r>
        <w:rPr>
          <w:rtl w:val="true"/>
        </w:rPr>
        <w:t>أرکان الشریعة الإسلامیة</w:t>
      </w:r>
      <w:bookmarkEnd w:id="583"/>
    </w:p>
    <w:p>
      <w:pPr>
        <w:pStyle w:val="BookText"/>
        <w:rPr/>
      </w:pPr>
      <w:r>
        <w:rPr>
          <w:rFonts w:ascii="IRNazanin" w:hAnsi="IRNazanin" w:eastAsia="IRNazanin"/>
          <w:color w:val="111111"/>
          <w:sz w:val="28"/>
          <w:sz w:val="28"/>
          <w:szCs w:val="28"/>
          <w:rtl w:val="true"/>
          <w:lang w:bidi="fa-IR"/>
        </w:rPr>
        <w:t>هذا لسان آخر وعلی ضوء هذا الشاهد الذی ذکرناه، استظهاراً من الأدلّة، وذهب جملة من أساطین المذهب وعلمائه من الفقهاء أو المحدّثین أو المتکلّمین الإمامیّة إلی أنّ فی الشریعة الإسلامیّة ثلاثة معالم رُکنیّة عمادیّة، کَتب الله المحافظة علیها وعدم انطماسها وأنّ فیها بقاء الدین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کما هو لسان الروایات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وبیت علی وفاطمة وولداهما من أعظمها کما فی روایات الفریقَین</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الثعلبی إلی أنس وبریدة أنها بیوت الأنبیاء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بیت علی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وکالنبویّ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مِصباحُ الهُدی وسفینةُ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وتوبیخ العقیلة الکبری علیها السلام فی خطابها لیزید لعنه الله فی قصره بالشّام حیث قالت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لن تمحو ذکرنا، ولا تُمیت وَحْیَنا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قالته العقیلة علیها السلام لابن أخیها الإمام زین العابدین علیه السلام عند رؤیة جثمان أبیه وجثث أهل بیته وأصحابه منبوذة بالعراء بلا 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أرک تجود بنفسک یا بقیة جدّی وأخوتی، فو الله إنّ هذا لَعهدٌ من الله إلی جدّک وأبیک، ولقد أخذ الله میثاق اناس لا تعرفهم فراعنة هذه الأرض، وهم معروفون فی أهل السماوات، إنّهم یجمعون هذه الأعضاء المقطّعة والجسوم المضرّجة فیوارونها، وینصبون بهذا الطفّ علماً لقبر أبیک سیّد الشّهداء، لا یدرس أثره، ولا یمحی رسمه علی کرور اللّیالی والأیّام، ولیجهدنّ أئمة الکفر وأشیاع الضلال فی محوه وطمسه فلا یزداد أثره إلاّعلواً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المعالم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وشعیرة الحجّ والمسجد الحرام، والشعائر الحسینیّة علیه السلام هذه المعالم الأرکان، عبارة أخری عن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الاستدال علی رکنیّة هذه الأمور فی الدین الإسلامی بصحیحة عبد الله بن سنان، عن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وجلّ حرمات ثلاثاً لیس مثلهنّ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کتابه وهو حکمته ونوره؛ وبیته الذی جعله قبلة للناس لا یقبل من أحد توجهاً إلی غیره، وعترة نبیّکم صلی الله علیه وآله وسلم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أثافیّ الإسلام، لا یفرّط الله سبحانه وتعالی بها قضاءً وقدراً فی الإرادة التکوینیّة ولا فی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بنی عدّة من فقهاء الإمامیّة علی أنّ شعائر الإمام الحسین علیه السلام هی فی درجة الأهمیّة والملاک بهذه المثابة کما أنّ قدسیّة وعظمة القرآن مستلزمة لبقاء القرآن، حیث إنّ قدسیّته بمکان من الأهمیّة والتقدیر والتفوّق، کذلک الحال فی شعائر الإمام الحسین علیه السلام، التی هی نبراس وسؤدد، وهی العلامة الکبری لولایة أهل البیت علیهم السلام فهذه وجوه عدیدة تُذکر، والمتصفّح لبقیة الروایات فی هذا الباب، یستطیع أن یستخلص شواهد أخری بأسانید لروایات أخری دالّة علی عِظم ملاک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یری البعض بأن الشعائر الحسینیّة هی من سنخ الواجب الکفائی، کفریضة الحج بحیث لو عُطّل الحج فینبغی تمویله من بیت المال</w:t>
      </w:r>
      <w:r>
        <w:rPr>
          <w:rStyle w:val="FootnoteAnchor"/>
          <w:rtl w:val="true"/>
        </w:rPr>
        <w:footnoteReference w:id="381"/>
      </w:r>
      <w:r>
        <w:rPr>
          <w:rFonts w:ascii="IRNazanin" w:hAnsi="IRNazanin" w:eastAsia="IRNazanin"/>
          <w:color w:val="111111"/>
          <w:sz w:val="28"/>
          <w:sz w:val="28"/>
          <w:szCs w:val="28"/>
          <w:rtl w:val="true"/>
          <w:lang w:bidi="fa-IR"/>
        </w:rPr>
        <w:t>، وکزیارة النبی الأکرم صلی الله علیه وآله وسلم فإذا عطّلت فینبغی علی الحاکم أن یتصدّی لإقامتها</w:t>
      </w:r>
      <w:r>
        <w:rPr>
          <w:rStyle w:val="FootnoteAnchor"/>
          <w:rtl w:val="true"/>
        </w:rPr>
        <w:footnoteReference w:id="382"/>
      </w:r>
      <w:r>
        <w:rPr>
          <w:rFonts w:ascii="IRNazanin" w:hAnsi="IRNazanin" w:eastAsia="IRNazanin"/>
          <w:color w:val="111111"/>
          <w:sz w:val="28"/>
          <w:sz w:val="28"/>
          <w:szCs w:val="28"/>
          <w:rtl w:val="true"/>
          <w:lang w:bidi="fa-IR"/>
        </w:rPr>
        <w:t>، وکذلک کضرورة إعمار الحرمین بالسکان فإذا خلت مکة والمدینة من الساکنین، یجب علی الوالی أن یموّل ویبذل من بیت المال لأجل إعمارها بالسّکان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هذا الأمر بحذافیره فی فریضة الشعائر الحسینیّة علی نحو الواجب الکفائی، بحیث لو عُطّلت فی ظرف من الظروف، فعلی الحاکم الشرعی أن یتحمّل مسؤولیّة إقامتها وتمویل إحیائها بالشکل المناسب من بیت المال</w:t>
      </w:r>
      <w:r>
        <w:rPr>
          <w:rFonts w:eastAsia="IRNazanin" w:cs="IRNazanin"/>
          <w:color w:val="111111"/>
          <w:sz w:val="28"/>
          <w:szCs w:val="28"/>
          <w:rtl w:val="true"/>
          <w:lang w:bidi="fa-IR"/>
        </w:rPr>
        <w:t>.</w:t>
      </w:r>
      <w:bookmarkStart w:id="584" w:name="pg2944_24692"/>
    </w:p>
    <w:p>
      <w:pPr>
        <w:pStyle w:val="Heading4"/>
        <w:numPr>
          <w:ilvl w:val="3"/>
          <w:numId w:val="1"/>
        </w:numPr>
        <w:rPr/>
      </w:pPr>
      <w:bookmarkStart w:id="585" w:name="__RefHeading___Toc110834_2749589250"/>
      <w:bookmarkStart w:id="586" w:name="_Toc219"/>
      <w:bookmarkEnd w:id="584"/>
      <w:bookmarkEnd w:id="585"/>
      <w:r>
        <w:rPr>
          <w:rtl w:val="true"/>
        </w:rPr>
        <w:t>تفصیل الوجه الثالث</w:t>
      </w:r>
      <w:bookmarkEnd w:id="586"/>
    </w:p>
    <w:p>
      <w:pPr>
        <w:pStyle w:val="BookText"/>
        <w:rPr/>
      </w:pPr>
      <w:r>
        <w:rPr>
          <w:rFonts w:ascii="IRNazanin" w:hAnsi="IRNazanin" w:eastAsia="IRNazanin"/>
          <w:color w:val="111111"/>
          <w:sz w:val="28"/>
          <w:sz w:val="28"/>
          <w:szCs w:val="28"/>
          <w:rtl w:val="true"/>
          <w:lang w:bidi="fa-IR"/>
        </w:rPr>
        <w:t>مرّ بنا أنّ الهلکة أو التلف أو النقصان إنّما یصدق إذا ذهب التلف هدراً أو یضیع النقصان سدیً ومن دون أی نتیجة أو ثمرة، أما إذا کان هناک ثمرة من ذلک التلف والضرر، فلیس من باب إلقاء النفس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المقام تخصّصاً وموضوعاً عن الضرر وذلک بالإلتفات إلی ما حُرّر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شمولها لجملة من الأبواب والأحکام الأوّلیّة، کالجهاد والخمس والزکاة ونحوها ممّا یتراءی فی الوهلة الأولی أنها ضرریّة؛ فإنّ آیات الجهاد، لا یُقال أنّها مخصِّصة 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لا یُتوهّم شمول النهی لموارد الجهاد، وأنّ أدلة الجهاد مخصِّصة لها لا یصحّ تقریر الظاهر من الدلیلَین بهذه الصورة، لأنّ المراد من الإلقاء فی التهلکة هو الإلقاء سدیً وبدون نتیجة وبلا طائل بخلاف ما إذا کانت هناک غایة فضیلیّة مترتّبة علی إلقاء النفس فی فعل یستوجب معرضیة التلف، ویشیر الی ذلک مناظرة النبیّ یعقوب علیه السلام مع أبنائه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تَفْتَأُ تَذْکُرُ یُوسُفَ حَتَّی تَکُونَ حَرَضًا أَوْ تَکُونَ مِنَ 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أنّه ردّ علی دعواهم فی کَون شدّة الحزن وطول البکاء هلکة، وأنّ تطبیقهم الهلکة علیهما هو بسبب جهلهم وفی الموضوع عنوان آخر وموقف آخر إلاّأنهم یجهلون</w:t>
      </w:r>
    </w:p>
    <w:p>
      <w:pPr>
        <w:pStyle w:val="BookText"/>
        <w:rPr/>
      </w:pPr>
      <w:r>
        <w:rPr>
          <w:rFonts w:ascii="IRNazanin" w:hAnsi="IRNazanin" w:eastAsia="IRNazanin"/>
          <w:color w:val="111111"/>
          <w:sz w:val="28"/>
          <w:sz w:val="28"/>
          <w:szCs w:val="28"/>
          <w:rtl w:val="true"/>
          <w:lang w:bidi="fa-IR"/>
        </w:rPr>
        <w:t>ذلک، وهذا الجواب یقتضی أنّ الحزن الشدید والبکاء الطویل وإن أوجبا ابیضاض العینین قابلان لأن یتّصفا بالرجحان والغرض الکمالیّ، ویخرجان بذلک عن الهلکة المذمومة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الهَلکة وما شابهها إنّما تکون فی الموارد التی تذهب فیها النفس سدیً ولا یترتّب علیها نتیجة فضیلیّة ولا أثر سامٍ ومن ثمّ یُتأمّل فی التمسّک بالعموم فی موارد الغرض الراجح الفضیلیّ، لاسیّما مع ما ذَکرنا من حکم العقل من نفی الذمّ عمّن یُلقی نفسه فی معرضیّة التلف بداعی وبسبب الفعل الفضیلیّ، أو لفعل فضیلة ما، إذ لایذمّه العقل وتعبیر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عندی ملوماً بل یکون به جدیراً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فالهلکة المأخوذ فیها نحواً من القیود العقلیّة فی ماهیّتها، یتأمّل ویمنع صدقها فی مثل تلک الموارد فتکون تلک الموارد خارجة تخصّصاً ولیس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محصّل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الضرر والإضرار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إلیه المحقق النراقی فی 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کلّ نقصٍ یحدث فی المال أو فی البدن أو فی العرض، بل الذی لا یعوّض ففی المعاوضات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النقص مع العوض ضرراً، ولا یُسمّی مطلق فوات النفع ضرراً واذا أُطلق علیه فهو من باب المجاز والتوسّع، لا من باب الحقیقة بخلاف صرف رأس المال الذاهب سُدی من دون أن یعود علیه بأیّ فائدة، فیکون نقصاً مع عدم العوض</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أُثیر فی قاعدة الضرر وحرمته، أنّ الضرر هل هو النقص مع عدم العوض الدنیویّ أم عدم النفع الأخرویّ؟ ویُصرّ الشیخ النراقیّ رحمه الله علی أنّ الآیات العدیدة دالّة علی أنّ الخسران والربح، أو الانکسار والجبران لیس بلحاظ النشأة</w:t>
      </w:r>
    </w:p>
    <w:p>
      <w:pPr>
        <w:pStyle w:val="BookText"/>
        <w:rPr/>
      </w:pPr>
      <w:r>
        <w:rPr>
          <w:rFonts w:ascii="IRNazanin" w:hAnsi="IRNazanin" w:eastAsia="IRNazanin"/>
          <w:color w:val="111111"/>
          <w:sz w:val="28"/>
          <w:sz w:val="28"/>
          <w:szCs w:val="28"/>
          <w:rtl w:val="true"/>
          <w:lang w:bidi="fa-IR"/>
        </w:rPr>
        <w:t xml:space="preserve">الدنیویّة فقط، بل بلحاظ النشأة الأُخرویّة أیضاً، وأنّه ینبغی لحاظ الجبران الأخرویّ، أو الجبران العقلیّ، وأنّ النقص المتحمّل للغرض المحمود عقلاً لا یُعدّ ضرراً ثمّ یبنی علی هذا القول فی کثیر من الفروع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فالموارد التی بُحثت فی المقام لیست نقصاً بلا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إنّ الضرر هو النقص من دون جبرٍ وسواء کان الجبر دنیویّاً أو أخرویّاً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وجه ما قالوا فی عدم شمول قاعدة الضرر للضرر الأولیّ فی الأحکام الأوّلیّة وشمولها للضرر الطارئ، هو أنّ الأحکام الأوّلیّة المبنیّة علی المشقّة والحرج والضرر هو عوضیّة الملاک والمصالح الموجودة فی متعلّقات تلک الأحکام عن النقص والمشقّة الناجمة منها، وکذا الحال فی الشعائر الحسینیّة، فإنّ ماهیّة الشعیرة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مستفاد من الروایات المتواترة التی جمعت فی أبواب عدیدة ضمن مصادر معتبرة 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متقوّمة بالحزن والتفجّع والحماس، کما هی متقوّمة بالمعانی السامیة التی نهض من أجلها سیّد الشهداء علیه السلام، ومن الواضح أنّ الحزن والتفجّع بحماس فیه مکابدة وعناء وعبأ تحمّل روحیّ لاسیّما وأنّ هذا الصخب الروحیّ الممتزج بالحماس والمعانی الرافضة للظلم والمسار المنحرف للسلطة والحکم فی المسلمین یوجب بطبیعته قلق وخوف الحکومات، فتقوم بممانعة إقامة الشعائر الحسینیّة، وإنزال العقوبة بالشیعة فی طقوسهم فی عاشوراء وشهر محرم، کما حفل التاریخ بذلک منذ شهادة الحسین علیه السلام إلی یومنا وعصرنا الحاضر بل لم تفتأ المُناصرة بین الحکومات وبین الشیعة علی الشعائر الحسینیّة قائمة، سواء فی زیارته علیه السلام، أو فی المشی إلی زیارته، أو فی إقامة مراسم العزاء بأشکالها المختلفة أو فی غیر ذلک من مراسم وصور الشعائر الحسینیّة وهذا مما یؤکّد أنّ تشریع الشعائر الحسینیّة فی الشریعة المقدسة مبنی من أساسه علی المخاطرة والمکابدة والمجاهدة، ومن ثم یتضح وجه ما ذهب الیه المحقق المیرزا القمیّ فی جامع الشتات من إدراج الشعائر الحسینیّة فی باب الجهاد،</w:t>
      </w:r>
    </w:p>
    <w:p>
      <w:pPr>
        <w:pStyle w:val="BookText"/>
        <w:rPr/>
      </w:pPr>
      <w:r>
        <w:rPr>
          <w:rFonts w:ascii="IRNazanin" w:hAnsi="IRNazanin" w:eastAsia="IRNazanin"/>
          <w:color w:val="111111"/>
          <w:sz w:val="28"/>
          <w:sz w:val="28"/>
          <w:szCs w:val="28"/>
          <w:rtl w:val="true"/>
          <w:lang w:bidi="fa-IR"/>
        </w:rPr>
        <w:t>وعلی ضوء ذلک یتبیّن عدم شمول قاعدة الضرر لأبواب الشعائر الحسینیّة التی شرعّت فی أصلها کباب الجهاد ونحوه علی تحمّل الضرر والمشقّة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النقص الذی یُشاهَد فی الشعائر الحسینیّة بهذا المقدار</w:t>
      </w:r>
      <w:r>
        <w:rPr>
          <w:rStyle w:val="FootnoteAnchor"/>
          <w:rtl w:val="true"/>
        </w:rPr>
        <w:footnoteReference w:id="385"/>
      </w:r>
      <w:r>
        <w:rPr>
          <w:rFonts w:ascii="IRNazanin" w:hAnsi="IRNazanin" w:eastAsia="IRNazanin"/>
          <w:color w:val="111111"/>
          <w:sz w:val="28"/>
          <w:sz w:val="28"/>
          <w:szCs w:val="28"/>
          <w:rtl w:val="true"/>
          <w:lang w:bidi="fa-IR"/>
        </w:rPr>
        <w:t>هو لیس من الضرر شرعاً، بل ولا عند العقلاء، نظیر جرح الشخص نفسه لإخراج الدم لأجل تحلیله طبیّاً، أو مثل الحجامة، التی ورد الحثّ علیها من طرق العامّة والخاصّة ورجحانها أمر ثابت وطبّیّاً أیضاً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فالبشر والعقلاء یمارسون العدید من التصرّفات الیسیرة فی البدن، من دون أن یحرّموها أو یمنعوها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هناک ثلاثة وجوه لدفع توهّم الضرر فی الشعائر الحسینیّة بأقسامها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بالنسبة إلی الجهة السادسة، وهی بحث الضرر المترتّب علی بعض الشعائر الحسینیّة</w:t>
      </w:r>
      <w:r>
        <w:rPr>
          <w:rFonts w:eastAsia="IRNazanin" w:cs="IRNazanin"/>
          <w:color w:val="111111"/>
          <w:sz w:val="28"/>
          <w:szCs w:val="28"/>
          <w:rtl w:val="true"/>
          <w:lang w:bidi="fa-IR"/>
        </w:rPr>
        <w:t>.</w:t>
      </w:r>
      <w:bookmarkStart w:id="587" w:name="pg2944_24697"/>
    </w:p>
    <w:p>
      <w:pPr>
        <w:pStyle w:val="Heading3"/>
        <w:numPr>
          <w:ilvl w:val="2"/>
          <w:numId w:val="1"/>
        </w:numPr>
        <w:rPr/>
      </w:pPr>
      <w:bookmarkStart w:id="588" w:name="__RefHeading___Toc110836_2749589250"/>
      <w:bookmarkStart w:id="589" w:name="_Toc220"/>
      <w:bookmarkEnd w:id="587"/>
      <w:bookmarkEnd w:id="588"/>
      <w:r>
        <w:rPr>
          <w:rtl w:val="true"/>
        </w:rPr>
        <w:t>الجهة السابعة</w:t>
      </w:r>
      <w:r>
        <w:rPr>
          <w:rtl w:val="true"/>
        </w:rPr>
        <w:t xml:space="preserve">: </w:t>
      </w:r>
      <w:r>
        <w:rPr>
          <w:rtl w:val="true"/>
        </w:rPr>
        <w:t>لُبس السواد حزناً علی الحسین علیه السلام</w:t>
      </w:r>
      <w:bookmarkEnd w:id="58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0" w:name="__RefHeading___Toc110838_2749589250"/>
      <w:bookmarkStart w:id="591" w:name="_Toc221"/>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بدایةً وردت روایات فی باب لباس المصلّی،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لبس السواد هو لباس الأعداء، ولباس أهل النار، ولباس بنی العبّاس، وفتوی أکثر الفقهاء علی کراهة لبس السواد خصوصاً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المحدّثین الإخباریین إلی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الفصل الأوّل أنّ اتّخاذ الشعیرة یکفی فیه الحلّیّة بالمعنی الأعمّ، فعلی افتراض کونه مکروهاً فإنّ ذلک لا یمنع من اتّخاذه شعیرة للحزن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الشعیرة الواردة فی الأدلّة لیست حقیقة شرعیّة، بل هی حقیقة عُرفیّة، فیمکن استحداث واتّخاذ ممارسة مصادیق ورسوم جدیدة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السواد إنّما یکون مشمولاً للکراهة إذا اتُّخذه لباساً، أمّا إذا اتُّخذ شعاراً لإظهار الحزن فهو غیر مشمول لتلک الکراهة فمن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کما نقلنا فی صدر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الحدائق</w:t>
      </w:r>
      <w:r>
        <w:rPr>
          <w:rStyle w:val="FootnoteAnchor"/>
          <w:rtl w:val="true"/>
        </w:rPr>
        <w:footnoteReference w:id="387"/>
      </w:r>
      <w:r>
        <w:rPr>
          <w:rFonts w:ascii="IRNazanin" w:hAnsi="IRNazanin" w:eastAsia="IRNazanin"/>
          <w:color w:val="111111"/>
          <w:sz w:val="28"/>
          <w:sz w:val="28"/>
          <w:szCs w:val="28"/>
          <w:rtl w:val="true"/>
          <w:lang w:bidi="fa-IR"/>
        </w:rPr>
        <w:t>والسیّد الیزدی</w:t>
      </w:r>
      <w:r>
        <w:rPr>
          <w:rStyle w:val="FootnoteAnchor"/>
          <w:rtl w:val="true"/>
        </w:rPr>
        <w:footnoteReference w:id="388"/>
      </w:r>
      <w:r>
        <w:rPr>
          <w:rFonts w:ascii="IRNazanin" w:hAnsi="IRNazanin" w:eastAsia="IRNazanin"/>
          <w:color w:val="111111"/>
          <w:sz w:val="28"/>
          <w:sz w:val="28"/>
          <w:szCs w:val="28"/>
          <w:rtl w:val="true"/>
          <w:lang w:bidi="fa-IR"/>
        </w:rPr>
        <w:t>، وعدّة من الفقهاء إلی عدم کراهة لُبس السواد حتّی فی الصلاة إذا کان لأجل إظهار الشعائر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والمسألة محررَة فی کتاب الصلاة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فالروایات الناهیة عن لبس السواد لیست متعرّضة لاتّخاذه کشعار ولأجل إظهار الأسی والحزن، نظیر ألبسة بعض الحرف والمهن أو المؤسّسات والدوائر، فإن الهیئة</w:t>
      </w:r>
    </w:p>
    <w:p>
      <w:pPr>
        <w:pStyle w:val="BookText"/>
        <w:rPr/>
      </w:pPr>
      <w:r>
        <w:rPr>
          <w:rFonts w:ascii="IRNazanin" w:hAnsi="IRNazanin" w:eastAsia="IRNazanin"/>
          <w:color w:val="111111"/>
          <w:sz w:val="28"/>
          <w:sz w:val="28"/>
          <w:szCs w:val="28"/>
          <w:rtl w:val="true"/>
          <w:lang w:bidi="fa-IR"/>
        </w:rPr>
        <w:t xml:space="preserve">الموحّدة فی اللباس لدیهم لیست زیّاً لباسیاً فی الحیاة المعتادة، بل الهیئة الموحّدة من اللون أو الشکل هی شعار یرمز إلی العمل الموحّد والانتساب المعیّن، ومن ثمّ أفتی جمهرة أعلام العصر بجواز لبس الأشخاص الذین یقومون بالشبیه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المسرحیّة لحادثة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الجنس الآخر، وأنّ ذلک لا یندرج فی عموم حُرمة تشبّه الرجال بالنساء أو العکس، ولا یندرج فی حرمة لبس الرجال للباس النساء، وذلک لظهور المتعلّق فی حکم الحرمة لما یُتّخذ لبساً فی الحیاة العادیة المعیشیّة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المتتبّع للسیرة یقرأ أنّ الأئمّة علیه السلام وأتباعهم ارتَدَوْا ولبسوا السواد من أجل إظهار الحزن والتفجّع، وذلک فی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ما فی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الحسنَین علیهما السلام لبسا السواد علی أبیهما فی الکوفة بعد شهادته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فی کتاب المحاسن للبرقیّ</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الفاطمیّات والعقائل بعد رجوعهن من کربلاء إلی المدینة لبسن السواد والمَسوح، وکان زین العابدین علیه السلام یطبخ لهم فذُکر فیه أنّ زین العابدین کان یطبخ ویُطعم النساء، لأنّهنّ شُغِلن بإقامة المأتم علی الحسین علیه السلام، ففیه نوع من تقریر المعصوم علیه السلام للبس السواد والمسوح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فی کتاب إقبال الأعمال للسیّد ابن طاووس</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فی فضیلة یوم الغدیر، حیث ورد فیه وهو یوم تنفیس الکرب، ویوم لبس الثیاب، ونزع السواد</w:t>
      </w:r>
      <w:r>
        <w:rPr>
          <w:rFonts w:eastAsia="IRNazanin" w:cs="IRNazanin"/>
          <w:color w:val="111111"/>
          <w:sz w:val="28"/>
          <w:szCs w:val="28"/>
          <w:rtl w:val="true"/>
          <w:lang w:bidi="fa-IR"/>
        </w:rPr>
        <w:t>.</w:t>
      </w:r>
      <w:bookmarkStart w:id="592" w:name="pg2944_24701"/>
    </w:p>
    <w:p>
      <w:pPr>
        <w:pStyle w:val="BookText"/>
        <w:rPr/>
      </w:pPr>
      <w:bookmarkEnd w:id="59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فی مستدرک الوسائل</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بسنده عن أبی ظبیان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علیّ علیه السلام، فی إزار أصفر وخمیصة</w:t>
      </w:r>
      <w:r>
        <w:rPr>
          <w:rStyle w:val="FootnoteAnchor"/>
          <w:rtl w:val="true"/>
        </w:rPr>
        <w:footnoteReference w:id="393"/>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بعد قلیل المزید من الأدلة المنقولة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العباس اتّخذوا السواد شعاراً لهم بادئ الأمر من أجل إظهار حزنهم علی الحسین علیه السلام، وجعلوه ذریعة للإنقضاض علی بنی امیّة مما یدلّ علی أنّ لبس السواد کان متّخذاً لإظهار الحزن والتفجّع عند العرف الاجتماعی آنذاک؛ وهو زمان حضور الأئمّة علیهم السلام وهذه الظاهرة یمکن التحقّق منها تاریخیّاً، وأنّ بنی العبّاس اتخذوا السواد شعاراً لهم ذریعةً وحیلةً فی أنّه حزنٌ علی مصاب سیّد الشهداء علیه السلام، وأنّهم قاموا بعنوان الثأر لسیّد الشهداء، وهو شعار الرضا من آل محمّد صلی الله علیه وآله وسلم، ولکن استغلّوا ذلک للتسلّط علی رقاب المؤمنین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تتعاضد هذه الوجوه وتدفع الریبة فی الکراهة وتؤید رجحان لبس السواد حزناً لأجل مصاب أهل البیت علیهم السلام والآن نقدّم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للقاری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 من الأدلة والمؤیّدات علی رجحان لبس السواد لإظهار الحزن والأسی علی سادات وأئمة الوری علیهم السلام</w:t>
      </w:r>
      <w:r>
        <w:rPr>
          <w:rFonts w:eastAsia="IRNazanin" w:cs="IRNazanin"/>
          <w:color w:val="111111"/>
          <w:sz w:val="28"/>
          <w:szCs w:val="28"/>
          <w:rtl w:val="true"/>
          <w:lang w:bidi="fa-IR"/>
        </w:rPr>
        <w:t>.</w:t>
      </w:r>
    </w:p>
    <w:p>
      <w:pPr>
        <w:pStyle w:val="Heading4"/>
        <w:numPr>
          <w:ilvl w:val="3"/>
          <w:numId w:val="1"/>
        </w:numPr>
        <w:rPr/>
      </w:pPr>
      <w:bookmarkStart w:id="593" w:name="__RefHeading___Toc110840_2749589250"/>
      <w:bookmarkStart w:id="594" w:name="_Toc222"/>
      <w:bookmarkEnd w:id="593"/>
      <w:r>
        <w:rPr>
          <w:rtl w:val="true"/>
        </w:rPr>
        <w:t>بعض الأدلة المنقولة فی لبس السواد</w:t>
      </w:r>
      <w:bookmarkEnd w:id="5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الحسنان السواد علی أبیهما بعد شهادته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الکوفة بعد قتل أمیر المؤمنین ورأیت الحسن والحسین علیهما السلام لابسی السواد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بعد شهادة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ثیاب سود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نساء بنی هاشم السواد والمسوح حزناً علی سیّد الشهدا علیه السلام کما ورد ذلک فی کتاب المحاسن للبرقی، بسنده عن عمر بن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لبسن نساء بنی هاشم السواد والمسوح، وکنّ لا یشتکین من حرّ ولا بَرد، وکان علی بن الحسین علیه السلام یعمل لهنّ الطعام للمأتم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ووجه الدلالة علی الاستحباب وعلی رفع الکراهة؛ هو أن ذلک الفعل کان بإمضائه وتقریر الإمام المعصوم علیه السلام، إضافة لدلالة الخبر علی أن لبس السواد هو من شعار الحزن والعزاء علی المفقود العزیز الجلیل من قدیم الزمان وسالف العصر والأوان، وکما هو المرسوم الیوم فی جمیع نقاط العالم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إقبال الاعمال</w:t>
      </w:r>
      <w:r>
        <w:rPr>
          <w:rStyle w:val="FootnoteAnchor"/>
          <w:rtl w:val="true"/>
        </w:rPr>
        <w:footnoteReference w:id="398"/>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فی فضیلة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تنفیس الکرب ویوم لبس الثیاب ونزع السواد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روی فی مستدرک الوسائل عن کتاب المحتضر للحسن بن سلیمان الحلّیّ بإسناده عن أحمد بن إسحاق، عن الإمام العسکریّ علیه السلام، عن آبائه علیهم السلام، عن رسول الله صلی الله علیه وآله وسلم فی فضیلة یوم التاسع من ربیع الأول، وأسامیه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نزع السواد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فی الشام علی قافلة سیّد الشهداء علیه السلام بعد ما أذن لهم یزید بالرجوع وطلبوا منه النوح علی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تبق هاشمیّة ولا قریشیّة إلاّ ولبست السواد علی الحسین وندبوه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بنت الحسین تری الزهراء علیها السلام فی المنام وهی تندب الحسین وعلیها ثیاب سود یذکر ذلک المحقّق النوری فی المستدرک حیث تقول سکینة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بخمس نسوة قد عظم الله خلقتهنّ، وزاد فی نورهنّ وبینهنّ امرأة عظیمة الخلقة ناشرة شعرها، وعلیها ثیاب سود، وبیدها قمیص مضمّخ بالدم إلی أن ذکرت أنها کانت فاطمة الزهرا علیها السلام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مقتل أبی مخنف</w:t>
      </w:r>
      <w:r>
        <w:rPr>
          <w:rStyle w:val="FootnoteAnchor"/>
          <w:rtl w:val="true"/>
        </w:rPr>
        <w:footnoteReference w:id="402"/>
      </w:r>
      <w:r>
        <w:rPr>
          <w:rFonts w:ascii="IRNazanin" w:hAnsi="IRNazanin" w:eastAsia="IRNazanin"/>
          <w:color w:val="111111"/>
          <w:sz w:val="28"/>
          <w:sz w:val="28"/>
          <w:szCs w:val="28"/>
          <w:rtl w:val="true"/>
          <w:lang w:bidi="fa-IR"/>
        </w:rPr>
        <w:t>، عندما أخبر نعمان بن بشیر بقتل الحسین علیه السلام، فلم یبق فی المدینة مُخدّرة إلاّ وبرزت من خدرها، ولبسوا السواد وصاروا یدعون بالویل والثبور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الدعائم</w:t>
      </w:r>
      <w:r>
        <w:rPr>
          <w:rStyle w:val="FootnoteAnchor"/>
          <w:rtl w:val="true"/>
        </w:rPr>
        <w:footnoteReference w:id="403"/>
      </w:r>
      <w:r>
        <w:rPr>
          <w:rFonts w:ascii="IRNazanin" w:hAnsi="IRNazanin" w:eastAsia="IRNazanin"/>
          <w:color w:val="111111"/>
          <w:sz w:val="28"/>
          <w:sz w:val="28"/>
          <w:szCs w:val="28"/>
          <w:rtl w:val="true"/>
          <w:lang w:bidi="fa-IR"/>
        </w:rPr>
        <w:t>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حِدادها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ثیابا مصبغة ولا تکتحل ولا تطیّب ولا تزیّن حتّی تنقضی عدتها، ولا بأس أن تلبس ثوباً مصبوغاً بسواد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أفتی بمضمونه الشیخ فی المبسوط</w:t>
      </w:r>
      <w:r>
        <w:rPr>
          <w:rStyle w:val="FootnoteAnchor"/>
          <w:rtl w:val="true"/>
        </w:rPr>
        <w:footnoteReference w:id="404"/>
      </w:r>
      <w:r>
        <w:rPr>
          <w:rFonts w:ascii="IRNazanin" w:hAnsi="IRNazanin" w:eastAsia="IRNazanin"/>
          <w:color w:val="111111"/>
          <w:sz w:val="28"/>
          <w:sz w:val="28"/>
          <w:szCs w:val="28"/>
          <w:rtl w:val="true"/>
          <w:lang w:bidi="fa-IR"/>
        </w:rPr>
        <w:t>والمحقّق فی الشرایع فی حداد الزوجة وفی الإیضاح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الصفّار فی بصائر الدرجات عن البزنطیّ، عن أبان بن عثمان، عن عیسی بن عبد الله وثابت، عن حنظلة،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 الله صلی الله علیه وآله وسلم یوماً بعد أن صلّی الفجر فی المسجد وعلیه قمیصة سوداء؛ وذکر علیه السلام أنّه توفّی صلی الله علیه وآله وسلم فی ذلک الیوم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سیرة ابن هشام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رسول الله صلی الله علیه وآله وسلم قمیصة سوداء حین اشتدّ به وجعه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w:t>
      </w:r>
      <w:r>
        <w:rPr>
          <w:rStyle w:val="FootnoteAnchor"/>
          <w:rtl w:val="true"/>
        </w:rPr>
        <w:footnoteReference w:id="407"/>
      </w:r>
      <w:r>
        <w:rPr>
          <w:rFonts w:ascii="IRNazanin" w:hAnsi="IRNazanin" w:eastAsia="IRNazanin"/>
          <w:color w:val="111111"/>
          <w:sz w:val="28"/>
          <w:sz w:val="28"/>
          <w:szCs w:val="28"/>
          <w:rtl w:val="true"/>
          <w:lang w:bidi="fa-IR"/>
        </w:rPr>
        <w:t>والدعائم</w:t>
      </w:r>
      <w:r>
        <w:rPr>
          <w:rStyle w:val="FootnoteAnchor"/>
          <w:rtl w:val="true"/>
        </w:rPr>
        <w:footnoteReference w:id="408"/>
      </w:r>
      <w:r>
        <w:rPr>
          <w:rFonts w:ascii="IRNazanin" w:hAnsi="IRNazanin" w:eastAsia="IRNazanin"/>
          <w:color w:val="111111"/>
          <w:sz w:val="28"/>
          <w:sz w:val="28"/>
          <w:szCs w:val="28"/>
          <w:rtl w:val="true"/>
          <w:lang w:bidi="fa-IR"/>
        </w:rPr>
        <w:t>بسنده عن سلیمان بن راشد،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 السلام وعلیه درّاعة سوداء وطیلسان ازرق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عیون الأخبار وفنون الآثار لعماد الدین إدریس القریشیّ</w:t>
      </w:r>
      <w:r>
        <w:rPr>
          <w:rStyle w:val="FootnoteAnchor"/>
          <w:rtl w:val="true"/>
        </w:rPr>
        <w:footnoteReference w:id="409"/>
      </w:r>
      <w:r>
        <w:rPr>
          <w:rFonts w:ascii="IRNazanin" w:hAnsi="IRNazanin" w:eastAsia="IRNazanin"/>
          <w:color w:val="111111"/>
          <w:sz w:val="28"/>
          <w:sz w:val="28"/>
          <w:szCs w:val="28"/>
          <w:rtl w:val="true"/>
          <w:lang w:bidi="fa-IR"/>
        </w:rPr>
        <w:t>عن أبی نعیم، بإسناده عن أمّ سلمة رضوان الله علیها، أنّها لمّا بلغها مقتل الإمام الحسین علیه السلام ضربت قبّة سوداء فی مسجد رسول الله صلی الله علیه وآله وسلم ولبست السواد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المجلسیّ فی البحار</w:t>
      </w:r>
      <w:r>
        <w:rPr>
          <w:rStyle w:val="FootnoteAnchor"/>
          <w:rtl w:val="true"/>
        </w:rPr>
        <w:footnoteReference w:id="410"/>
      </w:r>
      <w:r>
        <w:rPr>
          <w:rFonts w:ascii="IRNazanin" w:hAnsi="IRNazanin" w:eastAsia="IRNazanin"/>
          <w:color w:val="111111"/>
          <w:sz w:val="28"/>
          <w:sz w:val="28"/>
          <w:szCs w:val="28"/>
          <w:rtl w:val="true"/>
          <w:lang w:bidi="fa-IR"/>
        </w:rPr>
        <w:t>فیما جری علی أهل البیت علیهم السلام بعد واقعة کربلاء،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اخفضی صوتک فقد أبکیتِ رسول الله صلی الله علیه وآله وسلم، ثم أخذ الوصیف بیدی فأدخلنی</w:t>
      </w:r>
    </w:p>
    <w:p>
      <w:pPr>
        <w:pStyle w:val="BookText"/>
        <w:rPr/>
      </w:pPr>
      <w:r>
        <w:rPr>
          <w:rFonts w:ascii="IRNazanin" w:hAnsi="IRNazanin" w:eastAsia="IRNazanin"/>
          <w:color w:val="111111"/>
          <w:sz w:val="28"/>
          <w:sz w:val="28"/>
          <w:szCs w:val="28"/>
          <w:rtl w:val="true"/>
          <w:lang w:bidi="fa-IR"/>
        </w:rPr>
        <w:t>القصر فاذا بخمس نسوة قد عظّم الله تعالی خلقتهنّ وزاد فی نورهنّ وبینهنّ امرأة عظیمة الخلقة ناشرة شعرها وعلیها ثیاب سود، بیدها قمیص مضمخ بالدم، واذا قامت یقمن معها، واذا جلست جلسن معها، فقلت للوصیف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النسوة اللاتی قد عظّم الله خلقتهنّ؟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هذه حوّاء أم البشر، وهذه مریم بنت عمران، وهذه خدیجة بنت خویلد، وهذه هاجر، وهذه سارة، وهذه التی بیدها القمیص المضمخ وإذا قامت یقمن معها وإذا جلست یجلسن معها هی جدّتک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فی الغیبة بسنده إلی کامل بن إبراهیم أنّه دخل علی أبی محمّد الحسن العسکریّ علیه السلام، فنظر الی ثیاب بیاض ناعمة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الله وحجّته یلبس الناعم من الثیاب ویأمرنا نحن بمواساة الإخوان وینهانا عن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وحَسر عن ذراعیه فإذا مسح أسود خشن علی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وهذا لکم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الزیارات،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الذی جاء إلی رسول الله صلی الله علیه وآله وسلم وأخبره بقتل الحسین بن علی علیه السلام کان ملک البحار، وذلک أن ملکاً من ملائکة الفردوس نزل علی البحر فنشر أجنحته علیها ثم صاح صیحةً وقال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البحار ألبسوا أثواب الحزن فإن فرخ رسول الله صلی الله علیه وآله وسلم مذبوح</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595" w:name="pg2944_24707"/>
    </w:p>
    <w:p>
      <w:pPr>
        <w:pStyle w:val="Heading3"/>
        <w:numPr>
          <w:ilvl w:val="2"/>
          <w:numId w:val="1"/>
        </w:numPr>
        <w:rPr/>
      </w:pPr>
      <w:bookmarkStart w:id="596" w:name="__RefHeading___Toc110842_2749589250"/>
      <w:bookmarkStart w:id="597" w:name="_Toc223"/>
      <w:bookmarkEnd w:id="595"/>
      <w:bookmarkEnd w:id="596"/>
      <w:r>
        <w:rPr>
          <w:rtl w:val="true"/>
        </w:rPr>
        <w:t>الجهة الثامنة</w:t>
      </w:r>
      <w:r>
        <w:rPr>
          <w:rtl w:val="true"/>
        </w:rPr>
        <w:t xml:space="preserve">: </w:t>
      </w:r>
      <w:r>
        <w:rPr>
          <w:rtl w:val="true"/>
        </w:rPr>
        <w:t>ضرورة لعن أعداء الدین</w:t>
      </w:r>
      <w:bookmarkEnd w:id="5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110844_2749589250"/>
      <w:bookmarkStart w:id="599" w:name="_Toc224"/>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هناک جهة لاحقة أخری، وهی قضیة لعن أعداء الدین الواردة فی بعض الزیارات والأدعیة والمأثور من الأدلة والروایات وإدراجها ضمن الخطابة الحسینیّة أو الشعر أو النثر إذ یثیر البعض تساؤلات حول هذه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السبّ واللعن لا یناسب أخلاق المسلم فضلاً عن المؤمن، ویکشف عن الحقد، وهو من الأخلاق الذمیمة ولیس من الأخلاق الإسلامیة وهو انفعال عاطفیّ حادّ أو حماسیّ لا تدبّر فیه ولا تفکّر، نظیر بعض الإشکالات التی مرّت فی البکاء وقد ورد فی نهج البلاغة عن أمیر المؤمنین علیه السلام أنّه کان یوصی أصحابه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سبّابین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ولتحریر حقیقة الحال فی هذه الإثارات لابدّ من الالتفات إلی أنّ اللّعن لیس مطلقاً هو السبّ، بل ینطبق علی اللَّعن الابتدائیّ من دون موجب للّعن فیکون سبّاً نظیر ما یرتکبه بعض عوام الناس وغیر الملتزمین وأمّا إذا دُعی علی شخص بما یستحقّ الدعاء علیه، ونُسب له ما یوجب له أن یذکر به فهذا لا یُعدّ سبّاً بل هو إظهار لإنکار المُنکَر ویُعدّ فضیلة، ولا یُعدّ سبّاً وإنّما هو نوع من الحالة الطبیعیّة النفسیّة والاجتماعیّة فی الفطرة الإنسانیّة أو فی مجموع المجتمع، إذ هو تنفّر من المنکر ورفض القبیح فهل تقبیح القبیح یعتبر سبّاً؟؟ وبعبارة أخری أنّ من مقتضیات الفطرة الإلهیّة التی فطر الله الناس علیها لا تبدیل لخلق الله ذلک الدین القیّم، هو تقبیح القبیح والنفرة منه وتحسین الحسن والانجذاب إلیه، وهذه الفطرة الانسانیّة والعقلیّة تُحاذی فریضة وعقیدة التولّی</w:t>
      </w:r>
    </w:p>
    <w:p>
      <w:pPr>
        <w:pStyle w:val="BookText"/>
        <w:rPr/>
      </w:pPr>
      <w:r>
        <w:rPr>
          <w:rFonts w:ascii="IRNazanin" w:hAnsi="IRNazanin" w:eastAsia="IRNazanin"/>
          <w:color w:val="111111"/>
          <w:sz w:val="28"/>
          <w:sz w:val="28"/>
          <w:szCs w:val="28"/>
          <w:rtl w:val="true"/>
          <w:lang w:bidi="fa-IR"/>
        </w:rPr>
        <w:t>والتبرّی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 لأولیاء الله تعالی والتبرّی من أعدائه، حیث أمر بهما فی الکثیر من الآیات الکریمة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الظَّالِمِینَ بَعْضُهُمْ أَوْلِیَاءُ بَعْضٍ وَاللَّهُ وَلِیُّ الْمُتَّقِینَ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آیات التولّی والتبرّی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تعالی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یخفی علی اللبیب أنّ الحذر من اللعن لأعداء الله ورسوله هو فی الحقیقة تذویب لظاهرة التولیّ والتبرّی، ومسخ لفطرة الحسن والقبح، لتعود الفطرة والقلب منکوسَین قبال الباطل والضلال، فهذا التحسّس والحذر من اللعن ینطوی علی التنکّر لهُدی عترة النبیّ صلی الله علیه وآله وسلم، والمیل لضلال مخالفیهم، ومن الخطورة البالغة تمکن فیما إذا انتکس القلب ودبّ فیه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لعترة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تقبیح شخص بلا موجب ومن دون عمل صدر منه یقتضی ذلک یُعتبر سبّاً أمّا إذا صَدر منه ما هو قبیح واستنکرنا ذلک القبیح فلا یُعد فعلنا سبّاً ولیس بوقیعة بل هو حالة طبیعة الفطرة وهی إنکار للمنکر وإنّ إنکار المنکر یعتبر أمراً صحّیّاً، ویدلّ علی بقاء سلامة فطرة وتدیّن الإنسان والتزامه باعتقاداته وأمّا استحسان المنکر وعدم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قلباً وهو أضعف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منبوذ شرعاً وعقلاً، ویدلّ علی تبدّل لطبیعة الفطرة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فتقبیح القبیح لیس بسبّ، أوَ لیس ینبغی أن نتخلّق بالأخلاق والصفات الإلهیة؟ لاحظ مادة اللعن فی القرآن الکریم وردت مادة اللعن فی القرآن الکریم ما یقرب من الأربعین مورداً، والنبیّ الأکرم صلی الله علیه وآله وسلم إذا أرید مدحه یوصف بأنّ خُلقه کان خُلق القرآن فأفضل ما یتخلّق به الإنسان هو أخلاق القرآن وأخلاق الله عزّ وجلّ هذا من جهة، ومن جهة أخری أنّ النهی عن المنکر یعتبر من الفرائض الرُّکنیّة فی</w:t>
      </w:r>
      <w:bookmarkStart w:id="600" w:name="pg2944_24712"/>
    </w:p>
    <w:p>
      <w:pPr>
        <w:pStyle w:val="BookText"/>
        <w:rPr/>
      </w:pPr>
      <w:bookmarkEnd w:id="600"/>
      <w:r>
        <w:rPr>
          <w:rFonts w:ascii="IRNazanin" w:hAnsi="IRNazanin" w:eastAsia="IRNazanin"/>
          <w:color w:val="111111"/>
          <w:sz w:val="28"/>
          <w:sz w:val="28"/>
          <w:szCs w:val="28"/>
          <w:rtl w:val="true"/>
          <w:lang w:bidi="fa-IR"/>
        </w:rPr>
        <w:t>أبواب الفقه وأدنی مراتبه هو الإنکار القلبیّ والبراءة القلبیّة من المنکر والمرتبة الوسطی هو الإنکار اللسانیّ وهذا الحکم یتعلّق بموضوعه وهو المنکر مطلقاً، سواء کان المنکر السابق أم المنکر الحالی وهذا یستلزم البراءة من جمیع أعداء الله علی مرّ الدهور والعصور قلباً ولساناً؛ ومن أوضح مصادیق إنکار المنکر هو اللعن لأعداء الدین والمناوئین للأنبیاء والأولیاء والصالحین</w:t>
      </w:r>
      <w:r>
        <w:rPr>
          <w:rFonts w:eastAsia="IRNazanin" w:cs="IRNazanin"/>
          <w:color w:val="111111"/>
          <w:sz w:val="28"/>
          <w:szCs w:val="28"/>
          <w:rtl w:val="true"/>
          <w:lang w:bidi="fa-IR"/>
        </w:rPr>
        <w:t>.</w:t>
      </w:r>
    </w:p>
    <w:p>
      <w:pPr>
        <w:pStyle w:val="Heading4"/>
        <w:numPr>
          <w:ilvl w:val="3"/>
          <w:numId w:val="1"/>
        </w:numPr>
        <w:rPr/>
      </w:pPr>
      <w:bookmarkStart w:id="601" w:name="__RefHeading___Toc110846_2749589250"/>
      <w:bookmarkStart w:id="602" w:name="_Toc225"/>
      <w:bookmarkEnd w:id="601"/>
      <w:r>
        <w:rPr>
          <w:rtl w:val="true"/>
        </w:rPr>
        <w:t>اللعن من الآیات القرآنیة</w:t>
      </w:r>
      <w:bookmarkEnd w:id="602"/>
    </w:p>
    <w:p>
      <w:pPr>
        <w:pStyle w:val="BookText"/>
        <w:rPr/>
      </w:pPr>
      <w:r>
        <w:rPr>
          <w:rFonts w:ascii="IRNazanin" w:hAnsi="IRNazanin" w:eastAsia="IRNazanin"/>
          <w:color w:val="111111"/>
          <w:sz w:val="28"/>
          <w:sz w:val="28"/>
          <w:szCs w:val="28"/>
          <w:rtl w:val="true"/>
          <w:lang w:bidi="fa-IR"/>
        </w:rPr>
        <w:t>ومن الآیات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هی سنّة من الله علی مَن یستحق اللعن من جهة، ومن جهة أخری هی واردة أیضاً فیما نحن فیه فی الشعائر الحسینیّة، حیث إنّ قَتلة الحسین علیه السلام آذوا الله ورسوله کما ورد فی نصوص الفریقَین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ویحثّ الله عزّ وجلّ علی لعنهم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نماذج یسیرة، وإلاّ فالآیات القرآنیة کثیرة فی موضوع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مثالاً قرآنیاً لعدم 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خطاب لإبلیس بعد أن أبی أن یتبع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هی رمز لعدم الموالاة لدین الله، ولعدم اتباع حجّة الله وإبلیس کفره لیس کفر إنکار لله عزّ وجلّ ولا إنکاراً منه للمعاد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کفره بسبب عدم السجود فلم یؤنّبه الله بأنّک لم تُقِرّ بخلیقتی، بل کلّ السور التی تتعرّض لهذه الواقعة فیها ذمّ وتأنیب الله لإبلیس علی عدم السجود ولعدم الإذعان بإمامة وخلافة وحجیة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فکُفر إبلیس کفر عدم إقرار بالإمامة وعدم اعتراف بالحجّة الالهیّة والواقعة القرآنیّة فی بدء الخلیقة رمز للإمامة، کما أُشیر الی ذلک فی الروایة الواردة فی تفسیر البرهان، وقد شرحها أمیر المؤمنین علیه السلام فی الخطبة القاصعة</w:t>
      </w:r>
      <w:r>
        <w:rPr>
          <w:rStyle w:val="FootnoteAnchor"/>
          <w:rtl w:val="true"/>
        </w:rPr>
        <w:footnoteReference w:id="421"/>
      </w:r>
      <w:r>
        <w:rPr>
          <w:rFonts w:ascii="IRNazanin" w:hAnsi="IRNazanin" w:eastAsia="IRNazanin"/>
          <w:color w:val="111111"/>
          <w:sz w:val="28"/>
          <w:sz w:val="28"/>
          <w:szCs w:val="28"/>
          <w:rtl w:val="true"/>
          <w:lang w:bidi="fa-IR"/>
        </w:rPr>
        <w:t>، أنّ هذه الواقعة کلّها لأجل بیان أمور وأسرار عجیبة یستعرضها القرآن فی سبع سور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عدم الخضوع وعلی عدم الموالاة والاتباع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لَعْنَتِی إِلَی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لا یتولّی ولیّ الله له لعنة خاصة أمّا من یعادی ولیّ الله وخلیفة الله وحجة الله، فإنّ الآیة الشریفة تقرّر اللعن الإلهی علیه وطرده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سورة الإسراء</w:t>
      </w:r>
      <w:r>
        <w:rPr>
          <w:rStyle w:val="FootnoteAnchor"/>
          <w:rtl w:val="true"/>
        </w:rPr>
        <w:footnoteReference w:id="423"/>
      </w:r>
      <w:r>
        <w:rPr>
          <w:rFonts w:ascii="Amiri" w:hAnsi="Amiri" w:eastAsia="Amiri" w:cs="Amiri"/>
          <w:color w:val="111111"/>
          <w:sz w:val="28"/>
          <w:sz w:val="28"/>
          <w:szCs w:val="28"/>
          <w:rtl w:val="true"/>
          <w:lang w:bidi="ar-SA"/>
        </w:rPr>
        <w:t>مثالاً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الرؤیة فی تفاسیر العامّة الروائیّة أیضاً ورد أنها رؤیة من ینزو علی منبر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بألفاظ مختلفة والمتتبّع فیها یصل إلی أنّ مضمونها هو نفس ما ذکرته روایات الخاصّة فی تفسیر الآیة وهی الرؤیا التی انزعج منها النبی صلی الله علیه وآله وسلم فی اغتصاب الخلافة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أَحَاطَ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أحاط بالأحداث والوقائع التی تمرّ علی الناس والتی ترتبط بأمور الناس وبشؤون الناس وبمستقبل أفعال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القرآن هو بیان الحقیقة من زاویة أو عن طریق الإشارة کی یسلم القرآن من التحریف، ولو کان القرآن یتضمّن التصریح أو قریب من التصریح لحُرِّف وبُدِّل من أوّل یوم لکنّ القرآن الکریم یُکنّی ویشیر إلی حقیقة قد لا یلتفت لها إلاّ ذوو الألباب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لِیَدَّبَّرُوا آَیَاتِهِ وَلِیَتَذَکَّرَ أُولُو الْأَلْبَابِ</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یَذَّکَّرُ إِلَّا أُولُو الْأَلْبَابِ</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أن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أمر یُفتتَن به الناس فالأمر مرتبط بشأن اجتماعیّ وسیاسیّ فیظهر من نفس سیاق الآیة توقّع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الفتنة للناس إشارة إلی السقیفة وما حصل فیها؛ ثمّ إنّ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سلالة أغصان وفروع، وهو ملک بنی أمیة تبدأ هذه الشجرة الملعونة بالنموّ علی تربة وأساس تلک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هذه الشجرة الملعونة لیست شجرة نباتیّة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یَزِیدُهُمْ إِلَّا طُغْیَانًا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الألفاظ إذا جُمعت فی نفس السیاق فإنّنا نحصل علی صورة واضحة، لکن دأب القرآن هو إعطاء الإشارات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وغیرها من الآیات العدیدة فی القرآن التی تدلّ علی وجود اللعن وجوازه علی أعداء الدین</w:t>
      </w:r>
      <w:r>
        <w:rPr>
          <w:rFonts w:eastAsia="IRNazanin" w:cs="IRNazanin"/>
          <w:color w:val="111111"/>
          <w:sz w:val="28"/>
          <w:szCs w:val="28"/>
          <w:rtl w:val="true"/>
          <w:lang w:bidi="fa-IR"/>
        </w:rPr>
        <w:t>.</w:t>
      </w:r>
      <w:bookmarkStart w:id="603" w:name="pg2944_24717"/>
    </w:p>
    <w:p>
      <w:pPr>
        <w:pStyle w:val="Heading3"/>
        <w:numPr>
          <w:ilvl w:val="2"/>
          <w:numId w:val="1"/>
        </w:numPr>
        <w:rPr/>
      </w:pPr>
      <w:bookmarkStart w:id="604" w:name="__RefHeading___Toc110848_2749589250"/>
      <w:bookmarkStart w:id="605" w:name="_Toc226"/>
      <w:bookmarkEnd w:id="603"/>
      <w:bookmarkEnd w:id="604"/>
      <w:r>
        <w:rPr>
          <w:rtl w:val="true"/>
        </w:rPr>
        <w:t>الجهة التاسعة</w:t>
      </w:r>
      <w:r>
        <w:rPr>
          <w:rtl w:val="true"/>
        </w:rPr>
        <w:t xml:space="preserve">: </w:t>
      </w:r>
      <w:r>
        <w:rPr>
          <w:rtl w:val="true"/>
        </w:rPr>
        <w:t>العَزاءُ والرّثاءُ سنّةٌ قرآنیةٌ</w:t>
      </w:r>
      <w:bookmarkEnd w:id="60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6" w:name="__RefHeading___Toc110850_2749589250"/>
      <w:bookmarkStart w:id="607" w:name="_Toc227"/>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یطرح البعض سؤالاً عن المبرر الشرعیّ والأهداف الدینیّة وراء تکرار العزاء وإقامة المأتم علی سیّد الشهداء علیه السلام وعلی بضعة المصطفی صلی الله علیه وآله وسلم کلّ عام مع تطاول المدّة بنحو دائم وندبة راتبة، والحال أنّ الندبة والرثاء علی السبط الشهید علیه السلام قد ثبت أنّه سنّة إلهیّة تکوینیّة وقرآنیّة إضافة لکونها سنّة نبویّة؛ وقد أوضحت الکثیر من الکتب والمراجع التاریخیّة والدراسات عدداً 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الأوّل وهو السنّة التکوینیّة الإلهیّة، فیشیر إلیه قوله تعالی فی سورة الدخان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تنفی هذه الآیة السماء والأرض علی هلاک قوم فرعون الظالمین، ممّا یقضی بوجود شأن فعل البکاء من السماء والأرض کظاهرة کونیّة، وإلاّ لما کان للنفی معنی محصّل؛ وقد أشارت المصادر العدیدة من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کتب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وقوع هذه الظاهرة الکونیّة عند مقتل الحسین علیه السلام، من مطر السماء دماً، واحمرارها مدّة مدیدة، ورؤیة لون الدم علی الجدران وتحت الصخور والأحجار فی‌المدن والبلاد الإسلامیّة، فلاحظ ما ذکره ابن عساکر فی تاریخ دمشق فی ترجمة الحسین علیه السلام بأسانید متعدّدة بل قد طالعنا أخیراً کتاب باللغة الانجلیزیة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أنکلو ساکسون کرونکل</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کتبه المؤلف سنة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یحوی الأحداث التاریخیّة التی مرّت بها الأمّة البریطانیّة منذ عهد المسیح علیه السلام فیذکر لکلّ سنة أحداثها، حتی یأتی علی</w:t>
      </w:r>
    </w:p>
    <w:p>
      <w:pPr>
        <w:pStyle w:val="BookText"/>
        <w:rPr/>
      </w:pPr>
      <w:r>
        <w:rPr>
          <w:rFonts w:ascii="IRNazanin" w:hAnsi="IRNazanin" w:eastAsia="IRNazanin"/>
          <w:color w:val="111111"/>
          <w:sz w:val="28"/>
          <w:sz w:val="28"/>
          <w:szCs w:val="28"/>
          <w:rtl w:val="true"/>
          <w:lang w:bidi="fa-IR"/>
        </w:rPr>
        <w:t xml:space="preserve">ذِکر أحداث سنة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وهی تقابل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سنة شهادة أبی عبد الله الحسین علیه السلام، فیذکر المؤلف أنّ فی هذه السنة مطرت السماء دماً، وأصبح الناس فی بریطانیا فوجدوا أنّ ألبانهم وأزبادهم تحوّلت الی دم</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This year there was in Britain a bloody rain, and milk and butter were turned to blood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هذا مع أنّ الکاتب لم یجد لهذه الظاهرة تفسیراً، ولم یُشِر من قریب ولا بعید إلی مقارنة ذلک إلی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وهو کون ذلک سنّة قرآنیة، فهو علی نمطَین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الباری تعالی مودّة أهل البیت علیهم السلام علی الناس، بل وجعل هذه الفریضة من عظائم الفرائض القرآنیّة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جعل المودّة أجراً علی مجموع الرسالة المشتملة علی أصول الدین العظیمة، ممّا یدلّل علی کون هذه الفریضة فی مصاف أصول الدیانة، ثم بیّن تعالی أنّ المودّة لها لوازم وأحکام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الإتّباع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الإخبات والإیمان بذلک کما فی قوله تعالی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لحزنهم والفرح لفرحهم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 وَإِنْ تُصِبْکَ مُصِیبَةٌ یَقُولُوا قَدْ أَخَذْنَا أَمْرَنَا مِنْ قَبْلُ وَیَتَوَلَّوْا وَهُمْ فَرِحُونَ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تعالی بدلالة المفهوم؛ أنّ العداوة مقتضاها الحزن لفرح النبی صلی الله علیه وآله وسلم وأهل بیته علیهم السلام؛ والفرح لمصیبة النبی صلی الله علیه وآله وسلم وأهل بیته علیهم السلام فالمحبة تقتضی الحزن لمصابهم والفرح لفرحهم، ونظیر هذه الدلالة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وَإِنْ تُصِبْکُمْ سَیِّئَةٌ یَفْرَحُوا بِهَا وَإِنْ تَصْبِرُوا وَتَتَّقُوا لَا یَضُرُّکُمْ کَیْدُهُمْ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هذه الدلالة القرآنیّة یکون العزاء وإقامة المأتم والرثاء والندبة علی مصاب السبط بضعة المصطفی سیّد شباب أهل الجنة ریحانة الرسول الأمین من مقتضیات الفریضة العظیمة الخالدة بخلود الدین، وهی مودة القربی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عقدنا هذا المقال له، وهو أنّ القرآن قد تضمّن الرثاء والندبة علی خریطة وقائمة المظلومین طوال سلسلة أجیال البشریّة، وقد استعرض القرآن الکریم ظلاماتهم بدءاً من هابیل إلی بقیّة أدوار الأنبیاء والرسل وروّاد الصلاح والعدالة، والجماعات المُصلِحة المقاوِمة للفساد والظلم، کأصحاب الأخدود وقوافل الشهداء عبر تاریخ البشریّة، وحتّی الأطفال المجنیّ علیهم نتیجة سنن جاهلیّة کالموؤدة، بل قد رثی وندب القرآن ناقة صالح لمکانتها ولم یقتصر القرآن علی الرثاء والندبة لمن وقعت علیهم الظلامات، بل أخذ فی التندید بالظالم وبالعتاة الظَلمة؛ وتوعّدهم بالعذاب والنقمة والبطش، کما سنجده فی جملة من الموارد الآتیة التی نتعرّض لها فی السور القرآنیّة، وهی</w:t>
      </w:r>
      <w:r>
        <w:rPr>
          <w:rFonts w:eastAsia="IRNazanin" w:cs="IRNazanin"/>
          <w:color w:val="111111"/>
          <w:sz w:val="28"/>
          <w:szCs w:val="28"/>
          <w:rtl w:val="true"/>
          <w:lang w:bidi="fa-IR"/>
        </w:rPr>
        <w:t>:</w:t>
      </w:r>
      <w:bookmarkStart w:id="608" w:name="pg2944_24722"/>
    </w:p>
    <w:p>
      <w:pPr>
        <w:pStyle w:val="Heading4"/>
        <w:numPr>
          <w:ilvl w:val="3"/>
          <w:numId w:val="1"/>
        </w:numPr>
        <w:rPr/>
      </w:pPr>
      <w:bookmarkStart w:id="609" w:name="__RefHeading___Toc110852_2749589250"/>
      <w:bookmarkStart w:id="610" w:name="_Toc228"/>
      <w:bookmarkEnd w:id="608"/>
      <w:bookmarkEnd w:id="609"/>
      <w:r>
        <w:rPr>
          <w:rtl w:val="true"/>
        </w:rPr>
        <w:t>الأولی</w:t>
      </w:r>
      <w:r>
        <w:rPr>
          <w:rtl w:val="true"/>
        </w:rPr>
        <w:t xml:space="preserve">: </w:t>
      </w:r>
      <w:r>
        <w:rPr>
          <w:rtl w:val="true"/>
        </w:rPr>
        <w:t>قصّة أصحاب الأخدود</w:t>
      </w:r>
      <w:bookmarkEnd w:id="610"/>
    </w:p>
    <w:p>
      <w:pPr>
        <w:pStyle w:val="BookText"/>
        <w:rPr/>
      </w:pPr>
      <w:r>
        <w:rPr>
          <w:rFonts w:ascii="IRNazanin" w:hAnsi="IRNazanin" w:eastAsia="IRNazanin"/>
          <w:color w:val="111111"/>
          <w:sz w:val="28"/>
          <w:sz w:val="28"/>
          <w:szCs w:val="28"/>
          <w:rtl w:val="true"/>
          <w:lang w:bidi="fa-IR"/>
        </w:rPr>
        <w:t>ففی سورة البروج تستهلّ السورة بالقَسَم الإلهیّ أربع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الابتداء بمثابة توثیق للواقعة والحادثة التی یرید الإخبار عنها، وفی هذا منهجا ودرساً قرآنیّاً یحثّ علی توثیق الحادثة أولاً، ثمّ الخوض فی تفاصیلها ورسم أحداثها، ثمّ تذکر السورة الخبر الذی وقع القَسَم الإلهیّ علی وقوعه بابتداء لفظة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أسلوب رثاء وندبة وعزاء، نظیر قول الراثی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توصیفهم بأصحاب الأخدود بیان لکیفیّة القتل التی جَرت علیهم، فتواصل السورة تصویر مسرح الحدث استثارة للعواطف وتهییجها بوصف الأخدود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بیان لشدّة سُعرة النّار التی أُجّجت لإحراقهم، وهو ترسیم لبشاعة الجنایة وفظاعتها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یتابع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بیان لقطة أخری من مسرح عملیات الحادثة التی أوقعها الظالمون علی المؤمنین من إرعابهم وتهدیدهم بإجلاسهم علی شفیر الأخدود المتأجّج أوّلاً لأجل ممارسة الضغط علیهم للتخلّی عن مبادئهم التی یتمسکون بها؛ وفیه بیان لشدّة صلابة المؤمنین مع هذا الإرعاب المتوجّه علیهم، ثمّ تتابع السورة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عَلَی مَا یَفْعَلُونَ بِالْمُؤْمِنِینَ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بیان یجسّد فوران الشفقة الإلهیّة علی الظُلامة والتلهّف علی ما یُفعل بالمؤمنین ثمّ تتلو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مِنْهُمْ إِلَّا أَنْ یُؤْمِنُوا بِاللَّهِ الْعَزِیزِ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لتبیّن براءة المؤمنین لترکیز شدّة الظلامة ومن جهة أخری تبیّن شدّة صلابة المؤمنین وصمودهم وعلوّ مبدئهم، ثمّ یبدأ الباری تعالی بتهدید الظالمین والتندید بهم من موقع المالک للسموات والأرض والشاهد المراقب لکلّ الأمور، ثمّ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فَتَنُوا الْمُؤْمِنِینَ وَالْمُؤْمِنَاتِ ثُمَّ لَمْ یَتُوبُوا فَلَهُمْ عَذَابُ جَهَنَّمَ وَلَهُمْ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یُبْدِئُ وَیُعِیدُ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فیسطّر تعالی قاعدة وسنّة إلهیّة عامّة وهی الوقوف بصف المظلومین والمواجهة قبال الظالمین، وهو بذلک یربّی المسلمین والمؤمنین عَبر القرآن الکریم؛ یربّیهم علی التضامن مع المظلومین والنفرة والتندید بالظالمین عبر التاریخ، ویُعلّمهم أن لا یتخاذلوا باللامبالاة؛ ولا یتقاعسوا بذریعة أنّ هذه الأحداث والوقائع غابرة فی التاریخ بل یحثّ علی التضامن والوقوف فی صفّ کلّ مظلوم من أول تاریخ البشریّة إلی آخرها، والتندید بکلّ طاغوت وظالم، وهذا الجوّ القرآنیّ نراه لا یکتفی من المسلم والقارئ للسورة بالتعاطف وإثارة الأحاسیس تجاه المظلوم، بل یستحثّهما علی النفور من الظالم والتندید به وإن کان زمانه قد مضی فی غابر التاریخ، کلّ ذلک لتطهیر الإنسان من الذوبان فی مسیرة الظالمین، وانجذاباً له مع مبادئ المظلومین فنری السورة تضمّ إلی إقامة الندبة والرثاء علی أصحاب الأخدود والتندید بقاتلیهم، تضم إلی 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وَرَائِهِمْ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فتُذکّر قارئ السورة بمسیرة بقیّة ظلامات الظالمین من عصابة جنود فرعون وثمود الذین جَنوا علی الأنبیاء والصالحین فالسورة ابتدأت بالقَسم علی تأکید وقوع الفادحة وتحسّر فی ندبتهم ورثائهم وإظهار العزاء علیهم، وبیان لعظم التنکیل بالمؤمنین وبراءة المؤمنین عن الجرم، ثمّ تَوعُّد علی الانتقام بتصویر ملی بالعبارات المتحرکة بُغیة إثارة العواطف والأحاسیس الجیاشة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ههنا إلفاتة مهمّة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هذه السورة حیث کانت فی أسلوب أدب الرثاء والندبة والعزاء وإقامة المأتم علی أصحاب الأخدود، فلابدّ أن یکون قراءة هذه السورة فی کیفیّة التجوید بنحو من التصویر البیانیّ والطور الإیقاعیّ المناسب لجوّ معانی هذه السورة، وهذه الکیفیة هی المعروفة بطَوْر الرثاء والنوح، وقد تقرّر فی علم التجوید أخیراً ضرورة التصویر والترسیم البیانیّ لجوّ معانی الکلام فلا یصحّ قراءة القرآن علی وتیرة واحدة، بل آیات البشارة بالجنّة والثواب والنعیم تُقرأ بنحو الابتهاج والفرح وآیات الإنذار والوعید تقرأ بکیفیّة الخوف والقشعریرة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وآیات التشریع والأحکام تُقرأ بکیفیة التبیین والتعلیم وآیات الحکمة والمعارف والموعظة تُقرأ بنحو الطَور الصوتیّ المناسب لجوّ الموعظة والحکمة، فمن ذلک نستخلص أنّ النوح والتردید الرثائیّ من ألحان القراءة القرآنیّة لهذه السور المتضمنّة للمراثی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الکثیر من المفسّرین الی أنّ القرآن قد نزل علی أسلوب أمثال ومواعظ وحکم وإنذار وبشارة وأحکام ومعارف وأخبار وأنباء و ولم یشیروا إلی وجود أسلوب وأدب الرثاء والندبة فی القرآن الکریم مع أنّه من الفصول المهمّة فی الأدب والأسلوب القرآنیّ، حیث سنذکر نموذجاً من بعض قائمة المَراثی والندبة فی السور القرآنیة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الکتاب العزیز فی العدید من السور القرآنیّة علی المراثی والندبة والعزاء، وهو قرآن یُتلی کلّ صباح ومساء وفی کلّ آن وزمان، وهو عهد الله</w:t>
      </w:r>
      <w:bookmarkStart w:id="611" w:name="pg2944_24725"/>
    </w:p>
    <w:p>
      <w:pPr>
        <w:pStyle w:val="BookText"/>
        <w:rPr/>
      </w:pPr>
      <w:bookmarkEnd w:id="611"/>
      <w:r>
        <w:rPr>
          <w:rFonts w:ascii="IRNazanin" w:hAnsi="IRNazanin" w:eastAsia="IRNazanin"/>
          <w:color w:val="111111"/>
          <w:sz w:val="28"/>
          <w:sz w:val="28"/>
          <w:szCs w:val="28"/>
          <w:rtl w:val="true"/>
          <w:lang w:bidi="fa-IR"/>
        </w:rPr>
        <w:t>تعالی إلی خلقه اللازم علیهم أن یتعاهدوه بالقراءة والتدبر کلّ یوم، ولاسیّما فی شهر رمضان الذی هو ربیع القرآن، فیقضی ذلک دعوة القرآن لإقامة الرثاء والندبة والعزاء علی ظلامات المظلومین وروّاد الإصلاح الإلهیّ فی البشریّة، فی کلّ یوم فضلاً عن کلّ أسبوع، وفضلاً عن کلّ شهر وکلّ موسم وکلّ سنة بنحو راتب ودائم، فی کلّ قراءة للقرآن وترتیل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سُنّة القرآن ذلک فی ظلامات المظلومین مثل أصحاب الأخدود، وأتباع الأنبیاء فما ظنّک ببضعة المصطفی صلی الله علیه وآله وسلم وریحانة خاتم الأنبیاء وسیّد شباب أهل الجنة لاسیّما مع افتراض أمر القرآن بمودّتهم والحزن لمصابهم کما تقدّم فی النمط السابق؟</w:t>
      </w:r>
      <w:r>
        <w:rPr>
          <w:rFonts w:eastAsia="IRNazanin" w:cs="IRNazanin"/>
          <w:color w:val="111111"/>
          <w:sz w:val="28"/>
          <w:szCs w:val="28"/>
          <w:rtl w:val="true"/>
          <w:lang w:bidi="fa-IR"/>
        </w:rPr>
        <w:t>.</w:t>
      </w:r>
    </w:p>
    <w:p>
      <w:pPr>
        <w:pStyle w:val="Heading4"/>
        <w:numPr>
          <w:ilvl w:val="3"/>
          <w:numId w:val="1"/>
        </w:numPr>
        <w:rPr/>
      </w:pPr>
      <w:bookmarkStart w:id="612" w:name="__RefHeading___Toc110854_2749589250"/>
      <w:bookmarkStart w:id="613" w:name="_Toc229"/>
      <w:bookmarkEnd w:id="612"/>
      <w:r>
        <w:rPr>
          <w:rtl w:val="true"/>
        </w:rPr>
        <w:t>الثانیة</w:t>
      </w:r>
      <w:r>
        <w:rPr>
          <w:rtl w:val="true"/>
        </w:rPr>
        <w:t xml:space="preserve">: </w:t>
      </w:r>
      <w:r>
        <w:rPr>
          <w:rtl w:val="true"/>
        </w:rPr>
        <w:t>قصّة یوسف علیه السلام ویعقوب علیه السلام</w:t>
      </w:r>
      <w:bookmarkEnd w:id="613"/>
    </w:p>
    <w:p>
      <w:pPr>
        <w:pStyle w:val="BookText"/>
        <w:rPr/>
      </w:pPr>
      <w:r>
        <w:rPr>
          <w:rFonts w:ascii="IRNazanin" w:hAnsi="IRNazanin" w:eastAsia="IRNazanin"/>
          <w:color w:val="111111"/>
          <w:sz w:val="28"/>
          <w:sz w:val="28"/>
          <w:szCs w:val="28"/>
          <w:rtl w:val="true"/>
          <w:lang w:bidi="fa-IR"/>
        </w:rPr>
        <w:t>ویستهلّ القرآن الکریم تفصیل أحداث المأساة التی جَرت علیهما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یُوسُفَ وَإِخْوَتِهِ آَیَاتٌ لِلسَّائِلِینَ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یختم کلامه فی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وَلَکِنْ تَصْدِیقَ الَّذِی بَیْنَ یَدَیْهِ وَتَفْصِیلَ کُلِّ شَیْءٍ</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لیبیّن أن ما قصّه وسَرَدَه من فعل یوسف ویعقوب علیهما السلام سُنّة تستنّ بها هذه الأمّة ویبدأ الحدیث عن ظلامة یوسف علیه السلام وهو فی سنٍّ یافع ناعم الأظفار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یَجْعَلُوهُ فِی غَیَابَةِ الْجُبِّ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فیرسم للقاری مسرح الحدث بتعصّبهم وتجمّعهم علی الطفل الصغیر، لیلقوه فی أعماق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لبیان فظاعة فعلهم وأنّهم ألقوه فی اعماق الجبّ، وهذا 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 إِذْ أَجْمَعُوا أَمْرَهُمْ وَهُمْ یَمْکُرُونَ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غرار هذا التعبیر الرثائی، ما استعمله شاعر أهل البیت علیهم السلام دعبل الخزاعی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أفاطمُ لو خِلْتِ الحسینَ مُجدّلاً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نحو من تهییج العاطفة لیعیش السامع والقارئ الحالة المأساویّة وکأنها تتجسّد أمامه ثمّ یقول تعالی فی ذیل التصویر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 لَتُنَبِّئَنَّهُمْ بِأَمْرِهِمْ هَذَا وَهُمْ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تبین مدی شدة القساوة الجاریة علی یوسف علیه السلام وهو فی نعومة أظفاره؛ وأنّ العنایة الإلهیّة لا تترکه من دون لطفها وتتابع السورة آثار المصیبة علی یعقوب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الجزع والندبة قد اشتدّا بالنبیّ یعقوب علیه السلام إلی حدّ إصابة عینیه بالعمی، وقد اشتدّ حزنه وشَکواه إلی الله تعالی إلی درجة اتّهام أبنائه بالخلل فی عقله أو بدنه وهو معنی الحَرض؛ والبثّ شدة الحزن، وهذا دلیل علی أنّ الجزع من فعل الظالمین</w:t>
      </w:r>
      <w:bookmarkStart w:id="614" w:name="pg2944_24727"/>
    </w:p>
    <w:p>
      <w:pPr>
        <w:pStyle w:val="BookText"/>
        <w:rPr/>
      </w:pPr>
      <w:bookmarkEnd w:id="614"/>
      <w:r>
        <w:rPr>
          <w:rFonts w:ascii="IRNazanin" w:hAnsi="IRNazanin" w:eastAsia="IRNazanin"/>
          <w:color w:val="111111"/>
          <w:sz w:val="28"/>
          <w:sz w:val="28"/>
          <w:szCs w:val="28"/>
          <w:rtl w:val="true"/>
          <w:lang w:bidi="fa-IR"/>
        </w:rPr>
        <w:t>ممدوح؛ وإنّما الجزع من قضاء الله وقَدَره هو المذموم وأمّا اللواذ والالتجاء إلی الله تعالی فی الجزع والشکوی والبثّ والحُزن فهذا ممدوح وهو تنفّر من الظالمین</w:t>
      </w:r>
      <w:r>
        <w:rPr>
          <w:rFonts w:eastAsia="IRNazanin" w:cs="IRNazanin"/>
          <w:color w:val="111111"/>
          <w:sz w:val="28"/>
          <w:szCs w:val="28"/>
          <w:rtl w:val="true"/>
          <w:lang w:bidi="fa-IR"/>
        </w:rPr>
        <w:t>.</w:t>
      </w:r>
    </w:p>
    <w:p>
      <w:pPr>
        <w:pStyle w:val="Heading4"/>
        <w:numPr>
          <w:ilvl w:val="3"/>
          <w:numId w:val="1"/>
        </w:numPr>
        <w:rPr/>
      </w:pPr>
      <w:bookmarkStart w:id="615" w:name="__RefHeading___Toc110856_2749589250"/>
      <w:bookmarkStart w:id="616" w:name="_Toc230"/>
      <w:bookmarkEnd w:id="615"/>
      <w:r>
        <w:rPr>
          <w:rtl w:val="true"/>
        </w:rPr>
        <w:t>الثالثة</w:t>
      </w:r>
      <w:r>
        <w:rPr>
          <w:rtl w:val="true"/>
        </w:rPr>
        <w:t xml:space="preserve">: </w:t>
      </w:r>
      <w:r>
        <w:rPr>
          <w:rtl w:val="true"/>
        </w:rPr>
        <w:t>قصّة قتل الأنبیاء</w:t>
      </w:r>
      <w:bookmarkEnd w:id="616"/>
    </w:p>
    <w:p>
      <w:pPr>
        <w:pStyle w:val="BookText"/>
        <w:rPr/>
      </w:pPr>
      <w:r>
        <w:rPr>
          <w:rFonts w:ascii="IRNazanin" w:hAnsi="IRNazanin" w:eastAsia="IRNazanin"/>
          <w:color w:val="111111"/>
          <w:sz w:val="28"/>
          <w:sz w:val="28"/>
          <w:szCs w:val="28"/>
          <w:rtl w:val="true"/>
          <w:lang w:bidi="fa-IR"/>
        </w:rPr>
        <w:t>وقد ندّد القرآن الکریم واستنکر قتلهم فیما یقرب من تسعة مواضع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 أَنْبِیَاءَ اللَّهِ مِنْ قَبْلُ إِنْ کُنْتُمْ مُؤْمِنِینَ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کَانُوا یَکْفُرُونَ بِآَیَاتِ اللَّهِ وَیَقْتُلُونَ النَّبِیِّینَ بِغَیْرِ الْحَقِّ</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البقرة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وآل عمران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والمائدة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والنساء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ندّد القرآن بقتل روّاد الإصلاح الإلهیّ فی البشریّة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وَیَقْتُلُونَ الَّذِینَ یَأْمُرُونَ بِالْقِسْطِ مِنَ النَّاسِ فَبَشِّرْهُمْ بِعَذَابٍ أَلِیمٍ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110858_2749589250"/>
      <w:bookmarkStart w:id="618" w:name="_Toc231"/>
      <w:bookmarkEnd w:id="617"/>
      <w:r>
        <w:rPr>
          <w:rtl w:val="true"/>
        </w:rPr>
        <w:t>الرابعة</w:t>
      </w:r>
      <w:r>
        <w:rPr>
          <w:rtl w:val="true"/>
        </w:rPr>
        <w:t xml:space="preserve">: </w:t>
      </w:r>
      <w:r>
        <w:rPr>
          <w:rtl w:val="true"/>
        </w:rPr>
        <w:t>ما فی سورة التکویر</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ندبة قرآنیّة للمولودة التی تُقتَل فی زمن الجاهلیّة نتیجة السُنن العُرفیّة الجاهلیّة الظالمة ویتبیّن فی هذا الأسلوب الرثائیّ کیفیة مسرح الجنایة بدفن الولیدة وهی حیّة فی التراب مع کمال براءتها</w:t>
      </w:r>
      <w:r>
        <w:rPr>
          <w:rFonts w:eastAsia="IRNazanin" w:cs="IRNazanin"/>
          <w:color w:val="111111"/>
          <w:sz w:val="28"/>
          <w:szCs w:val="28"/>
          <w:rtl w:val="true"/>
          <w:lang w:bidi="fa-IR"/>
        </w:rPr>
        <w:t>.</w:t>
      </w:r>
      <w:bookmarkStart w:id="619" w:name="pg2944_24728"/>
    </w:p>
    <w:p>
      <w:pPr>
        <w:pStyle w:val="Heading4"/>
        <w:numPr>
          <w:ilvl w:val="3"/>
          <w:numId w:val="1"/>
        </w:numPr>
        <w:rPr/>
      </w:pPr>
      <w:bookmarkStart w:id="620" w:name="__RefHeading___Toc110860_2749589250"/>
      <w:bookmarkStart w:id="621" w:name="_Toc232"/>
      <w:bookmarkEnd w:id="619"/>
      <w:bookmarkEnd w:id="620"/>
      <w:r>
        <w:rPr>
          <w:rtl w:val="true"/>
        </w:rPr>
        <w:t>الخامسة</w:t>
      </w:r>
      <w:r>
        <w:rPr>
          <w:rtl w:val="true"/>
        </w:rPr>
        <w:t xml:space="preserve">: </w:t>
      </w:r>
      <w:r>
        <w:rPr>
          <w:rtl w:val="true"/>
        </w:rPr>
        <w:t>عزاء الشهداء فی سبیل الله تعالی</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110862_2749589250"/>
      <w:bookmarkStart w:id="623" w:name="_Toc233"/>
      <w:bookmarkEnd w:id="622"/>
      <w:r>
        <w:rPr>
          <w:rtl w:val="true"/>
        </w:rPr>
        <w:t>السادسة</w:t>
      </w:r>
      <w:r>
        <w:rPr>
          <w:rtl w:val="true"/>
        </w:rPr>
        <w:t xml:space="preserve">: </w:t>
      </w:r>
      <w:r>
        <w:rPr>
          <w:rtl w:val="true"/>
        </w:rPr>
        <w:t>قصّة هابیل</w:t>
      </w:r>
      <w:bookmarkEnd w:id="623"/>
    </w:p>
    <w:p>
      <w:pPr>
        <w:pStyle w:val="BookText"/>
        <w:rPr/>
      </w:pPr>
      <w:r>
        <w:rPr>
          <w:rFonts w:ascii="IRNazanin" w:hAnsi="IRNazanin" w:eastAsia="IRNazanin"/>
          <w:color w:val="111111"/>
          <w:sz w:val="28"/>
          <w:sz w:val="28"/>
          <w:szCs w:val="28"/>
          <w:rtl w:val="true"/>
          <w:lang w:bidi="fa-IR"/>
        </w:rPr>
        <w:t>وجریمة قتله من قِبل قابیل،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وَإِثْمِکَ فَتَکُونَ مِنْ أَصْحَابِ النَّارِ وَذَلِکَ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فیبیّن البراءة فی جانب هابیل والوحشیّة والقساوة فی جانب قابیل، فالبیان یصوّر شدّة الأحاسیس من الطرفَین أثناء التحام الطرفَین فی الحدث، إلاّ أن التهاب أحاسیس هابیل مملوءة بالصفاء والإحسان، وأحاسیس قابیل مشحونة بالعدوان والتجاوز لمقتضیات الفطرة</w:t>
      </w:r>
      <w:r>
        <w:rPr>
          <w:rFonts w:eastAsia="IRNazanin" w:cs="IRNazanin"/>
          <w:color w:val="111111"/>
          <w:sz w:val="28"/>
          <w:szCs w:val="28"/>
          <w:rtl w:val="true"/>
          <w:lang w:bidi="fa-IR"/>
        </w:rPr>
        <w:t>.</w:t>
      </w:r>
    </w:p>
    <w:p>
      <w:pPr>
        <w:pStyle w:val="Heading4"/>
        <w:numPr>
          <w:ilvl w:val="3"/>
          <w:numId w:val="1"/>
        </w:numPr>
        <w:rPr/>
      </w:pPr>
      <w:bookmarkStart w:id="624" w:name="__RefHeading___Toc110864_2749589250"/>
      <w:bookmarkStart w:id="625" w:name="_Toc234"/>
      <w:bookmarkEnd w:id="624"/>
      <w:r>
        <w:rPr>
          <w:rtl w:val="true"/>
        </w:rPr>
        <w:t>السابعة</w:t>
      </w:r>
      <w:r>
        <w:rPr>
          <w:rtl w:val="true"/>
        </w:rPr>
        <w:t xml:space="preserve">: </w:t>
      </w:r>
      <w:r>
        <w:rPr>
          <w:rtl w:val="true"/>
        </w:rPr>
        <w:t>ما ارتکبه فرعون وهامان من طغیانٍ</w:t>
      </w:r>
      <w:bookmarkEnd w:id="625"/>
    </w:p>
    <w:p>
      <w:pPr>
        <w:pStyle w:val="BookText"/>
        <w:rPr/>
      </w:pPr>
      <w:r>
        <w:rPr>
          <w:rFonts w:ascii="IRNazanin" w:hAnsi="IRNazanin" w:eastAsia="IRNazanin"/>
          <w:color w:val="111111"/>
          <w:sz w:val="28"/>
          <w:sz w:val="28"/>
          <w:szCs w:val="28"/>
          <w:rtl w:val="true"/>
          <w:lang w:bidi="fa-IR"/>
        </w:rPr>
        <w:t>واستکبارٍ فی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یَسْتَضْعِفُ طَائِفَةً مِنْهُمْ یُذَبِّحُ أَبْنَاءَهُمْ وَیَسْتَحْیِی نِسَاءَهُمْ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یَسُومُونَکُمْ سُوءَ الْعَذَابِ یُذَبِّحُونَ أَبْنَاءَکُمْ وَیَسْتَحْیُونَ نِسَاءَکُمْ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626" w:name="pg2944_24729"/>
    </w:p>
    <w:p>
      <w:pPr>
        <w:pStyle w:val="Heading4"/>
        <w:numPr>
          <w:ilvl w:val="3"/>
          <w:numId w:val="1"/>
        </w:numPr>
        <w:rPr/>
      </w:pPr>
      <w:bookmarkStart w:id="627" w:name="__RefHeading___Toc110866_2749589250"/>
      <w:bookmarkStart w:id="628" w:name="_Toc235"/>
      <w:bookmarkEnd w:id="626"/>
      <w:bookmarkEnd w:id="627"/>
      <w:r>
        <w:rPr>
          <w:rtl w:val="true"/>
        </w:rPr>
        <w:t>الثامنة</w:t>
      </w:r>
      <w:r>
        <w:rPr>
          <w:rtl w:val="true"/>
        </w:rPr>
        <w:t xml:space="preserve">: </w:t>
      </w:r>
      <w:r>
        <w:rPr>
          <w:rtl w:val="true"/>
        </w:rPr>
        <w:t>ناقة صالح</w:t>
      </w:r>
      <w:bookmarkEnd w:id="628"/>
    </w:p>
    <w:p>
      <w:pPr>
        <w:pStyle w:val="BookText"/>
        <w:rPr/>
      </w:pPr>
      <w:r>
        <w:rPr>
          <w:rFonts w:ascii="IRNazanin" w:hAnsi="IRNazanin" w:eastAsia="IRNazanin"/>
          <w:color w:val="111111"/>
          <w:sz w:val="28"/>
          <w:sz w:val="28"/>
          <w:szCs w:val="28"/>
          <w:rtl w:val="true"/>
          <w:lang w:bidi="fa-IR"/>
        </w:rPr>
        <w:t>فی سورة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طغیان ثمود وأنّ الذی ارتکب الجریمة هو الأشقی من قوم ثمود، وبیّن حُرمة الناقة بإضافتها إلی ذاته المقدسّة مع کونها ناقة صالح، ثمّ صوّر بإحساس ملتهب عملیة الجنایة من المعتدی بأنّه قام بعملیة العقر واللفظ یبیّن قساوة الفعل، والسورة تُسند الفعل إلی قوم ثمود کلِّهم لرضاهم بذلک، کما سبق أن وصف المعتدی بالشقاء البالغ غایته ثم بیّن بجانب وقوفه بصف المظلوم وتضامنه معه تندیده للظالم وانبعاث الغضب والنقمة الإلهیّة العاجلة وسخطه الشدید علیهم، فلم یکتف برثاء المظلوم، بل قرنه بشجب الظالم والإنکار علیه، بل وإدانة قوم ثمود لموقفهم المتفاعل تأییداً للجریمة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موقف القرآن من ناقة صالح یبدی مثل هذا التضامن معها وهی دابّة وآیة إلهیّة ویدین ظلم قوم ثمود لها فبالله علیک، ما هو موقف القرآن الکریم من سبط سیّد النبیّین وأشرف السفراء المقرّبین وسیّد شباب أهل الجنة؟ وإذا کان القرآن یدعونا إلی تلاوة الندبة والرثاء علی ناقة صالح والظلامة الحادثة بقرآن یُتلی إلی یوم القیامة تتلقّی منه البشریّة دروساً من التربیة؛ ویحثّنا علی إقامة هذه الندبة وعلی التندید بمرتکبی تلک الظلامة، فکیف بک بالظلامة المرتکبة ضد سیّد شباب أهل الجنة، ریحانة الرسول صلی الله علیه وآله وسلم وما یمثّله من مبادئ وأصول للدین الحنیف متجسّدة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نبذة من الندبة والمراثی التی تصدّی القرآن الکریم لاستعراضها وإقامتها فی السور القرآنیّة بأسلوب وأدب الرثاء والعزاء ونحو ذلک من أسالیب الندبة الهادفة المطلوبة لإحیاء المبادئ المتمثّلة فی الذین وقعت علیهم تلک الظَلامات من أجل أنّهم یحملون تلک المبادئ ویَسعون لإقامتها وبنائها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فنستخلص أنّ الندبة والرثاء الراتب سنّة قرآنیّة یمارسها القارئ والتالی والمرتّل لکتاب الله العزیز وهی مجلس من المجالس المقامة فی أندیة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الأخیر وهو کون العزاء والمأتم علی سیّد الشهداء علیه السلام سنّة نبویّة أیضاً فقد کتب فی بیانه جُملة من الأعلام،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العلاّمة الأمینیّ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النبیّ صلی الله علیه وآله وسلم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مأتماً ومجلساً عقده النبیّ صلی الله علیه وآله وسلم لندبة الحسین علیه السلام وهو یافع فی نعومة أظفاره فی ملأ من المهاجرین والأنصار فی المسجد تارة، وأخری فی بیته مع بعض زوجاته، وثالثة مع بعض خواصّه وقد نقل تلک الوقائع المتکرّرة من النبیّ صلی الله علیه وآله وسلم الکثیر من الحفاظ وأئمة الحدیث فی مسانیدهم والمؤرّخین أصحاب السیر فی کتبهم، منهم أحمد بن حنبل فی مسنده، والنسائیّ والترمذی فی سننهما، وغیرهم وابن عساکر فی تاریخه، وغیرهم فلاحظ ثمّة ما کتبه العلاّمة الأمینی</w:t>
      </w:r>
      <w:r>
        <w:rPr>
          <w:rStyle w:val="FootnoteAnchor"/>
          <w:rtl w:val="true"/>
        </w:rPr>
        <w:footnoteReference w:id="446"/>
      </w:r>
      <w:r>
        <w:rPr>
          <w:rFonts w:ascii="IRNazanin" w:hAnsi="IRNazanin" w:eastAsia="IRNazanin"/>
          <w:color w:val="111111"/>
          <w:sz w:val="28"/>
          <w:sz w:val="28"/>
          <w:szCs w:val="28"/>
          <w:rtl w:val="true"/>
          <w:lang w:bidi="fa-IR"/>
        </w:rPr>
        <w:t xml:space="preserve">وکذلک ما کتبه العلاّمة السیّد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المأتم الحسینیّ مشروعیّته وأسراره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ومسک الختام لبحث الشعائر الحسینیّة نذکر ما کتبه العلاّمة الأمینی قدس سره فی کتابه سیرتنا وسنّتنا حول المآتم التی أقامها رسول الله صلی الله علیه وآله وسلم علی سبطه سید الشّهداء أبی عبد الله الحسین علیه السلام، من خلال الفصل الآتی</w:t>
      </w:r>
      <w:r>
        <w:rPr>
          <w:rFonts w:eastAsia="IRNazanin" w:cs="IRNazanin"/>
          <w:color w:val="111111"/>
          <w:sz w:val="28"/>
          <w:szCs w:val="28"/>
          <w:rtl w:val="true"/>
          <w:lang w:bidi="fa-IR"/>
        </w:rPr>
        <w:t>.</w:t>
      </w:r>
      <w:bookmarkStart w:id="629" w:name="pg2944_24731"/>
    </w:p>
    <w:p>
      <w:pPr>
        <w:pStyle w:val="Heading2"/>
        <w:numPr>
          <w:ilvl w:val="1"/>
          <w:numId w:val="1"/>
        </w:numPr>
        <w:rPr/>
      </w:pPr>
      <w:bookmarkStart w:id="630" w:name="__RefHeading___Toc110868_2749589250"/>
      <w:bookmarkStart w:id="631" w:name="_Toc236"/>
      <w:bookmarkEnd w:id="629"/>
      <w:bookmarkEnd w:id="630"/>
      <w:r>
        <w:rPr>
          <w:rtl w:val="true"/>
        </w:rPr>
        <w:t>مسک الختام</w:t>
      </w:r>
      <w:bookmarkEnd w:id="6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2" w:name="__RefHeading___Toc110870_2749589250"/>
      <w:bookmarkStart w:id="633" w:name="_Toc237"/>
      <w:bookmarkEnd w:id="632"/>
      <w:r>
        <w:rPr>
          <w:rtl w:val="true"/>
        </w:rPr>
        <w:t>اشارة</w:t>
      </w:r>
      <w:bookmarkStart w:id="634" w:name="pg2944_24733"/>
      <w:bookmarkEnd w:id="633"/>
    </w:p>
    <w:p>
      <w:pPr>
        <w:pStyle w:val="BookText"/>
        <w:rPr/>
      </w:pPr>
      <w:bookmarkEnd w:id="634"/>
      <w:r>
        <w:rPr>
          <w:rFonts w:ascii="IRNazanin" w:hAnsi="IRNazanin" w:eastAsia="IRNazanin"/>
          <w:color w:val="111111"/>
          <w:sz w:val="28"/>
          <w:sz w:val="28"/>
          <w:szCs w:val="28"/>
          <w:rtl w:val="true"/>
          <w:lang w:bidi="fa-IR"/>
        </w:rPr>
        <w:t xml:space="preserve">أحصی العلامة الأمینیّ قدس سره 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مأتماً أقامها النبی صلی الله علیه وآله وسلم علی سید الشّهداء أبی عبد الله الحسین علیه السلام کلّ مأتم بأسانید عدیدة من کتب صحاح وحدیث أهل السنّة والجماعة باسطاً البحث عن صحّة أسانیدها من کتب الجرح والتعدیل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جرداً ببعض تلک القائمة</w:t>
      </w:r>
      <w:r>
        <w:rPr>
          <w:rFonts w:eastAsia="IRNazanin" w:cs="IRNazanin"/>
          <w:color w:val="111111"/>
          <w:sz w:val="28"/>
          <w:szCs w:val="28"/>
          <w:rtl w:val="true"/>
          <w:lang w:bidi="fa-IR"/>
        </w:rPr>
        <w:t>:</w:t>
      </w:r>
    </w:p>
    <w:p>
      <w:pPr>
        <w:pStyle w:val="Heading3"/>
        <w:numPr>
          <w:ilvl w:val="2"/>
          <w:numId w:val="1"/>
        </w:numPr>
        <w:rPr/>
      </w:pPr>
      <w:bookmarkStart w:id="635" w:name="__RefHeading___Toc110872_2749589250"/>
      <w:bookmarkStart w:id="636" w:name="_Toc238"/>
      <w:bookmarkEnd w:id="635"/>
      <w:r>
        <w:rPr/>
        <w:t>1</w:t>
      </w:r>
      <w:r>
        <w:rPr>
          <w:rtl w:val="true"/>
        </w:rPr>
        <w:t xml:space="preserve"> . </w:t>
      </w:r>
      <w:r>
        <w:rPr>
          <w:rtl w:val="true"/>
        </w:rPr>
        <w:t>مأتم المیلاد</w:t>
      </w:r>
      <w:bookmarkEnd w:id="636"/>
    </w:p>
    <w:p>
      <w:pPr>
        <w:pStyle w:val="BookText"/>
        <w:rPr/>
      </w:pPr>
      <w:r>
        <w:rPr>
          <w:rFonts w:ascii="IRNazanin" w:hAnsi="IRNazanin" w:eastAsia="IRNazanin"/>
          <w:color w:val="111111"/>
          <w:sz w:val="28"/>
          <w:sz w:val="28"/>
          <w:szCs w:val="28"/>
          <w:rtl w:val="true"/>
          <w:lang w:bidi="fa-IR"/>
        </w:rPr>
        <w:t xml:space="preserve">ما أخرجه الحافظ أحمد بن الحسین البیهقیّ، والحافظ الخوارزمیّ، ومحبّ الدین الطبریّ فی ذخائر العُقبی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والحافظ ابن عساکر فی ترجمة الحسین السبط علیه السلام فی تاریخ دمشق</w:t>
      </w:r>
      <w:r>
        <w:rPr>
          <w:rFonts w:eastAsia="IRNazanin" w:cs="IRNazanin"/>
          <w:color w:val="111111"/>
          <w:sz w:val="28"/>
          <w:szCs w:val="28"/>
          <w:rtl w:val="true"/>
          <w:lang w:bidi="fa-IR"/>
        </w:rPr>
        <w:t>.</w:t>
      </w:r>
    </w:p>
    <w:p>
      <w:pPr>
        <w:pStyle w:val="Heading3"/>
        <w:numPr>
          <w:ilvl w:val="2"/>
          <w:numId w:val="1"/>
        </w:numPr>
        <w:rPr/>
      </w:pPr>
      <w:bookmarkStart w:id="637" w:name="__RefHeading___Toc110874_2749589250"/>
      <w:bookmarkStart w:id="638" w:name="_Toc239"/>
      <w:bookmarkEnd w:id="637"/>
      <w:r>
        <w:rPr/>
        <w:t>2</w:t>
      </w:r>
      <w:r>
        <w:rPr>
          <w:rtl w:val="true"/>
        </w:rPr>
        <w:t xml:space="preserve"> . </w:t>
      </w:r>
      <w:r>
        <w:rPr>
          <w:rtl w:val="true"/>
        </w:rPr>
        <w:t>مأتم الرضوعة</w:t>
      </w:r>
      <w:bookmarkEnd w:id="638"/>
    </w:p>
    <w:p>
      <w:pPr>
        <w:pStyle w:val="BookText"/>
        <w:rPr/>
      </w:pPr>
      <w:r>
        <w:rPr>
          <w:rFonts w:ascii="IRNazanin" w:hAnsi="IRNazanin" w:eastAsia="IRNazanin"/>
          <w:color w:val="111111"/>
          <w:sz w:val="28"/>
          <w:sz w:val="28"/>
          <w:szCs w:val="28"/>
          <w:rtl w:val="true"/>
          <w:lang w:bidi="fa-IR"/>
        </w:rPr>
        <w:t xml:space="preserve">أخرجه الحافظ الحاکم النیسابوریّ فی المستدرک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والحافظ البیهقیّ فی دلائل النبوة، والحافظ ابن عساکر فی تاریخه، والحافظ الخوارزمیّ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وابن الصبّاغ المالکیّ فی الفصول المهمّة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وابن حجر فی الصواعق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والنسائی فی الخصائص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والمتّقی الهندیّ فی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bookmarkStart w:id="639" w:name="pg2944_24734"/>
    </w:p>
    <w:p>
      <w:pPr>
        <w:pStyle w:val="Heading3"/>
        <w:numPr>
          <w:ilvl w:val="2"/>
          <w:numId w:val="1"/>
        </w:numPr>
        <w:rPr/>
      </w:pPr>
      <w:bookmarkStart w:id="640" w:name="__RefHeading___Toc110876_2749589250"/>
      <w:bookmarkStart w:id="641" w:name="_Toc240"/>
      <w:bookmarkEnd w:id="639"/>
      <w:bookmarkEnd w:id="640"/>
      <w:r>
        <w:rPr/>
        <w:t>3</w:t>
      </w:r>
      <w:r>
        <w:rPr>
          <w:rtl w:val="true"/>
        </w:rPr>
        <w:t xml:space="preserve"> . </w:t>
      </w:r>
      <w:r>
        <w:rPr>
          <w:rtl w:val="true"/>
        </w:rPr>
        <w:t>مأتم رأس السنة</w:t>
      </w:r>
      <w:bookmarkEnd w:id="641"/>
    </w:p>
    <w:p>
      <w:pPr>
        <w:pStyle w:val="BookText"/>
        <w:rPr/>
      </w:pPr>
      <w:r>
        <w:rPr>
          <w:rFonts w:ascii="IRNazanin" w:hAnsi="IRNazanin" w:eastAsia="IRNazanin"/>
          <w:color w:val="111111"/>
          <w:sz w:val="28"/>
          <w:sz w:val="28"/>
          <w:szCs w:val="28"/>
          <w:rtl w:val="true"/>
          <w:lang w:bidi="fa-IR"/>
        </w:rPr>
        <w:t xml:space="preserve">أخرجه الحافظ الخوارزمیّ فی مقتل الإمام السبط الشهید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642" w:name="__RefHeading___Toc110878_2749589250"/>
      <w:bookmarkStart w:id="643" w:name="_Toc241"/>
      <w:bookmarkEnd w:id="642"/>
      <w:r>
        <w:rPr/>
        <w:t>4</w:t>
      </w:r>
      <w:r>
        <w:rPr>
          <w:rtl w:val="true"/>
        </w:rPr>
        <w:t xml:space="preserve"> . </w:t>
      </w:r>
      <w:r>
        <w:rPr>
          <w:rtl w:val="true"/>
        </w:rPr>
        <w:t>مأتم فی بیت السیّدة أمّ سلمة أمّ المؤمنین بنعی جبرئیل علیه السلام</w:t>
      </w:r>
      <w:bookmarkEnd w:id="643"/>
    </w:p>
    <w:p>
      <w:pPr>
        <w:pStyle w:val="BookText"/>
        <w:rPr/>
      </w:pPr>
      <w:r>
        <w:rPr>
          <w:rFonts w:ascii="IRNazanin" w:hAnsi="IRNazanin" w:eastAsia="IRNazanin"/>
          <w:color w:val="111111"/>
          <w:sz w:val="28"/>
          <w:sz w:val="28"/>
          <w:szCs w:val="28"/>
          <w:rtl w:val="true"/>
          <w:lang w:bidi="fa-IR"/>
        </w:rPr>
        <w:t xml:space="preserve">أخرجه الحافظ الطبرانیّ فی المعجم، والحافظ الهیثمیّ فی المجمع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والحافظ ابن عساکر فی تاریخه</w:t>
      </w:r>
      <w:r>
        <w:rPr>
          <w:rFonts w:eastAsia="IRNazanin" w:cs="IRNazanin"/>
          <w:color w:val="111111"/>
          <w:sz w:val="28"/>
          <w:szCs w:val="28"/>
          <w:rtl w:val="true"/>
          <w:lang w:bidi="fa-IR"/>
        </w:rPr>
        <w:t>.</w:t>
      </w:r>
    </w:p>
    <w:p>
      <w:pPr>
        <w:pStyle w:val="Heading3"/>
        <w:numPr>
          <w:ilvl w:val="2"/>
          <w:numId w:val="1"/>
        </w:numPr>
        <w:rPr/>
      </w:pPr>
      <w:bookmarkStart w:id="644" w:name="__RefHeading___Toc110880_2749589250"/>
      <w:bookmarkStart w:id="645" w:name="_Toc242"/>
      <w:bookmarkEnd w:id="644"/>
      <w:r>
        <w:rPr/>
        <w:t>5</w:t>
      </w:r>
      <w:r>
        <w:rPr>
          <w:rtl w:val="true"/>
        </w:rPr>
        <w:t xml:space="preserve"> . </w:t>
      </w:r>
      <w:r>
        <w:rPr>
          <w:rtl w:val="true"/>
        </w:rPr>
        <w:t>مأتم آخر فی بیت أمّ سلمة أمّ المؤمنین بنعی جبرئیل علیه السلام</w:t>
      </w:r>
      <w:bookmarkEnd w:id="645"/>
    </w:p>
    <w:p>
      <w:pPr>
        <w:pStyle w:val="BookText"/>
        <w:rPr/>
      </w:pPr>
      <w:r>
        <w:rPr>
          <w:rFonts w:ascii="IRNazanin" w:hAnsi="IRNazanin" w:eastAsia="IRNazanin"/>
          <w:color w:val="111111"/>
          <w:sz w:val="28"/>
          <w:sz w:val="28"/>
          <w:szCs w:val="28"/>
          <w:rtl w:val="true"/>
          <w:lang w:bidi="fa-IR"/>
        </w:rPr>
        <w:t xml:space="preserve">أخرجه الحافظ الطبرانیّ فی المعجم الکبیر لدی ترجمة الحسین السبط علیه السلام، والحافظ ابن عساکر فی تاریخه، والحافظ الکنجی فی الکفایة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والحافظ الخوارزمیّ فی المقتل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ومحبّ الدین الطبری فی کتاب ذخائر العقبی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والحافظ العراقی فی طرح التقریب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والقسطلانی فی المواهب اللدنیّة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والحافظ السیوطیّ فی الخصائص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والشیخانی المدنی فی الصراط السویّ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والسیّد القراغولیّ فی جوهرة الکلام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والحافظ الزرندی فی نظم الدرر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646" w:name="__RefHeading___Toc110882_2749589250"/>
      <w:bookmarkStart w:id="647" w:name="_Toc243"/>
      <w:bookmarkEnd w:id="646"/>
      <w:r>
        <w:rPr/>
        <w:t>6</w:t>
      </w:r>
      <w:r>
        <w:rPr>
          <w:rtl w:val="true"/>
        </w:rPr>
        <w:t xml:space="preserve"> . </w:t>
      </w:r>
      <w:r>
        <w:rPr>
          <w:rtl w:val="true"/>
        </w:rPr>
        <w:t>مأتم آخر فی بیت السیّدة أمّ سلمة بنعی ملک المطر</w:t>
      </w:r>
      <w:bookmarkEnd w:id="64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أحمد بن حنبل فی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مسند أنس بن مالک وأیضاً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والحافظ أبو یعلی فی مسنده، والحافظ أبو نعیم فی الدلائل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والحافظ الطبرانیّ فی الجزء الأوّل فی المعجم الکبیر لدی ترجمة الحسین السبط علیه السلام، والحافظ البیهقیّ فی دلائل النبوة فی باب إخبار رسول الله صلی الله علیه وآله وسلم بقتل الحسین، والفقیه ابن المغازلی الواسطیّ فی المناقب، والحافظ ابن عساکر فی تاریخه، والحافظ المحبّ الطبریّ فی ذخائر العقبی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عن البغوی فی</w:t>
      </w:r>
      <w:bookmarkStart w:id="648" w:name="pg2944_24735"/>
    </w:p>
    <w:p>
      <w:pPr>
        <w:pStyle w:val="BookText"/>
        <w:rPr/>
      </w:pPr>
      <w:bookmarkEnd w:id="648"/>
      <w:r>
        <w:rPr>
          <w:rFonts w:ascii="IRNazanin" w:hAnsi="IRNazanin" w:eastAsia="IRNazanin"/>
          <w:color w:val="111111"/>
          <w:sz w:val="28"/>
          <w:sz w:val="28"/>
          <w:szCs w:val="28"/>
          <w:rtl w:val="true"/>
          <w:lang w:bidi="fa-IR"/>
        </w:rPr>
        <w:t xml:space="preserve">معجمه وأبی حاتم فی صحیحه والحافظ ابن عساکر فی تاریخه، والحافظ العراقی فی طرح التقریب؛ والحافظ الهیثمی فی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والقرطبیّ فی مختصر التذکرة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والحافظ ابن حجر فی الصواعق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والحافظ الترمذیّ فی کتاب أشرف الوسائل إلی فهم الشمائل شرح کتاب الشمائل؛ وأبو الهدی فی ضوء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والحافظ القسطلانیّ فی المواهب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والسیوطی فی الخصائص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والشیخانیّ فی الصراط السویّ، والقرة غولی فی جوهرة الکلام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وعماد الدین العامریّ فی شرح بهجة المحافل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والخوارزمیّ فی مقتل الحسین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649" w:name="__RefHeading___Toc110884_2749589250"/>
      <w:bookmarkStart w:id="650" w:name="_Toc244"/>
      <w:bookmarkEnd w:id="649"/>
      <w:r>
        <w:rPr/>
        <w:t>7</w:t>
      </w:r>
      <w:r>
        <w:rPr>
          <w:rtl w:val="true"/>
        </w:rPr>
        <w:t xml:space="preserve"> . </w:t>
      </w:r>
      <w:r>
        <w:rPr>
          <w:rtl w:val="true"/>
        </w:rPr>
        <w:t>مأتم فی بیت عائشة بنعی جبرئیل علیه السلام</w:t>
      </w:r>
      <w:bookmarkEnd w:id="650"/>
    </w:p>
    <w:p>
      <w:pPr>
        <w:pStyle w:val="BookText"/>
        <w:rPr/>
      </w:pPr>
      <w:r>
        <w:rPr>
          <w:rFonts w:ascii="IRNazanin" w:hAnsi="IRNazanin" w:eastAsia="IRNazanin"/>
          <w:color w:val="111111"/>
          <w:sz w:val="28"/>
          <w:sz w:val="28"/>
          <w:szCs w:val="28"/>
          <w:rtl w:val="true"/>
          <w:lang w:bidi="fa-IR"/>
        </w:rPr>
        <w:t xml:space="preserve">أخرجه الحافظ ابن البرقیّ، والسیّد محمود المدنیّ فی الصراط السویّ، والطبرانیّ فی المعجم فی ترجمة الحسین، وأبو الحسن الماوردیّ فی أعلام النبوّة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وابن سعد فی الطبقات الکبری، وابن عساکر فی تاریخه، والحافظ الدار قطنیّ فی الجزء الخامس فی علل الحدیث، والخوارزمیّ فی المقتل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والهیثمیّ فی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وابن حجر فی الصواعق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والسیوطیّ فی الخصائص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والمتّقی الهندیّ فی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والقراغولیّ فی جوهرة الکلام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651" w:name="__RefHeading___Toc110886_2749589250"/>
      <w:bookmarkStart w:id="652" w:name="_Toc245"/>
      <w:bookmarkEnd w:id="651"/>
      <w:r>
        <w:rPr/>
        <w:t>8</w:t>
      </w:r>
      <w:r>
        <w:rPr>
          <w:rtl w:val="true"/>
        </w:rPr>
        <w:t xml:space="preserve"> . </w:t>
      </w:r>
      <w:r>
        <w:rPr>
          <w:rtl w:val="true"/>
        </w:rPr>
        <w:t>مأتم فی بیت السیّدة أمّ سلمة أمّ المؤمنین</w:t>
      </w:r>
      <w:bookmarkEnd w:id="65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عبد الرزّاق الصنعانیّ فی مصنّفه، وابن عساکر فی تاریخه، والمحبّ الطبریّ فی ذخائر العقبی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وابن الصبّاغ المالکیّ فی الفصول المهمة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وأبو المظفّر السبط فی التذکرة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والشیخانیّ المدنیّ فی الصراط السویّ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والقراغولیّ فی جوهرة الکلام ص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653" w:name="pg2944_24736"/>
    </w:p>
    <w:p>
      <w:pPr>
        <w:pStyle w:val="Heading3"/>
        <w:numPr>
          <w:ilvl w:val="2"/>
          <w:numId w:val="1"/>
        </w:numPr>
        <w:rPr/>
      </w:pPr>
      <w:bookmarkStart w:id="654" w:name="__RefHeading___Toc110888_2749589250"/>
      <w:bookmarkStart w:id="655" w:name="_Toc246"/>
      <w:bookmarkEnd w:id="653"/>
      <w:bookmarkEnd w:id="654"/>
      <w:r>
        <w:rPr/>
        <w:t>9</w:t>
      </w:r>
      <w:r>
        <w:rPr>
          <w:rtl w:val="true"/>
        </w:rPr>
        <w:t xml:space="preserve"> . </w:t>
      </w:r>
      <w:r>
        <w:rPr>
          <w:rtl w:val="true"/>
        </w:rPr>
        <w:t>مأتم فی بیت السیّدة زینب بنت جحش أمّ المؤمنین</w:t>
      </w:r>
      <w:bookmarkEnd w:id="655"/>
    </w:p>
    <w:p>
      <w:pPr>
        <w:pStyle w:val="BookText"/>
        <w:rPr/>
      </w:pPr>
      <w:r>
        <w:rPr>
          <w:rFonts w:ascii="IRNazanin" w:hAnsi="IRNazanin" w:eastAsia="IRNazanin"/>
          <w:color w:val="111111"/>
          <w:sz w:val="28"/>
          <w:sz w:val="28"/>
          <w:szCs w:val="28"/>
          <w:rtl w:val="true"/>
          <w:lang w:bidi="fa-IR"/>
        </w:rPr>
        <w:t xml:space="preserve">أخرجه الحافظ أبو یعلی فی مسنده، وابن عساکر فی تاریخه، والهیثمیّ فی المجمع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والمتّقی الهندیّ فی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656" w:name="__RefHeading___Toc110890_2749589250"/>
      <w:bookmarkStart w:id="657" w:name="_Toc247"/>
      <w:bookmarkEnd w:id="656"/>
      <w:r>
        <w:rPr/>
        <w:t>10</w:t>
      </w:r>
      <w:r>
        <w:rPr>
          <w:rtl w:val="true"/>
        </w:rPr>
        <w:t xml:space="preserve"> . </w:t>
      </w:r>
      <w:r>
        <w:rPr>
          <w:rtl w:val="true"/>
        </w:rPr>
        <w:t>مأتم فی بیت أمّ سلمة أمّ المؤمنین</w:t>
      </w:r>
      <w:bookmarkEnd w:id="657"/>
    </w:p>
    <w:p>
      <w:pPr>
        <w:pStyle w:val="BookText"/>
        <w:rPr/>
      </w:pPr>
      <w:r>
        <w:rPr>
          <w:rFonts w:ascii="IRNazanin" w:hAnsi="IRNazanin" w:eastAsia="IRNazanin"/>
          <w:color w:val="111111"/>
          <w:sz w:val="28"/>
          <w:sz w:val="28"/>
          <w:szCs w:val="28"/>
          <w:rtl w:val="true"/>
          <w:lang w:bidi="fa-IR"/>
        </w:rPr>
        <w:t xml:space="preserve">أخرجه الحافظ الطبرانیّ فی المعجم الکبیر لدی ترجمة الحسین علیه السلام، والزرندیّ فی نظم الدرر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والمتّقی الهندیّ فی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والشیخانیّ المدنی فی الصراط السوی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658" w:name="__RefHeading___Toc110892_2749589250"/>
      <w:bookmarkStart w:id="659" w:name="_Toc248"/>
      <w:bookmarkEnd w:id="658"/>
      <w:r>
        <w:rPr/>
        <w:t>11</w:t>
      </w:r>
      <w:r>
        <w:rPr>
          <w:rtl w:val="true"/>
        </w:rPr>
        <w:t xml:space="preserve"> . </w:t>
      </w:r>
      <w:r>
        <w:rPr>
          <w:rtl w:val="true"/>
        </w:rPr>
        <w:t>مأتم فی بیت السیّدة أمّ سلمة أمّ المؤمنین</w:t>
      </w:r>
      <w:bookmarkEnd w:id="659"/>
    </w:p>
    <w:p>
      <w:pPr>
        <w:pStyle w:val="BookText"/>
        <w:rPr/>
      </w:pPr>
      <w:r>
        <w:rPr>
          <w:rFonts w:ascii="IRNazanin" w:hAnsi="IRNazanin" w:eastAsia="IRNazanin"/>
          <w:color w:val="111111"/>
          <w:sz w:val="28"/>
          <w:sz w:val="28"/>
          <w:szCs w:val="28"/>
          <w:rtl w:val="true"/>
          <w:lang w:bidi="fa-IR"/>
        </w:rPr>
        <w:t xml:space="preserve">أخرجه الحافظ الطبرانیّ فی المعجم الکبیر، والحافظ الحاکم النیسابوریّ فی المستدرک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والحافظ البیهقیّ فی دلائل النبوة، وابن عساکر فی تاریخه، والحافظ محمد بن احمد المقدسیّ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رب العالمین</w:t>
      </w:r>
      <w:r>
        <w:rPr>
          <w:rFonts w:eastAsia="IRNazanin" w:cs="IRNazanin"/>
          <w:color w:val="111111"/>
          <w:sz w:val="28"/>
          <w:szCs w:val="28"/>
          <w:rtl w:val="true"/>
          <w:lang w:bidi="fa-IR"/>
        </w:rPr>
        <w:t>).</w:t>
      </w:r>
    </w:p>
    <w:p>
      <w:pPr>
        <w:pStyle w:val="Heading3"/>
        <w:numPr>
          <w:ilvl w:val="2"/>
          <w:numId w:val="1"/>
        </w:numPr>
        <w:rPr/>
      </w:pPr>
      <w:bookmarkStart w:id="660" w:name="__RefHeading___Toc110894_2749589250"/>
      <w:bookmarkStart w:id="661" w:name="_Toc249"/>
      <w:bookmarkEnd w:id="660"/>
      <w:r>
        <w:rPr/>
        <w:t>12</w:t>
      </w:r>
      <w:r>
        <w:rPr>
          <w:rtl w:val="true"/>
        </w:rPr>
        <w:t xml:space="preserve"> . </w:t>
      </w:r>
      <w:r>
        <w:rPr>
          <w:rtl w:val="true"/>
        </w:rPr>
        <w:t>مأتم فی بیت السیّدة أمّ سلمة أمّ المؤمنین</w:t>
      </w:r>
      <w:bookmarkEnd w:id="661"/>
    </w:p>
    <w:p>
      <w:pPr>
        <w:pStyle w:val="BookText"/>
        <w:rPr/>
      </w:pPr>
      <w:r>
        <w:rPr>
          <w:rFonts w:ascii="IRNazanin" w:hAnsi="IRNazanin" w:eastAsia="IRNazanin"/>
          <w:color w:val="111111"/>
          <w:sz w:val="28"/>
          <w:sz w:val="28"/>
          <w:szCs w:val="28"/>
          <w:rtl w:val="true"/>
          <w:lang w:bidi="fa-IR"/>
        </w:rPr>
        <w:t xml:space="preserve">أخرجه الحافظ ابن أبی شیبة فی المصنّف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والطبرانیّ فی المعجم الکبیر فی ترجمة الامام السبط الشهید علیه السلام</w:t>
      </w:r>
      <w:r>
        <w:rPr>
          <w:rFonts w:eastAsia="IRNazanin" w:cs="IRNazanin"/>
          <w:color w:val="111111"/>
          <w:sz w:val="28"/>
          <w:szCs w:val="28"/>
          <w:rtl w:val="true"/>
          <w:lang w:bidi="fa-IR"/>
        </w:rPr>
        <w:t>.</w:t>
      </w:r>
    </w:p>
    <w:p>
      <w:pPr>
        <w:pStyle w:val="Heading3"/>
        <w:numPr>
          <w:ilvl w:val="2"/>
          <w:numId w:val="1"/>
        </w:numPr>
        <w:rPr/>
      </w:pPr>
      <w:bookmarkStart w:id="662" w:name="__RefHeading___Toc110896_2749589250"/>
      <w:bookmarkStart w:id="663" w:name="_Toc250"/>
      <w:bookmarkEnd w:id="662"/>
      <w:r>
        <w:rPr/>
        <w:t>13</w:t>
      </w:r>
      <w:r>
        <w:rPr>
          <w:rtl w:val="true"/>
        </w:rPr>
        <w:t xml:space="preserve"> . </w:t>
      </w:r>
      <w:r>
        <w:rPr>
          <w:rtl w:val="true"/>
        </w:rPr>
        <w:t>مأتم فی بیت عائشة بنعی مَلَکٍ ما دخل علی النبیّ صلی الله علیه وآله وسلم قط</w:t>
      </w:r>
      <w:bookmarkEnd w:id="66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الطبرانیّ فی المعجم فی ترجمته علیه السلام، وأحمد بن حنبل فی مسنده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عائشة أو أم سلمة، والحافظ ابن عساکر فی تاریخ دمشق، والحافظ العراقی فی طرح التقریب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والهیثمیّ فی المجمع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وابن حجر فی الصواعق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والسید محمود المدنیّ فی الصراط السویّ</w:t>
      </w:r>
      <w:r>
        <w:rPr>
          <w:rFonts w:eastAsia="IRNazanin" w:cs="IRNazanin"/>
          <w:color w:val="111111"/>
          <w:sz w:val="28"/>
          <w:szCs w:val="28"/>
          <w:rtl w:val="true"/>
          <w:lang w:bidi="fa-IR"/>
        </w:rPr>
        <w:t>.</w:t>
      </w:r>
      <w:bookmarkStart w:id="664" w:name="pg2944_24737"/>
    </w:p>
    <w:p>
      <w:pPr>
        <w:pStyle w:val="Heading3"/>
        <w:numPr>
          <w:ilvl w:val="2"/>
          <w:numId w:val="1"/>
        </w:numPr>
        <w:rPr/>
      </w:pPr>
      <w:bookmarkStart w:id="665" w:name="__RefHeading___Toc110898_2749589250"/>
      <w:bookmarkStart w:id="666" w:name="_Toc251"/>
      <w:bookmarkEnd w:id="664"/>
      <w:bookmarkEnd w:id="665"/>
      <w:r>
        <w:rPr/>
        <w:t>14</w:t>
      </w:r>
      <w:r>
        <w:rPr>
          <w:rtl w:val="true"/>
        </w:rPr>
        <w:t xml:space="preserve"> . </w:t>
      </w:r>
      <w:r>
        <w:rPr>
          <w:rtl w:val="true"/>
        </w:rPr>
        <w:t>مأتم فی بیت عائشة</w:t>
      </w:r>
      <w:bookmarkEnd w:id="666"/>
    </w:p>
    <w:p>
      <w:pPr>
        <w:pStyle w:val="BookText"/>
        <w:rPr/>
      </w:pPr>
      <w:r>
        <w:rPr>
          <w:rFonts w:ascii="IRNazanin" w:hAnsi="IRNazanin" w:eastAsia="IRNazanin"/>
          <w:color w:val="111111"/>
          <w:sz w:val="28"/>
          <w:sz w:val="28"/>
          <w:szCs w:val="28"/>
          <w:rtl w:val="true"/>
          <w:lang w:bidi="fa-IR"/>
        </w:rPr>
        <w:t>أخرجه ابن سعد فی الطبقات الکبری، والحافظ ابن عساکر فی تاریخه</w:t>
      </w:r>
      <w:r>
        <w:rPr>
          <w:rFonts w:eastAsia="IRNazanin" w:cs="IRNazanin"/>
          <w:color w:val="111111"/>
          <w:sz w:val="28"/>
          <w:szCs w:val="28"/>
          <w:rtl w:val="true"/>
          <w:lang w:bidi="fa-IR"/>
        </w:rPr>
        <w:t>.</w:t>
      </w:r>
    </w:p>
    <w:p>
      <w:pPr>
        <w:pStyle w:val="Heading3"/>
        <w:numPr>
          <w:ilvl w:val="2"/>
          <w:numId w:val="1"/>
        </w:numPr>
        <w:rPr/>
      </w:pPr>
      <w:bookmarkStart w:id="667" w:name="__RefHeading___Toc110900_2749589250"/>
      <w:bookmarkStart w:id="668" w:name="_Toc252"/>
      <w:bookmarkEnd w:id="667"/>
      <w:r>
        <w:rPr/>
        <w:t>15</w:t>
      </w:r>
      <w:r>
        <w:rPr>
          <w:rtl w:val="true"/>
        </w:rPr>
        <w:t xml:space="preserve"> . </w:t>
      </w:r>
      <w:r>
        <w:rPr>
          <w:rtl w:val="true"/>
        </w:rPr>
        <w:t>مأتم فی دار أمیر المؤمنین علیّ بن أبی طالب علیه السلام</w:t>
      </w:r>
      <w:bookmarkEnd w:id="668"/>
    </w:p>
    <w:p>
      <w:pPr>
        <w:pStyle w:val="BookText"/>
        <w:rPr/>
      </w:pPr>
      <w:r>
        <w:rPr>
          <w:rFonts w:ascii="IRNazanin" w:hAnsi="IRNazanin" w:eastAsia="IRNazanin"/>
          <w:color w:val="111111"/>
          <w:sz w:val="28"/>
          <w:sz w:val="28"/>
          <w:szCs w:val="28"/>
          <w:rtl w:val="true"/>
          <w:lang w:bidi="fa-IR"/>
        </w:rPr>
        <w:t xml:space="preserve">أخرجه النسّابة العبیدلیّ العقیقی فی أخبار المدینة، والسیّد محمود الشیخانیّ فی الصراط السویّ، والحافظ الخوارزمی فی المقتل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669" w:name="__RefHeading___Toc110902_2749589250"/>
      <w:bookmarkStart w:id="670" w:name="_Toc253"/>
      <w:bookmarkEnd w:id="669"/>
      <w:r>
        <w:rPr/>
        <w:t>16</w:t>
      </w:r>
      <w:r>
        <w:rPr>
          <w:rtl w:val="true"/>
        </w:rPr>
        <w:t xml:space="preserve"> . </w:t>
      </w:r>
      <w:r>
        <w:rPr>
          <w:rtl w:val="true"/>
        </w:rPr>
        <w:t>مأتم فی مجمع الصحابة</w:t>
      </w:r>
      <w:bookmarkEnd w:id="670"/>
    </w:p>
    <w:p>
      <w:pPr>
        <w:pStyle w:val="BookText"/>
        <w:rPr/>
      </w:pPr>
      <w:r>
        <w:rPr>
          <w:rFonts w:ascii="IRNazanin" w:hAnsi="IRNazanin" w:eastAsia="IRNazanin"/>
          <w:color w:val="111111"/>
          <w:sz w:val="28"/>
          <w:sz w:val="28"/>
          <w:szCs w:val="28"/>
          <w:rtl w:val="true"/>
          <w:lang w:bidi="fa-IR"/>
        </w:rPr>
        <w:t xml:space="preserve">أخرجه الحافظ الطبرانیّ فی المعجم الکبیر، والحافظ ابن عساکر فی تاریخه، والسیوطیّ فی الجامع الکبیر کما فی ترتیبه </w:t>
      </w:r>
      <w:r>
        <w:rPr>
          <w:rFonts w:eastAsia="IRNazanin" w:cs="IRNazanin"/>
          <w:color w:val="111111"/>
          <w:sz w:val="28"/>
          <w:szCs w:val="28"/>
          <w:lang w:bidi="fa-IR"/>
        </w:rPr>
        <w:t>6:223</w:t>
      </w:r>
      <w:r>
        <w:rPr>
          <w:rFonts w:ascii="IRNazanin" w:hAnsi="IRNazanin" w:eastAsia="IRNazanin"/>
          <w:color w:val="111111"/>
          <w:sz w:val="28"/>
          <w:sz w:val="28"/>
          <w:szCs w:val="28"/>
          <w:rtl w:val="true"/>
          <w:lang w:bidi="fa-IR"/>
        </w:rPr>
        <w:t>، والخوارزمیّ فی المقتل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671" w:name="__RefHeading___Toc110904_2749589250"/>
      <w:bookmarkStart w:id="672" w:name="_Toc254"/>
      <w:bookmarkEnd w:id="671"/>
      <w:r>
        <w:rPr/>
        <w:t>17</w:t>
      </w:r>
      <w:r>
        <w:rPr>
          <w:rtl w:val="true"/>
        </w:rPr>
        <w:t xml:space="preserve"> . </w:t>
      </w:r>
      <w:r>
        <w:rPr>
          <w:rtl w:val="true"/>
        </w:rPr>
        <w:t>مأتم فی حشد من الصحابة</w:t>
      </w:r>
      <w:bookmarkEnd w:id="672"/>
    </w:p>
    <w:p>
      <w:pPr>
        <w:pStyle w:val="BookText"/>
        <w:rPr/>
      </w:pPr>
      <w:r>
        <w:rPr>
          <w:rFonts w:ascii="IRNazanin" w:hAnsi="IRNazanin" w:eastAsia="IRNazanin"/>
          <w:color w:val="111111"/>
          <w:sz w:val="28"/>
          <w:sz w:val="28"/>
          <w:szCs w:val="28"/>
          <w:rtl w:val="true"/>
          <w:lang w:bidi="fa-IR"/>
        </w:rPr>
        <w:t xml:space="preserve">أخرجه ابن أبی شیبة المجلّد الثانی عشر فی المصنّف، والحافظ ابن ماجة فی السنن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خروج المهدیّ، والحافظ العقیلی فی ترجمة یزید بن أبی زیاد، والحاکم فی المستدرک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والحافظ أبو نعیم الإصبهانیّ فی أخبار اصبهان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والطبرانیّ الجزء الثالث فی المعجم الکبیر</w:t>
      </w:r>
      <w:r>
        <w:rPr>
          <w:rFonts w:eastAsia="IRNazanin" w:cs="IRNazanin"/>
          <w:color w:val="111111"/>
          <w:sz w:val="28"/>
          <w:szCs w:val="28"/>
          <w:rtl w:val="true"/>
          <w:lang w:bidi="fa-IR"/>
        </w:rPr>
        <w:t>.</w:t>
      </w:r>
    </w:p>
    <w:p>
      <w:pPr>
        <w:pStyle w:val="Heading3"/>
        <w:numPr>
          <w:ilvl w:val="2"/>
          <w:numId w:val="1"/>
        </w:numPr>
        <w:rPr/>
      </w:pPr>
      <w:bookmarkStart w:id="673" w:name="__RefHeading___Toc110906_2749589250"/>
      <w:bookmarkStart w:id="674" w:name="_Toc255"/>
      <w:bookmarkEnd w:id="673"/>
      <w:r>
        <w:rPr/>
        <w:t>18</w:t>
      </w:r>
      <w:r>
        <w:rPr>
          <w:rtl w:val="true"/>
        </w:rPr>
        <w:t xml:space="preserve"> . </w:t>
      </w:r>
      <w:r>
        <w:rPr>
          <w:rtl w:val="true"/>
        </w:rPr>
        <w:t>مأتم فی دار رسول الله صلی الله علیه وآله وسلم</w:t>
      </w:r>
      <w:bookmarkEnd w:id="674"/>
    </w:p>
    <w:p>
      <w:pPr>
        <w:pStyle w:val="BookText"/>
        <w:rPr/>
      </w:pPr>
      <w:r>
        <w:rPr>
          <w:rFonts w:ascii="IRNazanin" w:hAnsi="IRNazanin" w:eastAsia="IRNazanin"/>
          <w:color w:val="111111"/>
          <w:sz w:val="28"/>
          <w:sz w:val="28"/>
          <w:szCs w:val="28"/>
          <w:rtl w:val="true"/>
          <w:lang w:bidi="fa-IR"/>
        </w:rPr>
        <w:t xml:space="preserve">أخرجه المحبّ الطبریّ فی ذخائر العقبی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675" w:name="__RefHeading___Toc110908_2749589250"/>
      <w:bookmarkStart w:id="676" w:name="_Toc256"/>
      <w:bookmarkEnd w:id="675"/>
      <w:r>
        <w:rPr/>
        <w:t>19</w:t>
      </w:r>
      <w:r>
        <w:rPr>
          <w:rtl w:val="true"/>
        </w:rPr>
        <w:t xml:space="preserve"> . </w:t>
      </w:r>
      <w:r>
        <w:rPr>
          <w:rtl w:val="true"/>
        </w:rPr>
        <w:t>مأتم فی کربلاء أقامه أبو الشهید أمیر المؤمنین</w:t>
      </w:r>
      <w:bookmarkEnd w:id="6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أحمد بن حنبل فی مسنده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وابن أبی شیبة فی المصنف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وابن سعد فی الطبقات، والطبرانیّ فی الجزء الأول فی المعجم الکبیر، والحافظ أبو یعلی فی مسنده، وابن عساکر فی تاریخه، والفقیه ابن المغازلی فی المناقب، والحافظ ضیاء الدین المقدسیّ فی المختارة، والخوارزمی فی المقتل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والسبط أبو المظفّر فی تذکرة الأمة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ومحبّ الدین الطبریّ فی ذخائر العقبی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وابن کثیر فی</w:t>
      </w:r>
      <w:bookmarkStart w:id="677" w:name="pg2944_24738"/>
    </w:p>
    <w:p>
      <w:pPr>
        <w:pStyle w:val="BookText"/>
        <w:rPr/>
      </w:pPr>
      <w:bookmarkEnd w:id="677"/>
      <w:r>
        <w:rPr>
          <w:rFonts w:ascii="IRNazanin" w:hAnsi="IRNazanin" w:eastAsia="IRNazanin"/>
          <w:color w:val="111111"/>
          <w:sz w:val="28"/>
          <w:sz w:val="28"/>
          <w:szCs w:val="28"/>
          <w:rtl w:val="true"/>
          <w:lang w:bidi="fa-IR"/>
        </w:rPr>
        <w:t xml:space="preserve">تاریخ الشام، والسیوطیّ فی جمع الجوامع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وفی الخصائص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وفی 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وابن حجر فی الصواعق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والسیّد محمود الشیخانیّ فی الصراط السوی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والسیّد القراغولی الحنفی فی جوهرة الکلام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والشربینی فی السراج المنیر شرح 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والحفینیّ فی حاشیته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والمناوی فی فیض القدیر شرح 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وأحمد محمد شاکر فی شرح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ونصر بن مزاحم فی کتاب صفّین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وابن کثیر فی البدایة والنهایة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وابن أبی الحدید فی 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والسیوطیّ فی الخصائص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Heading3"/>
        <w:numPr>
          <w:ilvl w:val="2"/>
          <w:numId w:val="1"/>
        </w:numPr>
        <w:rPr/>
      </w:pPr>
      <w:bookmarkStart w:id="678" w:name="__RefHeading___Toc110910_2749589250"/>
      <w:bookmarkStart w:id="679" w:name="_Toc257"/>
      <w:bookmarkEnd w:id="678"/>
      <w:r>
        <w:rPr/>
        <w:t>20</w:t>
      </w:r>
      <w:r>
        <w:rPr>
          <w:rtl w:val="true"/>
        </w:rPr>
        <w:t xml:space="preserve"> . </w:t>
      </w:r>
      <w:r>
        <w:rPr>
          <w:rtl w:val="true"/>
        </w:rPr>
        <w:t>مأتم یوم عاشوراء</w:t>
      </w:r>
      <w:bookmarkEnd w:id="679"/>
    </w:p>
    <w:p>
      <w:pPr>
        <w:pStyle w:val="BookText"/>
        <w:rPr/>
      </w:pPr>
      <w:r>
        <w:rPr>
          <w:rFonts w:ascii="IRNazanin" w:hAnsi="IRNazanin" w:eastAsia="IRNazanin"/>
          <w:color w:val="111111"/>
          <w:sz w:val="28"/>
          <w:sz w:val="28"/>
          <w:szCs w:val="28"/>
          <w:rtl w:val="true"/>
          <w:lang w:bidi="fa-IR"/>
        </w:rPr>
        <w:t xml:space="preserve">أخرجه أحمد بن حنبل فی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والطبرانیّ فی الجزء الأوّل من المعجم الکبیر، والبیهقیّ فی دلائل النبوّة وفی باب رؤیة النبی صلی الله علیه وآله وسلم فی المنام، والحاکم فی المستدرک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والحافظ الخطیب فی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وأبوعمرو فی الاستیعاب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وابن عساکر فی تاریخه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والحافظ العراقیّ فی طرح التقریب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وابن الأثیر فی اسد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والاصبهانیّ فی سیر السلف، والزرندیّ فی نظم الدرر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والکنجیّ فی الکفایة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والحافظ الترمذیّ فی الجامع الصحیح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والبیهقیّ فی دلائل النبوّة باب رؤیته صلی الله علیه وآله وسلم، وابن الأثیر فی جامع الأصول، والحافظ السیوطیّ فی الخصائص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وغیرها کثیر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وبسرد هذه الرسالة الشریفة؛ نصل إلی آخر صفحة من طیّات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بین الأصالة والتجدید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ظاهراً وباطناً، وأولاً وآخراً، والصلاة علی محمّد وآله المیامین</w:t>
      </w:r>
      <w:r>
        <w:rPr>
          <w:rFonts w:eastAsia="IRNazanin" w:cs="IRNazanin"/>
          <w:color w:val="111111"/>
          <w:sz w:val="28"/>
          <w:szCs w:val="28"/>
          <w:rtl w:val="true"/>
          <w:lang w:bidi="fa-IR"/>
        </w:rPr>
        <w:t>.</w:t>
      </w:r>
      <w:bookmarkStart w:id="680" w:name="pg2944_24739"/>
    </w:p>
    <w:p>
      <w:pPr>
        <w:pStyle w:val="Heading2"/>
        <w:numPr>
          <w:ilvl w:val="1"/>
          <w:numId w:val="1"/>
        </w:numPr>
        <w:rPr/>
      </w:pPr>
      <w:bookmarkStart w:id="681" w:name="__RefHeading___Toc110912_2749589250"/>
      <w:bookmarkStart w:id="682" w:name="_Toc258"/>
      <w:bookmarkEnd w:id="680"/>
      <w:bookmarkEnd w:id="681"/>
      <w:r>
        <w:rPr>
          <w:rtl w:val="true"/>
        </w:rPr>
        <w:t>ملحق</w:t>
      </w:r>
      <w:bookmarkEnd w:id="6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110914_2749589250"/>
      <w:bookmarkStart w:id="684" w:name="_Toc259"/>
      <w:bookmarkEnd w:id="683"/>
      <w:r>
        <w:rPr>
          <w:rtl w:val="true"/>
        </w:rPr>
        <w:t>اشارة</w:t>
      </w:r>
      <w:bookmarkStart w:id="685" w:name="pg2944_24741"/>
      <w:bookmarkEnd w:id="684"/>
    </w:p>
    <w:p>
      <w:pPr>
        <w:pStyle w:val="Heading3"/>
        <w:numPr>
          <w:ilvl w:val="2"/>
          <w:numId w:val="1"/>
        </w:numPr>
        <w:rPr/>
      </w:pPr>
      <w:bookmarkStart w:id="686" w:name="__RefHeading___Toc110916_2749589250"/>
      <w:bookmarkStart w:id="687" w:name="_Toc260"/>
      <w:bookmarkEnd w:id="685"/>
      <w:bookmarkEnd w:id="686"/>
      <w:r>
        <w:rPr>
          <w:rtl w:val="true"/>
        </w:rPr>
        <w:t>فتوی الإمام النائینی قدس سره حول الشعائر الحسینیة</w:t>
      </w:r>
      <w:bookmarkEnd w:id="6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إلی البصرة وما والاها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السلام علی إخواننا الأماجد العظام أهالی القطر البصری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تواردت علینا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الکرادة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برقیاتکم وکتبکم المتضمّنه للسؤال عن حکم المواکب العزائیة وما یتعلق بها إذ رجعنا بحمده سبحانه إلی النجف الأشرف سالمین، فها نحن نحرّر الجواب عن تلک السؤالات ببیان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المواکب العزائیة فی عشرة عاشوراء ونحوها إلی الطرق والشوارع مما لا شبهة فی جوازه ورجحانه وکونه من أظهر مصادیق ما یقام به عزاء المظلوم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وأیسر الوسائل لتبلیغ الدعوة الحسینیّة إلی کل قریب وبعید، لکن اللازم تنزیه هذا الشعار العظیم عما لا یلیق بعبادة مثله من غناء أو استعمال آلات اللهو والتدافع فی التقدم والتأخر بین أهل محلَّتین، ونحو ذلک، ولو اتفق شی‌ء من ذلک، فذلک الحرام الواقع فی البین هو المحرّم، ولا تسری حرمته إلی المواکب العزائی، ویکون کالناظر إلی الأجنبیّة حال الصلاة فی عدم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اللطم بالأیدی علی الخدود والصدور حدّ الإحمرار والإسوداد، بل یقوی جواز الضرب بالسلاسل أیضاً علی الأکتاف والظهور، إلی الحد المذکور، بل وإن تأدی کل من اللطم والضرب إلی خروج دم یسیر علی الأقوی، وأما إخراج الدم من الناصیة بالسیوف والقامات فالأقوی جواز ما کان ضرره مأموناً وکان من مجرد إخراج الدم من الناصیة بلا صدمة علی عظمها ولا یتعقب عادة بخروج ما یضر خروجه من الدم، ونحو ذلک، کما یعرفه المتدربون العارفون بکیفیة الضرب، ولو کان عند الضرب مأموناً ضرره بحسب العادة، ولکن اتفق خروج الدم قدر ما یضر خروجه لم یکن ذلک موجباً لحرمته ویکون کمن توضأ أو اغتسل أو صام آمناً من ضرره ثم تبین ضرره منه، لکن الأولی، بل الأحوط، أن لا یقتحمه غیر العارفین المتدربین ولاسیّما الشبان الذین لا یبالون بما یوردون علی أنفسهم لعظم المصیبة وامتلاء قلوبهم من المحبة الحسینیّة ثبّتهم الله تعالی بالقول الثابت فی الحیاة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الإشکال فی جواز التشبیهات والتمثیلات التی جرت عادة الشیعة الإمامیّة باتّخاذها لإقامة العزاء والبکاء والإبکاء منذ قرون وإن تضمنت لبس الرجال ملابس النساء علی الأقوی فإنّا وإن کنّا مستشکلین سابقاً فی جوازه وقیدنا جواز التمثیل فی الفتوی الصادرة منا قبل أربع سنوات لکنا لما راجعنا المسألة ثانیاً اتضح عندنا أن المحرّم من تشبیه الرجل بالمرأة هو ما کان خروجاً عن زیّ الرجال رأساً وأخذاً بزیّ النساء دونما إذا تلبس بملابسها مقداراً من الزمان بلا تبدیل لزیه کما هو الحال فی هذه التشبیهات، وقد استدرکنا ذلک أخیراً فی حواشینا علی العروة الوثقی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یلزم تنزیهها أیضاً عن المحرمات الشرعیة، وإن کانت علی فرض وقوعها لا تسری حرمتها إلی التشبیه، کما تقدم</w:t>
      </w:r>
      <w:r>
        <w:rPr>
          <w:rFonts w:eastAsia="IRNazanin" w:cs="IRNazanin"/>
          <w:color w:val="111111"/>
          <w:sz w:val="28"/>
          <w:szCs w:val="28"/>
          <w:rtl w:val="true"/>
          <w:lang w:bidi="fa-IR"/>
        </w:rPr>
        <w:t>.</w:t>
      </w:r>
      <w:bookmarkStart w:id="688" w:name="pg2944_24743"/>
    </w:p>
    <w:p>
      <w:pPr>
        <w:pStyle w:val="BookText"/>
        <w:rPr/>
      </w:pPr>
      <w:bookmarkEnd w:id="688"/>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 المستعمل فی هذه المواکب مما لم یتحقق لنا إلی الآن حقیقته فإن کان مورد استعماله هو إقامة العزاء وعند طلب الإجتماع وتنبیه الراکب علی الرکوب وفی الهوسات العربیة ونحو ذلک ولا یستعمل فیما یطلب فیه اللهو والسرور، وکما هو المعروف عندنا فی النجف الأشرف فالظاهر جوازه،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حرره الأحقر</w:t>
      </w:r>
    </w:p>
    <w:p>
      <w:pPr>
        <w:pStyle w:val="BookText"/>
        <w:rPr/>
      </w:pPr>
      <w:r>
        <w:rPr>
          <w:rFonts w:ascii="IRNazanin" w:hAnsi="IRNazanin" w:eastAsia="IRNazanin"/>
          <w:color w:val="111111"/>
          <w:sz w:val="28"/>
          <w:sz w:val="28"/>
          <w:szCs w:val="28"/>
          <w:rtl w:val="true"/>
          <w:lang w:bidi="fa-IR"/>
        </w:rPr>
        <w:t>محمد حسین الغروی النائینی</w:t>
      </w:r>
    </w:p>
    <w:p>
      <w:pPr>
        <w:pStyle w:val="BookText"/>
        <w:rPr/>
      </w:pPr>
      <w:r>
        <w:rPr>
          <w:rFonts w:ascii="IRNazanin" w:hAnsi="IRNazanin" w:eastAsia="IRNazanin"/>
          <w:color w:val="111111"/>
          <w:sz w:val="28"/>
          <w:sz w:val="28"/>
          <w:szCs w:val="28"/>
          <w:rtl w:val="true"/>
          <w:lang w:bidi="fa-IR"/>
        </w:rPr>
        <w:t>و بعد أن صدرت هذه الفتوی القیّمة من آیة الله العظمی النائینی، عُرضت علی بقیة العلماء الأعلام فعلّقوا علیها بما یلی</w:t>
      </w:r>
      <w:r>
        <w:rPr>
          <w:rFonts w:eastAsia="IRNazanin" w:cs="IRNazanin"/>
          <w:color w:val="111111"/>
          <w:sz w:val="28"/>
          <w:szCs w:val="28"/>
          <w:rtl w:val="true"/>
          <w:lang w:bidi="fa-IR"/>
        </w:rPr>
        <w:t>:</w:t>
      </w:r>
    </w:p>
    <w:p>
      <w:pPr>
        <w:pStyle w:val="Heading3"/>
        <w:numPr>
          <w:ilvl w:val="2"/>
          <w:numId w:val="1"/>
        </w:numPr>
        <w:rPr/>
      </w:pPr>
      <w:bookmarkStart w:id="689" w:name="__RefHeading___Toc110918_2749589250"/>
      <w:bookmarkStart w:id="690" w:name="_Toc261"/>
      <w:bookmarkEnd w:id="689"/>
      <w:r>
        <w:rPr>
          <w:rtl w:val="true"/>
        </w:rPr>
        <w:t>(</w:t>
      </w:r>
      <w:r>
        <w:rPr/>
        <w:t>1</w:t>
      </w:r>
      <w:r>
        <w:rPr>
          <w:rtl w:val="true"/>
        </w:rPr>
        <w:t xml:space="preserve">) </w:t>
      </w:r>
      <w:r>
        <w:rPr>
          <w:rtl w:val="true"/>
        </w:rPr>
        <w:t>الإمام الشیرازی قدس سره</w:t>
      </w:r>
      <w:bookmarkEnd w:id="690"/>
    </w:p>
    <w:p>
      <w:pPr>
        <w:pStyle w:val="BookText"/>
        <w:rPr/>
      </w:pPr>
      <w:r>
        <w:rPr>
          <w:rFonts w:ascii="IRNazanin" w:hAnsi="IRNazanin" w:eastAsia="IRNazanin"/>
          <w:color w:val="111111"/>
          <w:sz w:val="28"/>
          <w:sz w:val="28"/>
          <w:szCs w:val="28"/>
          <w:rtl w:val="true"/>
          <w:lang w:bidi="fa-IR"/>
        </w:rPr>
        <w:t>نص ما کتبه سماحة المغفور له الإمام آیة الله العظمی السیّد میرزا عبد 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تعالی</w:t>
      </w:r>
    </w:p>
    <w:p>
      <w:pPr>
        <w:pStyle w:val="BookText"/>
        <w:rPr/>
      </w:pPr>
      <w:r>
        <w:rPr>
          <w:rFonts w:ascii="IRNazanin" w:hAnsi="IRNazanin" w:eastAsia="IRNazanin"/>
          <w:color w:val="111111"/>
          <w:sz w:val="28"/>
          <w:sz w:val="28"/>
          <w:szCs w:val="28"/>
          <w:rtl w:val="true"/>
          <w:lang w:bidi="fa-IR"/>
        </w:rPr>
        <w:t>ما ذکره قدس سره، فی هذه الورقة، صحیح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الهادی الحسینی الشیرازی</w:t>
      </w:r>
      <w:bookmarkStart w:id="691" w:name="pg2944_24744"/>
    </w:p>
    <w:p>
      <w:pPr>
        <w:pStyle w:val="Heading3"/>
        <w:numPr>
          <w:ilvl w:val="2"/>
          <w:numId w:val="1"/>
        </w:numPr>
        <w:rPr/>
      </w:pPr>
      <w:bookmarkStart w:id="692" w:name="__RefHeading___Toc110920_2749589250"/>
      <w:bookmarkStart w:id="693" w:name="_Toc262"/>
      <w:bookmarkEnd w:id="691"/>
      <w:bookmarkEnd w:id="692"/>
      <w:r>
        <w:rPr>
          <w:rtl w:val="true"/>
        </w:rPr>
        <w:t>(</w:t>
      </w:r>
      <w:r>
        <w:rPr/>
        <w:t>2</w:t>
      </w:r>
      <w:r>
        <w:rPr>
          <w:rtl w:val="true"/>
        </w:rPr>
        <w:t xml:space="preserve">) </w:t>
      </w:r>
      <w:r>
        <w:rPr>
          <w:rtl w:val="true"/>
        </w:rPr>
        <w:t>الإمام الحکیم قدس سره</w:t>
      </w:r>
      <w:bookmarkEnd w:id="693"/>
    </w:p>
    <w:p>
      <w:pPr>
        <w:pStyle w:val="BookText"/>
        <w:rPr/>
      </w:pPr>
      <w:r>
        <w:rPr>
          <w:rFonts w:ascii="IRNazanin" w:hAnsi="IRNazanin" w:eastAsia="IRNazanin"/>
          <w:color w:val="111111"/>
          <w:sz w:val="28"/>
          <w:sz w:val="28"/>
          <w:szCs w:val="28"/>
          <w:rtl w:val="true"/>
          <w:lang w:bidi="fa-IR"/>
        </w:rPr>
        <w:t>نص ما کتبه سماحة الإمام المجاهد آیة الله العظمی السیّد محسن الحکیم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وله الحمد</w:t>
      </w:r>
    </w:p>
    <w:p>
      <w:pPr>
        <w:pStyle w:val="BookText"/>
        <w:rPr/>
      </w:pPr>
      <w:r>
        <w:rPr>
          <w:rFonts w:ascii="IRNazanin" w:hAnsi="IRNazanin" w:eastAsia="IRNazanin"/>
          <w:color w:val="111111"/>
          <w:sz w:val="28"/>
          <w:sz w:val="28"/>
          <w:szCs w:val="28"/>
          <w:rtl w:val="true"/>
          <w:lang w:bidi="fa-IR"/>
        </w:rPr>
        <w:t xml:space="preserve">ما سطره استاذنا الأعظم قدس سره فی نهایة المتانة، وفی غایة الوضوح بل هو أوضح من أن یحتاج إلی أن یعضد بتسجیل فتوی الوفاق، والمظنون أن بعض المناقشات إنما نشأت من إنضمام بعض الامور من باب الإتفاق التی ربما تنافی مقام العزاء ومظاهر الحزن علی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فالأمل بل اللازم والإهتمام بتنزیهها عن ذلک والمواظبة علی البکاء والحزن من جمیع من یقوم بهذه الشعائر المقدّسة، وما توفیقی إلا بالله علیه توکلت وإلیه أنیب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محسن الطباطبائی الحکیم</w:t>
      </w:r>
    </w:p>
    <w:p>
      <w:pPr>
        <w:pStyle w:val="Heading3"/>
        <w:numPr>
          <w:ilvl w:val="2"/>
          <w:numId w:val="1"/>
        </w:numPr>
        <w:rPr/>
      </w:pPr>
      <w:bookmarkStart w:id="694" w:name="__RefHeading___Toc110922_2749589250"/>
      <w:bookmarkStart w:id="695" w:name="_Toc263"/>
      <w:bookmarkEnd w:id="694"/>
      <w:r>
        <w:rPr>
          <w:rtl w:val="true"/>
        </w:rPr>
        <w:t>(</w:t>
      </w:r>
      <w:r>
        <w:rPr/>
        <w:t>3</w:t>
      </w:r>
      <w:r>
        <w:rPr>
          <w:rtl w:val="true"/>
        </w:rPr>
        <w:t xml:space="preserve">) </w:t>
      </w:r>
      <w:r>
        <w:rPr>
          <w:rtl w:val="true"/>
        </w:rPr>
        <w:t>الإمام الخوئی قدس سره</w:t>
      </w:r>
      <w:bookmarkEnd w:id="695"/>
    </w:p>
    <w:p>
      <w:pPr>
        <w:pStyle w:val="BookText"/>
        <w:rPr/>
      </w:pPr>
      <w:r>
        <w:rPr>
          <w:rFonts w:ascii="IRNazanin" w:hAnsi="IRNazanin" w:eastAsia="IRNazanin"/>
          <w:color w:val="111111"/>
          <w:sz w:val="28"/>
          <w:sz w:val="28"/>
          <w:szCs w:val="28"/>
          <w:rtl w:val="true"/>
          <w:lang w:bidi="fa-IR"/>
        </w:rPr>
        <w:t>نص ما کتبه سماحة الإمام آیة الله العظمی الحاج السید أبو القاسم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أفاد شیخنا الأستاذ قدس سره فی أجوبته هذه عن الأسئلة البصریة هو الصحیح، ولا بأس بالعمل علی طبقه، ونسأل الله تعالی أن یوفق جمیع إخواننا المؤمنین لتعظیم شعائر الدین والتجنب عن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الموسوی الخوئی</w:t>
      </w:r>
      <w:bookmarkStart w:id="696" w:name="pg2944_24745"/>
    </w:p>
    <w:p>
      <w:pPr>
        <w:pStyle w:val="Heading3"/>
        <w:numPr>
          <w:ilvl w:val="2"/>
          <w:numId w:val="1"/>
        </w:numPr>
        <w:rPr/>
      </w:pPr>
      <w:bookmarkStart w:id="697" w:name="__RefHeading___Toc110924_2749589250"/>
      <w:bookmarkStart w:id="698" w:name="_Toc264"/>
      <w:bookmarkEnd w:id="696"/>
      <w:bookmarkEnd w:id="697"/>
      <w:r>
        <w:rPr>
          <w:rtl w:val="true"/>
        </w:rPr>
        <w:t>(</w:t>
      </w:r>
      <w:r>
        <w:rPr/>
        <w:t>4</w:t>
      </w:r>
      <w:r>
        <w:rPr>
          <w:rtl w:val="true"/>
        </w:rPr>
        <w:t xml:space="preserve">) </w:t>
      </w:r>
      <w:r>
        <w:rPr>
          <w:rtl w:val="true"/>
        </w:rPr>
        <w:t>الإمام الشاهرودی قدس سره</w:t>
      </w:r>
      <w:bookmarkEnd w:id="698"/>
    </w:p>
    <w:p>
      <w:pPr>
        <w:pStyle w:val="BookText"/>
        <w:rPr/>
      </w:pPr>
      <w:r>
        <w:rPr>
          <w:rFonts w:ascii="IRNazanin" w:hAnsi="IRNazanin" w:eastAsia="IRNazanin"/>
          <w:color w:val="111111"/>
          <w:sz w:val="28"/>
          <w:sz w:val="28"/>
          <w:szCs w:val="28"/>
          <w:rtl w:val="true"/>
          <w:lang w:bidi="fa-IR"/>
        </w:rPr>
        <w:t>نص ما کتبه سماحة آیة الله العظمی الامام السید 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حرّر هنا شیخنا العلامة قدّس الله تربته الزکیة من الاجوبة عن المسائل المندرجة فی هذه الصحیفة هو الحق المحقق عندنا، ونسأل الله أن یوفقنا وجمیع المسلمین لإقامة شعائر مذهب الإمامیة، والرجاء من شبان الشیعة، وفقهم الله تعالی، أن ینزهوا أمثال هذه الشعائر الدینیّة من المحرّمات التی تکون غالباً سبباً لزوالها، إنه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محمود الحسینی الشاهرودی</w:t>
      </w:r>
    </w:p>
    <w:p>
      <w:pPr>
        <w:pStyle w:val="Heading3"/>
        <w:numPr>
          <w:ilvl w:val="2"/>
          <w:numId w:val="1"/>
        </w:numPr>
        <w:rPr/>
      </w:pPr>
      <w:bookmarkStart w:id="699" w:name="__RefHeading___Toc110926_2749589250"/>
      <w:bookmarkStart w:id="700" w:name="_Toc265"/>
      <w:bookmarkEnd w:id="699"/>
      <w:r>
        <w:rPr>
          <w:rtl w:val="true"/>
        </w:rPr>
        <w:t>(</w:t>
      </w:r>
      <w:r>
        <w:rPr/>
        <w:t>5</w:t>
      </w:r>
      <w:r>
        <w:rPr>
          <w:rtl w:val="true"/>
        </w:rPr>
        <w:t xml:space="preserve">) </w:t>
      </w:r>
      <w:r>
        <w:rPr>
          <w:rtl w:val="true"/>
        </w:rPr>
        <w:t>آیة الله المظفر قدس سره</w:t>
      </w:r>
      <w:bookmarkEnd w:id="700"/>
    </w:p>
    <w:p>
      <w:pPr>
        <w:pStyle w:val="BookText"/>
        <w:rPr/>
      </w:pPr>
      <w:r>
        <w:rPr>
          <w:rFonts w:ascii="IRNazanin" w:hAnsi="IRNazanin" w:eastAsia="IRNazanin"/>
          <w:color w:val="111111"/>
          <w:sz w:val="28"/>
          <w:sz w:val="28"/>
          <w:szCs w:val="28"/>
          <w:rtl w:val="true"/>
          <w:lang w:bidi="fa-IR"/>
        </w:rPr>
        <w:t>نص ما کتبه سماحة المغفور له آیة الله الشیخ محمدحسن المظفر</w:t>
      </w:r>
    </w:p>
    <w:p>
      <w:pPr>
        <w:pStyle w:val="BookText"/>
        <w:rPr/>
      </w:pPr>
      <w:r>
        <w:rPr>
          <w:rFonts w:ascii="IRNazanin" w:hAnsi="IRNazanin" w:eastAsia="IRNazanin"/>
          <w:color w:val="111111"/>
          <w:sz w:val="28"/>
          <w:sz w:val="28"/>
          <w:szCs w:val="28"/>
          <w:rtl w:val="true"/>
          <w:lang w:bidi="fa-IR"/>
        </w:rPr>
        <w:t>بسم الله وله الحمد</w:t>
      </w:r>
    </w:p>
    <w:p>
      <w:pPr>
        <w:pStyle w:val="BookText"/>
        <w:rPr/>
      </w:pPr>
      <w:r>
        <w:rPr>
          <w:rFonts w:ascii="IRNazanin" w:hAnsi="IRNazanin" w:eastAsia="IRNazanin"/>
          <w:color w:val="111111"/>
          <w:sz w:val="28"/>
          <w:sz w:val="28"/>
          <w:szCs w:val="28"/>
          <w:rtl w:val="true"/>
          <w:lang w:bidi="fa-IR"/>
        </w:rPr>
        <w:t>ما أفاد قدّس الله سرّه صحیح لا إشکال فیه،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بن الشیخ</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المظفر</w:t>
      </w:r>
      <w:bookmarkStart w:id="701" w:name="pg2944_24746"/>
    </w:p>
    <w:p>
      <w:pPr>
        <w:pStyle w:val="Heading3"/>
        <w:numPr>
          <w:ilvl w:val="2"/>
          <w:numId w:val="1"/>
        </w:numPr>
        <w:rPr/>
      </w:pPr>
      <w:bookmarkStart w:id="702" w:name="__RefHeading___Toc110928_2749589250"/>
      <w:bookmarkStart w:id="703" w:name="_Toc266"/>
      <w:bookmarkEnd w:id="701"/>
      <w:bookmarkEnd w:id="702"/>
      <w:r>
        <w:rPr>
          <w:rtl w:val="true"/>
        </w:rPr>
        <w:t>(</w:t>
      </w:r>
      <w:r>
        <w:rPr/>
        <w:t>6</w:t>
      </w:r>
      <w:r>
        <w:rPr>
          <w:rtl w:val="true"/>
        </w:rPr>
        <w:t xml:space="preserve">) </w:t>
      </w:r>
      <w:r>
        <w:rPr>
          <w:rtl w:val="true"/>
        </w:rPr>
        <w:t>الإمام الحمّامی قدس سره</w:t>
      </w:r>
      <w:bookmarkEnd w:id="703"/>
    </w:p>
    <w:p>
      <w:pPr>
        <w:pStyle w:val="BookText"/>
        <w:rPr/>
      </w:pPr>
      <w:r>
        <w:rPr>
          <w:rFonts w:ascii="IRNazanin" w:hAnsi="IRNazanin" w:eastAsia="IRNazanin"/>
          <w:color w:val="111111"/>
          <w:sz w:val="28"/>
          <w:sz w:val="28"/>
          <w:szCs w:val="28"/>
          <w:rtl w:val="true"/>
          <w:lang w:bidi="fa-IR"/>
        </w:rPr>
        <w:t>نص ما کتبه سماحة المغفور له آیة الله العظمی السید حسن الحمّامی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أفتی به الشیخ قدّس الله سرّه صحیح شرعاً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w:t>
      </w:r>
    </w:p>
    <w:p>
      <w:pPr>
        <w:pStyle w:val="BookText"/>
        <w:rPr/>
      </w:pPr>
      <w:r>
        <w:rPr>
          <w:rFonts w:ascii="IRNazanin" w:hAnsi="IRNazanin" w:eastAsia="IRNazanin"/>
          <w:color w:val="111111"/>
          <w:sz w:val="28"/>
          <w:sz w:val="28"/>
          <w:szCs w:val="28"/>
          <w:rtl w:val="true"/>
          <w:lang w:bidi="fa-IR"/>
        </w:rPr>
        <w:t>حسین الموسوی الحمامی</w:t>
      </w:r>
    </w:p>
    <w:p>
      <w:pPr>
        <w:pStyle w:val="Heading3"/>
        <w:numPr>
          <w:ilvl w:val="2"/>
          <w:numId w:val="1"/>
        </w:numPr>
        <w:rPr/>
      </w:pPr>
      <w:bookmarkStart w:id="704" w:name="__RefHeading___Toc110930_2749589250"/>
      <w:bookmarkStart w:id="705" w:name="_Toc267"/>
      <w:bookmarkEnd w:id="704"/>
      <w:r>
        <w:rPr>
          <w:rtl w:val="true"/>
        </w:rPr>
        <w:t>(</w:t>
      </w:r>
      <w:r>
        <w:rPr/>
        <w:t>7</w:t>
      </w:r>
      <w:r>
        <w:rPr>
          <w:rtl w:val="true"/>
        </w:rPr>
        <w:t xml:space="preserve">) </w:t>
      </w:r>
      <w:r>
        <w:rPr>
          <w:rtl w:val="true"/>
        </w:rPr>
        <w:t>الإمام کاشف الغطاء قدس سره</w:t>
      </w:r>
      <w:bookmarkEnd w:id="705"/>
    </w:p>
    <w:p>
      <w:pPr>
        <w:pStyle w:val="BookText"/>
        <w:rPr/>
      </w:pPr>
      <w:r>
        <w:rPr>
          <w:rFonts w:ascii="IRNazanin" w:hAnsi="IRNazanin" w:eastAsia="IRNazanin"/>
          <w:color w:val="111111"/>
          <w:sz w:val="28"/>
          <w:sz w:val="28"/>
          <w:szCs w:val="28"/>
          <w:rtl w:val="true"/>
          <w:lang w:bidi="fa-IR"/>
        </w:rPr>
        <w:t>نص ما کتبه سماحة المغفور له آیة الله المصلح الشیخ محمد الحسین آل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أفاده أعلی الله مقامه من ذکر فتاواه صحیح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الحسین آل کاشف الغطاء</w:t>
      </w:r>
    </w:p>
    <w:p>
      <w:pPr>
        <w:pStyle w:val="Heading3"/>
        <w:numPr>
          <w:ilvl w:val="2"/>
          <w:numId w:val="1"/>
        </w:numPr>
        <w:rPr/>
      </w:pPr>
      <w:bookmarkStart w:id="706" w:name="__RefHeading___Toc110932_2749589250"/>
      <w:bookmarkStart w:id="707" w:name="_Toc268"/>
      <w:bookmarkEnd w:id="706"/>
      <w:r>
        <w:rPr>
          <w:rtl w:val="true"/>
        </w:rPr>
        <w:t>(</w:t>
      </w:r>
      <w:r>
        <w:rPr/>
        <w:t>8</w:t>
      </w:r>
      <w:r>
        <w:rPr>
          <w:rtl w:val="true"/>
        </w:rPr>
        <w:t xml:space="preserve">) </w:t>
      </w:r>
      <w:r>
        <w:rPr>
          <w:rtl w:val="true"/>
        </w:rPr>
        <w:t>الإمام الشیرازی قدس سره</w:t>
      </w:r>
      <w:bookmarkEnd w:id="707"/>
    </w:p>
    <w:p>
      <w:pPr>
        <w:pStyle w:val="BookText"/>
        <w:rPr/>
      </w:pPr>
      <w:r>
        <w:rPr>
          <w:rFonts w:ascii="IRNazanin" w:hAnsi="IRNazanin" w:eastAsia="IRNazanin"/>
          <w:color w:val="111111"/>
          <w:sz w:val="28"/>
          <w:sz w:val="28"/>
          <w:szCs w:val="28"/>
          <w:rtl w:val="true"/>
          <w:lang w:bidi="fa-IR"/>
        </w:rPr>
        <w:t>نص ما کتبه سماحة المغفور له آیة الله العظمی الشیخ محمد کاظم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أفتی به أعلی الله مقامه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کاظم الشیرازی</w:t>
      </w:r>
      <w:bookmarkStart w:id="708" w:name="pg2944_24747"/>
    </w:p>
    <w:p>
      <w:pPr>
        <w:pStyle w:val="Heading3"/>
        <w:numPr>
          <w:ilvl w:val="2"/>
          <w:numId w:val="1"/>
        </w:numPr>
        <w:rPr/>
      </w:pPr>
      <w:bookmarkStart w:id="709" w:name="__RefHeading___Toc110934_2749589250"/>
      <w:bookmarkStart w:id="710" w:name="_Toc269"/>
      <w:bookmarkEnd w:id="708"/>
      <w:bookmarkEnd w:id="709"/>
      <w:r>
        <w:rPr>
          <w:rtl w:val="true"/>
        </w:rPr>
        <w:t>(</w:t>
      </w:r>
      <w:r>
        <w:rPr/>
        <w:t>9</w:t>
      </w:r>
      <w:r>
        <w:rPr>
          <w:rtl w:val="true"/>
        </w:rPr>
        <w:t xml:space="preserve">) </w:t>
      </w:r>
      <w:r>
        <w:rPr>
          <w:rtl w:val="true"/>
        </w:rPr>
        <w:t>الإمام الکلبایکانی قدس سره</w:t>
      </w:r>
      <w:bookmarkEnd w:id="710"/>
    </w:p>
    <w:p>
      <w:pPr>
        <w:pStyle w:val="BookText"/>
        <w:rPr/>
      </w:pPr>
      <w:r>
        <w:rPr>
          <w:rFonts w:ascii="IRNazanin" w:hAnsi="IRNazanin" w:eastAsia="IRNazanin"/>
          <w:color w:val="111111"/>
          <w:sz w:val="28"/>
          <w:sz w:val="28"/>
          <w:szCs w:val="28"/>
          <w:rtl w:val="true"/>
          <w:lang w:bidi="fa-IR"/>
        </w:rPr>
        <w:t>نص ما کتبه سماحة المغفور له آیة الله السید جمال الدین الکلبایکانی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حرّره شیخنا الاستاذ أعلی الله مقامه فی هذه الورقة صحیح ومطابق لرأیی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جمال الدین الموسوی الکلبایکانی</w:t>
      </w:r>
    </w:p>
    <w:p>
      <w:pPr>
        <w:pStyle w:val="Heading3"/>
        <w:numPr>
          <w:ilvl w:val="2"/>
          <w:numId w:val="1"/>
        </w:numPr>
        <w:rPr/>
      </w:pPr>
      <w:bookmarkStart w:id="711" w:name="__RefHeading___Toc110936_2749589250"/>
      <w:bookmarkStart w:id="712" w:name="_Toc270"/>
      <w:bookmarkEnd w:id="711"/>
      <w:r>
        <w:rPr>
          <w:rtl w:val="true"/>
        </w:rPr>
        <w:t>(</w:t>
      </w:r>
      <w:r>
        <w:rPr/>
        <w:t>10</w:t>
      </w:r>
      <w:r>
        <w:rPr>
          <w:rtl w:val="true"/>
        </w:rPr>
        <w:t xml:space="preserve">) </w:t>
      </w:r>
      <w:r>
        <w:rPr>
          <w:rtl w:val="true"/>
        </w:rPr>
        <w:t>آیة الله المرعشی</w:t>
      </w:r>
      <w:bookmarkEnd w:id="712"/>
    </w:p>
    <w:p>
      <w:pPr>
        <w:pStyle w:val="BookText"/>
        <w:rPr/>
      </w:pPr>
      <w:r>
        <w:rPr>
          <w:rFonts w:ascii="IRNazanin" w:hAnsi="IRNazanin" w:eastAsia="IRNazanin"/>
          <w:color w:val="111111"/>
          <w:sz w:val="28"/>
          <w:sz w:val="28"/>
          <w:szCs w:val="28"/>
          <w:rtl w:val="true"/>
          <w:lang w:bidi="fa-IR"/>
        </w:rPr>
        <w:t xml:space="preserve">ترجمة نص ما صرّح به آیة الله السید کاظم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تعلیقه علی إستفتاء حول ما أفتی به سماحة آیة الله النائینی قدس سره فیما یرتبط بإقامة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أفتی به سماحة الأستاذ المحقق المرحوم آیة الله العظمی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رجحان وجواز علی إقامة عزاء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بصورها المختلفة، فی أعلی مراتب الصحة، ولا یشوبه شک ولا تردید الا من أعداء الدین، وإغواء الشیاطین، وعلی محبی أهل البیت وموالیهم وشیعتهم، أن لا یقعوا عرضة لهذه التسویلات، بل علیهم أن یشتدّوا فی مقابل ذلک حماساً ونشاطاً فی إقامة الشعائر الحسینیّة، وخصوصاً مجالس التعزیة والقراءة، فإنها توجب الفوز والسعادة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هو الهادی إلی الطریق المستقیم، والسلام علیکم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المرعشی</w:t>
      </w:r>
      <w:bookmarkStart w:id="713" w:name="pg2944_24748"/>
    </w:p>
    <w:p>
      <w:pPr>
        <w:pStyle w:val="Heading3"/>
        <w:numPr>
          <w:ilvl w:val="2"/>
          <w:numId w:val="1"/>
        </w:numPr>
        <w:rPr/>
      </w:pPr>
      <w:bookmarkStart w:id="714" w:name="__RefHeading___Toc110938_2749589250"/>
      <w:bookmarkStart w:id="715" w:name="_Toc271"/>
      <w:bookmarkEnd w:id="713"/>
      <w:bookmarkEnd w:id="714"/>
      <w:r>
        <w:rPr>
          <w:rtl w:val="true"/>
        </w:rPr>
        <w:t>(</w:t>
      </w:r>
      <w:r>
        <w:rPr/>
        <w:t>11</w:t>
      </w:r>
      <w:r>
        <w:rPr>
          <w:rtl w:val="true"/>
        </w:rPr>
        <w:t xml:space="preserve">) </w:t>
      </w:r>
      <w:r>
        <w:rPr>
          <w:rtl w:val="true"/>
        </w:rPr>
        <w:t>وآیة الله المرعشیّ</w:t>
      </w:r>
      <w:bookmarkEnd w:id="715"/>
    </w:p>
    <w:p>
      <w:pPr>
        <w:pStyle w:val="BookText"/>
        <w:rPr/>
      </w:pPr>
      <w:r>
        <w:rPr>
          <w:rFonts w:ascii="IRNazanin" w:hAnsi="IRNazanin" w:eastAsia="IRNazanin"/>
          <w:color w:val="111111"/>
          <w:sz w:val="28"/>
          <w:sz w:val="28"/>
          <w:szCs w:val="28"/>
          <w:rtl w:val="true"/>
          <w:lang w:bidi="fa-IR"/>
        </w:rPr>
        <w:t xml:space="preserve">ترجمة نص ما تفضل به سماحة آیة الله السیّد مهدی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علی استفتاء حول ما أفتی به آیة الله النائینی قدس سره فیما یتعلق بإقامة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إقامة عزاء سید الکونین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مضی‌ء من الأنوار الملکوتیة، وشعار مبارک من الشعائر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التاریخ أن مذهب التشیع هو المذهب الوحید من بین المذاهب الإسلامیة، الذی استطاع عبر إقامة الشعائر الحسینیّة من تحکیم موقعیة الدین الإسلامی المبین، والترویج لأحکام سید المرسلین، ونشر المذهب الجعفری وإیصال صداه إلی العالم الإسلامی، وإحیاء القسط والعدل، وإدانة الظلم والعدوان، وإبادة المفسدین والظالمین وأعوانهم فی القرون الماضیة، وکذلک فی الحاضر وسیظل ویبقی فی القرون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 أفاده الأستاذ آیة الله سماحة آیة الله العظمی الحاج میرزا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 إنما هو فی الحقیقة نفحة من نفحات الرحمان، فقد صدر من أهله ووقع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المؤمنین أن یسعوا غایة جهدهم فی متابعة ما أفتی به سماحته، وتطبیقه کاملاً وبحذافیره، دون أی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المرعشی</w:t>
      </w:r>
      <w:bookmarkStart w:id="716" w:name="pg2944_24749"/>
    </w:p>
    <w:p>
      <w:pPr>
        <w:pStyle w:val="Heading3"/>
        <w:numPr>
          <w:ilvl w:val="2"/>
          <w:numId w:val="1"/>
        </w:numPr>
        <w:rPr/>
      </w:pPr>
      <w:bookmarkStart w:id="717" w:name="__RefHeading___Toc110940_2749589250"/>
      <w:bookmarkStart w:id="718" w:name="_Toc272"/>
      <w:bookmarkEnd w:id="716"/>
      <w:bookmarkEnd w:id="717"/>
      <w:r>
        <w:rPr>
          <w:rtl w:val="true"/>
        </w:rPr>
        <w:t>(</w:t>
      </w:r>
      <w:r>
        <w:rPr/>
        <w:t>12</w:t>
      </w:r>
      <w:r>
        <w:rPr>
          <w:rtl w:val="true"/>
        </w:rPr>
        <w:t xml:space="preserve">) </w:t>
      </w:r>
      <w:r>
        <w:rPr>
          <w:rtl w:val="true"/>
        </w:rPr>
        <w:t>آیة الله المدد قدس سره</w:t>
      </w:r>
      <w:bookmarkEnd w:id="718"/>
    </w:p>
    <w:p>
      <w:pPr>
        <w:pStyle w:val="BookText"/>
        <w:rPr/>
      </w:pPr>
      <w:r>
        <w:rPr>
          <w:rFonts w:ascii="IRNazanin" w:hAnsi="IRNazanin" w:eastAsia="IRNazanin"/>
          <w:color w:val="111111"/>
          <w:sz w:val="28"/>
          <w:sz w:val="28"/>
          <w:szCs w:val="28"/>
          <w:rtl w:val="true"/>
          <w:lang w:bidi="fa-IR"/>
        </w:rPr>
        <w:t>نص ما کتبه سماحة المغفور له آیة الله السید علی مدد الموسوی القاینی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رقمه الاستاذ الأعظم طاب ثراه هو الحق الذی لا یشک فیه إلا المرتابون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الجانی</w:t>
      </w:r>
    </w:p>
    <w:p>
      <w:pPr>
        <w:pStyle w:val="BookText"/>
        <w:rPr/>
      </w:pPr>
      <w:r>
        <w:rPr>
          <w:rFonts w:ascii="IRNazanin" w:hAnsi="IRNazanin" w:eastAsia="IRNazanin"/>
          <w:color w:val="111111"/>
          <w:sz w:val="28"/>
          <w:sz w:val="28"/>
          <w:szCs w:val="28"/>
          <w:rtl w:val="true"/>
          <w:lang w:bidi="fa-IR"/>
        </w:rPr>
        <w:t>علی مدد القاینی</w:t>
      </w:r>
    </w:p>
    <w:p>
      <w:pPr>
        <w:pStyle w:val="Heading3"/>
        <w:numPr>
          <w:ilvl w:val="2"/>
          <w:numId w:val="1"/>
        </w:numPr>
        <w:rPr/>
      </w:pPr>
      <w:bookmarkStart w:id="719" w:name="__RefHeading___Toc110942_2749589250"/>
      <w:bookmarkStart w:id="720" w:name="_Toc273"/>
      <w:bookmarkEnd w:id="719"/>
      <w:r>
        <w:rPr>
          <w:rtl w:val="true"/>
        </w:rPr>
        <w:t>(</w:t>
      </w:r>
      <w:r>
        <w:rPr/>
        <w:t>13</w:t>
      </w:r>
      <w:r>
        <w:rPr>
          <w:rtl w:val="true"/>
        </w:rPr>
        <w:t xml:space="preserve">) </w:t>
      </w:r>
      <w:r>
        <w:rPr>
          <w:rtl w:val="true"/>
        </w:rPr>
        <w:t>آیة الله النوری</w:t>
      </w:r>
      <w:bookmarkEnd w:id="720"/>
    </w:p>
    <w:p>
      <w:pPr>
        <w:pStyle w:val="BookText"/>
        <w:rPr/>
      </w:pPr>
      <w:r>
        <w:rPr>
          <w:rFonts w:ascii="IRNazanin" w:hAnsi="IRNazanin" w:eastAsia="IRNazanin"/>
          <w:color w:val="111111"/>
          <w:sz w:val="28"/>
          <w:sz w:val="28"/>
          <w:szCs w:val="28"/>
          <w:rtl w:val="true"/>
          <w:lang w:bidi="fa-IR"/>
        </w:rPr>
        <w:t xml:space="preserve">ترجمة نص ما أجاب به آیة الله الشیخ یحیی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طهران، فی سؤال عن نظره بالنسبة إلی فتوی آیة الله النائینی قدس سره فیما یتعلّق بإقامة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أفتی به استاذ الفقهاء والمجتهدین، المرحوم آیة الله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فتوی جامعه ومقبولة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یحیی النوری</w:t>
      </w:r>
      <w:bookmarkStart w:id="721" w:name="pg2944_24751"/>
    </w:p>
    <w:p>
      <w:pPr>
        <w:pStyle w:val="Heading2"/>
        <w:numPr>
          <w:ilvl w:val="1"/>
          <w:numId w:val="1"/>
        </w:numPr>
        <w:rPr/>
      </w:pPr>
      <w:bookmarkStart w:id="722" w:name="__RefHeading___Toc110944_2749589250"/>
      <w:bookmarkStart w:id="723" w:name="_Toc274"/>
      <w:bookmarkEnd w:id="721"/>
      <w:bookmarkEnd w:id="722"/>
      <w:r>
        <w:rPr>
          <w:rtl w:val="true"/>
        </w:rPr>
        <w:t>المصادر</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الجنان للشیخ خضر بن شلال – طبعة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لأحمد بن علی الطبرسی، تحقیق السید محمد باقر الخرسان – دار النعمان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لأبی بکر احمد بن علی الوزازی الجصّاص –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العباد إلی استحباب لبس السواد للسید جعفر الطباطبائی الحائری – المطبعة العلمیة – قم – ط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للشیخ المفید – دار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للجزری المعروف بابن الأثیر – انتشارات اسماعیلیان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للکلینی – دار الکتب الإسلامیة – ط الثالثة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لأبی الفرج الاصفهانی علی بن الحسین – دار إحیاء التراث العربی –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للسید ابن طاووس، علی بن موسی بن جعفر – الطبعة الحجریة،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 الهادی إلی طریق الرشاد للشیخ الطوسی – مطبعة خیام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لأبی جعفر محمد بن علی بن الحسین بن بابویه – مؤسسة البعثة – قم – ط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 مؤسسة الوفاء بیروت – ط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للحافظ أبی الفداء إسماعیل بن کثیر الدمشقی – دار إحیاء التراث العربی – ط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للصفار محمد بن الحسن بن فرخ مطبعة الأحمدی – طهران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للجاحظ – دار إحیاء التراث العربی – بیروت،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والملوک لابن جریر الطبری، مؤسسة الأعلمی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لابن عساکر –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احمد الأنصاری القرطبی – دار إحیاء التراث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القمی، مؤسسة دار الکتاب – قم، ط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أمین الإسلام أبی علی الفضل بن الحسن الطبرسی، مؤسسة الأعلمی للمطبوعات – بیروت، ط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لابن حجر العسقلانی – دار الفکر – ط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لأبی الحجاج یوسف المزّی – مؤسسة الرسالة ، ط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للشیخ الصدوق أبی جعفر محمد بن علی بن الحسین بن بابویه، منشورات الرضی – قم، ط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لأبی جعفر محمد بن حریر الطبری – دار الفکر، بیروت – ط ألی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الشتات للمیرزا أبو القاسم القمی – مؤسسة کیهان – ط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خطب العرب لاحمد زکی صفوت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للشیخ محمد حسن النجفی – دار الکتب الإسلامیة – ط الثالثة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السید الیزدی علی رسالة الشیخ جعفر التستری – طبعة حجریة قدیمة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للمحقق یوسف البحرانی – جماعة المدرسین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لأبی نعیم الاصفهانی دار الکتب العربیة – بیروت، ط الرابعة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الواقیة لابن طاووس، علی بن موسی بن جعفر، مؤسسة آل البیت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لأحمد بن عبد الله الطبری –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 دار القرآن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لمحمد بن الفتّال النیسابوری – منشورات الرضی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لابی الفرج جمال الدین عبد الرحمن بن علی بن محمد الجوزی –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سیرتنا وسنتنا – الشیخ الأمینی – دار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مسند أبی حنیفة للملا علی القاری، دار الکتب العلمیة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وصحاح العربیة لإسماعیل بن حماد الجوهری – دار العلم للملایین – ط الرابعة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البخاری، دار الفکر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للبیاضی العاملی علی بن یونس العاملی – المکتبة المرتضویة، ط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الصواعق المحرقة لإبن حجر الهیثمی، مکتبة القاهرة – القاهرة، ط الثانیة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لابن فهد الحلی، تحقیق أحمد الموحدی القمی – مکتبة الوجدانی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للسید الیزدی – مؤسسة الأعلمی بیروت – ط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العملی للشیخ محمد السند – مؤسسة أم القری للتحقیق والنشر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للشیخ الصدوق أبی جعفر محمد بن علی بن الحسین بن بابویه، منشورات المکتبة الحیدریة – النجف،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للشیخ عبد الله البحرانی – مطبعة أمیر – قم ط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للشیخ الصدوق أبی جعفر محمد بن علی بن الحسین بن بابویه – مؤسسة الأعلمی – بیروت، ط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لأبی إسحاق إبراهیم بن محمد الثقفی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 – مطبعة بهمن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علماء الدین حول الشعائر الحسینیة – مؤسسة المنبر الحسینی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الأصول للشیخ مرتضی الأنصاری، مجمع الفکر الإسلامی –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للشیخ المفید – دار المفید – بیروت – ط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للفیروزآبادی – دار العلم للجمیع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للشیخ جعفر بن محمد بن قولویه – مؤسسة النشر الإسلامی –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للخلیل بن احمد الفراهیدی – مؤسسة دار الهجرة – ط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للشیخ جعفر کاشف الغطاء ط حجریة – مهدوی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الأصول للأخوند محمد کاظم الخراسانی – مؤسسة آل 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فی قتلی الطفوف للسید علی بن موسی بن طاووس الحسینی – مطبعة مهر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 للسید محسن الأمین – مکتبة بصیرتی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لابن نما الحلی – المطبعة الحیدریة – النجف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الدرر فی المسائل الاثنتی عشر للشیخ عبد الله المامقانی – طبعة حجریة 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المسائل للسید الکلبایکانی – دار القرآن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لأحمد بن محمد بن خالد الرقی، تحقیق السید جلال الدین الحسینی –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للمحدث النوری – مؤسسة آل البیت لإحیاء التراث – ط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للسید محسن الحکیم – مکتبة السید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نهج البلاغة للسید عبد الزهراء الحسینی – مؤسسة الأعلمی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الأصول تقریرات بحث السید الخوئی، للسید محمد سرور الواعظ الحسینی، مکتبة الداوری، قم ــ ط الخامسة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المنسوب للإمام الصادق علیه السلام، مؤسسة الأعلمی – ط 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لمحمد بن طلحة الشافعی – مؤسسة البلاغ – بیروت، ط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للشیخ الصدوق أبی جعفر محمد بن علی بن الحسین بن بابویه، تصحیح علی أکبر الغفاری، انتشارات إسلامی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لسلیمان بن احمد بن أیوب اللخمی، الطبرانی – دار إحیاء التراث العربی – ط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للمحدث القمی – دار إحیاء التراث العربی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الطالبیین لأبی الفرج الاصفهانی – مؤسسة دار الکتاب للطباعة والنشر –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للأصفهانی – المطبعة العلمیة – قم – ط الثانیة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للشیخ الصدوق – جامعة المدرسین – ط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المطبعة الحیدریة، النجف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للشیخ محمد رضا المظفر – مطبعة النعمان – النجف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للمیرزا حبیب الله الخوئی – المطبعة الإسلامیة – طهران، ط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للسید الخوئی، مطبعة مهر –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الطبعة الثامنة والعشرون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الرشاد لمن أراد السداد، الشیخ جعفر کاشف الغطاء، مجمع أهل البیت العالمی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إلی زوائد ابن حبّان، لعلی بن أبی بکر الهیثمی، دار الکتب العلمیة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والاجتهاد للسید عبد الحسین شرف الدین – مطبعة سید الشهداء – قم، ط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نصرة المظلوم للشیخ حسن المظفر، دار الکتب العلمیة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للشیخ الأصفهانی، مؤسسة آل البیت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تحقیق الشیخ محمد عبده، دار المعرفة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لابن أبی الحدید المعتزلی –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لقطب الدین الراوندی – دار الحدیث – ط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للحر العاملی، مؤسسة آل البیت لإحیاء التراث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للشیخ سلیمان بن إبراهیم القندوزی الحنفی – دار الأسوة – ط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Anglo – Saxon Chronical</w:t>
      </w:r>
      <w:bookmarkStart w:id="724" w:name="pg2944_24757"/>
    </w:p>
    <w:p>
      <w:pPr>
        <w:pStyle w:val="Heading2"/>
        <w:numPr>
          <w:ilvl w:val="1"/>
          <w:numId w:val="1"/>
        </w:numPr>
        <w:rPr/>
      </w:pPr>
      <w:bookmarkStart w:id="725" w:name="__RefHeading___Toc110946_2749589250"/>
      <w:bookmarkStart w:id="726" w:name="_Toc275"/>
      <w:bookmarkEnd w:id="724"/>
      <w:bookmarkEnd w:id="725"/>
      <w:r>
        <w:rPr>
          <w:rtl w:val="true"/>
        </w:rPr>
        <w:t>المحتویات</w:t>
      </w:r>
      <w:bookmarkEnd w:id="726"/>
    </w:p>
    <w:p>
      <w:pPr>
        <w:pStyle w:val="BookText"/>
        <w:rPr/>
      </w:pPr>
      <w:r>
        <w:rPr>
          <w:rFonts w:ascii="Amiri" w:hAnsi="Amiri" w:eastAsia="Amiri" w:cs="Amiri"/>
          <w:color w:val="111111"/>
          <w:sz w:val="28"/>
          <w:sz w:val="28"/>
          <w:szCs w:val="28"/>
          <w:rtl w:val="true"/>
          <w:lang w:bidi="ar-SA"/>
        </w:rPr>
        <w:t>مقدمة القسم</w:t>
      </w:r>
    </w:p>
    <w:p>
      <w:pPr>
        <w:pStyle w:val="BookText"/>
        <w:rPr/>
      </w:pPr>
      <w:r>
        <w:rPr>
          <w:rFonts w:ascii="IRNazanin" w:hAnsi="IRNazanin" w:eastAsia="IRNazanin"/>
          <w:color w:val="111111"/>
          <w:sz w:val="28"/>
          <w:sz w:val="28"/>
          <w:szCs w:val="28"/>
          <w:rtl w:val="true"/>
          <w:lang w:bidi="fa-IR"/>
        </w:rPr>
        <w:t>تقریض‏</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دیباجة الکتاب‏</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موارد الشعائر</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الإشکالات حول الشعائر الدینیّة</w:t>
      </w:r>
    </w:p>
    <w:p>
      <w:pPr>
        <w:pStyle w:val="BookText"/>
        <w:rPr/>
      </w:pPr>
      <w:r>
        <w:rPr>
          <w:rFonts w:ascii="IRNazanin" w:hAnsi="IRNazanin" w:eastAsia="IRNazanin"/>
          <w:color w:val="111111"/>
          <w:sz w:val="28"/>
          <w:sz w:val="28"/>
          <w:szCs w:val="28"/>
          <w:rtl w:val="true"/>
          <w:lang w:bidi="fa-IR"/>
        </w:rPr>
        <w:t>الإشکال الأوّل</w:t>
      </w:r>
    </w:p>
    <w:p>
      <w:pPr>
        <w:pStyle w:val="BookText"/>
        <w:rPr/>
      </w:pPr>
      <w:r>
        <w:rPr>
          <w:rFonts w:ascii="IRNazanin" w:hAnsi="IRNazanin" w:eastAsia="IRNazanin"/>
          <w:color w:val="111111"/>
          <w:sz w:val="28"/>
          <w:sz w:val="28"/>
          <w:szCs w:val="28"/>
          <w:rtl w:val="true"/>
          <w:lang w:bidi="fa-IR"/>
        </w:rPr>
        <w:t>الإشکال الثانی</w:t>
      </w:r>
    </w:p>
    <w:p>
      <w:pPr>
        <w:pStyle w:val="BookText"/>
        <w:rPr/>
      </w:pPr>
      <w:r>
        <w:rPr>
          <w:rFonts w:ascii="IRNazanin" w:hAnsi="IRNazanin" w:eastAsia="IRNazanin"/>
          <w:color w:val="111111"/>
          <w:sz w:val="28"/>
          <w:sz w:val="28"/>
          <w:szCs w:val="28"/>
          <w:rtl w:val="true"/>
          <w:lang w:bidi="fa-IR"/>
        </w:rPr>
        <w:t>الإشکال الثالث</w:t>
      </w:r>
    </w:p>
    <w:p>
      <w:pPr>
        <w:pStyle w:val="BookText"/>
        <w:rPr/>
      </w:pPr>
      <w:r>
        <w:rPr>
          <w:rFonts w:ascii="IRNazanin" w:hAnsi="IRNazanin" w:eastAsia="IRNazanin"/>
          <w:color w:val="111111"/>
          <w:sz w:val="28"/>
          <w:sz w:val="28"/>
          <w:szCs w:val="28"/>
          <w:rtl w:val="true"/>
          <w:lang w:bidi="fa-IR"/>
        </w:rPr>
        <w:t>الإشکال الرابع</w:t>
      </w:r>
    </w:p>
    <w:p>
      <w:pPr>
        <w:pStyle w:val="BookText"/>
        <w:rPr/>
      </w:pPr>
      <w:r>
        <w:rPr>
          <w:rFonts w:ascii="IRNazanin" w:hAnsi="IRNazanin" w:eastAsia="IRNazanin"/>
          <w:color w:val="111111"/>
          <w:sz w:val="28"/>
          <w:sz w:val="28"/>
          <w:szCs w:val="28"/>
          <w:rtl w:val="true"/>
          <w:lang w:bidi="fa-IR"/>
        </w:rPr>
        <w:t>الإشکال الخامس</w:t>
      </w:r>
    </w:p>
    <w:p>
      <w:pPr>
        <w:pStyle w:val="BookText"/>
        <w:rPr/>
      </w:pPr>
      <w:r>
        <w:rPr>
          <w:rFonts w:ascii="IRNazanin" w:hAnsi="IRNazanin" w:eastAsia="IRNazanin"/>
          <w:color w:val="111111"/>
          <w:sz w:val="28"/>
          <w:sz w:val="28"/>
          <w:szCs w:val="28"/>
          <w:rtl w:val="true"/>
          <w:lang w:bidi="fa-IR"/>
        </w:rPr>
        <w:t>الإشکال السادس</w:t>
      </w:r>
    </w:p>
    <w:p>
      <w:pPr>
        <w:pStyle w:val="BookText"/>
        <w:rPr/>
      </w:pPr>
      <w:r>
        <w:rPr>
          <w:rFonts w:ascii="IRNazanin" w:hAnsi="IRNazanin" w:eastAsia="IRNazanin"/>
          <w:color w:val="111111"/>
          <w:sz w:val="28"/>
          <w:sz w:val="28"/>
          <w:szCs w:val="28"/>
          <w:rtl w:val="true"/>
          <w:lang w:bidi="fa-IR"/>
        </w:rPr>
        <w:t>الإشکال السابع</w:t>
      </w:r>
    </w:p>
    <w:p>
      <w:pPr>
        <w:pStyle w:val="BookText"/>
        <w:rPr/>
      </w:pPr>
      <w:r>
        <w:rPr>
          <w:rFonts w:ascii="IRNazanin" w:hAnsi="IRNazanin" w:eastAsia="IRNazanin"/>
          <w:color w:val="111111"/>
          <w:sz w:val="28"/>
          <w:sz w:val="28"/>
          <w:szCs w:val="28"/>
          <w:rtl w:val="true"/>
          <w:lang w:bidi="fa-IR"/>
        </w:rPr>
        <w:t>الجانب الثالث‏</w:t>
      </w:r>
    </w:p>
    <w:p>
      <w:pPr>
        <w:pStyle w:val="BookText"/>
        <w:rPr/>
      </w:pPr>
      <w:r>
        <w:rPr>
          <w:rFonts w:ascii="Amiri" w:hAnsi="Amiri" w:eastAsia="Amiri" w:cs="Amiri"/>
          <w:color w:val="111111"/>
          <w:sz w:val="28"/>
          <w:sz w:val="28"/>
          <w:szCs w:val="28"/>
          <w:rtl w:val="true"/>
          <w:lang w:bidi="ar-SA"/>
        </w:rPr>
        <w:t>الجانب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موضوع القاعدة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الخامس‏</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الدینیة</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الإجمالیّة</w:t>
      </w:r>
    </w:p>
    <w:p>
      <w:pPr>
        <w:pStyle w:val="BookText"/>
        <w:rPr/>
      </w:pPr>
      <w:r>
        <w:rPr>
          <w:rFonts w:ascii="IRNazanin" w:hAnsi="IRNazanin" w:eastAsia="IRNazanin"/>
          <w:color w:val="111111"/>
          <w:sz w:val="28"/>
          <w:sz w:val="28"/>
          <w:szCs w:val="28"/>
          <w:rtl w:val="true"/>
          <w:lang w:bidi="fa-IR"/>
        </w:rPr>
        <w:t>الطائفة الأولی من الأدلّة</w:t>
      </w:r>
    </w:p>
    <w:p>
      <w:pPr>
        <w:pStyle w:val="BookText"/>
        <w:rPr/>
      </w:pPr>
      <w:r>
        <w:rPr>
          <w:rFonts w:ascii="IRNazanin" w:hAnsi="IRNazanin" w:eastAsia="IRNazanin"/>
          <w:color w:val="111111"/>
          <w:sz w:val="28"/>
          <w:sz w:val="28"/>
          <w:szCs w:val="28"/>
          <w:rtl w:val="true"/>
          <w:lang w:bidi="fa-IR"/>
        </w:rPr>
        <w:t>الطائفة الثانیة من الأدلّة</w:t>
      </w:r>
    </w:p>
    <w:p>
      <w:pPr>
        <w:pStyle w:val="BookText"/>
        <w:rPr/>
      </w:pPr>
      <w:r>
        <w:rPr>
          <w:rFonts w:ascii="Amiri" w:hAnsi="Amiri" w:eastAsia="Amiri" w:cs="Amiri"/>
          <w:color w:val="111111"/>
          <w:sz w:val="28"/>
          <w:sz w:val="28"/>
          <w:szCs w:val="28"/>
          <w:rtl w:val="true"/>
          <w:lang w:bidi="ar-SA"/>
        </w:rPr>
        <w:t>الطائفة الثالثة من الأدلّة</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العامّة والخاصّة حول هذه القاعدة</w:t>
      </w:r>
    </w:p>
    <w:p>
      <w:pPr>
        <w:pStyle w:val="BookText"/>
        <w:rPr/>
      </w:pPr>
      <w:r>
        <w:rPr>
          <w:rFonts w:ascii="Amiri" w:hAnsi="Amiri" w:eastAsia="Amiri" w:cs="Amiri"/>
          <w:color w:val="111111"/>
          <w:sz w:val="28"/>
          <w:sz w:val="28"/>
          <w:szCs w:val="28"/>
          <w:rtl w:val="true"/>
          <w:lang w:bidi="ar-SA"/>
        </w:rPr>
        <w:t>أقوال العامة</w:t>
      </w:r>
    </w:p>
    <w:p>
      <w:pPr>
        <w:pStyle w:val="BookText"/>
        <w:rPr/>
      </w:pPr>
      <w:r>
        <w:rPr>
          <w:rFonts w:ascii="Amiri" w:hAnsi="Amiri" w:eastAsia="Amiri" w:cs="Amiri"/>
          <w:color w:val="111111"/>
          <w:sz w:val="28"/>
          <w:sz w:val="28"/>
          <w:szCs w:val="28"/>
          <w:rtl w:val="true"/>
          <w:lang w:bidi="ar-SA"/>
        </w:rPr>
        <w:t>أقوال الخاصّة</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وماهیة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p>
    <w:p>
      <w:pPr>
        <w:pStyle w:val="BookText"/>
        <w:rPr/>
      </w:pPr>
      <w:r>
        <w:rPr>
          <w:rFonts w:ascii="IRNazanin" w:hAnsi="IRNazanin" w:eastAsia="IRNazanin"/>
          <w:color w:val="111111"/>
          <w:sz w:val="28"/>
          <w:sz w:val="28"/>
          <w:szCs w:val="28"/>
          <w:rtl w:val="true"/>
          <w:lang w:bidi="fa-IR"/>
        </w:rPr>
        <w:t>الشعائر فی کتب اللغة</w:t>
      </w:r>
    </w:p>
    <w:p>
      <w:pPr>
        <w:pStyle w:val="BookText"/>
        <w:rPr/>
      </w:pPr>
      <w:r>
        <w:rPr>
          <w:rFonts w:ascii="IRNazanin" w:hAnsi="IRNazanin" w:eastAsia="IRNazanin"/>
          <w:color w:val="111111"/>
          <w:sz w:val="28"/>
          <w:sz w:val="28"/>
          <w:szCs w:val="28"/>
          <w:rtl w:val="true"/>
          <w:lang w:bidi="fa-IR"/>
        </w:rPr>
        <w:t>نتیجة المطاف‏</w:t>
      </w:r>
    </w:p>
    <w:p>
      <w:pPr>
        <w:pStyle w:val="BookText"/>
        <w:rPr/>
      </w:pPr>
      <w:r>
        <w:rPr>
          <w:rFonts w:ascii="IRNazanin" w:hAnsi="IRNazanin" w:eastAsia="IRNazanin"/>
          <w:color w:val="111111"/>
          <w:sz w:val="28"/>
          <w:sz w:val="28"/>
          <w:szCs w:val="28"/>
          <w:rtl w:val="true"/>
          <w:lang w:bidi="fa-IR"/>
        </w:rPr>
        <w:t>الفرق بین النُسک والشعائر</w:t>
      </w:r>
    </w:p>
    <w:p>
      <w:pPr>
        <w:pStyle w:val="BookText"/>
        <w:rPr/>
      </w:pPr>
      <w:r>
        <w:rPr>
          <w:rFonts w:ascii="IRNazanin" w:hAnsi="IRNazanin" w:eastAsia="IRNazanin"/>
          <w:color w:val="111111"/>
          <w:sz w:val="28"/>
          <w:sz w:val="28"/>
          <w:szCs w:val="28"/>
          <w:rtl w:val="true"/>
          <w:lang w:bidi="fa-IR"/>
        </w:rPr>
        <w:t>المعنی الجامع بین اللغویّین‏</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تحقّق الموضوع ومعالجة بعض قواعد التشریع‏</w:t>
      </w:r>
    </w:p>
    <w:p>
      <w:pPr>
        <w:pStyle w:val="BookText"/>
        <w:rPr/>
      </w:pPr>
      <w:r>
        <w:rPr>
          <w:rFonts w:ascii="IRNazanin" w:hAnsi="IRNazanin" w:eastAsia="IRNazanin"/>
          <w:color w:val="111111"/>
          <w:sz w:val="28"/>
          <w:sz w:val="28"/>
          <w:szCs w:val="28"/>
          <w:rtl w:val="true"/>
          <w:lang w:bidi="fa-IR"/>
        </w:rPr>
        <w:t>الوجود التکوینیّ والوجود الإعتباریّ للأشیاء</w:t>
      </w:r>
    </w:p>
    <w:p>
      <w:pPr>
        <w:pStyle w:val="BookText"/>
        <w:rPr/>
      </w:pPr>
      <w:r>
        <w:rPr>
          <w:rFonts w:ascii="Amiri" w:hAnsi="Amiri" w:eastAsia="Amiri" w:cs="Amiri"/>
          <w:color w:val="111111"/>
          <w:sz w:val="28"/>
          <w:sz w:val="28"/>
          <w:szCs w:val="28"/>
          <w:rtl w:val="true"/>
          <w:lang w:bidi="ar-SA"/>
        </w:rPr>
        <w:t>خلاصة القول‏</w:t>
      </w:r>
    </w:p>
    <w:p>
      <w:pPr>
        <w:pStyle w:val="BookText"/>
        <w:rPr/>
      </w:pPr>
      <w:r>
        <w:rPr>
          <w:rFonts w:ascii="IRNazanin" w:hAnsi="IRNazanin" w:eastAsia="IRNazanin"/>
          <w:color w:val="111111"/>
          <w:sz w:val="28"/>
          <w:sz w:val="28"/>
          <w:szCs w:val="28"/>
          <w:rtl w:val="true"/>
          <w:lang w:bidi="fa-IR"/>
        </w:rPr>
        <w:t>الشعیرة علامة وضعیّة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الشعائر ومناسک الحجّ‏</w:t>
      </w:r>
    </w:p>
    <w:p>
      <w:pPr>
        <w:pStyle w:val="BookText"/>
        <w:rPr/>
      </w:pPr>
      <w:r>
        <w:rPr>
          <w:rFonts w:ascii="IRNazanin" w:hAnsi="IRNazanin" w:eastAsia="IRNazanin"/>
          <w:color w:val="111111"/>
          <w:sz w:val="28"/>
          <w:sz w:val="28"/>
          <w:szCs w:val="28"/>
          <w:rtl w:val="true"/>
          <w:lang w:bidi="fa-IR"/>
        </w:rPr>
        <w:t>الترخیص فی جعل الشعائر بید العرف‏</w:t>
      </w:r>
    </w:p>
    <w:p>
      <w:pPr>
        <w:pStyle w:val="BookText"/>
        <w:rPr/>
      </w:pPr>
      <w:r>
        <w:rPr>
          <w:rFonts w:ascii="IRNazanin" w:hAnsi="IRNazanin" w:eastAsia="IRNazanin"/>
          <w:color w:val="111111"/>
          <w:sz w:val="28"/>
          <w:sz w:val="28"/>
          <w:szCs w:val="28"/>
          <w:rtl w:val="true"/>
          <w:lang w:bidi="fa-IR"/>
        </w:rPr>
        <w:t>النقطة الأولی</w:t>
      </w:r>
    </w:p>
    <w:p>
      <w:pPr>
        <w:pStyle w:val="BookText"/>
        <w:rPr/>
      </w:pPr>
      <w:r>
        <w:rPr>
          <w:rFonts w:ascii="IRNazanin" w:hAnsi="IRNazanin" w:eastAsia="IRNazanin"/>
          <w:color w:val="111111"/>
          <w:sz w:val="28"/>
          <w:sz w:val="28"/>
          <w:szCs w:val="28"/>
          <w:rtl w:val="true"/>
          <w:lang w:bidi="fa-IR"/>
        </w:rPr>
        <w:t>النقطة الثانیة</w:t>
      </w:r>
    </w:p>
    <w:p>
      <w:pPr>
        <w:pStyle w:val="BookText"/>
        <w:rPr/>
      </w:pPr>
      <w:r>
        <w:rPr>
          <w:rFonts w:ascii="Amiri" w:hAnsi="Amiri" w:eastAsia="Amiri" w:cs="Amiri"/>
          <w:color w:val="111111"/>
          <w:sz w:val="28"/>
          <w:sz w:val="28"/>
          <w:szCs w:val="28"/>
          <w:rtl w:val="true"/>
          <w:lang w:bidi="ar-SA"/>
        </w:rPr>
        <w:t>النقطة الثالثة</w:t>
      </w:r>
    </w:p>
    <w:p>
      <w:pPr>
        <w:pStyle w:val="BookText"/>
        <w:rPr/>
      </w:pPr>
      <w:r>
        <w:rPr>
          <w:rFonts w:ascii="IRNazanin" w:hAnsi="IRNazanin" w:eastAsia="IRNazanin"/>
          <w:color w:val="111111"/>
          <w:sz w:val="28"/>
          <w:sz w:val="28"/>
          <w:szCs w:val="28"/>
          <w:rtl w:val="true"/>
          <w:lang w:bidi="fa-IR"/>
        </w:rPr>
        <w:t>الوجود الاعتباری للشعیرة</w:t>
      </w:r>
    </w:p>
    <w:p>
      <w:pPr>
        <w:pStyle w:val="BookText"/>
        <w:rPr/>
      </w:pPr>
      <w:r>
        <w:rPr>
          <w:rFonts w:ascii="Amiri" w:hAnsi="Amiri" w:eastAsia="Amiri" w:cs="Amiri"/>
          <w:color w:val="111111"/>
          <w:sz w:val="28"/>
          <w:sz w:val="28"/>
          <w:szCs w:val="28"/>
          <w:rtl w:val="true"/>
          <w:lang w:bidi="ar-SA"/>
        </w:rPr>
        <w:t>خلاصة القول‏</w:t>
      </w:r>
    </w:p>
    <w:p>
      <w:pPr>
        <w:pStyle w:val="BookText"/>
        <w:rPr/>
      </w:pPr>
      <w:r>
        <w:rPr>
          <w:rFonts w:ascii="IRNazanin" w:hAnsi="IRNazanin" w:eastAsia="IRNazanin"/>
          <w:color w:val="111111"/>
          <w:sz w:val="28"/>
          <w:sz w:val="28"/>
          <w:szCs w:val="28"/>
          <w:rtl w:val="true"/>
          <w:lang w:bidi="fa-IR"/>
        </w:rPr>
        <w:t>الاعتراض بتوقیفیّة الشعائر</w:t>
      </w:r>
    </w:p>
    <w:p>
      <w:pPr>
        <w:pStyle w:val="BookText"/>
        <w:rPr/>
      </w:pPr>
      <w:r>
        <w:rPr>
          <w:rFonts w:ascii="Amiri" w:hAnsi="Amiri" w:eastAsia="Amiri" w:cs="Amiri"/>
          <w:color w:val="111111"/>
          <w:sz w:val="28"/>
          <w:sz w:val="28"/>
          <w:szCs w:val="28"/>
          <w:rtl w:val="true"/>
          <w:lang w:bidi="ar-SA"/>
        </w:rPr>
        <w:t>أدلّة المعترض‏</w:t>
      </w:r>
    </w:p>
    <w:p>
      <w:pPr>
        <w:pStyle w:val="BookText"/>
        <w:rPr/>
      </w:pPr>
      <w:r>
        <w:rPr>
          <w:rFonts w:ascii="IRNazanin" w:hAnsi="IRNazanin" w:eastAsia="IRNazanin"/>
          <w:color w:val="111111"/>
          <w:sz w:val="28"/>
          <w:sz w:val="28"/>
          <w:szCs w:val="28"/>
          <w:rtl w:val="true"/>
          <w:lang w:bidi="fa-IR"/>
        </w:rPr>
        <w:t>جواب الاعتراض‏</w:t>
      </w:r>
    </w:p>
    <w:p>
      <w:pPr>
        <w:pStyle w:val="BookText"/>
        <w:rPr/>
      </w:pPr>
      <w:r>
        <w:rPr>
          <w:rFonts w:ascii="IRNazanin" w:hAnsi="IRNazanin" w:eastAsia="IRNazanin"/>
          <w:color w:val="111111"/>
          <w:sz w:val="28"/>
          <w:sz w:val="28"/>
          <w:szCs w:val="28"/>
          <w:rtl w:val="true"/>
          <w:lang w:bidi="fa-IR"/>
        </w:rPr>
        <w:t>الجواب التفصیلی الأول‏</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الأوامر بطبیعة الکلّیّ‏</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العناوین الثانویّة</w:t>
      </w:r>
    </w:p>
    <w:p>
      <w:pPr>
        <w:pStyle w:val="BookText"/>
        <w:rPr/>
      </w:pPr>
      <w:r>
        <w:rPr>
          <w:rFonts w:ascii="IRNazanin" w:hAnsi="IRNazanin" w:eastAsia="IRNazanin"/>
          <w:color w:val="111111"/>
          <w:sz w:val="28"/>
          <w:sz w:val="28"/>
          <w:szCs w:val="28"/>
          <w:rtl w:val="true"/>
          <w:lang w:bidi="fa-IR"/>
        </w:rPr>
        <w:t>العنوان الثانویّ فی جنبة الحُکم</w:t>
      </w:r>
    </w:p>
    <w:p>
      <w:pPr>
        <w:pStyle w:val="BookText"/>
        <w:rPr/>
      </w:pPr>
      <w:r>
        <w:rPr>
          <w:rFonts w:ascii="IRNazanin" w:hAnsi="IRNazanin" w:eastAsia="IRNazanin"/>
          <w:color w:val="111111"/>
          <w:sz w:val="28"/>
          <w:sz w:val="28"/>
          <w:szCs w:val="28"/>
          <w:rtl w:val="true"/>
          <w:lang w:bidi="fa-IR"/>
        </w:rPr>
        <w:t>العنوان الثانویّ فی جنبة الموضوع</w:t>
      </w:r>
    </w:p>
    <w:p>
      <w:pPr>
        <w:pStyle w:val="BookText"/>
        <w:rPr/>
      </w:pPr>
      <w:r>
        <w:rPr>
          <w:rFonts w:ascii="IRNazanin" w:hAnsi="IRNazanin" w:eastAsia="IRNazanin"/>
          <w:color w:val="111111"/>
          <w:sz w:val="28"/>
          <w:sz w:val="28"/>
          <w:szCs w:val="28"/>
          <w:rtl w:val="true"/>
          <w:lang w:bidi="fa-IR"/>
        </w:rPr>
        <w:t>الفوارق بین العناوین الثانویّة فی جنبة الحکم وفی جنبة الموضوع‏</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ثمرة الفرق بین النوعَین‏</w:t>
      </w:r>
    </w:p>
    <w:p>
      <w:pPr>
        <w:pStyle w:val="BookText"/>
        <w:rPr/>
      </w:pPr>
      <w:r>
        <w:rPr>
          <w:rFonts w:ascii="Amiri" w:hAnsi="Amiri" w:eastAsia="Amiri" w:cs="Amiri"/>
          <w:color w:val="111111"/>
          <w:sz w:val="28"/>
          <w:sz w:val="28"/>
          <w:szCs w:val="28"/>
          <w:rtl w:val="true"/>
          <w:lang w:bidi="ar-SA"/>
        </w:rPr>
        <w:t>النقطة الثالثة</w:t>
      </w:r>
    </w:p>
    <w:p>
      <w:pPr>
        <w:pStyle w:val="BookText"/>
        <w:rPr/>
      </w:pPr>
      <w:r>
        <w:rPr>
          <w:rFonts w:ascii="IRNazanin" w:hAnsi="IRNazanin" w:eastAsia="IRNazanin"/>
          <w:color w:val="111111"/>
          <w:sz w:val="28"/>
          <w:sz w:val="28"/>
          <w:szCs w:val="28"/>
          <w:rtl w:val="true"/>
          <w:lang w:bidi="fa-IR"/>
        </w:rPr>
        <w:t>اجتماع الأمر والنهی فی مصداق واحد</w:t>
      </w:r>
    </w:p>
    <w:p>
      <w:pPr>
        <w:pStyle w:val="BookText"/>
        <w:rPr/>
      </w:pPr>
      <w:r>
        <w:rPr>
          <w:rFonts w:ascii="IRNazanin" w:hAnsi="IRNazanin" w:eastAsia="IRNazanin"/>
          <w:color w:val="111111"/>
          <w:sz w:val="28"/>
          <w:sz w:val="28"/>
          <w:szCs w:val="28"/>
          <w:rtl w:val="true"/>
          <w:lang w:bidi="fa-IR"/>
        </w:rPr>
        <w:t>بعض أقوال العلماء فی المقام‏</w:t>
      </w:r>
    </w:p>
    <w:p>
      <w:pPr>
        <w:pStyle w:val="BookText"/>
        <w:rPr/>
      </w:pPr>
      <w:r>
        <w:rPr>
          <w:rFonts w:ascii="IRNazanin" w:hAnsi="IRNazanin" w:eastAsia="IRNazanin"/>
          <w:color w:val="111111"/>
          <w:sz w:val="28"/>
          <w:sz w:val="28"/>
          <w:szCs w:val="28"/>
          <w:rtl w:val="true"/>
          <w:lang w:bidi="fa-IR"/>
        </w:rPr>
        <w:t>إطلالة علی سنن المتشرّعة المستجدّة</w:t>
      </w:r>
    </w:p>
    <w:p>
      <w:pPr>
        <w:pStyle w:val="BookText"/>
        <w:rPr/>
      </w:pPr>
      <w:r>
        <w:rPr>
          <w:rFonts w:ascii="IRNazanin" w:hAnsi="IRNazanin" w:eastAsia="IRNazanin"/>
          <w:color w:val="111111"/>
          <w:sz w:val="28"/>
          <w:sz w:val="28"/>
          <w:szCs w:val="28"/>
          <w:rtl w:val="true"/>
          <w:lang w:bidi="fa-IR"/>
        </w:rPr>
        <w:t>خلاصة القول فی النقطة الثالثة</w:t>
      </w:r>
    </w:p>
    <w:p>
      <w:pPr>
        <w:pStyle w:val="BookText"/>
        <w:rPr/>
      </w:pPr>
      <w:r>
        <w:rPr>
          <w:rFonts w:ascii="Amiri" w:hAnsi="Amiri" w:eastAsia="Amiri" w:cs="Amiri"/>
          <w:color w:val="111111"/>
          <w:sz w:val="28"/>
          <w:sz w:val="28"/>
          <w:szCs w:val="28"/>
          <w:rtl w:val="true"/>
          <w:lang w:bidi="ar-SA"/>
        </w:rPr>
        <w:t>ضابطة التعارض والتزاحم‏</w:t>
      </w:r>
    </w:p>
    <w:p>
      <w:pPr>
        <w:pStyle w:val="BookText"/>
        <w:rPr/>
      </w:pPr>
      <w:r>
        <w:rPr>
          <w:rFonts w:ascii="IRNazanin" w:hAnsi="IRNazanin" w:eastAsia="IRNazanin"/>
          <w:color w:val="111111"/>
          <w:sz w:val="28"/>
          <w:sz w:val="28"/>
          <w:szCs w:val="28"/>
          <w:rtl w:val="true"/>
          <w:lang w:bidi="fa-IR"/>
        </w:rPr>
        <w:t>الجواب التفصیلیّ الثانی</w:t>
      </w:r>
    </w:p>
    <w:p>
      <w:pPr>
        <w:pStyle w:val="BookText"/>
        <w:rPr/>
      </w:pPr>
      <w:r>
        <w:rPr>
          <w:rFonts w:ascii="IRNazanin" w:hAnsi="IRNazanin" w:eastAsia="IRNazanin"/>
          <w:color w:val="111111"/>
          <w:sz w:val="28"/>
          <w:sz w:val="28"/>
          <w:szCs w:val="28"/>
          <w:rtl w:val="true"/>
          <w:lang w:bidi="fa-IR"/>
        </w:rPr>
        <w:t>التشریع بین التطبیق والبدعة</w:t>
      </w:r>
    </w:p>
    <w:p>
      <w:pPr>
        <w:pStyle w:val="BookText"/>
        <w:rPr/>
      </w:pPr>
      <w:r>
        <w:rPr>
          <w:rFonts w:ascii="IRNazanin" w:hAnsi="IRNazanin" w:eastAsia="IRNazanin"/>
          <w:color w:val="111111"/>
          <w:sz w:val="28"/>
          <w:sz w:val="28"/>
          <w:szCs w:val="28"/>
          <w:rtl w:val="true"/>
          <w:lang w:bidi="fa-IR"/>
        </w:rPr>
        <w:t>مراتب تنزّل القانون‏</w:t>
      </w:r>
    </w:p>
    <w:p>
      <w:pPr>
        <w:pStyle w:val="BookText"/>
        <w:rPr/>
      </w:pPr>
      <w:r>
        <w:rPr>
          <w:rFonts w:ascii="Amiri" w:hAnsi="Amiri" w:eastAsia="Amiri" w:cs="Amiri"/>
          <w:color w:val="111111"/>
          <w:sz w:val="28"/>
          <w:sz w:val="28"/>
          <w:szCs w:val="28"/>
          <w:rtl w:val="true"/>
          <w:lang w:bidi="ar-SA"/>
        </w:rPr>
        <w:t>قاعدة اتّخاذ السُّنّة الحسنة</w:t>
      </w:r>
    </w:p>
    <w:p>
      <w:pPr>
        <w:pStyle w:val="BookText"/>
        <w:rPr/>
      </w:pPr>
      <w:r>
        <w:rPr>
          <w:rFonts w:ascii="IRNazanin" w:hAnsi="IRNazanin" w:eastAsia="IRNazanin"/>
          <w:color w:val="111111"/>
          <w:sz w:val="28"/>
          <w:sz w:val="28"/>
          <w:szCs w:val="28"/>
          <w:rtl w:val="true"/>
          <w:lang w:bidi="fa-IR"/>
        </w:rPr>
        <w:t>لمحة حول الولایة التشریعیّة</w:t>
      </w:r>
    </w:p>
    <w:p>
      <w:pPr>
        <w:pStyle w:val="BookText"/>
        <w:rPr/>
      </w:pPr>
      <w:r>
        <w:rPr>
          <w:rFonts w:ascii="IRNazanin" w:hAnsi="IRNazanin" w:eastAsia="IRNazanin"/>
          <w:color w:val="111111"/>
          <w:sz w:val="28"/>
          <w:sz w:val="28"/>
          <w:szCs w:val="28"/>
          <w:rtl w:val="true"/>
          <w:lang w:bidi="fa-IR"/>
        </w:rPr>
        <w:t>بعض الفوارق بین صلاحیّة التفویض للأئمّة علیهم السلام والقوانین الوضعیّة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البدعة</w:t>
      </w:r>
    </w:p>
    <w:p>
      <w:pPr>
        <w:pStyle w:val="BookText"/>
        <w:rPr/>
      </w:pPr>
      <w:r>
        <w:rPr>
          <w:rFonts w:ascii="IRNazanin" w:hAnsi="IRNazanin" w:eastAsia="IRNazanin"/>
          <w:color w:val="111111"/>
          <w:sz w:val="28"/>
          <w:sz w:val="28"/>
          <w:szCs w:val="28"/>
          <w:rtl w:val="true"/>
          <w:lang w:bidi="fa-IR"/>
        </w:rPr>
        <w:t>جواب المحذور الثالث‏</w:t>
      </w:r>
    </w:p>
    <w:p>
      <w:pPr>
        <w:pStyle w:val="BookText"/>
        <w:rPr/>
      </w:pPr>
      <w:r>
        <w:rPr>
          <w:rFonts w:ascii="IRNazanin" w:hAnsi="IRNazanin" w:eastAsia="IRNazanin"/>
          <w:color w:val="111111"/>
          <w:sz w:val="28"/>
          <w:sz w:val="28"/>
          <w:szCs w:val="28"/>
          <w:rtl w:val="true"/>
          <w:lang w:bidi="fa-IR"/>
        </w:rPr>
        <w:t>الثابت والمتغیّر فی الشریعة</w:t>
      </w:r>
    </w:p>
    <w:p>
      <w:pPr>
        <w:pStyle w:val="BookText"/>
        <w:rPr/>
      </w:pPr>
      <w:r>
        <w:rPr>
          <w:rFonts w:ascii="IRNazanin" w:hAnsi="IRNazanin" w:eastAsia="IRNazanin"/>
          <w:color w:val="111111"/>
          <w:sz w:val="28"/>
          <w:sz w:val="28"/>
          <w:szCs w:val="28"/>
          <w:rtl w:val="true"/>
          <w:lang w:bidi="fa-IR"/>
        </w:rPr>
        <w:t>الدلیل الاعتراضیّ الرابع والجواب عنه‏</w:t>
      </w:r>
    </w:p>
    <w:p>
      <w:pPr>
        <w:pStyle w:val="BookText"/>
        <w:rPr/>
      </w:pPr>
      <w:r>
        <w:rPr>
          <w:rFonts w:ascii="IRNazanin" w:hAnsi="IRNazanin" w:eastAsia="IRNazanin"/>
          <w:color w:val="111111"/>
          <w:sz w:val="28"/>
          <w:sz w:val="28"/>
          <w:szCs w:val="28"/>
          <w:rtl w:val="true"/>
          <w:lang w:bidi="fa-IR"/>
        </w:rPr>
        <w:t>التوقیفیّة وحدود الدیانة</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التعبّد بالمصادیق‏</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الحکم لقاعدة الشعائر</w:t>
      </w:r>
    </w:p>
    <w:p>
      <w:pPr>
        <w:pStyle w:val="BookText"/>
        <w:rPr/>
      </w:pPr>
      <w:r>
        <w:rPr>
          <w:rFonts w:ascii="IRNazanin" w:hAnsi="IRNazanin" w:eastAsia="IRNazanin"/>
          <w:color w:val="111111"/>
          <w:sz w:val="28"/>
          <w:sz w:val="28"/>
          <w:szCs w:val="28"/>
          <w:rtl w:val="true"/>
          <w:lang w:bidi="fa-IR"/>
        </w:rPr>
        <w:t>النقطة الأولی</w:t>
      </w:r>
    </w:p>
    <w:p>
      <w:pPr>
        <w:pStyle w:val="BookText"/>
        <w:rPr/>
      </w:pPr>
      <w:r>
        <w:rPr>
          <w:rFonts w:ascii="IRNazanin" w:hAnsi="IRNazanin" w:eastAsia="IRNazanin"/>
          <w:color w:val="111111"/>
          <w:sz w:val="28"/>
          <w:sz w:val="28"/>
          <w:szCs w:val="28"/>
          <w:rtl w:val="true"/>
          <w:lang w:bidi="fa-IR"/>
        </w:rPr>
        <w:t>النقطة الثانی</w:t>
      </w:r>
    </w:p>
    <w:p>
      <w:pPr>
        <w:pStyle w:val="BookText"/>
        <w:rPr/>
      </w:pPr>
      <w:r>
        <w:rPr>
          <w:rFonts w:ascii="Amiri" w:hAnsi="Amiri" w:eastAsia="Amiri" w:cs="Amiri"/>
          <w:color w:val="111111"/>
          <w:sz w:val="28"/>
          <w:sz w:val="28"/>
          <w:szCs w:val="28"/>
          <w:rtl w:val="true"/>
          <w:lang w:bidi="ar-SA"/>
        </w:rPr>
        <w:t>النقطة الثالثة</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حکم القاعدة وبقیة الأحکام‏</w:t>
      </w:r>
    </w:p>
    <w:p>
      <w:pPr>
        <w:pStyle w:val="BookText"/>
        <w:rPr/>
      </w:pPr>
      <w:r>
        <w:rPr>
          <w:rFonts w:ascii="IRNazanin" w:hAnsi="IRNazanin" w:eastAsia="IRNazanin"/>
          <w:color w:val="111111"/>
          <w:sz w:val="28"/>
          <w:sz w:val="28"/>
          <w:szCs w:val="28"/>
          <w:rtl w:val="true"/>
          <w:lang w:bidi="fa-IR"/>
        </w:rPr>
        <w:t>النسبة بین حکم قاعدة الشعائر والأحکام الأوّلیّة</w:t>
      </w:r>
    </w:p>
    <w:p>
      <w:pPr>
        <w:pStyle w:val="BookText"/>
        <w:rPr/>
      </w:pPr>
      <w:r>
        <w:rPr>
          <w:rFonts w:ascii="IRNazanin" w:hAnsi="IRNazanin" w:eastAsia="IRNazanin"/>
          <w:color w:val="111111"/>
          <w:sz w:val="28"/>
          <w:sz w:val="28"/>
          <w:szCs w:val="28"/>
          <w:rtl w:val="true"/>
          <w:lang w:bidi="fa-IR"/>
        </w:rPr>
        <w:t>تقسیم الأحکام الثانویّة فی جنبة الحکم‏</w:t>
      </w:r>
    </w:p>
    <w:p>
      <w:pPr>
        <w:pStyle w:val="BookText"/>
        <w:rPr/>
      </w:pPr>
      <w:r>
        <w:rPr>
          <w:rFonts w:ascii="IRNazanin" w:hAnsi="IRNazanin" w:eastAsia="IRNazanin"/>
          <w:color w:val="111111"/>
          <w:sz w:val="28"/>
          <w:sz w:val="28"/>
          <w:szCs w:val="28"/>
          <w:rtl w:val="true"/>
          <w:lang w:bidi="fa-IR"/>
        </w:rPr>
        <w:t>الأحکام الثانویّة المُثبتة</w:t>
      </w:r>
    </w:p>
    <w:p>
      <w:pPr>
        <w:pStyle w:val="BookText"/>
        <w:rPr/>
      </w:pPr>
      <w:r>
        <w:rPr>
          <w:rFonts w:ascii="IRNazanin" w:hAnsi="IRNazanin" w:eastAsia="IRNazanin"/>
          <w:color w:val="111111"/>
          <w:sz w:val="28"/>
          <w:sz w:val="28"/>
          <w:szCs w:val="28"/>
          <w:rtl w:val="true"/>
          <w:lang w:bidi="fa-IR"/>
        </w:rPr>
        <w:t>الأحکام الثانویّة النافیة</w:t>
      </w:r>
    </w:p>
    <w:p>
      <w:pPr>
        <w:pStyle w:val="BookText"/>
        <w:rPr/>
      </w:pPr>
      <w:r>
        <w:rPr>
          <w:rFonts w:ascii="IRNazanin" w:hAnsi="IRNazanin" w:eastAsia="IRNazanin"/>
          <w:color w:val="111111"/>
          <w:sz w:val="28"/>
          <w:sz w:val="28"/>
          <w:szCs w:val="28"/>
          <w:rtl w:val="true"/>
          <w:lang w:bidi="fa-IR"/>
        </w:rPr>
        <w:t>الفارق بین حکم القاعدة والأحکام الثانویّة المثبتة</w:t>
      </w:r>
    </w:p>
    <w:p>
      <w:pPr>
        <w:pStyle w:val="BookText"/>
        <w:rPr/>
      </w:pPr>
      <w:r>
        <w:rPr>
          <w:rFonts w:ascii="IRNazanin" w:hAnsi="IRNazanin" w:eastAsia="IRNazanin"/>
          <w:color w:val="111111"/>
          <w:sz w:val="28"/>
          <w:sz w:val="28"/>
          <w:szCs w:val="28"/>
          <w:rtl w:val="true"/>
          <w:lang w:bidi="fa-IR"/>
        </w:rPr>
        <w:t>النسبة بین قاعدة الشعائر، والأحکام الثانویّة</w:t>
      </w:r>
    </w:p>
    <w:p>
      <w:pPr>
        <w:pStyle w:val="BookText"/>
        <w:rPr/>
      </w:pPr>
      <w:r>
        <w:rPr>
          <w:rFonts w:ascii="IRNazanin" w:hAnsi="IRNazanin" w:eastAsia="IRNazanin"/>
          <w:color w:val="111111"/>
          <w:sz w:val="28"/>
          <w:sz w:val="28"/>
          <w:szCs w:val="28"/>
          <w:rtl w:val="true"/>
          <w:lang w:bidi="fa-IR"/>
        </w:rPr>
        <w:t>الخلاصة فی هذه الجهة</w:t>
      </w:r>
    </w:p>
    <w:p>
      <w:pPr>
        <w:pStyle w:val="BookText"/>
        <w:rPr/>
      </w:pPr>
      <w:r>
        <w:rPr>
          <w:rFonts w:ascii="IRNazanin" w:hAnsi="IRNazanin" w:eastAsia="IRNazanin"/>
          <w:color w:val="111111"/>
          <w:sz w:val="28"/>
          <w:sz w:val="28"/>
          <w:szCs w:val="28"/>
          <w:rtl w:val="true"/>
          <w:lang w:bidi="fa-IR"/>
        </w:rPr>
        <w:t>إختلاف أحکام الشعائر شدّة وضعفاً</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الطارئة علی قاعدة الشعائر</w:t>
      </w:r>
    </w:p>
    <w:p>
      <w:pPr>
        <w:pStyle w:val="BookText"/>
        <w:rPr/>
      </w:pPr>
      <w:r>
        <w:rPr>
          <w:rFonts w:ascii="Amiri" w:hAnsi="Amiri" w:eastAsia="Amiri" w:cs="Amiri"/>
          <w:color w:val="111111"/>
          <w:sz w:val="28"/>
          <w:sz w:val="28"/>
          <w:szCs w:val="28"/>
          <w:rtl w:val="true"/>
          <w:lang w:bidi="ar-SA"/>
        </w:rPr>
        <w:t>الخرافة والشعائر</w:t>
      </w:r>
    </w:p>
    <w:p>
      <w:pPr>
        <w:pStyle w:val="BookText"/>
        <w:rPr/>
      </w:pPr>
      <w:r>
        <w:rPr>
          <w:rFonts w:ascii="IRNazanin" w:hAnsi="IRNazanin" w:eastAsia="IRNazanin"/>
          <w:color w:val="111111"/>
          <w:sz w:val="28"/>
          <w:sz w:val="28"/>
          <w:szCs w:val="28"/>
          <w:rtl w:val="true"/>
          <w:lang w:bidi="fa-IR"/>
        </w:rPr>
        <w:t>الوهم والخیال‏</w:t>
      </w:r>
    </w:p>
    <w:p>
      <w:pPr>
        <w:pStyle w:val="BookText"/>
        <w:rPr/>
      </w:pPr>
      <w:r>
        <w:rPr>
          <w:rFonts w:ascii="IRNazanin" w:hAnsi="IRNazanin" w:eastAsia="IRNazanin"/>
          <w:color w:val="111111"/>
          <w:sz w:val="28"/>
          <w:sz w:val="28"/>
          <w:szCs w:val="28"/>
          <w:rtl w:val="true"/>
          <w:lang w:bidi="fa-IR"/>
        </w:rPr>
        <w:t>التضادّ بین الشعائر والخرافة</w:t>
      </w:r>
    </w:p>
    <w:p>
      <w:pPr>
        <w:pStyle w:val="BookText"/>
        <w:rPr/>
      </w:pPr>
      <w:r>
        <w:rPr>
          <w:rFonts w:ascii="IRNazanin" w:hAnsi="IRNazanin" w:eastAsia="IRNazanin"/>
          <w:color w:val="111111"/>
          <w:sz w:val="28"/>
          <w:sz w:val="28"/>
          <w:szCs w:val="28"/>
          <w:rtl w:val="true"/>
          <w:lang w:bidi="fa-IR"/>
        </w:rPr>
        <w:t>ممیزات وخصوصیّات الشعائر</w:t>
      </w:r>
    </w:p>
    <w:p>
      <w:pPr>
        <w:pStyle w:val="BookText"/>
        <w:rPr/>
      </w:pPr>
      <w:r>
        <w:rPr>
          <w:rFonts w:ascii="IRNazanin" w:hAnsi="IRNazanin" w:eastAsia="IRNazanin"/>
          <w:color w:val="111111"/>
          <w:sz w:val="28"/>
          <w:sz w:val="28"/>
          <w:szCs w:val="28"/>
          <w:rtl w:val="true"/>
          <w:lang w:bidi="fa-IR"/>
        </w:rPr>
        <w:t>تنوع الشعائر</w:t>
      </w:r>
    </w:p>
    <w:p>
      <w:pPr>
        <w:pStyle w:val="BookText"/>
        <w:rPr/>
      </w:pPr>
      <w:r>
        <w:rPr>
          <w:rFonts w:ascii="IRNazanin" w:hAnsi="IRNazanin" w:eastAsia="IRNazanin"/>
          <w:color w:val="111111"/>
          <w:sz w:val="28"/>
          <w:sz w:val="28"/>
          <w:szCs w:val="28"/>
          <w:rtl w:val="true"/>
          <w:lang w:bidi="fa-IR"/>
        </w:rPr>
        <w:t>منشأ الشعیرة وأبعادها الخطیرة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الشعائر الدینیّة</w:t>
      </w:r>
    </w:p>
    <w:p>
      <w:pPr>
        <w:pStyle w:val="BookText"/>
        <w:rPr/>
      </w:pPr>
      <w:r>
        <w:rPr>
          <w:rFonts w:ascii="IRNazanin" w:hAnsi="IRNazanin" w:eastAsia="IRNazanin"/>
          <w:color w:val="111111"/>
          <w:sz w:val="28"/>
          <w:sz w:val="28"/>
          <w:szCs w:val="28"/>
          <w:rtl w:val="true"/>
          <w:lang w:bidi="fa-IR"/>
        </w:rPr>
        <w:t>تباین مِلاکات الأقسام فی الشعائر</w:t>
      </w:r>
    </w:p>
    <w:p>
      <w:pPr>
        <w:pStyle w:val="BookText"/>
        <w:rPr/>
      </w:pPr>
      <w:r>
        <w:rPr>
          <w:rFonts w:ascii="IRNazanin" w:hAnsi="IRNazanin" w:eastAsia="IRNazanin"/>
          <w:color w:val="111111"/>
          <w:sz w:val="28"/>
          <w:sz w:val="28"/>
          <w:szCs w:val="28"/>
          <w:rtl w:val="true"/>
          <w:lang w:bidi="fa-IR"/>
        </w:rPr>
        <w:t>الشعائر والهَتک‏</w:t>
      </w:r>
    </w:p>
    <w:p>
      <w:pPr>
        <w:pStyle w:val="BookText"/>
        <w:rPr/>
      </w:pPr>
      <w:r>
        <w:rPr>
          <w:rFonts w:ascii="IRNazanin" w:hAnsi="IRNazanin" w:eastAsia="IRNazanin"/>
          <w:color w:val="111111"/>
          <w:sz w:val="28"/>
          <w:sz w:val="28"/>
          <w:szCs w:val="28"/>
          <w:rtl w:val="true"/>
          <w:lang w:bidi="fa-IR"/>
        </w:rPr>
        <w:t>أقسام الهتک والاستهزاء</w:t>
      </w:r>
    </w:p>
    <w:p>
      <w:pPr>
        <w:pStyle w:val="BookText"/>
        <w:rPr/>
      </w:pPr>
      <w:r>
        <w:rPr>
          <w:rFonts w:ascii="IRNazanin" w:hAnsi="IRNazanin" w:eastAsia="IRNazanin"/>
          <w:color w:val="111111"/>
          <w:sz w:val="28"/>
          <w:sz w:val="28"/>
          <w:szCs w:val="28"/>
          <w:rtl w:val="true"/>
          <w:lang w:bidi="fa-IR"/>
        </w:rPr>
        <w:t>العقل العملیّ والعقل النظریّ</w:t>
      </w:r>
    </w:p>
    <w:p>
      <w:pPr>
        <w:pStyle w:val="BookText"/>
        <w:rPr/>
      </w:pPr>
      <w:r>
        <w:rPr>
          <w:rFonts w:ascii="IRNazanin" w:hAnsi="IRNazanin" w:eastAsia="IRNazanin"/>
          <w:color w:val="111111"/>
          <w:sz w:val="28"/>
          <w:sz w:val="28"/>
          <w:szCs w:val="28"/>
          <w:rtl w:val="true"/>
          <w:lang w:bidi="fa-IR"/>
        </w:rPr>
        <w:t>الشعائر والآثار الإجتماعیّة</w:t>
      </w:r>
    </w:p>
    <w:p>
      <w:pPr>
        <w:pStyle w:val="BookText"/>
        <w:rPr/>
      </w:pPr>
      <w:r>
        <w:rPr>
          <w:rFonts w:ascii="Amiri" w:hAnsi="Amiri" w:eastAsia="Amiri" w:cs="Amiri"/>
          <w:color w:val="111111"/>
          <w:sz w:val="28"/>
          <w:sz w:val="28"/>
          <w:szCs w:val="28"/>
          <w:rtl w:val="true"/>
          <w:lang w:bidi="ar-SA"/>
        </w:rPr>
        <w:t>ممانعة بعض الشعائر تبعاً للمصلحة</w:t>
      </w:r>
    </w:p>
    <w:p>
      <w:pPr>
        <w:pStyle w:val="BookText"/>
        <w:rPr/>
      </w:pPr>
      <w:r>
        <w:rPr>
          <w:rFonts w:ascii="IRNazanin" w:hAnsi="IRNazanin" w:eastAsia="IRNazanin"/>
          <w:color w:val="111111"/>
          <w:sz w:val="28"/>
          <w:sz w:val="28"/>
          <w:szCs w:val="28"/>
          <w:rtl w:val="true"/>
          <w:lang w:bidi="fa-IR"/>
        </w:rPr>
        <w:t>دواعی أخری لممانعة الشعیرة</w:t>
      </w:r>
    </w:p>
    <w:p>
      <w:pPr>
        <w:pStyle w:val="BookText"/>
        <w:rPr/>
      </w:pPr>
      <w:r>
        <w:rPr>
          <w:rFonts w:ascii="IRNazanin" w:hAnsi="IRNazanin" w:eastAsia="IRNazanin"/>
          <w:color w:val="111111"/>
          <w:sz w:val="28"/>
          <w:sz w:val="28"/>
          <w:szCs w:val="28"/>
          <w:rtl w:val="true"/>
          <w:lang w:bidi="fa-IR"/>
        </w:rPr>
        <w:t>الشعائر والإصلاح الاجتماعیّ‏</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النهضة الحسینیة</w:t>
      </w:r>
    </w:p>
    <w:p>
      <w:pPr>
        <w:pStyle w:val="BookText"/>
        <w:rPr/>
      </w:pPr>
      <w:r>
        <w:rPr>
          <w:rFonts w:ascii="IRNazanin" w:hAnsi="IRNazanin" w:eastAsia="IRNazanin"/>
          <w:color w:val="111111"/>
          <w:sz w:val="28"/>
          <w:sz w:val="28"/>
          <w:szCs w:val="28"/>
          <w:rtl w:val="true"/>
          <w:lang w:bidi="fa-IR"/>
        </w:rPr>
        <w:t>التحلیل الأول</w:t>
      </w:r>
    </w:p>
    <w:p>
      <w:pPr>
        <w:pStyle w:val="BookText"/>
        <w:rPr/>
      </w:pPr>
      <w:r>
        <w:rPr>
          <w:rFonts w:ascii="IRNazanin" w:hAnsi="IRNazanin" w:eastAsia="IRNazanin"/>
          <w:color w:val="111111"/>
          <w:sz w:val="28"/>
          <w:sz w:val="28"/>
          <w:szCs w:val="28"/>
          <w:rtl w:val="true"/>
          <w:lang w:bidi="fa-IR"/>
        </w:rPr>
        <w:t>التحلیل الثانی</w:t>
      </w:r>
    </w:p>
    <w:p>
      <w:pPr>
        <w:pStyle w:val="BookText"/>
        <w:rPr/>
      </w:pPr>
      <w:r>
        <w:rPr>
          <w:rFonts w:ascii="IRNazanin" w:hAnsi="IRNazanin" w:eastAsia="IRNazanin"/>
          <w:color w:val="111111"/>
          <w:sz w:val="28"/>
          <w:sz w:val="28"/>
          <w:szCs w:val="28"/>
          <w:rtl w:val="true"/>
          <w:lang w:bidi="fa-IR"/>
        </w:rPr>
        <w:t>التحلیل الثالث</w:t>
      </w:r>
    </w:p>
    <w:p>
      <w:pPr>
        <w:pStyle w:val="BookText"/>
        <w:rPr/>
      </w:pPr>
      <w:r>
        <w:rPr>
          <w:rFonts w:ascii="IRNazanin" w:hAnsi="IRNazanin" w:eastAsia="IRNazanin"/>
          <w:color w:val="111111"/>
          <w:sz w:val="28"/>
          <w:sz w:val="28"/>
          <w:szCs w:val="28"/>
          <w:rtl w:val="true"/>
          <w:lang w:bidi="fa-IR"/>
        </w:rPr>
        <w:t>التحلیل الرابع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التحلیل الخامس</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الشعائر الحسینیة</w:t>
      </w:r>
    </w:p>
    <w:p>
      <w:pPr>
        <w:pStyle w:val="BookText"/>
        <w:rPr/>
      </w:pPr>
      <w:r>
        <w:rPr>
          <w:rFonts w:ascii="IRNazanin" w:hAnsi="IRNazanin" w:eastAsia="IRNazanin"/>
          <w:color w:val="111111"/>
          <w:sz w:val="28"/>
          <w:sz w:val="28"/>
          <w:szCs w:val="28"/>
          <w:rtl w:val="true"/>
          <w:lang w:bidi="fa-IR"/>
        </w:rPr>
        <w:t>الدلیل الأول</w:t>
      </w:r>
    </w:p>
    <w:p>
      <w:pPr>
        <w:pStyle w:val="BookText"/>
        <w:rPr/>
      </w:pPr>
      <w:r>
        <w:rPr>
          <w:rFonts w:ascii="IRNazanin" w:hAnsi="IRNazanin" w:eastAsia="IRNazanin"/>
          <w:color w:val="111111"/>
          <w:sz w:val="28"/>
          <w:sz w:val="28"/>
          <w:szCs w:val="28"/>
          <w:rtl w:val="true"/>
          <w:lang w:bidi="fa-IR"/>
        </w:rPr>
        <w:t>الدلیل الثانی</w:t>
      </w:r>
    </w:p>
    <w:p>
      <w:pPr>
        <w:pStyle w:val="BookText"/>
        <w:rPr/>
      </w:pPr>
      <w:r>
        <w:rPr>
          <w:rFonts w:ascii="IRNazanin" w:hAnsi="IRNazanin" w:eastAsia="IRNazanin"/>
          <w:color w:val="111111"/>
          <w:sz w:val="28"/>
          <w:sz w:val="28"/>
          <w:szCs w:val="28"/>
          <w:rtl w:val="true"/>
          <w:lang w:bidi="fa-IR"/>
        </w:rPr>
        <w:t>الدلیل الثالث</w:t>
      </w:r>
    </w:p>
    <w:p>
      <w:pPr>
        <w:pStyle w:val="BookText"/>
        <w:rPr/>
      </w:pPr>
      <w:r>
        <w:rPr>
          <w:rFonts w:ascii="IRNazanin" w:hAnsi="IRNazanin" w:eastAsia="IRNazanin"/>
          <w:color w:val="111111"/>
          <w:sz w:val="28"/>
          <w:sz w:val="28"/>
          <w:szCs w:val="28"/>
          <w:rtl w:val="true"/>
          <w:lang w:bidi="fa-IR"/>
        </w:rPr>
        <w:t>الدلیل الرابع</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الشعائر الحسینیّة</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 الشعائر الحسینیة</w:t>
      </w:r>
    </w:p>
    <w:p>
      <w:pPr>
        <w:pStyle w:val="BookText"/>
        <w:rPr/>
      </w:pPr>
      <w:r>
        <w:rPr>
          <w:rFonts w:ascii="Amiri" w:hAnsi="Amiri" w:eastAsia="Amiri" w:cs="Amiri"/>
          <w:color w:val="111111"/>
          <w:sz w:val="28"/>
          <w:sz w:val="28"/>
          <w:szCs w:val="28"/>
          <w:rtl w:val="true"/>
          <w:lang w:bidi="ar-SA"/>
        </w:rPr>
        <w:t>أمّا المقام الأوّل‏</w:t>
      </w:r>
    </w:p>
    <w:p>
      <w:pPr>
        <w:pStyle w:val="BookText"/>
        <w:rPr/>
      </w:pPr>
      <w:r>
        <w:rPr>
          <w:rFonts w:ascii="IRNazanin" w:hAnsi="IRNazanin" w:eastAsia="IRNazanin"/>
          <w:color w:val="111111"/>
          <w:sz w:val="28"/>
          <w:sz w:val="28"/>
          <w:szCs w:val="28"/>
          <w:rtl w:val="true"/>
          <w:lang w:bidi="fa-IR"/>
        </w:rPr>
        <w:t>مبالغة الجهد علمیاً وعملیاً</w:t>
      </w:r>
    </w:p>
    <w:p>
      <w:pPr>
        <w:pStyle w:val="BookText"/>
        <w:rPr/>
      </w:pPr>
      <w:r>
        <w:rPr>
          <w:rFonts w:ascii="IRNazanin" w:hAnsi="IRNazanin" w:eastAsia="IRNazanin"/>
          <w:color w:val="111111"/>
          <w:sz w:val="28"/>
          <w:sz w:val="28"/>
          <w:szCs w:val="28"/>
          <w:rtl w:val="true"/>
          <w:lang w:bidi="fa-IR"/>
        </w:rPr>
        <w:t>الروایة التاریخیّة</w:t>
      </w:r>
    </w:p>
    <w:p>
      <w:pPr>
        <w:pStyle w:val="BookText"/>
        <w:rPr/>
      </w:pPr>
      <w:r>
        <w:rPr>
          <w:rFonts w:ascii="IRNazanin" w:hAnsi="IRNazanin" w:eastAsia="IRNazanin"/>
          <w:color w:val="111111"/>
          <w:sz w:val="28"/>
          <w:sz w:val="28"/>
          <w:szCs w:val="28"/>
          <w:rtl w:val="true"/>
          <w:lang w:bidi="fa-IR"/>
        </w:rPr>
        <w:t>ضابطة الروایة القصصیّة</w:t>
      </w:r>
    </w:p>
    <w:p>
      <w:pPr>
        <w:pStyle w:val="BookText"/>
        <w:rPr/>
      </w:pPr>
      <w:r>
        <w:rPr>
          <w:rFonts w:ascii="IRNazanin" w:hAnsi="IRNazanin" w:eastAsia="IRNazanin"/>
          <w:color w:val="111111"/>
          <w:sz w:val="28"/>
          <w:sz w:val="28"/>
          <w:szCs w:val="28"/>
          <w:rtl w:val="true"/>
          <w:lang w:bidi="fa-IR"/>
        </w:rPr>
        <w:t>الروایة الشرعیّة</w:t>
      </w:r>
    </w:p>
    <w:p>
      <w:pPr>
        <w:pStyle w:val="BookText"/>
        <w:rPr/>
      </w:pPr>
      <w:r>
        <w:rPr>
          <w:rFonts w:ascii="IRNazanin" w:hAnsi="IRNazanin" w:eastAsia="IRNazanin"/>
          <w:color w:val="111111"/>
          <w:sz w:val="28"/>
          <w:sz w:val="28"/>
          <w:szCs w:val="28"/>
          <w:rtl w:val="true"/>
          <w:lang w:bidi="fa-IR"/>
        </w:rPr>
        <w:t>عدم جواز ردّ الخبر الضعیف‏</w:t>
      </w:r>
    </w:p>
    <w:p>
      <w:pPr>
        <w:pStyle w:val="BookText"/>
        <w:rPr/>
      </w:pPr>
      <w:r>
        <w:rPr>
          <w:rFonts w:ascii="IRNazanin" w:hAnsi="IRNazanin" w:eastAsia="IRNazanin"/>
          <w:color w:val="111111"/>
          <w:sz w:val="28"/>
          <w:sz w:val="28"/>
          <w:szCs w:val="28"/>
          <w:rtl w:val="true"/>
          <w:lang w:bidi="fa-IR"/>
        </w:rPr>
        <w:t>الروایة فی باب العقائد</w:t>
      </w:r>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ascii="IRNazanin" w:hAnsi="IRNazanin" w:eastAsia="IRNazanin"/>
          <w:color w:val="111111"/>
          <w:sz w:val="28"/>
          <w:sz w:val="28"/>
          <w:szCs w:val="28"/>
          <w:rtl w:val="true"/>
          <w:lang w:bidi="fa-IR"/>
        </w:rPr>
        <w:t>إشکال وجواب‏</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فی الشعائر الحسینیّة</w:t>
      </w:r>
    </w:p>
    <w:p>
      <w:pPr>
        <w:pStyle w:val="BookText"/>
        <w:rPr/>
      </w:pPr>
      <w:r>
        <w:rPr>
          <w:rFonts w:ascii="IRNazanin" w:hAnsi="IRNazanin" w:eastAsia="IRNazanin"/>
          <w:color w:val="111111"/>
          <w:sz w:val="28"/>
          <w:sz w:val="28"/>
          <w:szCs w:val="28"/>
          <w:rtl w:val="true"/>
          <w:lang w:bidi="fa-IR"/>
        </w:rPr>
        <w:t>البکاء فی المصادر المعتبرة</w:t>
      </w:r>
    </w:p>
    <w:p>
      <w:pPr>
        <w:pStyle w:val="BookText"/>
        <w:rPr/>
      </w:pPr>
      <w:r>
        <w:rPr>
          <w:rFonts w:ascii="IRNazanin" w:hAnsi="IRNazanin" w:eastAsia="IRNazanin"/>
          <w:color w:val="111111"/>
          <w:sz w:val="28"/>
          <w:sz w:val="28"/>
          <w:szCs w:val="28"/>
          <w:rtl w:val="true"/>
          <w:lang w:bidi="fa-IR"/>
        </w:rPr>
        <w:t>البکاء ذروة الشعائر الحسینیّة</w:t>
      </w:r>
    </w:p>
    <w:p>
      <w:pPr>
        <w:pStyle w:val="BookText"/>
        <w:rPr/>
      </w:pPr>
      <w:r>
        <w:rPr>
          <w:rFonts w:ascii="IRNazanin" w:hAnsi="IRNazanin" w:eastAsia="IRNazanin"/>
          <w:color w:val="111111"/>
          <w:sz w:val="28"/>
          <w:sz w:val="28"/>
          <w:szCs w:val="28"/>
          <w:rtl w:val="true"/>
          <w:lang w:bidi="fa-IR"/>
        </w:rPr>
        <w:t>الجزع فی الشعائر الحسینیّة</w:t>
      </w:r>
    </w:p>
    <w:p>
      <w:pPr>
        <w:pStyle w:val="BookText"/>
        <w:rPr/>
      </w:pPr>
      <w:r>
        <w:rPr>
          <w:rFonts w:ascii="IRNazanin" w:hAnsi="IRNazanin" w:eastAsia="IRNazanin"/>
          <w:color w:val="111111"/>
          <w:sz w:val="28"/>
          <w:sz w:val="28"/>
          <w:szCs w:val="28"/>
          <w:rtl w:val="true"/>
          <w:lang w:bidi="fa-IR"/>
        </w:rPr>
        <w:t>حقیقة البکاء</w:t>
      </w:r>
    </w:p>
    <w:p>
      <w:pPr>
        <w:pStyle w:val="BookText"/>
        <w:rPr/>
      </w:pPr>
      <w:r>
        <w:rPr>
          <w:rFonts w:ascii="Amiri" w:hAnsi="Amiri" w:eastAsia="Amiri" w:cs="Amiri"/>
          <w:color w:val="111111"/>
          <w:sz w:val="28"/>
          <w:sz w:val="28"/>
          <w:szCs w:val="28"/>
          <w:rtl w:val="true"/>
          <w:lang w:bidi="ar-SA"/>
        </w:rPr>
        <w:t>القوّة الادراکیّة والقوّة العملیّة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ثوابت عن ظاهرة التقدیس‏</w:t>
      </w:r>
    </w:p>
    <w:p>
      <w:pPr>
        <w:pStyle w:val="BookText"/>
        <w:rPr/>
      </w:pPr>
      <w:r>
        <w:rPr>
          <w:rFonts w:ascii="IRNazanin" w:hAnsi="IRNazanin" w:eastAsia="IRNazanin"/>
          <w:color w:val="111111"/>
          <w:sz w:val="28"/>
          <w:sz w:val="28"/>
          <w:szCs w:val="28"/>
          <w:rtl w:val="true"/>
          <w:lang w:bidi="fa-IR"/>
        </w:rPr>
        <w:t>المنطق الشرعیّ وظاهرة البکاء</w:t>
      </w:r>
    </w:p>
    <w:p>
      <w:pPr>
        <w:pStyle w:val="BookText"/>
        <w:rPr/>
      </w:pPr>
      <w:r>
        <w:rPr>
          <w:rFonts w:ascii="Amiri" w:hAnsi="Amiri" w:eastAsia="Amiri" w:cs="Amiri"/>
          <w:color w:val="111111"/>
          <w:sz w:val="28"/>
          <w:sz w:val="28"/>
          <w:szCs w:val="28"/>
          <w:rtl w:val="true"/>
          <w:lang w:bidi="ar-SA"/>
        </w:rPr>
        <w:t>التشکیک سلاح ذو حَدّین‏</w:t>
      </w:r>
    </w:p>
    <w:p>
      <w:pPr>
        <w:pStyle w:val="BookText"/>
        <w:rPr/>
      </w:pPr>
      <w:r>
        <w:rPr>
          <w:rFonts w:ascii="IRNazanin" w:hAnsi="IRNazanin" w:eastAsia="IRNazanin"/>
          <w:color w:val="111111"/>
          <w:sz w:val="28"/>
          <w:sz w:val="28"/>
          <w:szCs w:val="28"/>
          <w:rtl w:val="true"/>
          <w:lang w:bidi="fa-IR"/>
        </w:rPr>
        <w:t>حصیلة المطاف</w:t>
      </w:r>
    </w:p>
    <w:p>
      <w:pPr>
        <w:pStyle w:val="BookText"/>
        <w:rPr/>
      </w:pPr>
      <w:r>
        <w:rPr>
          <w:rFonts w:ascii="IRNazanin" w:hAnsi="IRNazanin" w:eastAsia="IRNazanin"/>
          <w:color w:val="111111"/>
          <w:sz w:val="28"/>
          <w:sz w:val="28"/>
          <w:szCs w:val="28"/>
          <w:rtl w:val="true"/>
          <w:lang w:bidi="fa-IR"/>
        </w:rPr>
        <w:t>تعریف البکاء</w:t>
      </w:r>
    </w:p>
    <w:p>
      <w:pPr>
        <w:pStyle w:val="BookText"/>
        <w:rPr/>
      </w:pPr>
      <w:r>
        <w:rPr>
          <w:rFonts w:ascii="IRNazanin" w:hAnsi="IRNazanin" w:eastAsia="IRNazanin"/>
          <w:color w:val="111111"/>
          <w:sz w:val="28"/>
          <w:sz w:val="28"/>
          <w:szCs w:val="28"/>
          <w:rtl w:val="true"/>
          <w:lang w:bidi="fa-IR"/>
        </w:rPr>
        <w:t>التناسب الطردی بین المعلومة والعاطفة</w:t>
      </w:r>
    </w:p>
    <w:p>
      <w:pPr>
        <w:pStyle w:val="BookText"/>
        <w:rPr/>
      </w:pPr>
      <w:r>
        <w:rPr>
          <w:rFonts w:ascii="IRNazanin" w:hAnsi="IRNazanin" w:eastAsia="IRNazanin"/>
          <w:color w:val="111111"/>
          <w:sz w:val="28"/>
          <w:sz w:val="28"/>
          <w:szCs w:val="28"/>
          <w:rtl w:val="true"/>
          <w:lang w:bidi="fa-IR"/>
        </w:rPr>
        <w:t>البکاء فی القرآن الکریم‏</w:t>
      </w:r>
    </w:p>
    <w:p>
      <w:pPr>
        <w:pStyle w:val="BookText"/>
        <w:rPr/>
      </w:pPr>
      <w:r>
        <w:rPr>
          <w:rFonts w:ascii="IRNazanin" w:hAnsi="IRNazanin" w:eastAsia="IRNazanin"/>
          <w:color w:val="111111"/>
          <w:sz w:val="28"/>
          <w:sz w:val="28"/>
          <w:szCs w:val="28"/>
          <w:rtl w:val="true"/>
          <w:lang w:bidi="fa-IR"/>
        </w:rPr>
        <w:t>بعض الأدلّة الواردة فی البکاء</w:t>
      </w:r>
    </w:p>
    <w:p>
      <w:pPr>
        <w:pStyle w:val="BookText"/>
        <w:rPr/>
      </w:pPr>
      <w:r>
        <w:rPr>
          <w:rFonts w:ascii="IRNazanin" w:hAnsi="IRNazanin" w:eastAsia="IRNazanin"/>
          <w:color w:val="111111"/>
          <w:sz w:val="28"/>
          <w:sz w:val="28"/>
          <w:szCs w:val="28"/>
          <w:rtl w:val="true"/>
          <w:lang w:bidi="fa-IR"/>
        </w:rPr>
        <w:t>أوجه الاعتراض علی ظاهرة البکاء والجواب علیها</w:t>
      </w:r>
    </w:p>
    <w:p>
      <w:pPr>
        <w:pStyle w:val="BookText"/>
        <w:rPr/>
      </w:pPr>
      <w:r>
        <w:rPr>
          <w:rFonts w:ascii="IRNazanin" w:hAnsi="IRNazanin" w:eastAsia="IRNazanin"/>
          <w:color w:val="111111"/>
          <w:sz w:val="28"/>
          <w:sz w:val="28"/>
          <w:szCs w:val="28"/>
          <w:rtl w:val="true"/>
          <w:lang w:bidi="fa-IR"/>
        </w:rPr>
        <w:t>الوجه الأوّل</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الوجه الثانی</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اعتراض</w:t>
      </w:r>
    </w:p>
    <w:p>
      <w:pPr>
        <w:pStyle w:val="BookText"/>
        <w:rPr/>
      </w:pPr>
      <w:r>
        <w:rPr>
          <w:rFonts w:ascii="Amiri" w:hAnsi="Amiri" w:eastAsia="Amiri" w:cs="Amiri"/>
          <w:color w:val="111111"/>
          <w:sz w:val="28"/>
          <w:sz w:val="28"/>
          <w:szCs w:val="28"/>
          <w:rtl w:val="true"/>
          <w:lang w:bidi="ar-SA"/>
        </w:rPr>
        <w:t>خلاصة القول</w:t>
      </w:r>
    </w:p>
    <w:p>
      <w:pPr>
        <w:pStyle w:val="BookText"/>
        <w:rPr/>
      </w:pPr>
      <w:r>
        <w:rPr>
          <w:rFonts w:ascii="IRNazanin" w:hAnsi="IRNazanin" w:eastAsia="IRNazanin"/>
          <w:color w:val="111111"/>
          <w:sz w:val="28"/>
          <w:sz w:val="28"/>
          <w:szCs w:val="28"/>
          <w:rtl w:val="true"/>
          <w:lang w:bidi="fa-IR"/>
        </w:rPr>
        <w:t>الوجه الثالث</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الوجه الرابع</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الوجه الخامس</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الوجه السادس</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نظرة حول روایات البکاء</w:t>
      </w:r>
    </w:p>
    <w:p>
      <w:pPr>
        <w:pStyle w:val="BookText"/>
        <w:rPr/>
      </w:pPr>
      <w:r>
        <w:rPr>
          <w:rFonts w:ascii="IRNazanin" w:hAnsi="IRNazanin" w:eastAsia="IRNazanin"/>
          <w:color w:val="111111"/>
          <w:sz w:val="28"/>
          <w:sz w:val="28"/>
          <w:szCs w:val="28"/>
          <w:rtl w:val="true"/>
          <w:lang w:bidi="fa-IR"/>
        </w:rPr>
        <w:t>الروایة الأولی</w:t>
      </w:r>
    </w:p>
    <w:p>
      <w:pPr>
        <w:pStyle w:val="BookText"/>
        <w:rPr/>
      </w:pPr>
      <w:r>
        <w:rPr>
          <w:rFonts w:ascii="IRNazanin" w:hAnsi="IRNazanin" w:eastAsia="IRNazanin"/>
          <w:color w:val="111111"/>
          <w:sz w:val="28"/>
          <w:sz w:val="28"/>
          <w:szCs w:val="28"/>
          <w:rtl w:val="true"/>
          <w:lang w:bidi="fa-IR"/>
        </w:rPr>
        <w:t>الروایة الثانیة</w:t>
      </w:r>
    </w:p>
    <w:p>
      <w:pPr>
        <w:pStyle w:val="BookText"/>
        <w:rPr/>
      </w:pPr>
      <w:r>
        <w:rPr>
          <w:rFonts w:ascii="IRNazanin" w:hAnsi="IRNazanin" w:eastAsia="IRNazanin"/>
          <w:color w:val="111111"/>
          <w:sz w:val="28"/>
          <w:sz w:val="28"/>
          <w:szCs w:val="28"/>
          <w:rtl w:val="true"/>
          <w:lang w:bidi="fa-IR"/>
        </w:rPr>
        <w:t>الروایة الثالثة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والضرر</w:t>
      </w:r>
    </w:p>
    <w:p>
      <w:pPr>
        <w:pStyle w:val="BookText"/>
        <w:rPr/>
      </w:pPr>
      <w:r>
        <w:rPr>
          <w:rFonts w:ascii="IRNazanin" w:hAnsi="IRNazanin" w:eastAsia="IRNazanin"/>
          <w:color w:val="111111"/>
          <w:sz w:val="28"/>
          <w:sz w:val="28"/>
          <w:szCs w:val="28"/>
          <w:rtl w:val="true"/>
          <w:lang w:bidi="fa-IR"/>
        </w:rPr>
        <w:t>الوجه الأوّل</w:t>
      </w:r>
    </w:p>
    <w:p>
      <w:pPr>
        <w:pStyle w:val="BookText"/>
        <w:rPr/>
      </w:pPr>
      <w:r>
        <w:rPr>
          <w:rFonts w:ascii="IRNazanin" w:hAnsi="IRNazanin" w:eastAsia="IRNazanin"/>
          <w:color w:val="111111"/>
          <w:sz w:val="28"/>
          <w:sz w:val="28"/>
          <w:szCs w:val="28"/>
          <w:rtl w:val="true"/>
          <w:lang w:bidi="fa-IR"/>
        </w:rPr>
        <w:t>الوجه الثانی</w:t>
      </w:r>
    </w:p>
    <w:p>
      <w:pPr>
        <w:pStyle w:val="BookText"/>
        <w:rPr/>
      </w:pPr>
      <w:r>
        <w:rPr>
          <w:rFonts w:ascii="IRNazanin" w:hAnsi="IRNazanin" w:eastAsia="IRNazanin"/>
          <w:color w:val="111111"/>
          <w:sz w:val="28"/>
          <w:sz w:val="28"/>
          <w:szCs w:val="28"/>
          <w:rtl w:val="true"/>
          <w:lang w:bidi="fa-IR"/>
        </w:rPr>
        <w:t>الوجه الثالث</w:t>
      </w:r>
    </w:p>
    <w:p>
      <w:pPr>
        <w:pStyle w:val="BookText"/>
        <w:rPr/>
      </w:pPr>
      <w:r>
        <w:rPr>
          <w:rFonts w:ascii="IRNazanin" w:hAnsi="IRNazanin" w:eastAsia="IRNazanin"/>
          <w:color w:val="111111"/>
          <w:sz w:val="28"/>
          <w:sz w:val="28"/>
          <w:szCs w:val="28"/>
          <w:rtl w:val="true"/>
          <w:lang w:bidi="fa-IR"/>
        </w:rPr>
        <w:t>تفصیل الوجه الأوّل‏</w:t>
      </w:r>
    </w:p>
    <w:p>
      <w:pPr>
        <w:pStyle w:val="BookText"/>
        <w:rPr/>
      </w:pPr>
      <w:r>
        <w:rPr>
          <w:rFonts w:ascii="IRNazanin" w:hAnsi="IRNazanin" w:eastAsia="IRNazanin"/>
          <w:color w:val="111111"/>
          <w:sz w:val="28"/>
          <w:sz w:val="28"/>
          <w:szCs w:val="28"/>
          <w:rtl w:val="true"/>
          <w:lang w:bidi="fa-IR"/>
        </w:rPr>
        <w:t>قاعدة معرضیّة الهلکة فی سبیل الفضیلة</w:t>
      </w:r>
    </w:p>
    <w:p>
      <w:pPr>
        <w:pStyle w:val="BookText"/>
        <w:rPr/>
      </w:pPr>
      <w:r>
        <w:rPr>
          <w:rFonts w:ascii="IRNazanin" w:hAnsi="IRNazanin" w:eastAsia="IRNazanin"/>
          <w:color w:val="111111"/>
          <w:sz w:val="28"/>
          <w:sz w:val="28"/>
          <w:szCs w:val="28"/>
          <w:rtl w:val="true"/>
          <w:lang w:bidi="fa-IR"/>
        </w:rPr>
        <w:t>الشاهد الأول</w:t>
      </w:r>
    </w:p>
    <w:p>
      <w:pPr>
        <w:pStyle w:val="BookText"/>
        <w:rPr/>
      </w:pPr>
      <w:r>
        <w:rPr>
          <w:rFonts w:ascii="IRNazanin" w:hAnsi="IRNazanin" w:eastAsia="IRNazanin"/>
          <w:color w:val="111111"/>
          <w:sz w:val="28"/>
          <w:sz w:val="28"/>
          <w:szCs w:val="28"/>
          <w:rtl w:val="true"/>
          <w:lang w:bidi="fa-IR"/>
        </w:rPr>
        <w:t>الشاهد الثانی</w:t>
      </w:r>
    </w:p>
    <w:p>
      <w:pPr>
        <w:pStyle w:val="BookText"/>
        <w:rPr/>
      </w:pPr>
      <w:r>
        <w:rPr>
          <w:rFonts w:ascii="IRNazanin" w:hAnsi="IRNazanin" w:eastAsia="IRNazanin"/>
          <w:color w:val="111111"/>
          <w:sz w:val="28"/>
          <w:sz w:val="28"/>
          <w:szCs w:val="28"/>
          <w:rtl w:val="true"/>
          <w:lang w:bidi="fa-IR"/>
        </w:rPr>
        <w:t>الشاهد الثالث</w:t>
      </w:r>
    </w:p>
    <w:p>
      <w:pPr>
        <w:pStyle w:val="BookText"/>
        <w:rPr/>
      </w:pPr>
      <w:r>
        <w:rPr>
          <w:rFonts w:ascii="IRNazanin" w:hAnsi="IRNazanin" w:eastAsia="IRNazanin"/>
          <w:color w:val="111111"/>
          <w:sz w:val="28"/>
          <w:sz w:val="28"/>
          <w:szCs w:val="28"/>
          <w:rtl w:val="true"/>
          <w:lang w:bidi="fa-IR"/>
        </w:rPr>
        <w:t>الشاهد الرابع</w:t>
      </w:r>
    </w:p>
    <w:p>
      <w:pPr>
        <w:pStyle w:val="BookText"/>
        <w:rPr/>
      </w:pPr>
      <w:r>
        <w:rPr>
          <w:rFonts w:ascii="IRNazanin" w:hAnsi="IRNazanin" w:eastAsia="IRNazanin"/>
          <w:color w:val="111111"/>
          <w:sz w:val="28"/>
          <w:sz w:val="28"/>
          <w:szCs w:val="28"/>
          <w:rtl w:val="true"/>
          <w:lang w:bidi="fa-IR"/>
        </w:rPr>
        <w:t>الشاهد الخامس</w:t>
      </w:r>
    </w:p>
    <w:p>
      <w:pPr>
        <w:pStyle w:val="BookText"/>
        <w:rPr/>
      </w:pPr>
      <w:r>
        <w:rPr>
          <w:rFonts w:ascii="IRNazanin" w:hAnsi="IRNazanin" w:eastAsia="IRNazanin"/>
          <w:color w:val="111111"/>
          <w:sz w:val="28"/>
          <w:sz w:val="28"/>
          <w:szCs w:val="28"/>
          <w:rtl w:val="true"/>
          <w:lang w:bidi="fa-IR"/>
        </w:rPr>
        <w:t>الشاهد السادس</w:t>
      </w:r>
    </w:p>
    <w:p>
      <w:pPr>
        <w:pStyle w:val="BookText"/>
        <w:rPr/>
      </w:pPr>
      <w:r>
        <w:rPr>
          <w:rFonts w:ascii="IRNazanin" w:hAnsi="IRNazanin" w:eastAsia="IRNazanin"/>
          <w:color w:val="111111"/>
          <w:sz w:val="28"/>
          <w:sz w:val="28"/>
          <w:szCs w:val="28"/>
          <w:rtl w:val="true"/>
          <w:lang w:bidi="fa-IR"/>
        </w:rPr>
        <w:t>الشاهد السابع</w:t>
      </w:r>
    </w:p>
    <w:p>
      <w:pPr>
        <w:pStyle w:val="BookText"/>
        <w:rPr/>
      </w:pPr>
      <w:r>
        <w:rPr>
          <w:rFonts w:ascii="IRNazanin" w:hAnsi="IRNazanin" w:eastAsia="IRNazanin"/>
          <w:color w:val="111111"/>
          <w:sz w:val="28"/>
          <w:sz w:val="28"/>
          <w:szCs w:val="28"/>
          <w:rtl w:val="true"/>
          <w:lang w:bidi="fa-IR"/>
        </w:rPr>
        <w:t>الشاهد الثامن</w:t>
      </w:r>
    </w:p>
    <w:p>
      <w:pPr>
        <w:pStyle w:val="BookText"/>
        <w:rPr/>
      </w:pPr>
      <w:r>
        <w:rPr>
          <w:rFonts w:ascii="IRNazanin" w:hAnsi="IRNazanin" w:eastAsia="IRNazanin"/>
          <w:color w:val="111111"/>
          <w:sz w:val="28"/>
          <w:sz w:val="28"/>
          <w:szCs w:val="28"/>
          <w:rtl w:val="true"/>
          <w:lang w:bidi="fa-IR"/>
        </w:rPr>
        <w:t>الشاهد التاسع</w:t>
      </w:r>
    </w:p>
    <w:p>
      <w:pPr>
        <w:pStyle w:val="BookText"/>
        <w:rPr/>
      </w:pPr>
      <w:r>
        <w:rPr>
          <w:rFonts w:ascii="IRNazanin" w:hAnsi="IRNazanin" w:eastAsia="IRNazanin"/>
          <w:color w:val="111111"/>
          <w:sz w:val="28"/>
          <w:sz w:val="28"/>
          <w:szCs w:val="28"/>
          <w:rtl w:val="true"/>
          <w:lang w:bidi="fa-IR"/>
        </w:rPr>
        <w:t>شواهد أخری</w:t>
      </w:r>
    </w:p>
    <w:p>
      <w:pPr>
        <w:pStyle w:val="BookText"/>
        <w:rPr/>
      </w:pPr>
      <w:r>
        <w:rPr>
          <w:rFonts w:ascii="IRNazanin" w:hAnsi="IRNazanin" w:eastAsia="IRNazanin"/>
          <w:color w:val="111111"/>
          <w:sz w:val="28"/>
          <w:sz w:val="28"/>
          <w:szCs w:val="28"/>
          <w:rtl w:val="true"/>
          <w:lang w:bidi="fa-IR"/>
        </w:rPr>
        <w:t>تفصیل الوجه الثانی‏</w:t>
      </w:r>
    </w:p>
    <w:p>
      <w:pPr>
        <w:pStyle w:val="BookText"/>
        <w:rPr/>
      </w:pPr>
      <w:r>
        <w:rPr>
          <w:rFonts w:ascii="Amiri" w:hAnsi="Amiri" w:eastAsia="Amiri" w:cs="Amiri"/>
          <w:color w:val="111111"/>
          <w:sz w:val="28"/>
          <w:sz w:val="28"/>
          <w:szCs w:val="28"/>
          <w:rtl w:val="true"/>
          <w:lang w:bidi="ar-SA"/>
        </w:rPr>
        <w:t>الشعائر الحسینیّة أهمّ ملاکاً من الضرر الشخصیّ‏</w:t>
      </w:r>
    </w:p>
    <w:p>
      <w:pPr>
        <w:pStyle w:val="BookText"/>
        <w:rPr/>
      </w:pPr>
      <w:r>
        <w:rPr>
          <w:rFonts w:ascii="IRNazanin" w:hAnsi="IRNazanin" w:eastAsia="IRNazanin"/>
          <w:color w:val="111111"/>
          <w:sz w:val="28"/>
          <w:sz w:val="28"/>
          <w:szCs w:val="28"/>
          <w:rtl w:val="true"/>
          <w:lang w:bidi="fa-IR"/>
        </w:rPr>
        <w:t>أرکان الشریعة الإسلامیة</w:t>
      </w:r>
    </w:p>
    <w:p>
      <w:pPr>
        <w:pStyle w:val="BookText"/>
        <w:rPr/>
      </w:pPr>
      <w:r>
        <w:rPr>
          <w:rFonts w:ascii="IRNazanin" w:hAnsi="IRNazanin" w:eastAsia="IRNazanin"/>
          <w:color w:val="111111"/>
          <w:sz w:val="28"/>
          <w:sz w:val="28"/>
          <w:szCs w:val="28"/>
          <w:rtl w:val="true"/>
          <w:lang w:bidi="fa-IR"/>
        </w:rPr>
        <w:t>تفصیل الوجه الثالث‏</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السواد حزناً علی الحسین علیه السلام‏</w:t>
      </w:r>
    </w:p>
    <w:p>
      <w:pPr>
        <w:pStyle w:val="BookText"/>
        <w:rPr/>
      </w:pPr>
      <w:r>
        <w:rPr>
          <w:rFonts w:ascii="IRNazanin" w:hAnsi="IRNazanin" w:eastAsia="IRNazanin"/>
          <w:color w:val="111111"/>
          <w:sz w:val="28"/>
          <w:sz w:val="28"/>
          <w:szCs w:val="28"/>
          <w:rtl w:val="true"/>
          <w:lang w:bidi="fa-IR"/>
        </w:rPr>
        <w:t>بعض الأدلة المنقولة فی لبس السواد</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لعن أعداء الدین‏</w:t>
      </w:r>
    </w:p>
    <w:p>
      <w:pPr>
        <w:pStyle w:val="BookText"/>
        <w:rPr/>
      </w:pPr>
      <w:r>
        <w:rPr>
          <w:rFonts w:ascii="IRNazanin" w:hAnsi="IRNazanin" w:eastAsia="IRNazanin"/>
          <w:color w:val="111111"/>
          <w:sz w:val="28"/>
          <w:sz w:val="28"/>
          <w:szCs w:val="28"/>
          <w:rtl w:val="true"/>
          <w:lang w:bidi="fa-IR"/>
        </w:rPr>
        <w:t>اللعن من الآیات القرآنیة</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والرّثاءُ سنّةٌ قرآنیةٌ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أصحاب الأخدود</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یوسف علیه السلام ویعقوب علیه السلام‏</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قتل الأنبیاء</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التکویر</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الشهداء فی سبیل الله تعالی‏</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هابیل‏</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ارتکبه فرعون وهامان من طغیانٍ‏</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صالح‏</w:t>
      </w:r>
    </w:p>
    <w:p>
      <w:pPr>
        <w:pStyle w:val="BookText"/>
        <w:rPr/>
      </w:pPr>
      <w:r>
        <w:rPr>
          <w:rFonts w:ascii="IRNazanin" w:hAnsi="IRNazanin" w:eastAsia="IRNazanin"/>
          <w:color w:val="111111"/>
          <w:sz w:val="28"/>
          <w:sz w:val="28"/>
          <w:szCs w:val="28"/>
          <w:rtl w:val="true"/>
          <w:lang w:bidi="fa-IR"/>
        </w:rPr>
        <w:t>مسک الختام‏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المیلاد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مأتم الرضوعة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مأتم رأس السنة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السیّدة أمّ سلمة أمّ المؤمنین بنعی جبرئیل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آخر فی بیت أمّ سلمة أمّ المؤمنین بنعی جبرئیل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آخر فی بیت السیّدة أمّ سلمة بنعی ملک المطر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عائشة بنعی جبرئیل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السیّدة أمّ سلمة أمّ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السیّدة زینب بنت جحش أمّ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أمّ سلمة أمّ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السیّدة أمّ سلمة أمّ المؤمنین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السیّدة أمّ سلمة أمّ المؤمنین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عائشة بنعی مَلَکٍ ما دخل علی النبیّ صلی الله علیه وآله وسلم قط</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بیت عائشة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دار أمیر المؤمنین علیّ بن أبی طالب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مجمع الصحابة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حشد من الصحابة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دار رسول الله صلی الله علیه وآله وسلم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فی کربلاء أقامه أبو الشهید أمیر المؤمنین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مأتم یوم عاشوراء</w:t>
      </w:r>
    </w:p>
    <w:p>
      <w:pPr>
        <w:pStyle w:val="BookText"/>
        <w:rPr/>
      </w:pPr>
      <w:r>
        <w:rPr>
          <w:rFonts w:ascii="IRNazanin" w:hAnsi="IRNazanin" w:eastAsia="IRNazanin"/>
          <w:color w:val="111111"/>
          <w:sz w:val="28"/>
          <w:sz w:val="28"/>
          <w:szCs w:val="28"/>
          <w:rtl w:val="true"/>
          <w:lang w:bidi="fa-IR"/>
        </w:rPr>
        <w:t>ملحق‏</w:t>
      </w:r>
    </w:p>
    <w:p>
      <w:pPr>
        <w:pStyle w:val="BookText"/>
        <w:rPr/>
      </w:pPr>
      <w:r>
        <w:rPr>
          <w:rFonts w:ascii="IRNazanin" w:hAnsi="IRNazanin" w:eastAsia="IRNazanin"/>
          <w:color w:val="111111"/>
          <w:sz w:val="28"/>
          <w:sz w:val="28"/>
          <w:szCs w:val="28"/>
          <w:rtl w:val="true"/>
          <w:lang w:bidi="fa-IR"/>
        </w:rPr>
        <w:t>فتوی الإمام النائینی قدس سره حول الشعائر الحسینیة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الشیرازی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الحکیم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الخوئی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الشاهرودی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المظفر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الحمّامی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کاشف الغطاء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الشیرازی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الکلبایکانی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المرعشی‏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الله المرعشیّ‏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المدد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النوری‏</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اصدارات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أخر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کفاح حداد</w:t>
      </w:r>
    </w:p>
    <w:p>
      <w:pPr>
        <w:pStyle w:val="BookText"/>
        <w:rPr/>
      </w:pPr>
      <w:r>
        <w:rPr>
          <w:rFonts w:ascii="IRNazanin" w:hAnsi="IRNazanin" w:eastAsia="IRNazanin"/>
          <w:color w:val="111111"/>
          <w:sz w:val="28"/>
          <w:sz w:val="28"/>
          <w:szCs w:val="28"/>
          <w:rtl w:val="true"/>
          <w:lang w:bidi="fa-IR"/>
        </w:rPr>
        <w:t>نساء الطفوف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المسلمین بعد وفاة رسول اللَّه صلی الله علیه وآله وسلم کانوا یأتونها فیُقیلون تحتها، فلما تکرّر ذلک أوعَدهم عمر فیها ثمّ أمر بها 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نفس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المغیرة بن سوید،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عمر فی حجّة حجّها، فقرأ بنا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تَرَ کَیْفَ فَعَلَ رَبُّکَ بِأَصْحَابِ الْفِیلِ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لِإِیلَافِ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رأی الناس یُبادرون إلی مسجدٍ هناک،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صلّی فیه النبی صلی الله علیه وآله وسلم والناس یبادرون إلیه، فناداهم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هَلَک أهل الکتاب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آثار أنبیائهم بِیَعاً من عَرَضَت له صلاة فی هذا المسجد فلیُصلّ، ومن لم تعرض له صلاة فلیمضِ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تلک الرسائل والمؤلّفات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للموضوع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المتعلّق، ففی مثال حرمة شرب الخمر فإنّ الحُرمة تتعلّق بالشُرب، والشُرب بدوره یتعلّق بالخمر فالخمر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متعلّق الحکم وهذا تابعٌ لقاعدة أصولیّة محرّرة عند علماء الأصول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متعلّق متعلّق الحکم یکون موضوعاً للحکم، سواء کان الحکم تکلیفیّاً أم وضعیّاً اعتمدت علیها مدرسة المیرزا النائینیّ رحمه الله إلاّ أنّ مشهور الطبقات المتقدّمة من العلماء علی خلاف ذلک، وهو الأصحّ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وَمَنْ یُعَظِّمْ شَعَائِرَ اللَّهِ فَإِنَّهَا مِنْ تَقْوَی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عباس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أقوال أخری لعلماء العامّة،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الشعائر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قاله السّدی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قراءة الفاتحة بعد الطعام ورجحان الشعائر الحسینیّة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کتاب صدر من الحوزة العلمیّة الإمامیّة فی ردّ الوهّابیّة، حیث کان الشیخ رحمه اللَّه معاصراً لنشأة وقیام الدولة الوهّابیّة فی بدایتها، وکانت بینه وبین مؤسّس الدولة الوهّابیّة مراسلات واحتجاجات، وقد طُبع هذا الکتاب أخیراً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فی ذیل أحکام تطهیر المسجد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فی ذیل أحکام تطهیر المسجد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الْمُؤْمِنُونَ لِیَنْفِرُوا کَافَّةً فَلَوْلَا نَفَرَ مِنْ کُلِّ فِرْقَةٍ مِنْهُمْ طَائِفَةٌ لِیَتَفَقَّهُوا فِی الدِّینِ وَلِیُنْذِرُوا قَوْمَهُمْ إِذَا رَجَعُوا إِلَیْهِمْ لَعَلَّهُمْ یَحْذَرُونَ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الحقیقة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الألفاظ المعیّنة الواردة فی لسان الدلیل، التی أصبحت حقائق فی معانیها المستحدثة فی عصر الشارع المقدّس، مثل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وصوم، وحجّ التی نُقلت من معناها الحقیقیّ الوضعیّ إلی المعنی الشرعیّ المستحدَث فی عصر الشارع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من أسماء الله سبحانه أمِت یعنی أمت الکافرین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حُرمة وفساد بیع المکیل والموزون بجنسه مع التفاضل لأنّه ربا ومثل بطلان بیع‌الکالی بالکالی وغیرها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هذا الأمر آیة اللَّه الشیخ حسن المظفّر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 المظلوم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وإلیک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کان سنخ الشیء عبادة ومندوباً إلیه؛ سرت مشروعیّته إلی جمیع أفراده من جهة الفردیّة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تشیر إلی ما نحن فیه من أنّ الأمر بالکلّیّ الطبیعیّ یعنی مشروعیّة جمیع أفراده، وإنّما التّخییر یکون بید المکلَّف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التخییر الوارد فی خصال الکفّارة لمن أفطر متعمّداً فی نهار شهر رمضان، أنّ علیه عِتق رقبة أو صیام شهرَین متتابعَین أو إطعام ستین مسکیناً؛ فهذا تخییر شرعیّ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الأنصاریّ والآخوند والمحقّق العراقیّ والمحقّق الأصفهانیّ رحمهم الله وغیرهم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المحقّق النائینیّ قدس سره وجمعٌ من تلامذة مدرسته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نقلاً عن 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علی رسالة الشیخ جعفر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قدیمة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المظلوم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بعض العلماء مثل المیرزا القمّیّ قدس سره وغیره إلی أکثر من ذلک، حیث عمَّمَ دائرة تطبیق متعلّق الأمر علی المصداق المحرّم فیما إذا کانت الحرمة غیر منجّزة، بل یتناول العموم کذلک الفرد المحرّم المنجّز أیضاً، وإن امتنع الامتثال فی الصورة الأخیرة، لکونه فاسداً، لبداهة امتناع التقرّب بالمصداق المحرّم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الأمر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فرض التمکّن من‌الخروج من الأرض المغصوبة وأداء الصلاة فی مکان آخر والمندوحة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التمکّن والمجال والسعة وفی هذه الصورة لا یتحقّق التزاحم أصلًا أما بدون 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فی فرض عدم التمکّن من الخروج من الأرض المغصوبة، فهنا یتحقّق التزاحم لعدم إمکان امتثال الحکمَین معاً فیُقدّم الأهمّ منهما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وجوب الصلاة وحرمة الغصب غایة الأمر أن تنجّز الغصب یمانع من صحّة الصلاة ولا یمانع من شمول الأمر بالصلاة للفَرد الغصبیّ وقد ذهب إلی ذلک المیرزا القمّیّ قدس سره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الأول تراجعه بملاحظة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هذا الکتاب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قد یتبادر تساؤل،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یمکن قیاس التشریع الإلهیّ بالقانون الوضعیّ؟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ذکره الأستاذ المحاضر بشرح مفصّل فی خاتمة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نقلاً عن کتاب بصائر الدرجات بسنده عن 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القرآن آیة إلاّ ولها ظهر وبطن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 تنزیله، وبطنه تأویله، منه ما قد مضی، ومنه ما لم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 کما یجری الشمس والقمر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کلّما جاء تأویل شی‌ء منه یکون علی الأموات کما یکون علی الأحیاء،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یعلم تأویلَه إلّا اللَّه والراسخون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نعلمه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التزاحم الملاکیّ والامتثالیّ هو أنّ فی التزاحم الملاکیّ یکون هناک تصادق بین‌المتزاحمَین فی وجود واحد، کاجتماع الأمر والنهی، مثل صلِّ ولا تغصب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مثّلنا سابقاً بالمواد الدستوریّة إذ لا یمکن لرئیس الوزراء أن یتمسّک بها فی التنفیذ حیث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مجلس نیابیّ ینزّل هذه المادة الدستوریّة ثمّ یتم العمل بها ثمّ أنّ موظف الوزارة أو شُعبة من الوزارة هل یمکن أن یعمل بمادة نیابیّة قانونیة تصدر من المجلس النیابیّ؟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فإنّه یخطّأ فی ذلک بل لا بدّ من أن یأخذ رئیس الوزراء أو الوزیر المعیّن المادّة وینزّلها إلی مواد وزاریّة أُخری تنزّلیة، ثمّ بعد ذلک یمکن لمدیر الشعبة الإداریّة أن یعمل بتلک المادة النیابیّة، أو المادة الوزاریّة التی نُزّلت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 بالمعنی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یلزم من تصوّر ملزومه تصوّر اللازم بلا حاجة إلی توسّطشی آخر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بلحاظ الآخرة والبرزخ قد تکون إنسانیّة الإنسان أشدّ من إنسانیّة الآخر بحسب خُلُقِهِ وعَمله الصالح لا بحسب لونه أو حسبه ونسبه، وهذا بحث آخر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الکلّیّ المتوافقة أفراده فی مفهومه والتواطؤ هو التوافق والتساوی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الکلّیّ المتفاوتة أفراده فی صدق مفهومه علیها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کون الهدی ممّا عرّف به‌بأن یحضر یوم عرفة بها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إحترام المؤمن للمؤمن، إحترام المسلم للمسلم أو إحترام الإنسان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إمّا أخٌ لک فی الدین أو نظیر لک فی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فتحفظ حرمته ما لم یهتک هو حرمته فهذا حکم أوّلیّ ولکنّ متعلّقه وعنوان متعلّقه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مصادیقه وامتثالاته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یتّخذ مصادیق مختلفة ومستجدّة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أمتی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والنسیان، وما أُکرهوا علیه، وما لا یطیقون، وما لا یعلمون، وما اضطُرّوا إلیه، والحسد، والطیرة، والتفکّر فی الوسوسة فی الخلق ما لم ینطق بشفة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ذکروا موارد عدیدة یخطأ فیها الحسّ، کالقطرة النازلة التی یراها الحسّ خیطاًوالسراب الذی یعتقد الناظر أنّه ماء، وغیر ذلک من الموارد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الستر عمّا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وتهتَّک أی افتضح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بکم إذا فسدت نساؤکم وفَسق شبابکم، ولم تأمروا بالمعروف ولم تنهَوا عن المنکر،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ذلک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وشرٌّ من ذلک کیف بکم إذا أمرتم بالمنکر ونهیتم عن المعروف،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ویکون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وشرّ من ذلک، کیف بکم إذا رأیتم المعروف مُنکراً والمنکر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العلامة والمعلم لمعنی من المعانی الدینیة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العوالم،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أستاذنا المیرزا هاشم الآملی رحمه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والنهی عن المنکر باب أوسع من الجهاد وأوسع من القضاء، وأوسع من الحدود والقصاص، وأوسع من کلّ الأبواب الفقهیّة، وهو باب قد تسالم علیه الفقهاء، وهو لم ولن یُغلق ولیس بمسدود، بل مفتوح علی مصراعیه فی الشریعة إلی یوم القیامة، وینطوی تحت هذا الباب کلّ الأبواب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 المحاضِر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زیارة للحسین علیه السلام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الخامسة لمولانا أمیرالمؤمنین علیه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إحدی زیارات الإمام الحسین علیه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الرسالة متناثرة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ومطابقة لأکثر ما فی الفقه الرضویّ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رواة سلسلة أسناد الأحادیث فکلّ راوٍ یُطلق علیه مفردّة رجالیّة، أو عنوان رجالیّ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تقرأها کاملة فی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الفقهاء علی أنّ الروایة الحسنة یُعتدّ بها، وإن کانت فی درجة الإعتبار عندهم دون الخبر الموثق، أو الخبر الصحیح والخبر الحسن عند مشهور الفقهاء یُعتمد علیه عند عدم تعارضه بما هو أقوی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ورد فی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تبثّوا سرّنا ولا تذیعوا أمرنا، وإذا جاءکم عنّا حدیث فوجدتُم علیه شاهداً أو شاهدین من کتاب اللَّه فخذوا به، وإلا فقِفوا عنده، ثم رُدّوه إلینا حتّی یتبیّن لکم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المقام الأول</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طبعة محمّد عبدة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المسرحیّات الشعبیّة لأحداث الواقعة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 الشاعر السید رضا الموسویّ الهندیّ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تطّلع علی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واقعة کربلاء والشعائر الحسینیّة تختلف فیها حیثیّات البحث فمن ثمّ، یُحتمل للخطیب، أو الشاعر، أو الراثی، أو الکاتب للقصة أن یمرّ بمقطع من المقاطع فی حیثیّة تاریخیّة، ثمّ ینتقل إلی حیثیّة فرعیّة، ثمّ ینتقل إلی حیثیّة عقائدیّة ثمّ یرجع إلی قضیّة قصصیّة هذه الجهات متشابکة ولاسیّما أنّها مرکّزة حول شخصیّة واحدة، وهی شخصیة المعصوم علیه السلام فحینئذ یقع الخلط والالتباس، سواء عند المُثبِت أو النافی بین هذه الجهات وبین هذه الحیثیّات المتنوّعة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الحسین علیه السلام باب ثواب البکاء علی مصیبته 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التی یعتمد علیها صاحب الوسائل، والمصادر التی یعتمد علیها العلّامة المجلسیّ بینهما عموم وخصوص من وجه باعتبار أنّ المرحوم المجلسیّ لم یُکثر من النقل من الکتب الأربعة حفاظاً علی بقاء شهرة الکتب الأربعة، ولکی لا تُستبدل الکتب الأربعة بالبحار،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تقدیساً لهذه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 عنها الکثیر وإنّما نقل من کتب أخری، بینما صاحب الوسائل کان نقله أکثر شی‌ء من الکتب الأربعة، ثمّ فی المرحلة الثانیة علی کتب أخری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وردت عناوین عدیدة فیما یتعلّق بتاریخ الإمام الحسین علیه السلام فی کتاب البحار أو فی الکتب الروائیّة المتعدّدة التی أشرنا إلیها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البکاء لقتل الحسین علیه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الجزع والبکاء مکروه سوی الجزع والبکاء علی الحسین علیه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نقلًا عن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للإمام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توحید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الخاص لبیان أسرار وعجائب الحیوانات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بحث الانسداد فی کتاب نهایة الدرایة للشیخ الأصفهانیّ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حبّک للشی‌ء یعمی ویصمّ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أقفال والسؤالات مفاتیحها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یتبع هذه الحقیقة عن تقلید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الکهرباء قاتلة فإنّه سوف ینجو من الکهرباء وإن کان اعتقاده عن تقلید وبدون دلیل، ولکن لو علم بأنّ الکهرباء قاتلة عن طریق الدلیل لما کان فی معرض الشکّ لأن الذی یَبنی علی أنّ الکهرباء قاتلة من دون دلیل، قد یکون فی معرض الوقوع فی هلکة الکهرباء لأنّه قد یشکّکه أحد، فالإذعان بالحقائق ولو عن تقلید أمر له فائدته؛ لکن لیس کمن یعتقد ویُذعن بالحقائق عن دلیل وبرهان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یُمدّ ویُقصر، فإذا مددت أردت الصوت الذی یکون مع البکاء؛ وإذا قصرت أردت الدموع وخروجها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ظاهرة اجتماعیة؛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یُصاب بحادثة أو مصیبة یحاول أن یَتّخذ مجالس تعزیة بالإجارة،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وعلماء النفس والسیکولوجیا فی أوروبا یوصون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یُستأجر جماعة، ویتباکون معه للتنفیس عن الضغط الذی یحلّ بصاحب المصیبة وهو نوع من الحالة الصحّیّة لمن ألمّت به المصیبة والفادحة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الشرطین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 الإدراک الفوقانیّ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الإدراکات الحضوریّة الوجدانیّة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 الإدراک التحتانیّ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الإدراکات الحصولیّة بتوسّط القوی الفکریّة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العملیّ 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الغضب، والشهوة، والغرائز المختلفة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العملیّ الفوقانیّ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إدراک حضوریّ مزیج مع العمل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قال الزمخشریّ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مخاطباً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من العامة، فی 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بِهِ وَهَمَّ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 عمدوا إلی سورة ضربها اللَّه مثلًا للبشریّة إلی یوم القیامة، احتذاءً لعفّة النبیّ یوسف، فجعلوها نقضاً علی اللَّه سبحانه فی کتابه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نَزَّلَ أَحْسَنَ الْحَدِیثِ کِتَابًا مُتَشَابِهًا مَثَانِیَ تَقْشَعِرُّ مِنْهُ جُلُودُ الَّذِینَ یَخْشَوْنَ رَبَّهُمْ ثُمَّ تَلِینُ جُلُودُهُمْ وَقُلُوبُهُمْ إِلَی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أحد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ذلک السید شرف الدین فی کتابه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الشهیق حتی یبلغ به الغشی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شرح مسند أبی حنیفة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علی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عبداللَّه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بک لمحزونون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سبَبْتَ له ذلک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الغیرة من الإیمان والبذاء من 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الصدوق مسندة فی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وکذلک فی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واللفظ للأخیر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أبی‌بصیر،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المؤمن حین یخرج من بیته حاجّاً، لا یخطو خطوة ولا تخطو به راحلته إلا کُتب له بها حسنة، ومُحی عنه سیّئة، ورُفع له بها درجة، فإذا وقف بعرفات فلو کانت له ذنوب عدد الثری رجع کما ولدته أمُّه،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العمل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روایات بهذا المضمون منها، 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اشفع یوم القیامة فأُشفّع، ویشفع علیّ فیُشفَّع، ویشفع أهل بیتی فیُشفّعون، وإنّ أدنی المؤمنین شفاعة لیشفَع فی أربعین من إخوانه کلّ قد استوجبوا النار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نهی آخر عن الحسین لسکینة بالخصوص مُغیّی أیضاً بقتله، کما یظهر من الأبیات المنسوبة له علیه السلام حین تودیع ابنته سکینة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روایات الجزع</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البکاء لقتل الحسین وما أصاب أهل البیت علیهم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الدفن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الجنائز، أبواب التعزیة علی المیت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البکاء لقتل الحسین علیه السلام وما أصاب أهل البیت علیهم السلام، وخصوصاً یوم عاشوراء واتّخاذه یوم مصیبة وتحریم التبرّک 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صحیحة السند بدرجة عالیة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19690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کَانَ مُؤْمِنًا کَمَنْ کَانَ فَاسِقًا  لَا یَسْتَوُونَ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سند قبله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محمّد بن موسی بن المتوکّل قد ترضّی علیه الشیخ‌الصدوق، وإلاّ لیس فیه توثیق خاص ونحن نستحسن طریق الصدوق، ولا حاجة لذکر ذلک الطریق فی المقام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شاملة للبکاء علی مصاب الزهراء علیها السلام وبقیة الأئمة علیهم السلام وذراریهم أیضاً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نشر أحادیث الکوفیّین فی قم، روی عن ستّین رجلًا من‌أصحاب أبی عبد اللَّه علیه السلام من أکابر الثقاة عند المتأخّرین، وأدمَن ابنه علیّ بن إبراهیم الروایة عنه ونقل الآخرین أیضاً عنه فأصبحت جلالته واضحة ولا غبار علیها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لأعداء الدین هو أحد أقسام الشعائر الدینیّة والحسینیّة، وسیأتی التعرّض لمبحث اللعن فی هذا الکتاب إن شاء اللَّه، فانتظر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المستحبات الأکیدة، وهو علیه السلام، فی صدد سرد أقسام الشعائر الحسینیة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9694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زمن المرحوم المیرزا النائینیّ رحمه الله ورد إلی العلماء استفتاءات من أهالی البصرة حول الشعائر الحسینیّة، وأفتی فیها أکثر العلماء مثل المرحوم النائینیّ والشیخ محمّد حسین کاشف الغطاء، وجملة من مراجع النجف الأشرف وکانت فتوی المیرزا النائینیّ بهذا الصدد بمنزلة منشور صناعیّ فتوائیّ أفتی علی غراره وسجیّته تقریباً کافّة تلامیذ المیرزا النائینی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عکس ما ذکره المیرزا النائینیّ مع أنّ فتواه هذه الشهیرة، المعروفة، التاریخیّة، فی بحث الضرر فی العزاء الحسینی مبنیّة علی نفس مسلک مشهور الفقهاء، ممّا یدل علی أنّه ارتکازاً یختار مسلک المشهور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بنینا علی مسلک المشهور، أو علی مسلک المحقّق النائینیّ، أی ولو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 مخصّصه، أیضاً فالمحقّق النائینیّ یعترف أن لیس أی ضرر أو أیّ حرج فی أیّ درجة رافع لکلّ حکم ولو بَلغ من الشدّة والأهمّیّة بل الضرر المناسب 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فتوی بعض العلماء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خضر بن شلّال المعروف، وهو من تلامیذ الشیخ جعفر کاشف الغطاء، وتلامیذ السیّد بحر العلوم وله مقام خاص، وقد نُقل قبره الشریف من حیّ العمارة فی النجف الأشرف إلی وادی السلام، ووضعوا له ضریحاً خاصّاً، وله کتاب أبواب الجنان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الدفاع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من هذا الکتاب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عنه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علیّ بن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مناقب ابن‌شهر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 حلیة الأولیاء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ومطلعها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المصادر المختلفة لهذه الخطبة فی الهامش السابق، فلیراجع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وبعض العبارات فی کتاب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ذکرنا علی فتوی بعض الفقهاء، کالشیخ خضر بن شلال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کان هو محدّثاً وفقیهاً مقدّساً من تلامیذ الشیخ جعفر کاشف الغطاء ومن تلامیذ السیّد بحر العلوم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أفتی فی کتابه أبواب الجنان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أهمیّة الشعائر الحسینیّة بالنظر الشرعی، تفوق حتّی ضرر النفس وتقدّم فیما سبق أنّ المیرزا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القدیمة، أدرج إقامة الشعائر الحسینیّة فی باب الجهاد، وهذا یقضی بأنّ المرتکز عند المیرزا القمّیّ کون باب الشعائر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إعلان الشعائر وإقامتها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متّحداً ملاکاً مع باب الجهاد وسیأتی بیان الأدلّة تباعاً وذکر غیر واحد من الفقهاء ومراجع النجف الأشرف فی فتواه التی شابهت فتوی المحقّق النائینی رحمه الله ومنهم الشیخ محمّد حسین کاشف الغطاء وغیر أنّ الإقدام والمعرضیّة لتلف العضو فی جملة من الشعائر الحسینیّة کالزیارة، لیس محرّماً بل راجحاً بل بعضهم تصاعد إلی معرضیّة تلف النفس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موارد الظّمان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 الخلفاء علی قبره الشریف وما ظهر من‌المعجزات عند ضریحه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لتقرأ المزید عن هذه الحقیقة التاریخیّة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فی ذلک عبد اللَّه بن رابیة الطوری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المتوکّل العباسیّ قد أمر بهدم وحرث قبر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وتوعّد النّاس بالقتل لمن زار قبره، وجَعل رَصداً من أجناده وأوصاهم کل من وجدتموه یرید زیارة الحسین علیه السلام فاقتلوه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ثواب من زار الحسین علیه السلام وعلیه خوف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الدروع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وهی الحدود والثغور التی یرابط فیها اصحاب السلاح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رواه فی کامل الزیارات عن معاویة بطرق عدیدة کثیرة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أبواب المزار بـ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 کانت له جاریة یُعزّها ویحبّها، فغابت عنه فترة، فعرف أنّها ذهبت إلی زیارة قبر الحسین علیه السلام فقتلها بذلک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المعتبر عند مشهور العلماء، أمّا الخبر المصحّح فهو المعتبر عند القائل، فعند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 توهّم ذهاب المشهور إلی اعتباره أیضا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الوسائل أبواب المزار بـ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أبی هاشم الجعفری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الماء بعد إرساله علی قبر الحسین علیه السلام، لم یصل إلیه، وحار حول القبر الشریف فلذا سمّی حائراً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زیارته علیه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تشتمل علی حکم الشعائر الحسینیّة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19482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من الروایات المسندة الدالة علی مشروعیّةالجزع، وصحیحة السند، بطریقَین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علیه السلام یستنکر علیه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وإلیک نصّ الروایة، عن ابی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الإسلام علی خمس، علی‌الصلاة والزکاة والصوم والحجّ والولایة ولم یُنادَ بشی‌ءٍ کما نودی بالولایة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عن زرارة، عن أبی جعفر علیه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وبقیة روایات الباب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وأورد علیّ بن یونس العاملیّ فی کتابه 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هذه‌الروایة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الناس ترکوا الحج کان علی الوالی أن یجبرهم علی ذلک وعلی المقام عنده، ولو ترکوا زیارة النّبیّ صلی الله علیه وآله وسلم لکان علی الوالی أن یجبرهم علی ذلک وعلی المقام عنده، فإن لم یکن لهم أموال أنفق علیهم من بیت مال المسلمین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الاستدلال علی هذا الأمر من الروایة السابقة بالتأمّل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المُقام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تدلّ علی ضرورة الإعمار والإقامة فی الحرمین وعدم إخلائهما من السّکان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المحقّق النائینیّ وتلامیذه قاطبة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 الحجامة فی الرأس فی الروایات، بالمُنقذة والمغیثة والمنجیة والسرّ هو أنّها تحمی من الجلطات الدماغیّة کما ثبت ذلک طبّیّاً 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یبعد استثناء لبس السواد فی مأتم الحسین علیه السلام لما استفاضت به الأخبار من الأمر بإظهار شعائر الأحزان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أجوبة أسئلة حول الشعائر الحسینیّة، الذی هو ملحق علی تعلیقته علی رسالة الشیخ جعفر التستریّ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فی لبس السواد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الإطعام؛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أو صوف مُعْلَم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الدّرر فی المسائل الاثنتی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 اللَّه المامقانی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دوّنت هذه الروایة فی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والبحار والوسائل نقلاً عن‌کتاب المحاسن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العباد إلی استحباب لبس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جعفر الطباطبائی الحائری، تعلیق السید محمد رضا الحسینی الاعراجی الفحام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نزع الأسواد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أدرجه المجلسی فی بحاره نقلًا عن کتاب زوائد الفوائد للسید ابن طاووس؛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Anglo-Saxon Chronicle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سجّل الکتاب فی مکتبة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EVERYMAN'S LIBRARY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وإلیک نصّ العبارة باللغة الانجلیزیة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هذا الفصل فی آخر الکتاب تحت عنوان مسک الختام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65116</Words>
  <Characters>304304</Characters>
  <CharactersWithSpaces>366524</CharactersWithSpaces>
  <Paragraphs>2999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2026-08-17T18:58:21Z</dcterms:created>
  <dc:creator>ghaemiyeh.com</dc:creator>
  <dc:description/>
  <dc:language>en-US</dc:language>
  <cp:lastModifiedBy/>
  <dcterms:modified xsi:type="dcterms:W3CDTF">2026-08-17T22:28:30Z</dcterms:modified>
  <cp:revision>1</cp:revision>
  <dc:subject/>
  <dc:title>الشعائر الحسینیه بین الاصاله والتجدید</dc:title>
</cp:coreProperties>
</file>

<file path=docProps/custom.xml><?xml version="1.0" encoding="utf-8"?>
<Properties xmlns="http://schemas.openxmlformats.org/officeDocument/2006/custom-properties" xmlns:vt="http://schemas.openxmlformats.org/officeDocument/2006/docPropsVTypes"/>
</file>