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محاضرات فی الالهیات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9372_139525021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819374_139525021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819376_1395250215">
            <w:r>
              <w:rPr>
                <w:webHidden/>
                <w:rStyle w:val="IndexLink"/>
                <w:rtl w:val="true"/>
              </w:rPr>
              <w:t>[</w:t>
            </w:r>
            <w:r>
              <w:rPr>
                <w:rStyle w:val="IndexLink"/>
                <w:rtl w:val="true"/>
              </w:rPr>
              <w:t>مقدمات التحقیق</w:t>
            </w:r>
            <w:r>
              <w:rPr>
                <w:rStyle w:val="IndexLink"/>
                <w:rtl w:val="true"/>
              </w:rPr>
              <w:t>]</w:t>
              <w:tab/>
            </w:r>
            <w:r>
              <w:rPr>
                <w:rStyle w:val="IndexLink"/>
              </w:rPr>
              <w:t>14</w:t>
            </w:r>
          </w:hyperlink>
        </w:p>
        <w:p>
          <w:pPr>
            <w:pStyle w:val="Contents3"/>
            <w:tabs>
              <w:tab w:val="clear" w:pos="8459"/>
              <w:tab w:val="right" w:pos="9026" w:leader="dot"/>
            </w:tabs>
            <w:rPr/>
          </w:pPr>
          <w:hyperlink w:anchor="__RefHeading___Toc2819378_1395250215">
            <w:r>
              <w:rPr>
                <w:webHidden/>
                <w:rStyle w:val="IndexLink"/>
                <w:rtl w:val="true"/>
              </w:rPr>
              <w:t>مقدمة الطبعة الأولی</w:t>
            </w:r>
            <w:r>
              <w:rPr>
                <w:rStyle w:val="IndexLink"/>
                <w:rtl w:val="true"/>
              </w:rPr>
              <w:t>:</w:t>
            </w:r>
            <w:r>
              <w:rPr>
                <w:rStyle w:val="IndexLink"/>
                <w:rtl w:val="true"/>
              </w:rPr>
              <w:t>علم الکلام رائد الفطرة الإنسانیة</w:t>
            </w:r>
            <w:r>
              <w:rPr>
                <w:rStyle w:val="IndexLink"/>
                <w:rtl w:val="true"/>
              </w:rPr>
              <w:tab/>
            </w:r>
            <w:r>
              <w:rPr>
                <w:rStyle w:val="IndexLink"/>
              </w:rPr>
              <w:t>14</w:t>
            </w:r>
          </w:hyperlink>
        </w:p>
        <w:p>
          <w:pPr>
            <w:pStyle w:val="Contents3"/>
            <w:tabs>
              <w:tab w:val="clear" w:pos="8459"/>
              <w:tab w:val="right" w:pos="9026" w:leader="dot"/>
            </w:tabs>
            <w:rPr/>
          </w:pPr>
          <w:hyperlink w:anchor="__RefHeading___Toc2819380_1395250215">
            <w:r>
              <w:rPr>
                <w:webHidden/>
                <w:rStyle w:val="IndexLink"/>
                <w:rtl w:val="true"/>
              </w:rPr>
              <w:t>مقدمة الطبعة العاشرة</w:t>
            </w:r>
            <w:r>
              <w:rPr>
                <w:rStyle w:val="IndexLink"/>
                <w:rtl w:val="true"/>
              </w:rPr>
              <w:t>:</w:t>
            </w:r>
            <w:r>
              <w:rPr>
                <w:rStyle w:val="IndexLink"/>
                <w:rtl w:val="true"/>
              </w:rPr>
              <w:t>ثمرة التجربة حُسن الاختیار</w:t>
            </w:r>
            <w:r>
              <w:rPr>
                <w:rStyle w:val="IndexLink"/>
                <w:rtl w:val="true"/>
              </w:rPr>
              <w:tab/>
            </w:r>
            <w:r>
              <w:rPr>
                <w:rStyle w:val="IndexLink"/>
              </w:rPr>
              <w:t>18</w:t>
            </w:r>
          </w:hyperlink>
        </w:p>
        <w:p>
          <w:pPr>
            <w:pStyle w:val="Contents2"/>
            <w:tabs>
              <w:tab w:val="clear" w:pos="8743"/>
              <w:tab w:val="right" w:pos="9026" w:leader="dot"/>
            </w:tabs>
            <w:rPr/>
          </w:pPr>
          <w:hyperlink w:anchor="__RefHeading___Toc2819382_1395250215">
            <w:r>
              <w:rPr>
                <w:webHidden/>
                <w:rStyle w:val="IndexLink"/>
                <w:rtl w:val="true"/>
              </w:rPr>
              <w:t>الباب الأوّل</w:t>
            </w:r>
            <w:r>
              <w:rPr>
                <w:rStyle w:val="IndexLink"/>
                <w:rtl w:val="true"/>
              </w:rPr>
              <w:t>:</w:t>
            </w:r>
            <w:r>
              <w:rPr>
                <w:rStyle w:val="IndexLink"/>
                <w:rtl w:val="true"/>
              </w:rPr>
              <w:t>فیما یتعلّق بذاته تعالی</w:t>
            </w:r>
            <w:r>
              <w:rPr>
                <w:rStyle w:val="IndexLink"/>
                <w:rtl w:val="true"/>
              </w:rPr>
              <w:tab/>
            </w:r>
            <w:r>
              <w:rPr>
                <w:rStyle w:val="IndexLink"/>
              </w:rPr>
              <w:t>20</w:t>
            </w:r>
          </w:hyperlink>
        </w:p>
        <w:p>
          <w:pPr>
            <w:pStyle w:val="Contents3"/>
            <w:tabs>
              <w:tab w:val="clear" w:pos="8459"/>
              <w:tab w:val="right" w:pos="9026" w:leader="dot"/>
            </w:tabs>
            <w:rPr/>
          </w:pPr>
          <w:hyperlink w:anchor="__RefHeading___Toc2819384_1395250215">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819386_1395250215">
            <w:r>
              <w:rPr>
                <w:webHidden/>
                <w:rStyle w:val="IndexLink"/>
                <w:rtl w:val="true"/>
              </w:rPr>
              <w:t>الفصل الأول</w:t>
            </w:r>
            <w:r>
              <w:rPr>
                <w:rStyle w:val="IndexLink"/>
                <w:rtl w:val="true"/>
              </w:rPr>
              <w:t>:</w:t>
            </w:r>
            <w:r>
              <w:rPr>
                <w:rStyle w:val="IndexLink"/>
                <w:rtl w:val="true"/>
              </w:rPr>
              <w:t>مقدمات و أُصول</w:t>
            </w:r>
            <w:r>
              <w:rPr>
                <w:rStyle w:val="IndexLink"/>
                <w:rtl w:val="true"/>
              </w:rPr>
              <w:tab/>
            </w:r>
            <w:r>
              <w:rPr>
                <w:rStyle w:val="IndexLink"/>
              </w:rPr>
              <w:t>22</w:t>
            </w:r>
          </w:hyperlink>
        </w:p>
        <w:p>
          <w:pPr>
            <w:pStyle w:val="Contents4"/>
            <w:tabs>
              <w:tab w:val="clear" w:pos="8176"/>
              <w:tab w:val="right" w:pos="9026" w:leader="dot"/>
            </w:tabs>
            <w:rPr/>
          </w:pPr>
          <w:hyperlink w:anchor="__RefHeading___Toc2819388_1395250215">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819390_1395250215">
            <w:r>
              <w:rPr>
                <w:webHidden/>
                <w:rStyle w:val="IndexLink"/>
              </w:rPr>
              <w:t>1</w:t>
            </w:r>
            <w:r>
              <w:rPr>
                <w:rStyle w:val="IndexLink"/>
                <w:rtl w:val="true"/>
              </w:rPr>
              <w:t xml:space="preserve">- </w:t>
            </w:r>
            <w:r>
              <w:rPr>
                <w:rStyle w:val="IndexLink"/>
                <w:rtl w:val="true"/>
              </w:rPr>
              <w:t>دور الدین الإلهی فی حیاة الإنسان</w:t>
            </w:r>
            <w:r>
              <w:rPr>
                <w:rStyle w:val="IndexLink"/>
                <w:rtl w:val="true"/>
              </w:rPr>
              <w:tab/>
            </w:r>
            <w:r>
              <w:rPr>
                <w:rStyle w:val="IndexLink"/>
              </w:rPr>
              <w:t>22</w:t>
            </w:r>
          </w:hyperlink>
        </w:p>
        <w:p>
          <w:pPr>
            <w:pStyle w:val="Contents4"/>
            <w:tabs>
              <w:tab w:val="clear" w:pos="8176"/>
              <w:tab w:val="right" w:pos="9026" w:leader="dot"/>
            </w:tabs>
            <w:rPr/>
          </w:pPr>
          <w:hyperlink w:anchor="__RefHeading___Toc2819392_1395250215">
            <w:r>
              <w:rPr>
                <w:webHidden/>
                <w:rStyle w:val="IndexLink"/>
              </w:rPr>
              <w:t>2</w:t>
            </w:r>
            <w:r>
              <w:rPr>
                <w:rStyle w:val="IndexLink"/>
                <w:rtl w:val="true"/>
              </w:rPr>
              <w:t xml:space="preserve">- </w:t>
            </w:r>
            <w:r>
              <w:rPr>
                <w:rStyle w:val="IndexLink"/>
                <w:rtl w:val="true"/>
              </w:rPr>
              <w:t>الدین و الفطرة</w:t>
            </w:r>
            <w:r>
              <w:rPr>
                <w:rStyle w:val="IndexLink"/>
                <w:rtl w:val="true"/>
              </w:rPr>
              <w:tab/>
            </w:r>
            <w:r>
              <w:rPr>
                <w:rStyle w:val="IndexLink"/>
              </w:rPr>
              <w:t>24</w:t>
            </w:r>
          </w:hyperlink>
        </w:p>
        <w:p>
          <w:pPr>
            <w:pStyle w:val="Contents4"/>
            <w:tabs>
              <w:tab w:val="clear" w:pos="8176"/>
              <w:tab w:val="right" w:pos="9026" w:leader="dot"/>
            </w:tabs>
            <w:rPr/>
          </w:pPr>
          <w:hyperlink w:anchor="__RefHeading___Toc2819394_1395250215">
            <w:r>
              <w:rPr>
                <w:webHidden/>
                <w:rStyle w:val="IndexLink"/>
              </w:rPr>
              <w:t>3</w:t>
            </w:r>
            <w:r>
              <w:rPr>
                <w:rStyle w:val="IndexLink"/>
                <w:rtl w:val="true"/>
              </w:rPr>
              <w:t xml:space="preserve">. </w:t>
            </w:r>
            <w:r>
              <w:rPr>
                <w:rStyle w:val="IndexLink"/>
                <w:rtl w:val="true"/>
              </w:rPr>
              <w:t>المعرفة المعتبرة</w:t>
            </w:r>
            <w:r>
              <w:rPr>
                <w:rStyle w:val="IndexLink"/>
                <w:rtl w:val="true"/>
              </w:rPr>
              <w:tab/>
            </w:r>
            <w:r>
              <w:rPr>
                <w:rStyle w:val="IndexLink"/>
              </w:rPr>
              <w:t>25</w:t>
            </w:r>
          </w:hyperlink>
        </w:p>
        <w:p>
          <w:pPr>
            <w:pStyle w:val="Contents4"/>
            <w:tabs>
              <w:tab w:val="clear" w:pos="8176"/>
              <w:tab w:val="right" w:pos="9026" w:leader="dot"/>
            </w:tabs>
            <w:rPr/>
          </w:pPr>
          <w:hyperlink w:anchor="__RefHeading___Toc2819396_1395250215">
            <w:r>
              <w:rPr>
                <w:webHidden/>
                <w:rStyle w:val="IndexLink"/>
              </w:rPr>
              <w:t>4</w:t>
            </w:r>
            <w:r>
              <w:rPr>
                <w:rStyle w:val="IndexLink"/>
                <w:rtl w:val="true"/>
              </w:rPr>
              <w:t xml:space="preserve">. </w:t>
            </w:r>
            <w:r>
              <w:rPr>
                <w:rStyle w:val="IndexLink"/>
                <w:rtl w:val="true"/>
              </w:rPr>
              <w:t>وجوب البحث عن وجود اللّه تعالی</w:t>
            </w:r>
            <w:r>
              <w:rPr>
                <w:rStyle w:val="IndexLink"/>
                <w:rtl w:val="true"/>
              </w:rPr>
              <w:tab/>
            </w:r>
            <w:r>
              <w:rPr>
                <w:rStyle w:val="IndexLink"/>
              </w:rPr>
              <w:t>27</w:t>
            </w:r>
          </w:hyperlink>
        </w:p>
        <w:p>
          <w:pPr>
            <w:pStyle w:val="Contents3"/>
            <w:tabs>
              <w:tab w:val="clear" w:pos="8459"/>
              <w:tab w:val="right" w:pos="9026" w:leader="dot"/>
            </w:tabs>
            <w:rPr/>
          </w:pPr>
          <w:hyperlink w:anchor="__RefHeading___Toc2819398_1395250215">
            <w:r>
              <w:rPr>
                <w:webHidden/>
                <w:rStyle w:val="IndexLink"/>
                <w:rtl w:val="true"/>
              </w:rPr>
              <w:t>الفصل الثانی</w:t>
            </w:r>
            <w:r>
              <w:rPr>
                <w:rStyle w:val="IndexLink"/>
                <w:rtl w:val="true"/>
              </w:rPr>
              <w:t>:</w:t>
            </w:r>
            <w:r>
              <w:rPr>
                <w:rStyle w:val="IndexLink"/>
                <w:rtl w:val="true"/>
              </w:rPr>
              <w:t>برهان النظم و إثبات وجود الصانع العلیم</w:t>
            </w:r>
            <w:r>
              <w:rPr>
                <w:rStyle w:val="IndexLink"/>
                <w:rtl w:val="true"/>
              </w:rPr>
              <w:tab/>
            </w:r>
            <w:r>
              <w:rPr>
                <w:rStyle w:val="IndexLink"/>
              </w:rPr>
              <w:t>30</w:t>
            </w:r>
          </w:hyperlink>
        </w:p>
        <w:p>
          <w:pPr>
            <w:pStyle w:val="Contents4"/>
            <w:tabs>
              <w:tab w:val="clear" w:pos="8176"/>
              <w:tab w:val="right" w:pos="9026" w:leader="dot"/>
            </w:tabs>
            <w:rPr/>
          </w:pPr>
          <w:hyperlink w:anchor="__RefHeading___Toc2819400_1395250215">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819402_1395250215">
            <w:r>
              <w:rPr>
                <w:webHidden/>
                <w:rStyle w:val="IndexLink"/>
                <w:rtl w:val="true"/>
              </w:rPr>
              <w:t>ما هو النظم؟</w:t>
            </w:r>
            <w:r>
              <w:rPr>
                <w:rStyle w:val="IndexLink"/>
                <w:rtl w:val="true"/>
              </w:rPr>
              <w:tab/>
            </w:r>
            <w:r>
              <w:rPr>
                <w:rStyle w:val="IndexLink"/>
              </w:rPr>
              <w:t>30</w:t>
            </w:r>
          </w:hyperlink>
        </w:p>
        <w:p>
          <w:pPr>
            <w:pStyle w:val="Contents4"/>
            <w:tabs>
              <w:tab w:val="clear" w:pos="8176"/>
              <w:tab w:val="right" w:pos="9026" w:leader="dot"/>
            </w:tabs>
            <w:rPr/>
          </w:pPr>
          <w:hyperlink w:anchor="__RefHeading___Toc2819404_1395250215">
            <w:r>
              <w:rPr>
                <w:webHidden/>
                <w:rStyle w:val="IndexLink"/>
                <w:rtl w:val="true"/>
              </w:rPr>
              <w:t>تقریر برهان النظم</w:t>
            </w:r>
            <w:r>
              <w:rPr>
                <w:rStyle w:val="IndexLink"/>
                <w:rtl w:val="true"/>
              </w:rPr>
              <w:tab/>
            </w:r>
            <w:r>
              <w:rPr>
                <w:rStyle w:val="IndexLink"/>
              </w:rPr>
              <w:t>31</w:t>
            </w:r>
          </w:hyperlink>
        </w:p>
        <w:p>
          <w:pPr>
            <w:pStyle w:val="Contents4"/>
            <w:tabs>
              <w:tab w:val="clear" w:pos="8176"/>
              <w:tab w:val="right" w:pos="9026" w:leader="dot"/>
            </w:tabs>
            <w:rPr/>
          </w:pPr>
          <w:hyperlink w:anchor="__RefHeading___Toc2819406_1395250215">
            <w:r>
              <w:rPr>
                <w:webHidden/>
                <w:rStyle w:val="IndexLink"/>
                <w:rtl w:val="true"/>
              </w:rPr>
              <w:t>برهان النظم فی الوحی الإلهی</w:t>
            </w:r>
            <w:r>
              <w:rPr>
                <w:rStyle w:val="IndexLink"/>
                <w:rtl w:val="true"/>
              </w:rPr>
              <w:tab/>
            </w:r>
            <w:r>
              <w:rPr>
                <w:rStyle w:val="IndexLink"/>
              </w:rPr>
              <w:t>32</w:t>
            </w:r>
          </w:hyperlink>
        </w:p>
        <w:p>
          <w:pPr>
            <w:pStyle w:val="Contents4"/>
            <w:tabs>
              <w:tab w:val="clear" w:pos="8176"/>
              <w:tab w:val="right" w:pos="9026" w:leader="dot"/>
            </w:tabs>
            <w:rPr/>
          </w:pPr>
          <w:hyperlink w:anchor="__RefHeading___Toc2819408_1395250215">
            <w:r>
              <w:rPr>
                <w:webHidden/>
                <w:rStyle w:val="IndexLink"/>
                <w:rtl w:val="true"/>
              </w:rPr>
              <w:t>إشکالات و الإجابة عنها</w:t>
            </w:r>
            <w:r>
              <w:rPr>
                <w:rStyle w:val="IndexLink"/>
                <w:rtl w:val="true"/>
              </w:rPr>
              <w:tab/>
            </w:r>
            <w:r>
              <w:rPr>
                <w:rStyle w:val="IndexLink"/>
              </w:rPr>
              <w:t>34</w:t>
            </w:r>
          </w:hyperlink>
        </w:p>
        <w:p>
          <w:pPr>
            <w:pStyle w:val="Contents5"/>
            <w:tabs>
              <w:tab w:val="clear" w:pos="7892"/>
              <w:tab w:val="right" w:pos="9026" w:leader="dot"/>
            </w:tabs>
            <w:rPr/>
          </w:pPr>
          <w:hyperlink w:anchor="__RefHeading___Toc2819410_139525021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2819412_1395250215">
            <w:r>
              <w:rPr>
                <w:webHidden/>
                <w:rStyle w:val="IndexLink"/>
                <w:rtl w:val="true"/>
              </w:rPr>
              <w:t>الإشکال الأوّل</w:t>
            </w:r>
            <w:r>
              <w:rPr>
                <w:rStyle w:val="IndexLink"/>
                <w:rtl w:val="true"/>
              </w:rPr>
              <w:tab/>
            </w:r>
            <w:r>
              <w:rPr>
                <w:rStyle w:val="IndexLink"/>
              </w:rPr>
              <w:t>34</w:t>
            </w:r>
          </w:hyperlink>
        </w:p>
        <w:p>
          <w:pPr>
            <w:pStyle w:val="Contents5"/>
            <w:tabs>
              <w:tab w:val="clear" w:pos="7892"/>
              <w:tab w:val="right" w:pos="9026" w:leader="dot"/>
            </w:tabs>
            <w:rPr/>
          </w:pPr>
          <w:hyperlink w:anchor="__RefHeading___Toc2819414_1395250215">
            <w:r>
              <w:rPr>
                <w:webHidden/>
                <w:rStyle w:val="IndexLink"/>
                <w:rtl w:val="true"/>
              </w:rPr>
              <w:t>الإشکال الثانی</w:t>
            </w:r>
            <w:r>
              <w:rPr>
                <w:rStyle w:val="IndexLink"/>
                <w:rtl w:val="true"/>
              </w:rPr>
              <w:tab/>
            </w:r>
            <w:r>
              <w:rPr>
                <w:rStyle w:val="IndexLink"/>
              </w:rPr>
              <w:t>35</w:t>
            </w:r>
          </w:hyperlink>
        </w:p>
        <w:p>
          <w:pPr>
            <w:pStyle w:val="Contents5"/>
            <w:tabs>
              <w:tab w:val="clear" w:pos="7892"/>
              <w:tab w:val="right" w:pos="9026" w:leader="dot"/>
            </w:tabs>
            <w:rPr/>
          </w:pPr>
          <w:hyperlink w:anchor="__RefHeading___Toc2819416_1395250215">
            <w:r>
              <w:rPr>
                <w:webHidden/>
                <w:rStyle w:val="IndexLink"/>
                <w:rtl w:val="true"/>
              </w:rPr>
              <w:t>الإشکال الثالث</w:t>
            </w:r>
            <w:r>
              <w:rPr>
                <w:rStyle w:val="IndexLink"/>
                <w:rtl w:val="true"/>
              </w:rPr>
              <w:tab/>
            </w:r>
            <w:r>
              <w:rPr>
                <w:rStyle w:val="IndexLink"/>
              </w:rPr>
              <w:t>36</w:t>
            </w:r>
          </w:hyperlink>
        </w:p>
        <w:p>
          <w:pPr>
            <w:pStyle w:val="Contents4"/>
            <w:tabs>
              <w:tab w:val="clear" w:pos="8176"/>
              <w:tab w:val="right" w:pos="9026" w:leader="dot"/>
            </w:tabs>
            <w:rPr/>
          </w:pPr>
          <w:hyperlink w:anchor="__RefHeading___Toc2819418_1395250215">
            <w:r>
              <w:rPr>
                <w:webHidden/>
                <w:rStyle w:val="IndexLink"/>
                <w:rtl w:val="true"/>
              </w:rPr>
              <w:t>ثلاثة اشکالات أُخری لهیوم</w:t>
            </w:r>
            <w:r>
              <w:rPr>
                <w:rStyle w:val="IndexLink"/>
                <w:rtl w:val="true"/>
              </w:rPr>
              <w:tab/>
            </w:r>
            <w:r>
              <w:rPr>
                <w:rStyle w:val="IndexLink"/>
              </w:rPr>
              <w:t>37</w:t>
            </w:r>
          </w:hyperlink>
        </w:p>
        <w:p>
          <w:pPr>
            <w:pStyle w:val="Contents3"/>
            <w:tabs>
              <w:tab w:val="clear" w:pos="8459"/>
              <w:tab w:val="right" w:pos="9026" w:leader="dot"/>
            </w:tabs>
            <w:rPr/>
          </w:pPr>
          <w:hyperlink w:anchor="__RefHeading___Toc2819420_1395250215">
            <w:r>
              <w:rPr>
                <w:webHidden/>
                <w:rStyle w:val="IndexLink"/>
                <w:rtl w:val="true"/>
              </w:rPr>
              <w:t>[</w:t>
            </w:r>
            <w:r>
              <w:rPr>
                <w:rStyle w:val="IndexLink"/>
                <w:rtl w:val="true"/>
              </w:rPr>
              <w:t>الفصل الثالث</w:t>
            </w:r>
            <w:r>
              <w:rPr>
                <w:rStyle w:val="IndexLink"/>
                <w:rtl w:val="true"/>
              </w:rPr>
              <w:t xml:space="preserve">] </w:t>
            </w:r>
            <w:r>
              <w:rPr>
                <w:rStyle w:val="IndexLink"/>
                <w:rtl w:val="true"/>
              </w:rPr>
              <w:t>برهان الحدوث</w:t>
            </w:r>
            <w:r>
              <w:rPr>
                <w:rStyle w:val="IndexLink"/>
                <w:rtl w:val="true"/>
              </w:rPr>
              <w:tab/>
            </w:r>
            <w:r>
              <w:rPr>
                <w:rStyle w:val="IndexLink"/>
              </w:rPr>
              <w:t>39</w:t>
            </w:r>
          </w:hyperlink>
        </w:p>
        <w:p>
          <w:pPr>
            <w:pStyle w:val="Contents4"/>
            <w:tabs>
              <w:tab w:val="clear" w:pos="8176"/>
              <w:tab w:val="right" w:pos="9026" w:leader="dot"/>
            </w:tabs>
            <w:rPr/>
          </w:pPr>
          <w:hyperlink w:anchor="__RefHeading___Toc2819422_1395250215">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819424_1395250215">
            <w:r>
              <w:rPr>
                <w:webHidden/>
                <w:rStyle w:val="IndexLink"/>
                <w:rtl w:val="true"/>
              </w:rPr>
              <w:t>تعریف الحدوث و أقسامه</w:t>
            </w:r>
            <w:r>
              <w:rPr>
                <w:rStyle w:val="IndexLink"/>
                <w:rtl w:val="true"/>
              </w:rPr>
              <w:tab/>
            </w:r>
            <w:r>
              <w:rPr>
                <w:rStyle w:val="IndexLink"/>
              </w:rPr>
              <w:t>39</w:t>
            </w:r>
          </w:hyperlink>
        </w:p>
        <w:p>
          <w:pPr>
            <w:pStyle w:val="Contents4"/>
            <w:tabs>
              <w:tab w:val="clear" w:pos="8176"/>
              <w:tab w:val="right" w:pos="9026" w:leader="dot"/>
            </w:tabs>
            <w:rPr/>
          </w:pPr>
          <w:hyperlink w:anchor="__RefHeading___Toc2819426_1395250215">
            <w:r>
              <w:rPr>
                <w:webHidden/>
                <w:rStyle w:val="IndexLink"/>
                <w:rtl w:val="true"/>
              </w:rPr>
              <w:t>حدوث الحیاة فی عالم المادّة</w:t>
            </w:r>
            <w:r>
              <w:rPr>
                <w:rStyle w:val="IndexLink"/>
                <w:rtl w:val="true"/>
              </w:rPr>
              <w:tab/>
            </w:r>
            <w:r>
              <w:rPr>
                <w:rStyle w:val="IndexLink"/>
              </w:rPr>
              <w:t>40</w:t>
            </w:r>
          </w:hyperlink>
        </w:p>
        <w:p>
          <w:pPr>
            <w:pStyle w:val="Contents4"/>
            <w:tabs>
              <w:tab w:val="clear" w:pos="8176"/>
              <w:tab w:val="right" w:pos="9026" w:leader="dot"/>
            </w:tabs>
            <w:rPr/>
          </w:pPr>
          <w:hyperlink w:anchor="__RefHeading___Toc2819428_1395250215">
            <w:r>
              <w:rPr>
                <w:webHidden/>
                <w:rStyle w:val="IndexLink"/>
                <w:rtl w:val="true"/>
              </w:rPr>
              <w:t>تقریر برهان الحدوث</w:t>
            </w:r>
            <w:r>
              <w:rPr>
                <w:rStyle w:val="IndexLink"/>
                <w:rtl w:val="true"/>
              </w:rPr>
              <w:tab/>
            </w:r>
            <w:r>
              <w:rPr>
                <w:rStyle w:val="IndexLink"/>
              </w:rPr>
              <w:t>41</w:t>
            </w:r>
          </w:hyperlink>
        </w:p>
        <w:p>
          <w:pPr>
            <w:pStyle w:val="Contents4"/>
            <w:tabs>
              <w:tab w:val="clear" w:pos="8176"/>
              <w:tab w:val="right" w:pos="9026" w:leader="dot"/>
            </w:tabs>
            <w:rPr/>
          </w:pPr>
          <w:hyperlink w:anchor="__RefHeading___Toc2819430_1395250215">
            <w:r>
              <w:rPr>
                <w:webHidden/>
                <w:rStyle w:val="IndexLink"/>
                <w:rtl w:val="true"/>
              </w:rPr>
              <w:t>الإجابة عن شبهة رسل</w:t>
            </w:r>
            <w:r>
              <w:rPr>
                <w:rStyle w:val="IndexLink"/>
                <w:rtl w:val="true"/>
              </w:rPr>
              <w:tab/>
            </w:r>
            <w:r>
              <w:rPr>
                <w:rStyle w:val="IndexLink"/>
              </w:rPr>
              <w:t>42</w:t>
            </w:r>
          </w:hyperlink>
        </w:p>
        <w:p>
          <w:pPr>
            <w:pStyle w:val="Contents4"/>
            <w:tabs>
              <w:tab w:val="clear" w:pos="8176"/>
              <w:tab w:val="right" w:pos="9026" w:leader="dot"/>
            </w:tabs>
            <w:rPr/>
          </w:pPr>
          <w:hyperlink w:anchor="__RefHeading___Toc2819432_1395250215">
            <w:r>
              <w:rPr>
                <w:webHidden/>
                <w:rStyle w:val="IndexLink"/>
                <w:rtl w:val="true"/>
              </w:rPr>
              <w:t>برهان الحدوث فی الکتاب و السنّة</w:t>
            </w:r>
            <w:r>
              <w:rPr>
                <w:rStyle w:val="IndexLink"/>
                <w:rtl w:val="true"/>
              </w:rPr>
              <w:tab/>
            </w:r>
            <w:r>
              <w:rPr>
                <w:rStyle w:val="IndexLink"/>
              </w:rPr>
              <w:t>43</w:t>
            </w:r>
          </w:hyperlink>
        </w:p>
        <w:p>
          <w:pPr>
            <w:pStyle w:val="Contents3"/>
            <w:tabs>
              <w:tab w:val="clear" w:pos="8459"/>
              <w:tab w:val="right" w:pos="9026" w:leader="dot"/>
            </w:tabs>
            <w:rPr/>
          </w:pPr>
          <w:hyperlink w:anchor="__RefHeading___Toc2819434_1395250215">
            <w:r>
              <w:rPr>
                <w:webHidden/>
                <w:rStyle w:val="IndexLink"/>
                <w:rtl w:val="true"/>
              </w:rPr>
              <w:t>[</w:t>
            </w:r>
            <w:r>
              <w:rPr>
                <w:rStyle w:val="IndexLink"/>
                <w:rtl w:val="true"/>
              </w:rPr>
              <w:t>الفصل الرابع</w:t>
            </w:r>
            <w:r>
              <w:rPr>
                <w:rStyle w:val="IndexLink"/>
                <w:rtl w:val="true"/>
              </w:rPr>
              <w:t xml:space="preserve">] </w:t>
            </w:r>
            <w:r>
              <w:rPr>
                <w:rStyle w:val="IndexLink"/>
                <w:rtl w:val="true"/>
              </w:rPr>
              <w:t>برهان الإمکان و الوجوب</w:t>
            </w:r>
            <w:r>
              <w:rPr>
                <w:rStyle w:val="IndexLink"/>
                <w:rtl w:val="true"/>
              </w:rPr>
              <w:tab/>
            </w:r>
            <w:r>
              <w:rPr>
                <w:rStyle w:val="IndexLink"/>
              </w:rPr>
              <w:t>45</w:t>
            </w:r>
          </w:hyperlink>
        </w:p>
        <w:p>
          <w:pPr>
            <w:pStyle w:val="Contents4"/>
            <w:tabs>
              <w:tab w:val="clear" w:pos="8176"/>
              <w:tab w:val="right" w:pos="9026" w:leader="dot"/>
            </w:tabs>
            <w:rPr/>
          </w:pPr>
          <w:hyperlink w:anchor="__RefHeading___Toc2819436_1395250215">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819438_1395250215">
            <w:r>
              <w:rPr>
                <w:webHidden/>
                <w:rStyle w:val="IndexLink"/>
                <w:rtl w:val="true"/>
              </w:rPr>
              <w:t>تقریر برهان الإمکان</w:t>
            </w:r>
            <w:r>
              <w:rPr>
                <w:rStyle w:val="IndexLink"/>
                <w:rtl w:val="true"/>
              </w:rPr>
              <w:tab/>
            </w:r>
            <w:r>
              <w:rPr>
                <w:rStyle w:val="IndexLink"/>
              </w:rPr>
              <w:t>48</w:t>
            </w:r>
          </w:hyperlink>
        </w:p>
        <w:p>
          <w:pPr>
            <w:pStyle w:val="Contents4"/>
            <w:tabs>
              <w:tab w:val="clear" w:pos="8176"/>
              <w:tab w:val="right" w:pos="9026" w:leader="dot"/>
            </w:tabs>
            <w:rPr/>
          </w:pPr>
          <w:hyperlink w:anchor="__RefHeading___Toc2819440_1395250215">
            <w:r>
              <w:rPr>
                <w:webHidden/>
                <w:rStyle w:val="IndexLink"/>
                <w:rtl w:val="true"/>
              </w:rPr>
              <w:t>برهان الإمکان فی الذکر الحکیم</w:t>
            </w:r>
            <w:r>
              <w:rPr>
                <w:rStyle w:val="IndexLink"/>
                <w:rtl w:val="true"/>
              </w:rPr>
              <w:tab/>
            </w:r>
            <w:r>
              <w:rPr>
                <w:rStyle w:val="IndexLink"/>
              </w:rPr>
              <w:t>49</w:t>
            </w:r>
          </w:hyperlink>
        </w:p>
        <w:p>
          <w:pPr>
            <w:pStyle w:val="Contents4"/>
            <w:tabs>
              <w:tab w:val="clear" w:pos="8176"/>
              <w:tab w:val="right" w:pos="9026" w:leader="dot"/>
            </w:tabs>
            <w:rPr/>
          </w:pPr>
          <w:hyperlink w:anchor="__RefHeading___Toc2819442_1395250215">
            <w:r>
              <w:rPr>
                <w:webHidden/>
                <w:rStyle w:val="IndexLink"/>
                <w:rtl w:val="true"/>
              </w:rPr>
              <w:t>إجابة عن إشکال</w:t>
            </w:r>
            <w:r>
              <w:rPr>
                <w:rStyle w:val="IndexLink"/>
                <w:rtl w:val="true"/>
              </w:rPr>
              <w:tab/>
            </w:r>
            <w:r>
              <w:rPr>
                <w:rStyle w:val="IndexLink"/>
              </w:rPr>
              <w:t>50</w:t>
            </w:r>
          </w:hyperlink>
        </w:p>
        <w:p>
          <w:pPr>
            <w:pStyle w:val="Contents2"/>
            <w:tabs>
              <w:tab w:val="clear" w:pos="8743"/>
              <w:tab w:val="right" w:pos="9026" w:leader="dot"/>
            </w:tabs>
            <w:rPr/>
          </w:pPr>
          <w:hyperlink w:anchor="__RefHeading___Toc2819444_1395250215">
            <w:r>
              <w:rPr>
                <w:webHidden/>
                <w:rStyle w:val="IndexLink"/>
                <w:rtl w:val="true"/>
              </w:rPr>
              <w:t>الباب الثانی</w:t>
            </w:r>
            <w:r>
              <w:rPr>
                <w:rStyle w:val="IndexLink"/>
                <w:rtl w:val="true"/>
              </w:rPr>
              <w:t>:</w:t>
            </w:r>
            <w:r>
              <w:rPr>
                <w:rStyle w:val="IndexLink"/>
                <w:rtl w:val="true"/>
              </w:rPr>
              <w:t>فی التوحید و مراحله</w:t>
            </w:r>
            <w:r>
              <w:rPr>
                <w:rStyle w:val="IndexLink"/>
                <w:rtl w:val="true"/>
              </w:rPr>
              <w:tab/>
            </w:r>
            <w:r>
              <w:rPr>
                <w:rStyle w:val="IndexLink"/>
              </w:rPr>
              <w:t>52</w:t>
            </w:r>
          </w:hyperlink>
        </w:p>
        <w:p>
          <w:pPr>
            <w:pStyle w:val="Contents3"/>
            <w:tabs>
              <w:tab w:val="clear" w:pos="8459"/>
              <w:tab w:val="right" w:pos="9026" w:leader="dot"/>
            </w:tabs>
            <w:rPr/>
          </w:pPr>
          <w:hyperlink w:anchor="__RefHeading___Toc2819446_139525021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819448_1395250215">
            <w:r>
              <w:rPr>
                <w:webHidden/>
                <w:rStyle w:val="IndexLink"/>
                <w:rtl w:val="true"/>
              </w:rPr>
              <w:t>الفصل الأوّل</w:t>
            </w:r>
            <w:r>
              <w:rPr>
                <w:rStyle w:val="IndexLink"/>
                <w:rtl w:val="true"/>
              </w:rPr>
              <w:t>:</w:t>
            </w:r>
            <w:r>
              <w:rPr>
                <w:rStyle w:val="IndexLink"/>
                <w:rtl w:val="true"/>
              </w:rPr>
              <w:t>التوحید فی الذات</w:t>
            </w:r>
            <w:r>
              <w:rPr>
                <w:rStyle w:val="IndexLink"/>
                <w:rtl w:val="true"/>
              </w:rPr>
              <w:tab/>
            </w:r>
            <w:r>
              <w:rPr>
                <w:rStyle w:val="IndexLink"/>
              </w:rPr>
              <w:t>54</w:t>
            </w:r>
          </w:hyperlink>
        </w:p>
        <w:p>
          <w:pPr>
            <w:pStyle w:val="Contents4"/>
            <w:tabs>
              <w:tab w:val="clear" w:pos="8176"/>
              <w:tab w:val="right" w:pos="9026" w:leader="dot"/>
            </w:tabs>
            <w:rPr/>
          </w:pPr>
          <w:hyperlink w:anchor="__RefHeading___Toc2819450_1395250215">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819452_1395250215">
            <w:r>
              <w:rPr>
                <w:webHidden/>
                <w:rStyle w:val="IndexLink"/>
                <w:rtl w:val="true"/>
              </w:rPr>
              <w:t>البرهان علی بساطة ذاته تعالی</w:t>
            </w:r>
            <w:r>
              <w:rPr>
                <w:rStyle w:val="IndexLink"/>
                <w:rtl w:val="true"/>
              </w:rPr>
              <w:tab/>
            </w:r>
            <w:r>
              <w:rPr>
                <w:rStyle w:val="IndexLink"/>
              </w:rPr>
              <w:t>54</w:t>
            </w:r>
          </w:hyperlink>
        </w:p>
        <w:p>
          <w:pPr>
            <w:pStyle w:val="Contents4"/>
            <w:tabs>
              <w:tab w:val="clear" w:pos="8176"/>
              <w:tab w:val="right" w:pos="9026" w:leader="dot"/>
            </w:tabs>
            <w:rPr/>
          </w:pPr>
          <w:hyperlink w:anchor="__RefHeading___Toc2819454_1395250215">
            <w:r>
              <w:rPr>
                <w:webHidden/>
                <w:rStyle w:val="IndexLink"/>
                <w:rtl w:val="true"/>
              </w:rPr>
              <w:t>دلائل وحدانیّته</w:t>
            </w:r>
            <w:r>
              <w:rPr>
                <w:rStyle w:val="IndexLink"/>
                <w:rtl w:val="true"/>
              </w:rPr>
              <w:t>:</w:t>
              <w:tab/>
            </w:r>
            <w:r>
              <w:rPr>
                <w:rStyle w:val="IndexLink"/>
              </w:rPr>
              <w:t>55</w:t>
            </w:r>
          </w:hyperlink>
        </w:p>
        <w:p>
          <w:pPr>
            <w:pStyle w:val="Contents4"/>
            <w:tabs>
              <w:tab w:val="clear" w:pos="8176"/>
              <w:tab w:val="right" w:pos="9026" w:leader="dot"/>
            </w:tabs>
            <w:rPr/>
          </w:pPr>
          <w:hyperlink w:anchor="__RefHeading___Toc2819456_1395250215">
            <w:r>
              <w:rPr>
                <w:webHidden/>
                <w:rStyle w:val="IndexLink"/>
                <w:rtl w:val="true"/>
              </w:rPr>
              <w:t>التوحید الذاتی فی القرآن و الحدیث</w:t>
            </w:r>
            <w:r>
              <w:rPr>
                <w:rStyle w:val="IndexLink"/>
                <w:rtl w:val="true"/>
              </w:rPr>
              <w:tab/>
            </w:r>
            <w:r>
              <w:rPr>
                <w:rStyle w:val="IndexLink"/>
              </w:rPr>
              <w:t>56</w:t>
            </w:r>
          </w:hyperlink>
        </w:p>
        <w:p>
          <w:pPr>
            <w:pStyle w:val="Contents3"/>
            <w:tabs>
              <w:tab w:val="clear" w:pos="8459"/>
              <w:tab w:val="right" w:pos="9026" w:leader="dot"/>
            </w:tabs>
            <w:rPr/>
          </w:pPr>
          <w:hyperlink w:anchor="__RefHeading___Toc2819458_1395250215">
            <w:r>
              <w:rPr>
                <w:webHidden/>
                <w:rStyle w:val="IndexLink"/>
                <w:rtl w:val="true"/>
              </w:rPr>
              <w:t>الفصل الثانی</w:t>
            </w:r>
            <w:r>
              <w:rPr>
                <w:rStyle w:val="IndexLink"/>
                <w:rtl w:val="true"/>
              </w:rPr>
              <w:t>:</w:t>
            </w:r>
            <w:r>
              <w:rPr>
                <w:rStyle w:val="IndexLink"/>
                <w:rtl w:val="true"/>
              </w:rPr>
              <w:t>التوحید فی الصفات</w:t>
            </w:r>
            <w:r>
              <w:rPr>
                <w:rStyle w:val="IndexLink"/>
                <w:rtl w:val="true"/>
              </w:rPr>
              <w:tab/>
            </w:r>
            <w:r>
              <w:rPr>
                <w:rStyle w:val="IndexLink"/>
              </w:rPr>
              <w:t>62</w:t>
            </w:r>
          </w:hyperlink>
        </w:p>
        <w:p>
          <w:pPr>
            <w:pStyle w:val="Contents3"/>
            <w:tabs>
              <w:tab w:val="clear" w:pos="8459"/>
              <w:tab w:val="right" w:pos="9026" w:leader="dot"/>
            </w:tabs>
            <w:rPr/>
          </w:pPr>
          <w:hyperlink w:anchor="__RefHeading___Toc2819460_1395250215">
            <w:r>
              <w:rPr>
                <w:webHidden/>
                <w:rStyle w:val="IndexLink"/>
                <w:rtl w:val="true"/>
              </w:rPr>
              <w:t>الفصل الثالث</w:t>
            </w:r>
            <w:r>
              <w:rPr>
                <w:rStyle w:val="IndexLink"/>
                <w:rtl w:val="true"/>
              </w:rPr>
              <w:t>:</w:t>
            </w:r>
            <w:r>
              <w:rPr>
                <w:rStyle w:val="IndexLink"/>
                <w:rtl w:val="true"/>
              </w:rPr>
              <w:t>التوحید فی الخالقیة</w:t>
            </w:r>
            <w:r>
              <w:rPr>
                <w:rStyle w:val="IndexLink"/>
                <w:rtl w:val="true"/>
              </w:rPr>
              <w:tab/>
            </w:r>
            <w:r>
              <w:rPr>
                <w:rStyle w:val="IndexLink"/>
              </w:rPr>
              <w:t>66</w:t>
            </w:r>
          </w:hyperlink>
        </w:p>
        <w:p>
          <w:pPr>
            <w:pStyle w:val="Contents4"/>
            <w:tabs>
              <w:tab w:val="clear" w:pos="8176"/>
              <w:tab w:val="right" w:pos="9026" w:leader="dot"/>
            </w:tabs>
            <w:rPr/>
          </w:pPr>
          <w:hyperlink w:anchor="__RefHeading___Toc2819462_1395250215">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819464_1395250215">
            <w:r>
              <w:rPr>
                <w:webHidden/>
                <w:rStyle w:val="IndexLink"/>
                <w:rtl w:val="true"/>
              </w:rPr>
              <w:t>موقف القرآن الکریم تجاه قانون العلّیّة</w:t>
            </w:r>
            <w:r>
              <w:rPr>
                <w:rStyle w:val="IndexLink"/>
                <w:rtl w:val="true"/>
              </w:rPr>
              <w:tab/>
            </w:r>
            <w:r>
              <w:rPr>
                <w:rStyle w:val="IndexLink"/>
              </w:rPr>
              <w:t>67</w:t>
            </w:r>
          </w:hyperlink>
        </w:p>
        <w:p>
          <w:pPr>
            <w:pStyle w:val="Contents4"/>
            <w:tabs>
              <w:tab w:val="clear" w:pos="8176"/>
              <w:tab w:val="right" w:pos="9026" w:leader="dot"/>
            </w:tabs>
            <w:rPr/>
          </w:pPr>
          <w:hyperlink w:anchor="__RefHeading___Toc2819466_1395250215">
            <w:r>
              <w:rPr>
                <w:webHidden/>
                <w:rStyle w:val="IndexLink"/>
                <w:rtl w:val="true"/>
              </w:rPr>
              <w:t>التفسیر الصحیح للتوحید فی الخالقیة</w:t>
            </w:r>
            <w:r>
              <w:rPr>
                <w:rStyle w:val="IndexLink"/>
                <w:rtl w:val="true"/>
              </w:rPr>
              <w:tab/>
            </w:r>
            <w:r>
              <w:rPr>
                <w:rStyle w:val="IndexLink"/>
              </w:rPr>
              <w:t>69</w:t>
            </w:r>
          </w:hyperlink>
        </w:p>
        <w:p>
          <w:pPr>
            <w:pStyle w:val="Contents4"/>
            <w:tabs>
              <w:tab w:val="clear" w:pos="8176"/>
              <w:tab w:val="right" w:pos="9026" w:leader="dot"/>
            </w:tabs>
            <w:rPr/>
          </w:pPr>
          <w:hyperlink w:anchor="__RefHeading___Toc2819468_1395250215">
            <w:r>
              <w:rPr>
                <w:webHidden/>
                <w:rStyle w:val="IndexLink"/>
                <w:rtl w:val="true"/>
              </w:rPr>
              <w:t>الإجابة عن شبهات</w:t>
            </w:r>
            <w:r>
              <w:rPr>
                <w:rStyle w:val="IndexLink"/>
                <w:rtl w:val="true"/>
              </w:rPr>
              <w:tab/>
            </w:r>
            <w:r>
              <w:rPr>
                <w:rStyle w:val="IndexLink"/>
              </w:rPr>
              <w:t>72</w:t>
            </w:r>
          </w:hyperlink>
        </w:p>
        <w:p>
          <w:pPr>
            <w:pStyle w:val="Contents3"/>
            <w:tabs>
              <w:tab w:val="clear" w:pos="8459"/>
              <w:tab w:val="right" w:pos="9026" w:leader="dot"/>
            </w:tabs>
            <w:rPr/>
          </w:pPr>
          <w:hyperlink w:anchor="__RefHeading___Toc2819470_1395250215">
            <w:r>
              <w:rPr>
                <w:webHidden/>
                <w:rStyle w:val="IndexLink"/>
                <w:rtl w:val="true"/>
              </w:rPr>
              <w:t>الفصل الرابع</w:t>
            </w:r>
            <w:r>
              <w:rPr>
                <w:rStyle w:val="IndexLink"/>
                <w:rtl w:val="true"/>
              </w:rPr>
              <w:t>:</w:t>
            </w:r>
            <w:r>
              <w:rPr>
                <w:rStyle w:val="IndexLink"/>
                <w:rtl w:val="true"/>
              </w:rPr>
              <w:t>التوحید فی الربوبیّة</w:t>
            </w:r>
            <w:r>
              <w:rPr>
                <w:rStyle w:val="IndexLink"/>
                <w:rtl w:val="true"/>
              </w:rPr>
              <w:tab/>
            </w:r>
            <w:r>
              <w:rPr>
                <w:rStyle w:val="IndexLink"/>
              </w:rPr>
              <w:t>76</w:t>
            </w:r>
          </w:hyperlink>
        </w:p>
        <w:p>
          <w:pPr>
            <w:pStyle w:val="Contents4"/>
            <w:tabs>
              <w:tab w:val="clear" w:pos="8176"/>
              <w:tab w:val="right" w:pos="9026" w:leader="dot"/>
            </w:tabs>
            <w:rPr/>
          </w:pPr>
          <w:hyperlink w:anchor="__RefHeading___Toc2819472_1395250215">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819474_1395250215">
            <w:r>
              <w:rPr>
                <w:webHidden/>
                <w:rStyle w:val="IndexLink"/>
                <w:rtl w:val="true"/>
              </w:rPr>
              <w:t>حقیقة الربوبیة و التوحید فیها</w:t>
            </w:r>
            <w:r>
              <w:rPr>
                <w:rStyle w:val="IndexLink"/>
                <w:rtl w:val="true"/>
              </w:rPr>
              <w:tab/>
            </w:r>
            <w:r>
              <w:rPr>
                <w:rStyle w:val="IndexLink"/>
              </w:rPr>
              <w:t>77</w:t>
            </w:r>
          </w:hyperlink>
        </w:p>
        <w:p>
          <w:pPr>
            <w:pStyle w:val="Contents4"/>
            <w:tabs>
              <w:tab w:val="clear" w:pos="8176"/>
              <w:tab w:val="right" w:pos="9026" w:leader="dot"/>
            </w:tabs>
            <w:rPr/>
          </w:pPr>
          <w:hyperlink w:anchor="__RefHeading___Toc2819476_1395250215">
            <w:r>
              <w:rPr>
                <w:webHidden/>
                <w:rStyle w:val="IndexLink"/>
                <w:rtl w:val="true"/>
              </w:rPr>
              <w:t>دلائل التوحید فی الربوبیة</w:t>
            </w:r>
            <w:r>
              <w:rPr>
                <w:rStyle w:val="IndexLink"/>
                <w:rtl w:val="true"/>
              </w:rPr>
              <w:tab/>
            </w:r>
            <w:r>
              <w:rPr>
                <w:rStyle w:val="IndexLink"/>
              </w:rPr>
              <w:t>79</w:t>
            </w:r>
          </w:hyperlink>
        </w:p>
        <w:p>
          <w:pPr>
            <w:pStyle w:val="Contents4"/>
            <w:tabs>
              <w:tab w:val="clear" w:pos="8176"/>
              <w:tab w:val="right" w:pos="9026" w:leader="dot"/>
            </w:tabs>
            <w:rPr/>
          </w:pPr>
          <w:hyperlink w:anchor="__RefHeading___Toc2819478_1395250215">
            <w:r>
              <w:rPr>
                <w:webHidden/>
                <w:rStyle w:val="IndexLink"/>
                <w:rtl w:val="true"/>
              </w:rPr>
              <w:t>مظاهر التوحید فی الربوبیة</w:t>
            </w:r>
            <w:r>
              <w:rPr>
                <w:rStyle w:val="IndexLink"/>
                <w:rtl w:val="true"/>
              </w:rPr>
              <w:tab/>
            </w:r>
            <w:r>
              <w:rPr>
                <w:rStyle w:val="IndexLink"/>
              </w:rPr>
              <w:t>80</w:t>
            </w:r>
          </w:hyperlink>
        </w:p>
        <w:p>
          <w:pPr>
            <w:pStyle w:val="Contents3"/>
            <w:tabs>
              <w:tab w:val="clear" w:pos="8459"/>
              <w:tab w:val="right" w:pos="9026" w:leader="dot"/>
            </w:tabs>
            <w:rPr/>
          </w:pPr>
          <w:hyperlink w:anchor="__RefHeading___Toc2819480_1395250215">
            <w:r>
              <w:rPr>
                <w:webHidden/>
                <w:rStyle w:val="IndexLink"/>
                <w:rtl w:val="true"/>
              </w:rPr>
              <w:t>الفصل الخامس</w:t>
            </w:r>
            <w:r>
              <w:rPr>
                <w:rStyle w:val="IndexLink"/>
                <w:rtl w:val="true"/>
              </w:rPr>
              <w:t>:</w:t>
            </w:r>
            <w:r>
              <w:rPr>
                <w:rStyle w:val="IndexLink"/>
                <w:rtl w:val="true"/>
              </w:rPr>
              <w:t>التوحید فی العبادة</w:t>
            </w:r>
            <w:r>
              <w:rPr>
                <w:rStyle w:val="IndexLink"/>
                <w:rtl w:val="true"/>
              </w:rPr>
              <w:tab/>
            </w:r>
            <w:r>
              <w:rPr>
                <w:rStyle w:val="IndexLink"/>
              </w:rPr>
              <w:t>86</w:t>
            </w:r>
          </w:hyperlink>
        </w:p>
        <w:p>
          <w:pPr>
            <w:pStyle w:val="Contents4"/>
            <w:tabs>
              <w:tab w:val="clear" w:pos="8176"/>
              <w:tab w:val="right" w:pos="9026" w:leader="dot"/>
            </w:tabs>
            <w:rPr/>
          </w:pPr>
          <w:hyperlink w:anchor="__RefHeading___Toc2819482_1395250215">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819484_1395250215">
            <w:r>
              <w:rPr>
                <w:webHidden/>
                <w:rStyle w:val="IndexLink"/>
                <w:rtl w:val="true"/>
              </w:rPr>
              <w:t>ما هی حقیقة العبادة؟</w:t>
            </w:r>
            <w:r>
              <w:rPr>
                <w:rStyle w:val="IndexLink"/>
                <w:rtl w:val="true"/>
              </w:rPr>
              <w:tab/>
            </w:r>
            <w:r>
              <w:rPr>
                <w:rStyle w:val="IndexLink"/>
              </w:rPr>
              <w:t>87</w:t>
            </w:r>
          </w:hyperlink>
        </w:p>
        <w:p>
          <w:pPr>
            <w:pStyle w:val="Contents4"/>
            <w:tabs>
              <w:tab w:val="clear" w:pos="8176"/>
              <w:tab w:val="right" w:pos="9026" w:leader="dot"/>
            </w:tabs>
            <w:rPr/>
          </w:pPr>
          <w:hyperlink w:anchor="__RefHeading___Toc2819486_1395250215">
            <w:r>
              <w:rPr>
                <w:webHidden/>
                <w:rStyle w:val="IndexLink"/>
                <w:rtl w:val="true"/>
              </w:rPr>
              <w:t>نتائج البحث</w:t>
            </w:r>
            <w:r>
              <w:rPr>
                <w:rStyle w:val="IndexLink"/>
                <w:rtl w:val="true"/>
              </w:rPr>
              <w:tab/>
            </w:r>
            <w:r>
              <w:rPr>
                <w:rStyle w:val="IndexLink"/>
              </w:rPr>
              <w:t>90</w:t>
            </w:r>
          </w:hyperlink>
        </w:p>
        <w:p>
          <w:pPr>
            <w:pStyle w:val="Contents2"/>
            <w:tabs>
              <w:tab w:val="clear" w:pos="8743"/>
              <w:tab w:val="right" w:pos="9026" w:leader="dot"/>
            </w:tabs>
            <w:rPr/>
          </w:pPr>
          <w:hyperlink w:anchor="__RefHeading___Toc2819488_1395250215">
            <w:r>
              <w:rPr>
                <w:webHidden/>
                <w:rStyle w:val="IndexLink"/>
                <w:rtl w:val="true"/>
              </w:rPr>
              <w:t>الباب الثالث فی صفاته تعالی</w:t>
            </w:r>
            <w:r>
              <w:rPr>
                <w:rStyle w:val="IndexLink"/>
                <w:rtl w:val="true"/>
              </w:rPr>
              <w:tab/>
            </w:r>
            <w:r>
              <w:rPr>
                <w:rStyle w:val="IndexLink"/>
              </w:rPr>
              <w:t>92</w:t>
            </w:r>
          </w:hyperlink>
        </w:p>
        <w:p>
          <w:pPr>
            <w:pStyle w:val="Contents3"/>
            <w:tabs>
              <w:tab w:val="clear" w:pos="8459"/>
              <w:tab w:val="right" w:pos="9026" w:leader="dot"/>
            </w:tabs>
            <w:rPr/>
          </w:pPr>
          <w:hyperlink w:anchor="__RefHeading___Toc2819490_1395250215">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2819492_1395250215">
            <w:r>
              <w:rPr>
                <w:webHidden/>
                <w:rStyle w:val="IndexLink"/>
                <w:rtl w:val="true"/>
              </w:rPr>
              <w:t>الفصل الأوّل</w:t>
            </w:r>
            <w:r>
              <w:rPr>
                <w:rStyle w:val="IndexLink"/>
                <w:rtl w:val="true"/>
              </w:rPr>
              <w:t>:</w:t>
            </w:r>
            <w:r>
              <w:rPr>
                <w:rStyle w:val="IndexLink"/>
                <w:rtl w:val="true"/>
              </w:rPr>
              <w:t>تقسیمات الصفات عند المتکلّمین</w:t>
            </w:r>
            <w:r>
              <w:rPr>
                <w:rStyle w:val="IndexLink"/>
                <w:rtl w:val="true"/>
              </w:rPr>
              <w:tab/>
            </w:r>
            <w:r>
              <w:rPr>
                <w:rStyle w:val="IndexLink"/>
              </w:rPr>
              <w:t>94</w:t>
            </w:r>
          </w:hyperlink>
        </w:p>
        <w:p>
          <w:pPr>
            <w:pStyle w:val="Contents4"/>
            <w:tabs>
              <w:tab w:val="clear" w:pos="8176"/>
              <w:tab w:val="right" w:pos="9026" w:leader="dot"/>
            </w:tabs>
            <w:rPr/>
          </w:pPr>
          <w:hyperlink w:anchor="__RefHeading___Toc2819494_1395250215">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819496_1395250215">
            <w:r>
              <w:rPr>
                <w:webHidden/>
                <w:rStyle w:val="IndexLink"/>
              </w:rPr>
              <w:t>1</w:t>
            </w:r>
            <w:r>
              <w:rPr>
                <w:rStyle w:val="IndexLink"/>
                <w:rtl w:val="true"/>
              </w:rPr>
              <w:t xml:space="preserve">. </w:t>
            </w:r>
            <w:r>
              <w:rPr>
                <w:rStyle w:val="IndexLink"/>
                <w:rtl w:val="true"/>
              </w:rPr>
              <w:t>الصفات الجمالیة و الجلالیة</w:t>
            </w:r>
            <w:r>
              <w:rPr>
                <w:rStyle w:val="IndexLink"/>
                <w:rtl w:val="true"/>
              </w:rPr>
              <w:tab/>
            </w:r>
            <w:r>
              <w:rPr>
                <w:rStyle w:val="IndexLink"/>
              </w:rPr>
              <w:t>94</w:t>
            </w:r>
          </w:hyperlink>
        </w:p>
        <w:p>
          <w:pPr>
            <w:pStyle w:val="Contents4"/>
            <w:tabs>
              <w:tab w:val="clear" w:pos="8176"/>
              <w:tab w:val="right" w:pos="9026" w:leader="dot"/>
            </w:tabs>
            <w:rPr/>
          </w:pPr>
          <w:hyperlink w:anchor="__RefHeading___Toc2819498_1395250215">
            <w:r>
              <w:rPr>
                <w:webHidden/>
                <w:rStyle w:val="IndexLink"/>
              </w:rPr>
              <w:t>2</w:t>
            </w:r>
            <w:r>
              <w:rPr>
                <w:rStyle w:val="IndexLink"/>
                <w:rtl w:val="true"/>
              </w:rPr>
              <w:t xml:space="preserve">. </w:t>
            </w:r>
            <w:r>
              <w:rPr>
                <w:rStyle w:val="IndexLink"/>
                <w:rtl w:val="true"/>
              </w:rPr>
              <w:t>صفات الذات و صفات الفعل</w:t>
            </w:r>
            <w:r>
              <w:rPr>
                <w:rStyle w:val="IndexLink"/>
                <w:rtl w:val="true"/>
              </w:rPr>
              <w:tab/>
            </w:r>
            <w:r>
              <w:rPr>
                <w:rStyle w:val="IndexLink"/>
              </w:rPr>
              <w:t>95</w:t>
            </w:r>
          </w:hyperlink>
        </w:p>
        <w:p>
          <w:pPr>
            <w:pStyle w:val="Contents4"/>
            <w:tabs>
              <w:tab w:val="clear" w:pos="8176"/>
              <w:tab w:val="right" w:pos="9026" w:leader="dot"/>
            </w:tabs>
            <w:rPr/>
          </w:pPr>
          <w:hyperlink w:anchor="__RefHeading___Toc2819500_1395250215">
            <w:r>
              <w:rPr>
                <w:webHidden/>
                <w:rStyle w:val="IndexLink"/>
              </w:rPr>
              <w:t>3</w:t>
            </w:r>
            <w:r>
              <w:rPr>
                <w:rStyle w:val="IndexLink"/>
                <w:rtl w:val="true"/>
              </w:rPr>
              <w:t xml:space="preserve">. </w:t>
            </w:r>
            <w:r>
              <w:rPr>
                <w:rStyle w:val="IndexLink"/>
                <w:rtl w:val="true"/>
              </w:rPr>
              <w:t>الحقیقیّة و الإضافیّة</w:t>
            </w:r>
            <w:r>
              <w:rPr>
                <w:rStyle w:val="IndexLink"/>
                <w:rtl w:val="true"/>
              </w:rPr>
              <w:tab/>
            </w:r>
            <w:r>
              <w:rPr>
                <w:rStyle w:val="IndexLink"/>
              </w:rPr>
              <w:t>95</w:t>
            </w:r>
          </w:hyperlink>
        </w:p>
        <w:p>
          <w:pPr>
            <w:pStyle w:val="Contents4"/>
            <w:tabs>
              <w:tab w:val="clear" w:pos="8176"/>
              <w:tab w:val="right" w:pos="9026" w:leader="dot"/>
            </w:tabs>
            <w:rPr/>
          </w:pPr>
          <w:hyperlink w:anchor="__RefHeading___Toc2819502_1395250215">
            <w:r>
              <w:rPr>
                <w:webHidden/>
                <w:rStyle w:val="IndexLink"/>
              </w:rPr>
              <w:t>4</w:t>
            </w:r>
            <w:r>
              <w:rPr>
                <w:rStyle w:val="IndexLink"/>
                <w:rtl w:val="true"/>
              </w:rPr>
              <w:t xml:space="preserve">. </w:t>
            </w:r>
            <w:r>
              <w:rPr>
                <w:rStyle w:val="IndexLink"/>
                <w:rtl w:val="true"/>
              </w:rPr>
              <w:t>الذاتیة و الخبریّة</w:t>
            </w:r>
            <w:r>
              <w:rPr>
                <w:rStyle w:val="IndexLink"/>
                <w:rtl w:val="true"/>
              </w:rPr>
              <w:tab/>
            </w:r>
            <w:r>
              <w:rPr>
                <w:rStyle w:val="IndexLink"/>
              </w:rPr>
              <w:t>96</w:t>
            </w:r>
          </w:hyperlink>
        </w:p>
        <w:p>
          <w:pPr>
            <w:pStyle w:val="Contents3"/>
            <w:tabs>
              <w:tab w:val="clear" w:pos="8459"/>
              <w:tab w:val="right" w:pos="9026" w:leader="dot"/>
            </w:tabs>
            <w:rPr/>
          </w:pPr>
          <w:hyperlink w:anchor="__RefHeading___Toc2819504_1395250215">
            <w:r>
              <w:rPr>
                <w:webHidden/>
                <w:rStyle w:val="IndexLink"/>
                <w:rtl w:val="true"/>
              </w:rPr>
              <w:t>الفصل الثانی</w:t>
            </w:r>
            <w:r>
              <w:rPr>
                <w:rStyle w:val="IndexLink"/>
                <w:rtl w:val="true"/>
              </w:rPr>
              <w:t>:</w:t>
            </w:r>
            <w:r>
              <w:rPr>
                <w:rStyle w:val="IndexLink"/>
                <w:rtl w:val="true"/>
              </w:rPr>
              <w:t>طرق معرفة صفاته تعالی</w:t>
            </w:r>
            <w:r>
              <w:rPr>
                <w:rStyle w:val="IndexLink"/>
                <w:rtl w:val="true"/>
              </w:rPr>
              <w:tab/>
            </w:r>
            <w:r>
              <w:rPr>
                <w:rStyle w:val="IndexLink"/>
              </w:rPr>
              <w:t>98</w:t>
            </w:r>
          </w:hyperlink>
        </w:p>
        <w:p>
          <w:pPr>
            <w:pStyle w:val="Contents4"/>
            <w:tabs>
              <w:tab w:val="clear" w:pos="8176"/>
              <w:tab w:val="right" w:pos="9026" w:leader="dot"/>
            </w:tabs>
            <w:rPr/>
          </w:pPr>
          <w:hyperlink w:anchor="__RefHeading___Toc2819506_1395250215">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819508_1395250215">
            <w:r>
              <w:rPr>
                <w:webHidden/>
                <w:rStyle w:val="IndexLink"/>
                <w:rtl w:val="true"/>
              </w:rPr>
              <w:t>الأوّل</w:t>
            </w:r>
            <w:r>
              <w:rPr>
                <w:rStyle w:val="IndexLink"/>
                <w:rtl w:val="true"/>
              </w:rPr>
              <w:t xml:space="preserve">: </w:t>
            </w:r>
            <w:r>
              <w:rPr>
                <w:rStyle w:val="IndexLink"/>
                <w:rtl w:val="true"/>
              </w:rPr>
              <w:t>الطریق العقلی</w:t>
            </w:r>
            <w:r>
              <w:rPr>
                <w:rStyle w:val="IndexLink"/>
                <w:rtl w:val="true"/>
              </w:rPr>
              <w:tab/>
            </w:r>
            <w:r>
              <w:rPr>
                <w:rStyle w:val="IndexLink"/>
              </w:rPr>
              <w:t>98</w:t>
            </w:r>
          </w:hyperlink>
        </w:p>
        <w:p>
          <w:pPr>
            <w:pStyle w:val="Contents4"/>
            <w:tabs>
              <w:tab w:val="clear" w:pos="8176"/>
              <w:tab w:val="right" w:pos="9026" w:leader="dot"/>
            </w:tabs>
            <w:rPr/>
          </w:pPr>
          <w:hyperlink w:anchor="__RefHeading___Toc2819510_1395250215">
            <w:r>
              <w:rPr>
                <w:webHidden/>
                <w:rStyle w:val="IndexLink"/>
                <w:rtl w:val="true"/>
              </w:rPr>
              <w:t>الثانی</w:t>
            </w:r>
            <w:r>
              <w:rPr>
                <w:rStyle w:val="IndexLink"/>
                <w:rtl w:val="true"/>
              </w:rPr>
              <w:t xml:space="preserve">: </w:t>
            </w:r>
            <w:r>
              <w:rPr>
                <w:rStyle w:val="IndexLink"/>
                <w:rtl w:val="true"/>
              </w:rPr>
              <w:t>طریق الوحی الإلهی</w:t>
            </w:r>
            <w:r>
              <w:rPr>
                <w:rStyle w:val="IndexLink"/>
                <w:rtl w:val="true"/>
              </w:rPr>
              <w:tab/>
            </w:r>
            <w:r>
              <w:rPr>
                <w:rStyle w:val="IndexLink"/>
              </w:rPr>
              <w:t>100</w:t>
            </w:r>
          </w:hyperlink>
        </w:p>
        <w:p>
          <w:pPr>
            <w:pStyle w:val="Contents4"/>
            <w:tabs>
              <w:tab w:val="clear" w:pos="8176"/>
              <w:tab w:val="right" w:pos="9026" w:leader="dot"/>
            </w:tabs>
            <w:rPr/>
          </w:pPr>
          <w:hyperlink w:anchor="__RefHeading___Toc2819512_1395250215">
            <w:r>
              <w:rPr>
                <w:webHidden/>
                <w:rStyle w:val="IndexLink"/>
                <w:rtl w:val="true"/>
              </w:rPr>
              <w:t>الثالث</w:t>
            </w:r>
            <w:r>
              <w:rPr>
                <w:rStyle w:val="IndexLink"/>
                <w:rtl w:val="true"/>
              </w:rPr>
              <w:t xml:space="preserve">: </w:t>
            </w:r>
            <w:r>
              <w:rPr>
                <w:rStyle w:val="IndexLink"/>
                <w:rtl w:val="true"/>
              </w:rPr>
              <w:t>طریق الکشف و الشهود</w:t>
            </w:r>
            <w:r>
              <w:rPr>
                <w:rStyle w:val="IndexLink"/>
                <w:rtl w:val="true"/>
              </w:rPr>
              <w:tab/>
            </w:r>
            <w:r>
              <w:rPr>
                <w:rStyle w:val="IndexLink"/>
              </w:rPr>
              <w:t>100</w:t>
            </w:r>
          </w:hyperlink>
        </w:p>
        <w:p>
          <w:pPr>
            <w:pStyle w:val="Contents3"/>
            <w:tabs>
              <w:tab w:val="clear" w:pos="8459"/>
              <w:tab w:val="right" w:pos="9026" w:leader="dot"/>
            </w:tabs>
            <w:rPr/>
          </w:pPr>
          <w:hyperlink w:anchor="__RefHeading___Toc2819514_1395250215">
            <w:r>
              <w:rPr>
                <w:webHidden/>
                <w:rStyle w:val="IndexLink"/>
                <w:rtl w:val="true"/>
              </w:rPr>
              <w:t>الفصل الثالث</w:t>
            </w:r>
            <w:r>
              <w:rPr>
                <w:rStyle w:val="IndexLink"/>
                <w:rtl w:val="true"/>
              </w:rPr>
              <w:t>:</w:t>
            </w:r>
            <w:r>
              <w:rPr>
                <w:rStyle w:val="IndexLink"/>
                <w:rtl w:val="true"/>
              </w:rPr>
              <w:t>علمه تعالی</w:t>
            </w:r>
            <w:r>
              <w:rPr>
                <w:rStyle w:val="IndexLink"/>
                <w:rtl w:val="true"/>
              </w:rPr>
              <w:tab/>
            </w:r>
            <w:r>
              <w:rPr>
                <w:rStyle w:val="IndexLink"/>
              </w:rPr>
              <w:t>104</w:t>
            </w:r>
          </w:hyperlink>
        </w:p>
        <w:p>
          <w:pPr>
            <w:pStyle w:val="Contents4"/>
            <w:tabs>
              <w:tab w:val="clear" w:pos="8176"/>
              <w:tab w:val="right" w:pos="9026" w:leader="dot"/>
            </w:tabs>
            <w:rPr/>
          </w:pPr>
          <w:hyperlink w:anchor="__RefHeading___Toc2819516_1395250215">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819518_1395250215">
            <w:r>
              <w:rPr>
                <w:webHidden/>
                <w:rStyle w:val="IndexLink"/>
                <w:rtl w:val="true"/>
              </w:rPr>
              <w:t>ما هو العلم؟</w:t>
            </w:r>
            <w:r>
              <w:rPr>
                <w:rStyle w:val="IndexLink"/>
                <w:rtl w:val="true"/>
              </w:rPr>
              <w:tab/>
            </w:r>
            <w:r>
              <w:rPr>
                <w:rStyle w:val="IndexLink"/>
              </w:rPr>
              <w:t>104</w:t>
            </w:r>
          </w:hyperlink>
        </w:p>
        <w:p>
          <w:pPr>
            <w:pStyle w:val="Contents5"/>
            <w:tabs>
              <w:tab w:val="clear" w:pos="7892"/>
              <w:tab w:val="right" w:pos="9026" w:leader="dot"/>
            </w:tabs>
            <w:rPr/>
          </w:pPr>
          <w:hyperlink w:anchor="__RefHeading___Toc2819520_139525021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2819522_1395250215">
            <w:r>
              <w:rPr>
                <w:webHidden/>
                <w:rStyle w:val="IndexLink"/>
              </w:rPr>
              <w:t>1</w:t>
            </w:r>
            <w:r>
              <w:rPr>
                <w:rStyle w:val="IndexLink"/>
                <w:rtl w:val="true"/>
              </w:rPr>
              <w:t xml:space="preserve">. </w:t>
            </w:r>
            <w:r>
              <w:rPr>
                <w:rStyle w:val="IndexLink"/>
                <w:rtl w:val="true"/>
              </w:rPr>
              <w:t>علمه سبحانه بذاته</w:t>
            </w:r>
            <w:r>
              <w:rPr>
                <w:rStyle w:val="IndexLink"/>
                <w:rtl w:val="true"/>
              </w:rPr>
              <w:tab/>
            </w:r>
            <w:r>
              <w:rPr>
                <w:rStyle w:val="IndexLink"/>
              </w:rPr>
              <w:t>105</w:t>
            </w:r>
          </w:hyperlink>
        </w:p>
        <w:p>
          <w:pPr>
            <w:pStyle w:val="Contents5"/>
            <w:tabs>
              <w:tab w:val="clear" w:pos="7892"/>
              <w:tab w:val="right" w:pos="9026" w:leader="dot"/>
            </w:tabs>
            <w:rPr/>
          </w:pPr>
          <w:hyperlink w:anchor="__RefHeading___Toc2819524_1395250215">
            <w:r>
              <w:rPr>
                <w:webHidden/>
                <w:rStyle w:val="IndexLink"/>
              </w:rPr>
              <w:t>2</w:t>
            </w:r>
            <w:r>
              <w:rPr>
                <w:rStyle w:val="IndexLink"/>
                <w:rtl w:val="true"/>
              </w:rPr>
              <w:t xml:space="preserve">. </w:t>
            </w:r>
            <w:r>
              <w:rPr>
                <w:rStyle w:val="IndexLink"/>
                <w:rtl w:val="true"/>
              </w:rPr>
              <w:t>علمه سبحانه بالأشیاء قبل إیجادها</w:t>
            </w:r>
            <w:r>
              <w:rPr>
                <w:rStyle w:val="IndexLink"/>
                <w:rtl w:val="true"/>
              </w:rPr>
              <w:tab/>
            </w:r>
            <w:r>
              <w:rPr>
                <w:rStyle w:val="IndexLink"/>
              </w:rPr>
              <w:t>107</w:t>
            </w:r>
          </w:hyperlink>
        </w:p>
        <w:p>
          <w:pPr>
            <w:pStyle w:val="Contents5"/>
            <w:tabs>
              <w:tab w:val="clear" w:pos="7892"/>
              <w:tab w:val="right" w:pos="9026" w:leader="dot"/>
            </w:tabs>
            <w:rPr/>
          </w:pPr>
          <w:hyperlink w:anchor="__RefHeading___Toc2819526_1395250215">
            <w:r>
              <w:rPr>
                <w:webHidden/>
                <w:rStyle w:val="IndexLink"/>
              </w:rPr>
              <w:t>3</w:t>
            </w:r>
            <w:r>
              <w:rPr>
                <w:rStyle w:val="IndexLink"/>
                <w:rtl w:val="true"/>
              </w:rPr>
              <w:t xml:space="preserve">. </w:t>
            </w:r>
            <w:r>
              <w:rPr>
                <w:rStyle w:val="IndexLink"/>
                <w:rtl w:val="true"/>
              </w:rPr>
              <w:t>علمه سبحانه بالأشیاء بعد إیجادها</w:t>
            </w:r>
            <w:r>
              <w:rPr>
                <w:rStyle w:val="IndexLink"/>
                <w:rtl w:val="true"/>
              </w:rPr>
              <w:tab/>
            </w:r>
            <w:r>
              <w:rPr>
                <w:rStyle w:val="IndexLink"/>
              </w:rPr>
              <w:t>109</w:t>
            </w:r>
          </w:hyperlink>
        </w:p>
        <w:p>
          <w:pPr>
            <w:pStyle w:val="Contents4"/>
            <w:tabs>
              <w:tab w:val="clear" w:pos="8176"/>
              <w:tab w:val="right" w:pos="9026" w:leader="dot"/>
            </w:tabs>
            <w:rPr/>
          </w:pPr>
          <w:hyperlink w:anchor="__RefHeading___Toc2819528_1395250215">
            <w:r>
              <w:rPr>
                <w:webHidden/>
                <w:rStyle w:val="IndexLink"/>
                <w:rtl w:val="true"/>
              </w:rPr>
              <w:t>علمه تعالی بالجزئیات</w:t>
            </w:r>
            <w:r>
              <w:rPr>
                <w:rStyle w:val="IndexLink"/>
                <w:rtl w:val="true"/>
              </w:rPr>
              <w:tab/>
            </w:r>
            <w:r>
              <w:rPr>
                <w:rStyle w:val="IndexLink"/>
              </w:rPr>
              <w:t>110</w:t>
            </w:r>
          </w:hyperlink>
        </w:p>
        <w:p>
          <w:pPr>
            <w:pStyle w:val="Contents4"/>
            <w:tabs>
              <w:tab w:val="clear" w:pos="8176"/>
              <w:tab w:val="right" w:pos="9026" w:leader="dot"/>
            </w:tabs>
            <w:rPr/>
          </w:pPr>
          <w:hyperlink w:anchor="__RefHeading___Toc2819530_1395250215">
            <w:r>
              <w:rPr>
                <w:webHidden/>
                <w:rStyle w:val="IndexLink"/>
                <w:rtl w:val="true"/>
              </w:rPr>
              <w:t>شبهات المنکرین</w:t>
            </w:r>
            <w:r>
              <w:rPr>
                <w:rStyle w:val="IndexLink"/>
                <w:rtl w:val="true"/>
              </w:rPr>
              <w:tab/>
            </w:r>
            <w:r>
              <w:rPr>
                <w:rStyle w:val="IndexLink"/>
              </w:rPr>
              <w:t>110</w:t>
            </w:r>
          </w:hyperlink>
        </w:p>
        <w:p>
          <w:pPr>
            <w:pStyle w:val="Contents4"/>
            <w:tabs>
              <w:tab w:val="clear" w:pos="8176"/>
              <w:tab w:val="right" w:pos="9026" w:leader="dot"/>
            </w:tabs>
            <w:rPr/>
          </w:pPr>
          <w:hyperlink w:anchor="__RefHeading___Toc2819532_1395250215">
            <w:r>
              <w:rPr>
                <w:webHidden/>
                <w:rStyle w:val="IndexLink"/>
                <w:rtl w:val="true"/>
              </w:rPr>
              <w:t>تکملة</w:t>
            </w:r>
            <w:r>
              <w:rPr>
                <w:rStyle w:val="IndexLink"/>
                <w:rtl w:val="true"/>
              </w:rPr>
              <w:tab/>
            </w:r>
            <w:r>
              <w:rPr>
                <w:rStyle w:val="IndexLink"/>
              </w:rPr>
              <w:t>112</w:t>
            </w:r>
          </w:hyperlink>
        </w:p>
        <w:p>
          <w:pPr>
            <w:pStyle w:val="Contents3"/>
            <w:tabs>
              <w:tab w:val="clear" w:pos="8459"/>
              <w:tab w:val="right" w:pos="9026" w:leader="dot"/>
            </w:tabs>
            <w:rPr/>
          </w:pPr>
          <w:hyperlink w:anchor="__RefHeading___Toc2819534_1395250215">
            <w:r>
              <w:rPr>
                <w:webHidden/>
                <w:rStyle w:val="IndexLink"/>
                <w:rtl w:val="true"/>
              </w:rPr>
              <w:t>الفصل الرابع</w:t>
            </w:r>
            <w:r>
              <w:rPr>
                <w:rStyle w:val="IndexLink"/>
                <w:rtl w:val="true"/>
              </w:rPr>
              <w:t>:</w:t>
            </w:r>
            <w:r>
              <w:rPr>
                <w:rStyle w:val="IndexLink"/>
                <w:rtl w:val="true"/>
              </w:rPr>
              <w:t>قدرته تعالی</w:t>
            </w:r>
            <w:r>
              <w:rPr>
                <w:rStyle w:val="IndexLink"/>
                <w:rtl w:val="true"/>
              </w:rPr>
              <w:tab/>
            </w:r>
            <w:r>
              <w:rPr>
                <w:rStyle w:val="IndexLink"/>
              </w:rPr>
              <w:t>114</w:t>
            </w:r>
          </w:hyperlink>
        </w:p>
        <w:p>
          <w:pPr>
            <w:pStyle w:val="Contents4"/>
            <w:tabs>
              <w:tab w:val="clear" w:pos="8176"/>
              <w:tab w:val="right" w:pos="9026" w:leader="dot"/>
            </w:tabs>
            <w:rPr/>
          </w:pPr>
          <w:hyperlink w:anchor="__RefHeading___Toc2819536_1395250215">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819538_1395250215">
            <w:r>
              <w:rPr>
                <w:webHidden/>
                <w:rStyle w:val="IndexLink"/>
                <w:rtl w:val="true"/>
              </w:rPr>
              <w:t>تعریف القدرة</w:t>
            </w:r>
            <w:r>
              <w:rPr>
                <w:rStyle w:val="IndexLink"/>
                <w:rtl w:val="true"/>
              </w:rPr>
              <w:tab/>
            </w:r>
            <w:r>
              <w:rPr>
                <w:rStyle w:val="IndexLink"/>
              </w:rPr>
              <w:t>114</w:t>
            </w:r>
          </w:hyperlink>
        </w:p>
        <w:p>
          <w:pPr>
            <w:pStyle w:val="Contents4"/>
            <w:tabs>
              <w:tab w:val="clear" w:pos="8176"/>
              <w:tab w:val="right" w:pos="9026" w:leader="dot"/>
            </w:tabs>
            <w:rPr/>
          </w:pPr>
          <w:hyperlink w:anchor="__RefHeading___Toc2819540_1395250215">
            <w:r>
              <w:rPr>
                <w:webHidden/>
                <w:rStyle w:val="IndexLink"/>
                <w:rtl w:val="true"/>
              </w:rPr>
              <w:t>برهان قدرته تعالی</w:t>
            </w:r>
            <w:r>
              <w:rPr>
                <w:rStyle w:val="IndexLink"/>
                <w:rtl w:val="true"/>
              </w:rPr>
              <w:tab/>
            </w:r>
            <w:r>
              <w:rPr>
                <w:rStyle w:val="IndexLink"/>
              </w:rPr>
              <w:t>115</w:t>
            </w:r>
          </w:hyperlink>
        </w:p>
        <w:p>
          <w:pPr>
            <w:pStyle w:val="Contents4"/>
            <w:tabs>
              <w:tab w:val="clear" w:pos="8176"/>
              <w:tab w:val="right" w:pos="9026" w:leader="dot"/>
            </w:tabs>
            <w:rPr/>
          </w:pPr>
          <w:hyperlink w:anchor="__RefHeading___Toc2819542_1395250215">
            <w:r>
              <w:rPr>
                <w:webHidden/>
                <w:rStyle w:val="IndexLink"/>
                <w:rtl w:val="true"/>
              </w:rPr>
              <w:t>سعة قدرته تعالی</w:t>
            </w:r>
            <w:r>
              <w:rPr>
                <w:rStyle w:val="IndexLink"/>
                <w:rtl w:val="true"/>
              </w:rPr>
              <w:tab/>
            </w:r>
            <w:r>
              <w:rPr>
                <w:rStyle w:val="IndexLink"/>
              </w:rPr>
              <w:t>116</w:t>
            </w:r>
          </w:hyperlink>
        </w:p>
        <w:p>
          <w:pPr>
            <w:pStyle w:val="Contents3"/>
            <w:tabs>
              <w:tab w:val="clear" w:pos="8459"/>
              <w:tab w:val="right" w:pos="9026" w:leader="dot"/>
            </w:tabs>
            <w:rPr/>
          </w:pPr>
          <w:hyperlink w:anchor="__RefHeading___Toc2819544_1395250215">
            <w:r>
              <w:rPr>
                <w:webHidden/>
                <w:rStyle w:val="IndexLink"/>
                <w:rtl w:val="true"/>
              </w:rPr>
              <w:t>الفصل الخامس</w:t>
            </w:r>
            <w:r>
              <w:rPr>
                <w:rStyle w:val="IndexLink"/>
                <w:rtl w:val="true"/>
              </w:rPr>
              <w:t>:</w:t>
            </w:r>
            <w:r>
              <w:rPr>
                <w:rStyle w:val="IndexLink"/>
                <w:rtl w:val="true"/>
              </w:rPr>
              <w:t>حیاته تعالی</w:t>
            </w:r>
            <w:r>
              <w:rPr>
                <w:rStyle w:val="IndexLink"/>
                <w:rtl w:val="true"/>
              </w:rPr>
              <w:tab/>
            </w:r>
            <w:r>
              <w:rPr>
                <w:rStyle w:val="IndexLink"/>
              </w:rPr>
              <w:t>120</w:t>
            </w:r>
          </w:hyperlink>
        </w:p>
        <w:p>
          <w:pPr>
            <w:pStyle w:val="Contents4"/>
            <w:tabs>
              <w:tab w:val="clear" w:pos="8176"/>
              <w:tab w:val="right" w:pos="9026" w:leader="dot"/>
            </w:tabs>
            <w:rPr/>
          </w:pPr>
          <w:hyperlink w:anchor="__RefHeading___Toc2819546_1395250215">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2819548_1395250215">
            <w:r>
              <w:rPr>
                <w:webHidden/>
                <w:rStyle w:val="IndexLink"/>
                <w:rtl w:val="true"/>
              </w:rPr>
              <w:t>حقیقة الحیاة</w:t>
            </w:r>
            <w:r>
              <w:rPr>
                <w:rStyle w:val="IndexLink"/>
                <w:rtl w:val="true"/>
              </w:rPr>
              <w:tab/>
            </w:r>
            <w:r>
              <w:rPr>
                <w:rStyle w:val="IndexLink"/>
              </w:rPr>
              <w:t>120</w:t>
            </w:r>
          </w:hyperlink>
        </w:p>
        <w:p>
          <w:pPr>
            <w:pStyle w:val="Contents4"/>
            <w:tabs>
              <w:tab w:val="clear" w:pos="8176"/>
              <w:tab w:val="right" w:pos="9026" w:leader="dot"/>
            </w:tabs>
            <w:rPr/>
          </w:pPr>
          <w:hyperlink w:anchor="__RefHeading___Toc2819550_1395250215">
            <w:r>
              <w:rPr>
                <w:webHidden/>
                <w:rStyle w:val="IndexLink"/>
                <w:rtl w:val="true"/>
              </w:rPr>
              <w:t>معنی حیاته تعالی</w:t>
            </w:r>
            <w:r>
              <w:rPr>
                <w:rStyle w:val="IndexLink"/>
                <w:rtl w:val="true"/>
              </w:rPr>
              <w:tab/>
            </w:r>
            <w:r>
              <w:rPr>
                <w:rStyle w:val="IndexLink"/>
              </w:rPr>
              <w:t>121</w:t>
            </w:r>
          </w:hyperlink>
        </w:p>
        <w:p>
          <w:pPr>
            <w:pStyle w:val="Contents4"/>
            <w:tabs>
              <w:tab w:val="clear" w:pos="8176"/>
              <w:tab w:val="right" w:pos="9026" w:leader="dot"/>
            </w:tabs>
            <w:rPr/>
          </w:pPr>
          <w:hyperlink w:anchor="__RefHeading___Toc2819552_1395250215">
            <w:r>
              <w:rPr>
                <w:webHidden/>
                <w:rStyle w:val="IndexLink"/>
                <w:rtl w:val="true"/>
              </w:rPr>
              <w:t>دلائل حیاته تعالی</w:t>
            </w:r>
            <w:r>
              <w:rPr>
                <w:rStyle w:val="IndexLink"/>
                <w:rtl w:val="true"/>
              </w:rPr>
              <w:tab/>
            </w:r>
            <w:r>
              <w:rPr>
                <w:rStyle w:val="IndexLink"/>
              </w:rPr>
              <w:t>121</w:t>
            </w:r>
          </w:hyperlink>
        </w:p>
        <w:p>
          <w:pPr>
            <w:pStyle w:val="Contents4"/>
            <w:tabs>
              <w:tab w:val="clear" w:pos="8176"/>
              <w:tab w:val="right" w:pos="9026" w:leader="dot"/>
            </w:tabs>
            <w:rPr/>
          </w:pPr>
          <w:hyperlink w:anchor="__RefHeading___Toc2819554_1395250215">
            <w:r>
              <w:rPr>
                <w:webHidden/>
                <w:rStyle w:val="IndexLink"/>
                <w:rtl w:val="true"/>
              </w:rPr>
              <w:t>تذییل</w:t>
            </w:r>
            <w:r>
              <w:rPr>
                <w:rStyle w:val="IndexLink"/>
                <w:rtl w:val="true"/>
              </w:rPr>
              <w:tab/>
            </w:r>
            <w:r>
              <w:rPr>
                <w:rStyle w:val="IndexLink"/>
              </w:rPr>
              <w:t>122</w:t>
            </w:r>
          </w:hyperlink>
        </w:p>
        <w:p>
          <w:pPr>
            <w:pStyle w:val="Contents3"/>
            <w:tabs>
              <w:tab w:val="clear" w:pos="8459"/>
              <w:tab w:val="right" w:pos="9026" w:leader="dot"/>
            </w:tabs>
            <w:rPr/>
          </w:pPr>
          <w:hyperlink w:anchor="__RefHeading___Toc2819556_1395250215">
            <w:r>
              <w:rPr>
                <w:webHidden/>
                <w:rStyle w:val="IndexLink"/>
                <w:rtl w:val="true"/>
              </w:rPr>
              <w:t>الفصل السادس</w:t>
            </w:r>
            <w:r>
              <w:rPr>
                <w:rStyle w:val="IndexLink"/>
                <w:rtl w:val="true"/>
              </w:rPr>
              <w:t>:</w:t>
            </w:r>
            <w:r>
              <w:rPr>
                <w:rStyle w:val="IndexLink"/>
                <w:rtl w:val="true"/>
              </w:rPr>
              <w:t>إرادته تعالی</w:t>
            </w:r>
            <w:r>
              <w:rPr>
                <w:rStyle w:val="IndexLink"/>
                <w:rtl w:val="true"/>
              </w:rPr>
              <w:tab/>
            </w:r>
            <w:r>
              <w:rPr>
                <w:rStyle w:val="IndexLink"/>
              </w:rPr>
              <w:t>124</w:t>
            </w:r>
          </w:hyperlink>
        </w:p>
        <w:p>
          <w:pPr>
            <w:pStyle w:val="Contents4"/>
            <w:tabs>
              <w:tab w:val="clear" w:pos="8176"/>
              <w:tab w:val="right" w:pos="9026" w:leader="dot"/>
            </w:tabs>
            <w:rPr/>
          </w:pPr>
          <w:hyperlink w:anchor="__RefHeading___Toc2819558_1395250215">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2819560_1395250215">
            <w:r>
              <w:rPr>
                <w:webHidden/>
                <w:rStyle w:val="IndexLink"/>
                <w:rtl w:val="true"/>
              </w:rPr>
              <w:t>حقیقة إرادته تعالی</w:t>
            </w:r>
            <w:r>
              <w:rPr>
                <w:rStyle w:val="IndexLink"/>
                <w:rtl w:val="true"/>
              </w:rPr>
              <w:tab/>
            </w:r>
            <w:r>
              <w:rPr>
                <w:rStyle w:val="IndexLink"/>
              </w:rPr>
              <w:t>124</w:t>
            </w:r>
          </w:hyperlink>
        </w:p>
        <w:p>
          <w:pPr>
            <w:pStyle w:val="Contents4"/>
            <w:tabs>
              <w:tab w:val="clear" w:pos="8176"/>
              <w:tab w:val="right" w:pos="9026" w:leader="dot"/>
            </w:tabs>
            <w:rPr/>
          </w:pPr>
          <w:hyperlink w:anchor="__RefHeading___Toc2819562_1395250215">
            <w:r>
              <w:rPr>
                <w:webHidden/>
                <w:rStyle w:val="IndexLink"/>
                <w:rtl w:val="true"/>
              </w:rPr>
              <w:t>الإرادة فی روایات اهل البیت علیهم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819564_1395250215">
            <w:r>
              <w:rPr>
                <w:webHidden/>
                <w:rStyle w:val="IndexLink"/>
                <w:rtl w:val="true"/>
              </w:rPr>
              <w:t>الفصل السابع</w:t>
            </w:r>
            <w:r>
              <w:rPr>
                <w:rStyle w:val="IndexLink"/>
                <w:rtl w:val="true"/>
              </w:rPr>
              <w:t>:</w:t>
            </w:r>
            <w:r>
              <w:rPr>
                <w:rStyle w:val="IndexLink"/>
                <w:rtl w:val="true"/>
              </w:rPr>
              <w:t>کلامه تعالی</w:t>
            </w:r>
            <w:r>
              <w:rPr>
                <w:rStyle w:val="IndexLink"/>
                <w:rtl w:val="true"/>
              </w:rPr>
              <w:tab/>
            </w:r>
            <w:r>
              <w:rPr>
                <w:rStyle w:val="IndexLink"/>
              </w:rPr>
              <w:t>130</w:t>
            </w:r>
          </w:hyperlink>
        </w:p>
        <w:p>
          <w:pPr>
            <w:pStyle w:val="Contents4"/>
            <w:tabs>
              <w:tab w:val="clear" w:pos="8176"/>
              <w:tab w:val="right" w:pos="9026" w:leader="dot"/>
            </w:tabs>
            <w:rPr/>
          </w:pPr>
          <w:hyperlink w:anchor="__RefHeading___Toc2819566_1395250215">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819568_1395250215">
            <w:r>
              <w:rPr>
                <w:webHidden/>
                <w:rStyle w:val="IndexLink"/>
                <w:rtl w:val="true"/>
              </w:rPr>
              <w:t>الأقوال فی تفسیر کلامه تعالی</w:t>
            </w:r>
            <w:r>
              <w:rPr>
                <w:rStyle w:val="IndexLink"/>
                <w:rtl w:val="true"/>
              </w:rPr>
              <w:tab/>
            </w:r>
            <w:r>
              <w:rPr>
                <w:rStyle w:val="IndexLink"/>
              </w:rPr>
              <w:t>130</w:t>
            </w:r>
          </w:hyperlink>
        </w:p>
        <w:p>
          <w:pPr>
            <w:pStyle w:val="Contents4"/>
            <w:tabs>
              <w:tab w:val="clear" w:pos="8176"/>
              <w:tab w:val="right" w:pos="9026" w:leader="dot"/>
            </w:tabs>
            <w:rPr/>
          </w:pPr>
          <w:hyperlink w:anchor="__RefHeading___Toc2819570_1395250215">
            <w:r>
              <w:rPr>
                <w:webHidden/>
                <w:rStyle w:val="IndexLink"/>
                <w:rtl w:val="true"/>
              </w:rPr>
              <w:t>کلامه سبحانه حادث أو قدیم؟</w:t>
            </w:r>
            <w:r>
              <w:rPr>
                <w:rStyle w:val="IndexLink"/>
                <w:rtl w:val="true"/>
              </w:rPr>
              <w:tab/>
            </w:r>
            <w:r>
              <w:rPr>
                <w:rStyle w:val="IndexLink"/>
              </w:rPr>
              <w:t>134</w:t>
            </w:r>
          </w:hyperlink>
        </w:p>
        <w:p>
          <w:pPr>
            <w:pStyle w:val="Contents4"/>
            <w:tabs>
              <w:tab w:val="clear" w:pos="8176"/>
              <w:tab w:val="right" w:pos="9026" w:leader="dot"/>
            </w:tabs>
            <w:rPr/>
          </w:pPr>
          <w:hyperlink w:anchor="__RefHeading___Toc2819572_1395250215">
            <w:r>
              <w:rPr>
                <w:webHidden/>
                <w:rStyle w:val="IndexLink"/>
                <w:rtl w:val="true"/>
              </w:rPr>
              <w:t>دلالة القرآن علی حدوث کلامه تعالی</w:t>
            </w:r>
            <w:r>
              <w:rPr>
                <w:rStyle w:val="IndexLink"/>
                <w:rtl w:val="true"/>
              </w:rPr>
              <w:tab/>
            </w:r>
            <w:r>
              <w:rPr>
                <w:rStyle w:val="IndexLink"/>
              </w:rPr>
              <w:t>136</w:t>
            </w:r>
          </w:hyperlink>
        </w:p>
        <w:p>
          <w:pPr>
            <w:pStyle w:val="Contents4"/>
            <w:tabs>
              <w:tab w:val="clear" w:pos="8176"/>
              <w:tab w:val="right" w:pos="9026" w:leader="dot"/>
            </w:tabs>
            <w:rPr/>
          </w:pPr>
          <w:hyperlink w:anchor="__RefHeading___Toc2819574_1395250215">
            <w:r>
              <w:rPr>
                <w:webHidden/>
                <w:rStyle w:val="IndexLink"/>
                <w:rtl w:val="true"/>
              </w:rPr>
              <w:t>موقف أهل البیت علیهم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819576_1395250215">
            <w:r>
              <w:rPr>
                <w:webHidden/>
                <w:rStyle w:val="IndexLink"/>
                <w:rtl w:val="true"/>
              </w:rPr>
              <w:t>تکملة</w:t>
            </w:r>
            <w:r>
              <w:rPr>
                <w:rStyle w:val="IndexLink"/>
                <w:rtl w:val="true"/>
              </w:rPr>
              <w:tab/>
            </w:r>
            <w:r>
              <w:rPr>
                <w:rStyle w:val="IndexLink"/>
              </w:rPr>
              <w:t>138</w:t>
            </w:r>
          </w:hyperlink>
        </w:p>
        <w:p>
          <w:pPr>
            <w:pStyle w:val="Contents3"/>
            <w:tabs>
              <w:tab w:val="clear" w:pos="8459"/>
              <w:tab w:val="right" w:pos="9026" w:leader="dot"/>
            </w:tabs>
            <w:rPr/>
          </w:pPr>
          <w:hyperlink w:anchor="__RefHeading___Toc2819578_1395250215">
            <w:r>
              <w:rPr>
                <w:webHidden/>
                <w:rStyle w:val="IndexLink"/>
                <w:rtl w:val="true"/>
              </w:rPr>
              <w:t>الفصل الثامن</w:t>
            </w:r>
            <w:r>
              <w:rPr>
                <w:rStyle w:val="IndexLink"/>
                <w:rtl w:val="true"/>
              </w:rPr>
              <w:t>:</w:t>
            </w:r>
            <w:r>
              <w:rPr>
                <w:rStyle w:val="IndexLink"/>
                <w:rtl w:val="true"/>
              </w:rPr>
              <w:t>الصفات الخبریّة</w:t>
            </w:r>
            <w:r>
              <w:rPr>
                <w:rStyle w:val="IndexLink"/>
                <w:rtl w:val="true"/>
              </w:rPr>
              <w:tab/>
            </w:r>
            <w:r>
              <w:rPr>
                <w:rStyle w:val="IndexLink"/>
              </w:rPr>
              <w:t>140</w:t>
            </w:r>
          </w:hyperlink>
        </w:p>
        <w:p>
          <w:pPr>
            <w:pStyle w:val="Contents4"/>
            <w:tabs>
              <w:tab w:val="clear" w:pos="8176"/>
              <w:tab w:val="right" w:pos="9026" w:leader="dot"/>
            </w:tabs>
            <w:rPr/>
          </w:pPr>
          <w:hyperlink w:anchor="__RefHeading___Toc2819580_1395250215">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819582_1395250215">
            <w:r>
              <w:rPr>
                <w:webHidden/>
                <w:rStyle w:val="IndexLink"/>
                <w:rtl w:val="true"/>
              </w:rPr>
              <w:t>الأوّل</w:t>
            </w:r>
            <w:r>
              <w:rPr>
                <w:rStyle w:val="IndexLink"/>
                <w:rtl w:val="true"/>
              </w:rPr>
              <w:t xml:space="preserve">: </w:t>
            </w:r>
            <w:r>
              <w:rPr>
                <w:rStyle w:val="IndexLink"/>
                <w:rtl w:val="true"/>
              </w:rPr>
              <w:t>الإثبات مع التکییف و التشبیه</w:t>
            </w:r>
            <w:r>
              <w:rPr>
                <w:rStyle w:val="IndexLink"/>
                <w:rtl w:val="true"/>
              </w:rPr>
              <w:tab/>
            </w:r>
            <w:r>
              <w:rPr>
                <w:rStyle w:val="IndexLink"/>
              </w:rPr>
              <w:t>140</w:t>
            </w:r>
          </w:hyperlink>
        </w:p>
        <w:p>
          <w:pPr>
            <w:pStyle w:val="Contents4"/>
            <w:tabs>
              <w:tab w:val="clear" w:pos="8176"/>
              <w:tab w:val="right" w:pos="9026" w:leader="dot"/>
            </w:tabs>
            <w:rPr/>
          </w:pPr>
          <w:hyperlink w:anchor="__RefHeading___Toc2819584_1395250215">
            <w:r>
              <w:rPr>
                <w:webHidden/>
                <w:rStyle w:val="IndexLink"/>
                <w:rtl w:val="true"/>
              </w:rPr>
              <w:t>الثانی</w:t>
            </w:r>
            <w:r>
              <w:rPr>
                <w:rStyle w:val="IndexLink"/>
                <w:rtl w:val="true"/>
              </w:rPr>
              <w:t xml:space="preserve">: </w:t>
            </w:r>
            <w:r>
              <w:rPr>
                <w:rStyle w:val="IndexLink"/>
                <w:rtl w:val="true"/>
              </w:rPr>
              <w:t>الإثبات بلا تکییف و لا تشبیه</w:t>
            </w:r>
            <w:r>
              <w:rPr>
                <w:rStyle w:val="IndexLink"/>
                <w:rtl w:val="true"/>
              </w:rPr>
              <w:tab/>
            </w:r>
            <w:r>
              <w:rPr>
                <w:rStyle w:val="IndexLink"/>
              </w:rPr>
              <w:t>141</w:t>
            </w:r>
          </w:hyperlink>
        </w:p>
        <w:p>
          <w:pPr>
            <w:pStyle w:val="Contents4"/>
            <w:tabs>
              <w:tab w:val="clear" w:pos="8176"/>
              <w:tab w:val="right" w:pos="9026" w:leader="dot"/>
            </w:tabs>
            <w:rPr/>
          </w:pPr>
          <w:hyperlink w:anchor="__RefHeading___Toc2819586_1395250215">
            <w:r>
              <w:rPr>
                <w:webHidden/>
                <w:rStyle w:val="IndexLink"/>
                <w:rtl w:val="true"/>
              </w:rPr>
              <w:t>الثالث</w:t>
            </w:r>
            <w:r>
              <w:rPr>
                <w:rStyle w:val="IndexLink"/>
                <w:rtl w:val="true"/>
              </w:rPr>
              <w:t xml:space="preserve">: </w:t>
            </w:r>
            <w:r>
              <w:rPr>
                <w:rStyle w:val="IndexLink"/>
                <w:rtl w:val="true"/>
              </w:rPr>
              <w:t>التفویض</w:t>
            </w:r>
            <w:r>
              <w:rPr>
                <w:rStyle w:val="IndexLink"/>
                <w:rtl w:val="true"/>
              </w:rPr>
              <w:tab/>
            </w:r>
            <w:r>
              <w:rPr>
                <w:rStyle w:val="IndexLink"/>
              </w:rPr>
              <w:t>143</w:t>
            </w:r>
          </w:hyperlink>
        </w:p>
        <w:p>
          <w:pPr>
            <w:pStyle w:val="Contents4"/>
            <w:tabs>
              <w:tab w:val="clear" w:pos="8176"/>
              <w:tab w:val="right" w:pos="9026" w:leader="dot"/>
            </w:tabs>
            <w:rPr/>
          </w:pPr>
          <w:hyperlink w:anchor="__RefHeading___Toc2819588_1395250215">
            <w:r>
              <w:rPr>
                <w:webHidden/>
                <w:rStyle w:val="IndexLink"/>
                <w:rtl w:val="true"/>
              </w:rPr>
              <w:t>الرابع</w:t>
            </w:r>
            <w:r>
              <w:rPr>
                <w:rStyle w:val="IndexLink"/>
                <w:rtl w:val="true"/>
              </w:rPr>
              <w:t xml:space="preserve">: </w:t>
            </w:r>
            <w:r>
              <w:rPr>
                <w:rStyle w:val="IndexLink"/>
                <w:rtl w:val="true"/>
              </w:rPr>
              <w:t>التأویل</w:t>
            </w:r>
            <w:r>
              <w:rPr>
                <w:rStyle w:val="IndexLink"/>
                <w:rtl w:val="true"/>
              </w:rPr>
              <w:tab/>
            </w:r>
            <w:r>
              <w:rPr>
                <w:rStyle w:val="IndexLink"/>
              </w:rPr>
              <w:t>144</w:t>
            </w:r>
          </w:hyperlink>
        </w:p>
        <w:p>
          <w:pPr>
            <w:pStyle w:val="Contents3"/>
            <w:tabs>
              <w:tab w:val="clear" w:pos="8459"/>
              <w:tab w:val="right" w:pos="9026" w:leader="dot"/>
            </w:tabs>
            <w:rPr/>
          </w:pPr>
          <w:hyperlink w:anchor="__RefHeading___Toc2819590_1395250215">
            <w:r>
              <w:rPr>
                <w:webHidden/>
                <w:rStyle w:val="IndexLink"/>
                <w:rtl w:val="true"/>
              </w:rPr>
              <w:t>الفصل التاسع</w:t>
            </w:r>
            <w:r>
              <w:rPr>
                <w:rStyle w:val="IndexLink"/>
                <w:rtl w:val="true"/>
              </w:rPr>
              <w:t>:</w:t>
            </w:r>
            <w:r>
              <w:rPr>
                <w:rStyle w:val="IndexLink"/>
                <w:rtl w:val="true"/>
              </w:rPr>
              <w:t>الصفات السلبیّة</w:t>
            </w:r>
            <w:r>
              <w:rPr>
                <w:rStyle w:val="IndexLink"/>
                <w:rtl w:val="true"/>
              </w:rPr>
              <w:tab/>
            </w:r>
            <w:r>
              <w:rPr>
                <w:rStyle w:val="IndexLink"/>
              </w:rPr>
              <w:t>146</w:t>
            </w:r>
          </w:hyperlink>
        </w:p>
        <w:p>
          <w:pPr>
            <w:pStyle w:val="Contents4"/>
            <w:tabs>
              <w:tab w:val="clear" w:pos="8176"/>
              <w:tab w:val="right" w:pos="9026" w:leader="dot"/>
            </w:tabs>
            <w:rPr/>
          </w:pPr>
          <w:hyperlink w:anchor="__RefHeading___Toc2819592_1395250215">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2819594_1395250215">
            <w:r>
              <w:rPr>
                <w:webHidden/>
                <w:rStyle w:val="IndexLink"/>
              </w:rPr>
              <w:t>1</w:t>
            </w:r>
            <w:r>
              <w:rPr>
                <w:rStyle w:val="IndexLink"/>
                <w:rtl w:val="true"/>
              </w:rPr>
              <w:t xml:space="preserve">. </w:t>
            </w:r>
            <w:r>
              <w:rPr>
                <w:rStyle w:val="IndexLink"/>
                <w:rtl w:val="true"/>
              </w:rPr>
              <w:t>لیس بجسم</w:t>
            </w:r>
            <w:r>
              <w:rPr>
                <w:rStyle w:val="IndexLink"/>
                <w:rtl w:val="true"/>
              </w:rPr>
              <w:tab/>
            </w:r>
            <w:r>
              <w:rPr>
                <w:rStyle w:val="IndexLink"/>
              </w:rPr>
              <w:t>147</w:t>
            </w:r>
          </w:hyperlink>
        </w:p>
        <w:p>
          <w:pPr>
            <w:pStyle w:val="Contents4"/>
            <w:tabs>
              <w:tab w:val="clear" w:pos="8176"/>
              <w:tab w:val="right" w:pos="9026" w:leader="dot"/>
            </w:tabs>
            <w:rPr/>
          </w:pPr>
          <w:hyperlink w:anchor="__RefHeading___Toc2819596_1395250215">
            <w:r>
              <w:rPr>
                <w:webHidden/>
                <w:rStyle w:val="IndexLink"/>
              </w:rPr>
              <w:t>2</w:t>
            </w:r>
            <w:r>
              <w:rPr>
                <w:rStyle w:val="IndexLink"/>
                <w:rtl w:val="true"/>
              </w:rPr>
              <w:t xml:space="preserve">. </w:t>
            </w:r>
            <w:r>
              <w:rPr>
                <w:rStyle w:val="IndexLink"/>
                <w:rtl w:val="true"/>
              </w:rPr>
              <w:t>لیس فی جهة</w:t>
            </w:r>
            <w:r>
              <w:rPr>
                <w:rStyle w:val="IndexLink"/>
                <w:rtl w:val="true"/>
              </w:rPr>
              <w:tab/>
            </w:r>
            <w:r>
              <w:rPr>
                <w:rStyle w:val="IndexLink"/>
              </w:rPr>
              <w:t>147</w:t>
            </w:r>
          </w:hyperlink>
        </w:p>
        <w:p>
          <w:pPr>
            <w:pStyle w:val="Contents4"/>
            <w:tabs>
              <w:tab w:val="clear" w:pos="8176"/>
              <w:tab w:val="right" w:pos="9026" w:leader="dot"/>
            </w:tabs>
            <w:rPr/>
          </w:pPr>
          <w:hyperlink w:anchor="__RefHeading___Toc2819598_1395250215">
            <w:r>
              <w:rPr>
                <w:webHidden/>
                <w:rStyle w:val="IndexLink"/>
              </w:rPr>
              <w:t>3</w:t>
            </w:r>
            <w:r>
              <w:rPr>
                <w:rStyle w:val="IndexLink"/>
                <w:rtl w:val="true"/>
              </w:rPr>
              <w:t xml:space="preserve">. </w:t>
            </w:r>
            <w:r>
              <w:rPr>
                <w:rStyle w:val="IndexLink"/>
                <w:rtl w:val="true"/>
              </w:rPr>
              <w:t>لیس حالاً فی شیء</w:t>
            </w:r>
            <w:r>
              <w:rPr>
                <w:rStyle w:val="IndexLink"/>
                <w:rtl w:val="true"/>
              </w:rPr>
              <w:tab/>
            </w:r>
            <w:r>
              <w:rPr>
                <w:rStyle w:val="IndexLink"/>
              </w:rPr>
              <w:t>147</w:t>
            </w:r>
          </w:hyperlink>
        </w:p>
        <w:p>
          <w:pPr>
            <w:pStyle w:val="Contents4"/>
            <w:tabs>
              <w:tab w:val="clear" w:pos="8176"/>
              <w:tab w:val="right" w:pos="9026" w:leader="dot"/>
            </w:tabs>
            <w:rPr/>
          </w:pPr>
          <w:hyperlink w:anchor="__RefHeading___Toc2819600_1395250215">
            <w:r>
              <w:rPr>
                <w:webHidden/>
                <w:rStyle w:val="IndexLink"/>
              </w:rPr>
              <w:t>4</w:t>
            </w:r>
            <w:r>
              <w:rPr>
                <w:rStyle w:val="IndexLink"/>
                <w:rtl w:val="true"/>
              </w:rPr>
              <w:t xml:space="preserve">. </w:t>
            </w:r>
            <w:r>
              <w:rPr>
                <w:rStyle w:val="IndexLink"/>
                <w:rtl w:val="true"/>
              </w:rPr>
              <w:t>لیس متّحداً مع غیره</w:t>
            </w:r>
            <w:r>
              <w:rPr>
                <w:rStyle w:val="IndexLink"/>
                <w:rtl w:val="true"/>
              </w:rPr>
              <w:tab/>
            </w:r>
            <w:r>
              <w:rPr>
                <w:rStyle w:val="IndexLink"/>
              </w:rPr>
              <w:t>148</w:t>
            </w:r>
          </w:hyperlink>
        </w:p>
        <w:p>
          <w:pPr>
            <w:pStyle w:val="Contents4"/>
            <w:tabs>
              <w:tab w:val="clear" w:pos="8176"/>
              <w:tab w:val="right" w:pos="9026" w:leader="dot"/>
            </w:tabs>
            <w:rPr/>
          </w:pPr>
          <w:hyperlink w:anchor="__RefHeading___Toc2819602_1395250215">
            <w:r>
              <w:rPr>
                <w:webHidden/>
                <w:rStyle w:val="IndexLink"/>
              </w:rPr>
              <w:t>5</w:t>
            </w:r>
            <w:r>
              <w:rPr>
                <w:rStyle w:val="IndexLink"/>
                <w:rtl w:val="true"/>
              </w:rPr>
              <w:t xml:space="preserve">. </w:t>
            </w:r>
            <w:r>
              <w:rPr>
                <w:rStyle w:val="IndexLink"/>
                <w:rtl w:val="true"/>
              </w:rPr>
              <w:t>لیس محلّاً للحوادث</w:t>
            </w:r>
            <w:r>
              <w:rPr>
                <w:rStyle w:val="IndexLink"/>
                <w:rtl w:val="true"/>
              </w:rPr>
              <w:tab/>
            </w:r>
            <w:r>
              <w:rPr>
                <w:rStyle w:val="IndexLink"/>
              </w:rPr>
              <w:t>148</w:t>
            </w:r>
          </w:hyperlink>
        </w:p>
        <w:p>
          <w:pPr>
            <w:pStyle w:val="Contents4"/>
            <w:tabs>
              <w:tab w:val="clear" w:pos="8176"/>
              <w:tab w:val="right" w:pos="9026" w:leader="dot"/>
            </w:tabs>
            <w:rPr/>
          </w:pPr>
          <w:hyperlink w:anchor="__RefHeading___Toc2819604_1395250215">
            <w:r>
              <w:rPr>
                <w:webHidden/>
                <w:rStyle w:val="IndexLink"/>
              </w:rPr>
              <w:t>6</w:t>
            </w:r>
            <w:r>
              <w:rPr>
                <w:rStyle w:val="IndexLink"/>
                <w:rtl w:val="true"/>
              </w:rPr>
              <w:t xml:space="preserve">. </w:t>
            </w:r>
            <w:r>
              <w:rPr>
                <w:rStyle w:val="IndexLink"/>
                <w:rtl w:val="true"/>
              </w:rPr>
              <w:t>لا تقوم اللَّذة و الألم بذاته</w:t>
            </w:r>
            <w:r>
              <w:rPr>
                <w:rStyle w:val="IndexLink"/>
                <w:rtl w:val="true"/>
              </w:rPr>
              <w:tab/>
            </w:r>
            <w:r>
              <w:rPr>
                <w:rStyle w:val="IndexLink"/>
              </w:rPr>
              <w:t>149</w:t>
            </w:r>
          </w:hyperlink>
        </w:p>
        <w:p>
          <w:pPr>
            <w:pStyle w:val="Contents3"/>
            <w:tabs>
              <w:tab w:val="clear" w:pos="8459"/>
              <w:tab w:val="right" w:pos="9026" w:leader="dot"/>
            </w:tabs>
            <w:rPr/>
          </w:pPr>
          <w:hyperlink w:anchor="__RefHeading___Toc2819606_1395250215">
            <w:r>
              <w:rPr>
                <w:webHidden/>
                <w:rStyle w:val="IndexLink"/>
                <w:rtl w:val="true"/>
              </w:rPr>
              <w:t>الفصل العاشر</w:t>
            </w:r>
            <w:r>
              <w:rPr>
                <w:rStyle w:val="IndexLink"/>
                <w:rtl w:val="true"/>
              </w:rPr>
              <w:t>:</w:t>
            </w:r>
            <w:r>
              <w:rPr>
                <w:rStyle w:val="IndexLink"/>
                <w:rtl w:val="true"/>
              </w:rPr>
              <w:t>انّه تعالی لیس بمرئیّ</w:t>
            </w:r>
            <w:r>
              <w:rPr>
                <w:rStyle w:val="IndexLink"/>
                <w:rtl w:val="true"/>
              </w:rPr>
              <w:tab/>
            </w:r>
            <w:r>
              <w:rPr>
                <w:rStyle w:val="IndexLink"/>
              </w:rPr>
              <w:t>152</w:t>
            </w:r>
          </w:hyperlink>
        </w:p>
        <w:p>
          <w:pPr>
            <w:pStyle w:val="Contents4"/>
            <w:tabs>
              <w:tab w:val="clear" w:pos="8176"/>
              <w:tab w:val="right" w:pos="9026" w:leader="dot"/>
            </w:tabs>
            <w:rPr/>
          </w:pPr>
          <w:hyperlink w:anchor="__RefHeading___Toc2819608_1395250215">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819610_1395250215">
            <w:r>
              <w:rPr>
                <w:webHidden/>
                <w:rStyle w:val="IndexLink"/>
                <w:rtl w:val="true"/>
              </w:rPr>
              <w:t>ما هو موضوع النزاع؟</w:t>
            </w:r>
            <w:r>
              <w:rPr>
                <w:rStyle w:val="IndexLink"/>
                <w:rtl w:val="true"/>
              </w:rPr>
              <w:tab/>
            </w:r>
            <w:r>
              <w:rPr>
                <w:rStyle w:val="IndexLink"/>
              </w:rPr>
              <w:t>152</w:t>
            </w:r>
          </w:hyperlink>
        </w:p>
        <w:p>
          <w:pPr>
            <w:pStyle w:val="Contents4"/>
            <w:tabs>
              <w:tab w:val="clear" w:pos="8176"/>
              <w:tab w:val="right" w:pos="9026" w:leader="dot"/>
            </w:tabs>
            <w:rPr/>
          </w:pPr>
          <w:hyperlink w:anchor="__RefHeading___Toc2819612_1395250215">
            <w:r>
              <w:rPr>
                <w:webHidden/>
                <w:rStyle w:val="IndexLink"/>
                <w:rtl w:val="true"/>
              </w:rPr>
              <w:t>أدلّة امتناع رؤیته تعالی</w:t>
            </w:r>
            <w:r>
              <w:rPr>
                <w:rStyle w:val="IndexLink"/>
                <w:rtl w:val="true"/>
              </w:rPr>
              <w:tab/>
            </w:r>
            <w:r>
              <w:rPr>
                <w:rStyle w:val="IndexLink"/>
              </w:rPr>
              <w:t>154</w:t>
            </w:r>
          </w:hyperlink>
        </w:p>
        <w:p>
          <w:pPr>
            <w:pStyle w:val="Contents4"/>
            <w:tabs>
              <w:tab w:val="clear" w:pos="8176"/>
              <w:tab w:val="right" w:pos="9026" w:leader="dot"/>
            </w:tabs>
            <w:rPr/>
          </w:pPr>
          <w:hyperlink w:anchor="__RefHeading___Toc2819614_1395250215">
            <w:r>
              <w:rPr>
                <w:webHidden/>
                <w:rStyle w:val="IndexLink"/>
                <w:rtl w:val="true"/>
              </w:rPr>
              <w:t>استدلال المجوّزین بالکتاب العزیز</w:t>
            </w:r>
            <w:r>
              <w:rPr>
                <w:rStyle w:val="IndexLink"/>
                <w:rtl w:val="true"/>
              </w:rPr>
              <w:tab/>
            </w:r>
            <w:r>
              <w:rPr>
                <w:rStyle w:val="IndexLink"/>
              </w:rPr>
              <w:t>156</w:t>
            </w:r>
          </w:hyperlink>
        </w:p>
        <w:p>
          <w:pPr>
            <w:pStyle w:val="Contents4"/>
            <w:tabs>
              <w:tab w:val="clear" w:pos="8176"/>
              <w:tab w:val="right" w:pos="9026" w:leader="dot"/>
            </w:tabs>
            <w:rPr/>
          </w:pPr>
          <w:hyperlink w:anchor="__RefHeading___Toc2819616_1395250215">
            <w:r>
              <w:rPr>
                <w:webHidden/>
                <w:rStyle w:val="IndexLink"/>
                <w:rtl w:val="true"/>
              </w:rPr>
              <w:t>الرؤیة فی روایات اهل البیت علیهم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2819618_1395250215">
            <w:r>
              <w:rPr>
                <w:webHidden/>
                <w:rStyle w:val="IndexLink"/>
                <w:rtl w:val="true"/>
              </w:rPr>
              <w:t>الباب الرابع</w:t>
            </w:r>
            <w:r>
              <w:rPr>
                <w:rStyle w:val="IndexLink"/>
                <w:rtl w:val="true"/>
              </w:rPr>
              <w:t>:</w:t>
            </w:r>
            <w:r>
              <w:rPr>
                <w:rStyle w:val="IndexLink"/>
                <w:rtl w:val="true"/>
              </w:rPr>
              <w:t>فی مباحث العدل و الحکمة</w:t>
            </w:r>
            <w:r>
              <w:rPr>
                <w:rStyle w:val="IndexLink"/>
                <w:rtl w:val="true"/>
              </w:rPr>
              <w:tab/>
            </w:r>
            <w:r>
              <w:rPr>
                <w:rStyle w:val="IndexLink"/>
              </w:rPr>
              <w:t>164</w:t>
            </w:r>
          </w:hyperlink>
        </w:p>
        <w:p>
          <w:pPr>
            <w:pStyle w:val="Contents3"/>
            <w:tabs>
              <w:tab w:val="clear" w:pos="8459"/>
              <w:tab w:val="right" w:pos="9026" w:leader="dot"/>
            </w:tabs>
            <w:rPr/>
          </w:pPr>
          <w:hyperlink w:anchor="__RefHeading___Toc2819620_1395250215">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2819622_1395250215">
            <w:r>
              <w:rPr>
                <w:webHidden/>
                <w:rStyle w:val="IndexLink"/>
                <w:rtl w:val="true"/>
              </w:rPr>
              <w:t>الفصل الأوّل</w:t>
            </w:r>
            <w:r>
              <w:rPr>
                <w:rStyle w:val="IndexLink"/>
                <w:rtl w:val="true"/>
              </w:rPr>
              <w:t>:</w:t>
            </w:r>
            <w:r>
              <w:rPr>
                <w:rStyle w:val="IndexLink"/>
                <w:rtl w:val="true"/>
              </w:rPr>
              <w:t>تعریف الحکمة و العدل و دلائلهما</w:t>
            </w:r>
            <w:r>
              <w:rPr>
                <w:rStyle w:val="IndexLink"/>
                <w:rtl w:val="true"/>
              </w:rPr>
              <w:t>:</w:t>
            </w:r>
            <w:r>
              <w:rPr>
                <w:rStyle w:val="IndexLink"/>
                <w:rtl w:val="true"/>
              </w:rPr>
              <w:t>تعریف الحکمة</w:t>
            </w:r>
            <w:r>
              <w:rPr>
                <w:rStyle w:val="IndexLink"/>
                <w:rtl w:val="true"/>
              </w:rPr>
              <w:tab/>
            </w:r>
            <w:r>
              <w:rPr>
                <w:rStyle w:val="IndexLink"/>
              </w:rPr>
              <w:t>166</w:t>
            </w:r>
          </w:hyperlink>
        </w:p>
        <w:p>
          <w:pPr>
            <w:pStyle w:val="Contents4"/>
            <w:tabs>
              <w:tab w:val="clear" w:pos="8176"/>
              <w:tab w:val="right" w:pos="9026" w:leader="dot"/>
            </w:tabs>
            <w:rPr/>
          </w:pPr>
          <w:hyperlink w:anchor="__RefHeading___Toc2819624_1395250215">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2819626_1395250215">
            <w:r>
              <w:rPr>
                <w:webHidden/>
                <w:rStyle w:val="IndexLink"/>
                <w:rtl w:val="true"/>
              </w:rPr>
              <w:t>تعریف العدل</w:t>
            </w:r>
            <w:r>
              <w:rPr>
                <w:rStyle w:val="IndexLink"/>
                <w:rtl w:val="true"/>
              </w:rPr>
              <w:t>:</w:t>
              <w:tab/>
            </w:r>
            <w:r>
              <w:rPr>
                <w:rStyle w:val="IndexLink"/>
              </w:rPr>
              <w:t>168</w:t>
            </w:r>
          </w:hyperlink>
        </w:p>
        <w:p>
          <w:pPr>
            <w:pStyle w:val="Contents4"/>
            <w:tabs>
              <w:tab w:val="clear" w:pos="8176"/>
              <w:tab w:val="right" w:pos="9026" w:leader="dot"/>
            </w:tabs>
            <w:rPr/>
          </w:pPr>
          <w:hyperlink w:anchor="__RefHeading___Toc2819628_1395250215">
            <w:r>
              <w:rPr>
                <w:webHidden/>
                <w:rStyle w:val="IndexLink"/>
                <w:rtl w:val="true"/>
              </w:rPr>
              <w:t>الملازمة بین الحکمة و العدل</w:t>
            </w:r>
            <w:r>
              <w:rPr>
                <w:rStyle w:val="IndexLink"/>
                <w:rtl w:val="true"/>
              </w:rPr>
              <w:tab/>
            </w:r>
            <w:r>
              <w:rPr>
                <w:rStyle w:val="IndexLink"/>
              </w:rPr>
              <w:t>169</w:t>
            </w:r>
          </w:hyperlink>
        </w:p>
        <w:p>
          <w:pPr>
            <w:pStyle w:val="Contents4"/>
            <w:tabs>
              <w:tab w:val="clear" w:pos="8176"/>
              <w:tab w:val="right" w:pos="9026" w:leader="dot"/>
            </w:tabs>
            <w:rPr/>
          </w:pPr>
          <w:hyperlink w:anchor="__RefHeading___Toc2819630_1395250215">
            <w:r>
              <w:rPr>
                <w:webHidden/>
                <w:rStyle w:val="IndexLink"/>
                <w:rtl w:val="true"/>
              </w:rPr>
              <w:t>دلائل عدله تعالی و حکمته</w:t>
            </w:r>
            <w:r>
              <w:rPr>
                <w:rStyle w:val="IndexLink"/>
                <w:rtl w:val="true"/>
              </w:rPr>
              <w:tab/>
            </w:r>
            <w:r>
              <w:rPr>
                <w:rStyle w:val="IndexLink"/>
              </w:rPr>
              <w:t>170</w:t>
            </w:r>
          </w:hyperlink>
        </w:p>
        <w:p>
          <w:pPr>
            <w:pStyle w:val="Contents3"/>
            <w:tabs>
              <w:tab w:val="clear" w:pos="8459"/>
              <w:tab w:val="right" w:pos="9026" w:leader="dot"/>
            </w:tabs>
            <w:rPr/>
          </w:pPr>
          <w:hyperlink w:anchor="__RefHeading___Toc2819632_1395250215">
            <w:r>
              <w:rPr>
                <w:webHidden/>
                <w:rStyle w:val="IndexLink"/>
                <w:rtl w:val="true"/>
              </w:rPr>
              <w:t>الفصل الثانی</w:t>
            </w:r>
            <w:r>
              <w:rPr>
                <w:rStyle w:val="IndexLink"/>
                <w:rtl w:val="true"/>
              </w:rPr>
              <w:t>:</w:t>
            </w:r>
            <w:r>
              <w:rPr>
                <w:rStyle w:val="IndexLink"/>
                <w:rtl w:val="true"/>
              </w:rPr>
              <w:t>التحسین و التقبیح العقلیان</w:t>
            </w:r>
            <w:r>
              <w:rPr>
                <w:rStyle w:val="IndexLink"/>
                <w:rtl w:val="true"/>
              </w:rPr>
              <w:tab/>
            </w:r>
            <w:r>
              <w:rPr>
                <w:rStyle w:val="IndexLink"/>
              </w:rPr>
              <w:t>174</w:t>
            </w:r>
          </w:hyperlink>
        </w:p>
        <w:p>
          <w:pPr>
            <w:pStyle w:val="Contents4"/>
            <w:tabs>
              <w:tab w:val="clear" w:pos="8176"/>
              <w:tab w:val="right" w:pos="9026" w:leader="dot"/>
            </w:tabs>
            <w:rPr/>
          </w:pPr>
          <w:hyperlink w:anchor="__RefHeading___Toc2819634_1395250215">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819636_1395250215">
            <w:r>
              <w:rPr>
                <w:webHidden/>
                <w:rStyle w:val="IndexLink"/>
                <w:rtl w:val="true"/>
              </w:rPr>
              <w:t>ملاکات الحسن و القبح</w:t>
            </w:r>
            <w:r>
              <w:rPr>
                <w:rStyle w:val="IndexLink"/>
                <w:rtl w:val="true"/>
              </w:rPr>
              <w:tab/>
            </w:r>
            <w:r>
              <w:rPr>
                <w:rStyle w:val="IndexLink"/>
              </w:rPr>
              <w:t>175</w:t>
            </w:r>
          </w:hyperlink>
        </w:p>
        <w:p>
          <w:pPr>
            <w:pStyle w:val="Contents4"/>
            <w:tabs>
              <w:tab w:val="clear" w:pos="8176"/>
              <w:tab w:val="right" w:pos="9026" w:leader="dot"/>
            </w:tabs>
            <w:rPr/>
          </w:pPr>
          <w:hyperlink w:anchor="__RefHeading___Toc2819638_1395250215">
            <w:r>
              <w:rPr>
                <w:webHidden/>
                <w:rStyle w:val="IndexLink"/>
                <w:rtl w:val="true"/>
              </w:rPr>
              <w:t>دلائل المثبتین و النافین</w:t>
            </w:r>
            <w:r>
              <w:rPr>
                <w:rStyle w:val="IndexLink"/>
                <w:rtl w:val="true"/>
              </w:rPr>
              <w:tab/>
            </w:r>
            <w:r>
              <w:rPr>
                <w:rStyle w:val="IndexLink"/>
              </w:rPr>
              <w:t>176</w:t>
            </w:r>
          </w:hyperlink>
        </w:p>
        <w:p>
          <w:pPr>
            <w:pStyle w:val="Contents4"/>
            <w:tabs>
              <w:tab w:val="clear" w:pos="8176"/>
              <w:tab w:val="right" w:pos="9026" w:leader="dot"/>
            </w:tabs>
            <w:rPr/>
          </w:pPr>
          <w:hyperlink w:anchor="__RefHeading___Toc2819640_1395250215">
            <w:r>
              <w:rPr>
                <w:webHidden/>
                <w:rStyle w:val="IndexLink"/>
                <w:rtl w:val="true"/>
              </w:rPr>
              <w:t>التحسین و التقبیح فی الکتاب العزیز</w:t>
            </w:r>
            <w:r>
              <w:rPr>
                <w:rStyle w:val="IndexLink"/>
                <w:rtl w:val="true"/>
              </w:rPr>
              <w:tab/>
            </w:r>
            <w:r>
              <w:rPr>
                <w:rStyle w:val="IndexLink"/>
              </w:rPr>
              <w:t>180</w:t>
            </w:r>
          </w:hyperlink>
        </w:p>
        <w:p>
          <w:pPr>
            <w:pStyle w:val="Contents3"/>
            <w:tabs>
              <w:tab w:val="clear" w:pos="8459"/>
              <w:tab w:val="right" w:pos="9026" w:leader="dot"/>
            </w:tabs>
            <w:rPr/>
          </w:pPr>
          <w:hyperlink w:anchor="__RefHeading___Toc2819642_1395250215">
            <w:r>
              <w:rPr>
                <w:webHidden/>
                <w:rStyle w:val="IndexLink"/>
                <w:rtl w:val="true"/>
              </w:rPr>
              <w:t>الفصل الثالث</w:t>
            </w:r>
            <w:r>
              <w:rPr>
                <w:rStyle w:val="IndexLink"/>
                <w:rtl w:val="true"/>
              </w:rPr>
              <w:t>:</w:t>
            </w:r>
            <w:r>
              <w:rPr>
                <w:rStyle w:val="IndexLink"/>
                <w:rtl w:val="true"/>
              </w:rPr>
              <w:t>أفعال اللّه سبحانه معلَّلة بالغایات</w:t>
            </w:r>
            <w:r>
              <w:rPr>
                <w:rStyle w:val="IndexLink"/>
                <w:rtl w:val="true"/>
              </w:rPr>
              <w:tab/>
            </w:r>
            <w:r>
              <w:rPr>
                <w:rStyle w:val="IndexLink"/>
              </w:rPr>
              <w:t>184</w:t>
            </w:r>
          </w:hyperlink>
        </w:p>
        <w:p>
          <w:pPr>
            <w:pStyle w:val="Contents4"/>
            <w:tabs>
              <w:tab w:val="clear" w:pos="8176"/>
              <w:tab w:val="right" w:pos="9026" w:leader="dot"/>
            </w:tabs>
            <w:rPr/>
          </w:pPr>
          <w:hyperlink w:anchor="__RefHeading___Toc2819644_1395250215">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2819646_1395250215">
            <w:r>
              <w:rPr>
                <w:webHidden/>
                <w:rStyle w:val="IndexLink"/>
                <w:rtl w:val="true"/>
              </w:rPr>
              <w:t>القرآن و أفعاله سبحانه الحکیمة</w:t>
            </w:r>
            <w:r>
              <w:rPr>
                <w:rStyle w:val="IndexLink"/>
                <w:rtl w:val="true"/>
              </w:rPr>
              <w:tab/>
            </w:r>
            <w:r>
              <w:rPr>
                <w:rStyle w:val="IndexLink"/>
              </w:rPr>
              <w:t>185</w:t>
            </w:r>
          </w:hyperlink>
        </w:p>
        <w:p>
          <w:pPr>
            <w:pStyle w:val="Contents4"/>
            <w:tabs>
              <w:tab w:val="clear" w:pos="8176"/>
              <w:tab w:val="right" w:pos="9026" w:leader="dot"/>
            </w:tabs>
            <w:rPr/>
          </w:pPr>
          <w:hyperlink w:anchor="__RefHeading___Toc2819648_1395250215">
            <w:r>
              <w:rPr>
                <w:webHidden/>
                <w:rStyle w:val="IndexLink"/>
                <w:rtl w:val="true"/>
              </w:rPr>
              <w:t>مذهب الحکماء فی أفعاله تعالی</w:t>
            </w:r>
            <w:r>
              <w:rPr>
                <w:rStyle w:val="IndexLink"/>
                <w:rtl w:val="true"/>
              </w:rPr>
              <w:tab/>
            </w:r>
            <w:r>
              <w:rPr>
                <w:rStyle w:val="IndexLink"/>
              </w:rPr>
              <w:t>186</w:t>
            </w:r>
          </w:hyperlink>
        </w:p>
        <w:p>
          <w:pPr>
            <w:pStyle w:val="Contents3"/>
            <w:tabs>
              <w:tab w:val="clear" w:pos="8459"/>
              <w:tab w:val="right" w:pos="9026" w:leader="dot"/>
            </w:tabs>
            <w:rPr/>
          </w:pPr>
          <w:hyperlink w:anchor="__RefHeading___Toc2819650_1395250215">
            <w:r>
              <w:rPr>
                <w:webHidden/>
                <w:rStyle w:val="IndexLink"/>
                <w:rtl w:val="true"/>
              </w:rPr>
              <w:t>الفصل الرابع</w:t>
            </w:r>
            <w:r>
              <w:rPr>
                <w:rStyle w:val="IndexLink"/>
                <w:rtl w:val="true"/>
              </w:rPr>
              <w:t>:</w:t>
            </w:r>
            <w:r>
              <w:rPr>
                <w:rStyle w:val="IndexLink"/>
                <w:rtl w:val="true"/>
              </w:rPr>
              <w:t>المصائب و الشرور و حکمته تعالی</w:t>
            </w:r>
            <w:r>
              <w:rPr>
                <w:rStyle w:val="IndexLink"/>
                <w:rtl w:val="true"/>
              </w:rPr>
              <w:tab/>
            </w:r>
            <w:r>
              <w:rPr>
                <w:rStyle w:val="IndexLink"/>
              </w:rPr>
              <w:t>188</w:t>
            </w:r>
          </w:hyperlink>
        </w:p>
        <w:p>
          <w:pPr>
            <w:pStyle w:val="Contents4"/>
            <w:tabs>
              <w:tab w:val="clear" w:pos="8176"/>
              <w:tab w:val="right" w:pos="9026" w:leader="dot"/>
            </w:tabs>
            <w:rPr/>
          </w:pPr>
          <w:hyperlink w:anchor="__RefHeading___Toc2819652_1395250215">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819654_1395250215">
            <w:r>
              <w:rPr>
                <w:webHidden/>
                <w:rStyle w:val="IndexLink"/>
                <w:rtl w:val="true"/>
              </w:rPr>
              <w:t>الأوّل</w:t>
            </w:r>
            <w:r>
              <w:rPr>
                <w:rStyle w:val="IndexLink"/>
                <w:rtl w:val="true"/>
              </w:rPr>
              <w:t xml:space="preserve">: </w:t>
            </w:r>
            <w:r>
              <w:rPr>
                <w:rStyle w:val="IndexLink"/>
                <w:rtl w:val="true"/>
              </w:rPr>
              <w:t>المصالح النوعیّة راجحة علی المصالح الفردیة</w:t>
            </w:r>
            <w:r>
              <w:rPr>
                <w:rStyle w:val="IndexLink"/>
                <w:rtl w:val="true"/>
              </w:rPr>
              <w:tab/>
            </w:r>
            <w:r>
              <w:rPr>
                <w:rStyle w:val="IndexLink"/>
              </w:rPr>
              <w:t>188</w:t>
            </w:r>
          </w:hyperlink>
        </w:p>
        <w:p>
          <w:pPr>
            <w:pStyle w:val="Contents4"/>
            <w:tabs>
              <w:tab w:val="clear" w:pos="8176"/>
              <w:tab w:val="right" w:pos="9026" w:leader="dot"/>
            </w:tabs>
            <w:rPr/>
          </w:pPr>
          <w:hyperlink w:anchor="__RefHeading___Toc2819656_1395250215">
            <w:r>
              <w:rPr>
                <w:webHidden/>
                <w:rStyle w:val="IndexLink"/>
                <w:rtl w:val="true"/>
              </w:rPr>
              <w:t>الثانی</w:t>
            </w:r>
            <w:r>
              <w:rPr>
                <w:rStyle w:val="IndexLink"/>
                <w:rtl w:val="true"/>
              </w:rPr>
              <w:t xml:space="preserve">: </w:t>
            </w:r>
            <w:r>
              <w:rPr>
                <w:rStyle w:val="IndexLink"/>
                <w:rtl w:val="true"/>
              </w:rPr>
              <w:t>ضآلة علم الإنسان و محدودیته</w:t>
            </w:r>
            <w:r>
              <w:rPr>
                <w:rStyle w:val="IndexLink"/>
                <w:rtl w:val="true"/>
              </w:rPr>
              <w:tab/>
            </w:r>
            <w:r>
              <w:rPr>
                <w:rStyle w:val="IndexLink"/>
              </w:rPr>
              <w:t>189</w:t>
            </w:r>
          </w:hyperlink>
        </w:p>
        <w:p>
          <w:pPr>
            <w:pStyle w:val="Contents4"/>
            <w:tabs>
              <w:tab w:val="clear" w:pos="8176"/>
              <w:tab w:val="right" w:pos="9026" w:leader="dot"/>
            </w:tabs>
            <w:rPr/>
          </w:pPr>
          <w:hyperlink w:anchor="__RefHeading___Toc2819658_1395250215">
            <w:r>
              <w:rPr>
                <w:webHidden/>
                <w:rStyle w:val="IndexLink"/>
                <w:rtl w:val="true"/>
              </w:rPr>
              <w:t>الثالث</w:t>
            </w:r>
            <w:r>
              <w:rPr>
                <w:rStyle w:val="IndexLink"/>
                <w:rtl w:val="true"/>
              </w:rPr>
              <w:t xml:space="preserve">: </w:t>
            </w:r>
            <w:r>
              <w:rPr>
                <w:rStyle w:val="IndexLink"/>
                <w:rtl w:val="true"/>
              </w:rPr>
              <w:t>الغفلة عن القیم الإنسانیة العلیا</w:t>
            </w:r>
            <w:r>
              <w:rPr>
                <w:rStyle w:val="IndexLink"/>
                <w:rtl w:val="true"/>
              </w:rPr>
              <w:tab/>
            </w:r>
            <w:r>
              <w:rPr>
                <w:rStyle w:val="IndexLink"/>
              </w:rPr>
              <w:t>190</w:t>
            </w:r>
          </w:hyperlink>
        </w:p>
        <w:p>
          <w:pPr>
            <w:pStyle w:val="Contents4"/>
            <w:tabs>
              <w:tab w:val="clear" w:pos="8176"/>
              <w:tab w:val="right" w:pos="9026" w:leader="dot"/>
            </w:tabs>
            <w:rPr/>
          </w:pPr>
          <w:hyperlink w:anchor="__RefHeading___Toc2819660_1395250215">
            <w:r>
              <w:rPr>
                <w:webHidden/>
                <w:rStyle w:val="IndexLink"/>
                <w:rtl w:val="true"/>
              </w:rPr>
              <w:t>الرابع</w:t>
            </w:r>
            <w:r>
              <w:rPr>
                <w:rStyle w:val="IndexLink"/>
                <w:rtl w:val="true"/>
              </w:rPr>
              <w:t xml:space="preserve">: </w:t>
            </w:r>
            <w:r>
              <w:rPr>
                <w:rStyle w:val="IndexLink"/>
                <w:rtl w:val="true"/>
              </w:rPr>
              <w:t>المصائب ولیدة الذنوب و المعاصی</w:t>
            </w:r>
            <w:r>
              <w:rPr>
                <w:rStyle w:val="IndexLink"/>
                <w:rtl w:val="true"/>
              </w:rPr>
              <w:tab/>
            </w:r>
            <w:r>
              <w:rPr>
                <w:rStyle w:val="IndexLink"/>
              </w:rPr>
              <w:t>190</w:t>
            </w:r>
          </w:hyperlink>
        </w:p>
        <w:p>
          <w:pPr>
            <w:pStyle w:val="Contents5"/>
            <w:tabs>
              <w:tab w:val="clear" w:pos="7892"/>
              <w:tab w:val="right" w:pos="9026" w:leader="dot"/>
            </w:tabs>
            <w:rPr/>
          </w:pPr>
          <w:hyperlink w:anchor="__RefHeading___Toc2819662_1395250215">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2819664_1395250215">
            <w:r>
              <w:rPr>
                <w:webHidden/>
                <w:rStyle w:val="IndexLink"/>
                <w:rtl w:val="true"/>
              </w:rPr>
              <w:t>الفوائد التربویّة للمصائب</w:t>
            </w:r>
            <w:r>
              <w:rPr>
                <w:rStyle w:val="IndexLink"/>
                <w:rtl w:val="true"/>
              </w:rPr>
              <w:tab/>
            </w:r>
            <w:r>
              <w:rPr>
                <w:rStyle w:val="IndexLink"/>
              </w:rPr>
              <w:t>191</w:t>
            </w:r>
          </w:hyperlink>
        </w:p>
        <w:p>
          <w:pPr>
            <w:pStyle w:val="Contents3"/>
            <w:tabs>
              <w:tab w:val="clear" w:pos="8459"/>
              <w:tab w:val="right" w:pos="9026" w:leader="dot"/>
            </w:tabs>
            <w:rPr/>
          </w:pPr>
          <w:hyperlink w:anchor="__RefHeading___Toc2819666_1395250215">
            <w:r>
              <w:rPr>
                <w:webHidden/>
                <w:rStyle w:val="IndexLink"/>
                <w:rtl w:val="true"/>
              </w:rPr>
              <w:t>الفصل الخامس</w:t>
            </w:r>
            <w:r>
              <w:rPr>
                <w:rStyle w:val="IndexLink"/>
                <w:rtl w:val="true"/>
              </w:rPr>
              <w:t>:</w:t>
            </w:r>
            <w:r>
              <w:rPr>
                <w:rStyle w:val="IndexLink"/>
                <w:rtl w:val="true"/>
              </w:rPr>
              <w:t>التکلیف بما لا یطاق قبیح</w:t>
            </w:r>
            <w:r>
              <w:rPr>
                <w:rStyle w:val="IndexLink"/>
                <w:rtl w:val="true"/>
              </w:rPr>
              <w:tab/>
            </w:r>
            <w:r>
              <w:rPr>
                <w:rStyle w:val="IndexLink"/>
              </w:rPr>
              <w:t>196</w:t>
            </w:r>
          </w:hyperlink>
        </w:p>
        <w:p>
          <w:pPr>
            <w:pStyle w:val="Contents4"/>
            <w:tabs>
              <w:tab w:val="clear" w:pos="8176"/>
              <w:tab w:val="right" w:pos="9026" w:leader="dot"/>
            </w:tabs>
            <w:rPr/>
          </w:pPr>
          <w:hyperlink w:anchor="__RefHeading___Toc2819668_1395250215">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2819670_1395250215">
            <w:r>
              <w:rPr>
                <w:webHidden/>
                <w:rStyle w:val="IndexLink"/>
                <w:rtl w:val="true"/>
              </w:rPr>
              <w:t>الأشاعرة و تجویز التکلیف بما لا یطاق</w:t>
            </w:r>
            <w:r>
              <w:rPr>
                <w:rStyle w:val="IndexLink"/>
                <w:rtl w:val="true"/>
              </w:rPr>
              <w:tab/>
            </w:r>
            <w:r>
              <w:rPr>
                <w:rStyle w:val="IndexLink"/>
              </w:rPr>
              <w:t>197</w:t>
            </w:r>
          </w:hyperlink>
        </w:p>
        <w:p>
          <w:pPr>
            <w:pStyle w:val="Contents3"/>
            <w:tabs>
              <w:tab w:val="clear" w:pos="8459"/>
              <w:tab w:val="right" w:pos="9026" w:leader="dot"/>
            </w:tabs>
            <w:rPr/>
          </w:pPr>
          <w:hyperlink w:anchor="__RefHeading___Toc2819672_1395250215">
            <w:r>
              <w:rPr>
                <w:webHidden/>
                <w:rStyle w:val="IndexLink"/>
                <w:rtl w:val="true"/>
              </w:rPr>
              <w:t>الفصل السادس</w:t>
            </w:r>
            <w:r>
              <w:rPr>
                <w:rStyle w:val="IndexLink"/>
                <w:rtl w:val="true"/>
              </w:rPr>
              <w:t>:</w:t>
            </w:r>
            <w:r>
              <w:rPr>
                <w:rStyle w:val="IndexLink"/>
                <w:rtl w:val="true"/>
              </w:rPr>
              <w:t>وجوب اللطف عند المتکلّمین</w:t>
            </w:r>
            <w:r>
              <w:rPr>
                <w:rStyle w:val="IndexLink"/>
                <w:rtl w:val="true"/>
              </w:rPr>
              <w:tab/>
            </w:r>
            <w:r>
              <w:rPr>
                <w:rStyle w:val="IndexLink"/>
              </w:rPr>
              <w:t>200</w:t>
            </w:r>
          </w:hyperlink>
        </w:p>
        <w:p>
          <w:pPr>
            <w:pStyle w:val="Contents4"/>
            <w:tabs>
              <w:tab w:val="clear" w:pos="8176"/>
              <w:tab w:val="right" w:pos="9026" w:leader="dot"/>
            </w:tabs>
            <w:rPr/>
          </w:pPr>
          <w:hyperlink w:anchor="__RefHeading___Toc2819674_1395250215">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2819676_1395250215">
            <w:r>
              <w:rPr>
                <w:webHidden/>
                <w:rStyle w:val="IndexLink"/>
                <w:rtl w:val="true"/>
              </w:rPr>
              <w:t>برهان وجوب اللطف</w:t>
            </w:r>
            <w:r>
              <w:rPr>
                <w:rStyle w:val="IndexLink"/>
                <w:rtl w:val="true"/>
              </w:rPr>
              <w:tab/>
            </w:r>
            <w:r>
              <w:rPr>
                <w:rStyle w:val="IndexLink"/>
              </w:rPr>
              <w:t>200</w:t>
            </w:r>
          </w:hyperlink>
        </w:p>
        <w:p>
          <w:pPr>
            <w:pStyle w:val="Contents4"/>
            <w:tabs>
              <w:tab w:val="clear" w:pos="8176"/>
              <w:tab w:val="right" w:pos="9026" w:leader="dot"/>
            </w:tabs>
            <w:rPr/>
          </w:pPr>
          <w:hyperlink w:anchor="__RefHeading___Toc2819678_1395250215">
            <w:r>
              <w:rPr>
                <w:webHidden/>
                <w:rStyle w:val="IndexLink"/>
                <w:rtl w:val="true"/>
              </w:rPr>
              <w:t>شروط اللطف</w:t>
            </w:r>
            <w:r>
              <w:rPr>
                <w:rStyle w:val="IndexLink"/>
                <w:rtl w:val="true"/>
              </w:rPr>
              <w:tab/>
            </w:r>
            <w:r>
              <w:rPr>
                <w:rStyle w:val="IndexLink"/>
              </w:rPr>
              <w:t>201</w:t>
            </w:r>
          </w:hyperlink>
        </w:p>
        <w:p>
          <w:pPr>
            <w:pStyle w:val="Contents4"/>
            <w:tabs>
              <w:tab w:val="clear" w:pos="8176"/>
              <w:tab w:val="right" w:pos="9026" w:leader="dot"/>
            </w:tabs>
            <w:rPr/>
          </w:pPr>
          <w:hyperlink w:anchor="__RefHeading___Toc2819680_1395250215">
            <w:r>
              <w:rPr>
                <w:webHidden/>
                <w:rStyle w:val="IndexLink"/>
                <w:rtl w:val="true"/>
              </w:rPr>
              <w:t>أقسام اللطف</w:t>
            </w:r>
            <w:r>
              <w:rPr>
                <w:rStyle w:val="IndexLink"/>
                <w:rtl w:val="true"/>
              </w:rPr>
              <w:tab/>
            </w:r>
            <w:r>
              <w:rPr>
                <w:rStyle w:val="IndexLink"/>
              </w:rPr>
              <w:t>202</w:t>
            </w:r>
          </w:hyperlink>
        </w:p>
        <w:p>
          <w:pPr>
            <w:pStyle w:val="Contents3"/>
            <w:tabs>
              <w:tab w:val="clear" w:pos="8459"/>
              <w:tab w:val="right" w:pos="9026" w:leader="dot"/>
            </w:tabs>
            <w:rPr/>
          </w:pPr>
          <w:hyperlink w:anchor="__RefHeading___Toc2819682_1395250215">
            <w:r>
              <w:rPr>
                <w:webHidden/>
                <w:rStyle w:val="IndexLink"/>
                <w:rtl w:val="true"/>
              </w:rPr>
              <w:t>الفصل السابع</w:t>
            </w:r>
            <w:r>
              <w:rPr>
                <w:rStyle w:val="IndexLink"/>
                <w:rtl w:val="true"/>
              </w:rPr>
              <w:t>:</w:t>
            </w:r>
            <w:r>
              <w:rPr>
                <w:rStyle w:val="IndexLink"/>
                <w:rtl w:val="true"/>
              </w:rPr>
              <w:t>الجبر و الکسب</w:t>
            </w:r>
            <w:r>
              <w:rPr>
                <w:rStyle w:val="IndexLink"/>
                <w:rtl w:val="true"/>
              </w:rPr>
              <w:tab/>
            </w:r>
            <w:r>
              <w:rPr>
                <w:rStyle w:val="IndexLink"/>
              </w:rPr>
              <w:t>204</w:t>
            </w:r>
          </w:hyperlink>
        </w:p>
        <w:p>
          <w:pPr>
            <w:pStyle w:val="Contents4"/>
            <w:tabs>
              <w:tab w:val="clear" w:pos="8176"/>
              <w:tab w:val="right" w:pos="9026" w:leader="dot"/>
            </w:tabs>
            <w:rPr/>
          </w:pPr>
          <w:hyperlink w:anchor="__RefHeading___Toc2819684_1395250215">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2819686_1395250215">
            <w:r>
              <w:rPr>
                <w:webHidden/>
                <w:rStyle w:val="IndexLink"/>
                <w:rtl w:val="true"/>
              </w:rPr>
              <w:t>أ الجبر المحض</w:t>
            </w:r>
            <w:r>
              <w:rPr>
                <w:rStyle w:val="IndexLink"/>
                <w:rtl w:val="true"/>
              </w:rPr>
              <w:tab/>
            </w:r>
            <w:r>
              <w:rPr>
                <w:rStyle w:val="IndexLink"/>
              </w:rPr>
              <w:t>205</w:t>
            </w:r>
          </w:hyperlink>
        </w:p>
        <w:p>
          <w:pPr>
            <w:pStyle w:val="Contents3"/>
            <w:tabs>
              <w:tab w:val="clear" w:pos="8459"/>
              <w:tab w:val="right" w:pos="9026" w:leader="dot"/>
            </w:tabs>
            <w:rPr/>
          </w:pPr>
          <w:hyperlink w:anchor="__RefHeading___Toc2819688_1395250215">
            <w:r>
              <w:rPr>
                <w:webHidden/>
                <w:rStyle w:val="IndexLink"/>
                <w:rtl w:val="true"/>
              </w:rPr>
              <w:t>الفصل الثامن</w:t>
            </w:r>
            <w:r>
              <w:rPr>
                <w:rStyle w:val="IndexLink"/>
                <w:rtl w:val="true"/>
              </w:rPr>
              <w:t>:</w:t>
            </w:r>
            <w:r>
              <w:rPr>
                <w:rStyle w:val="IndexLink"/>
                <w:rtl w:val="true"/>
              </w:rPr>
              <w:t>نظریّة التفویض</w:t>
            </w:r>
            <w:r>
              <w:rPr>
                <w:rStyle w:val="IndexLink"/>
                <w:rtl w:val="true"/>
              </w:rPr>
              <w:tab/>
            </w:r>
            <w:r>
              <w:rPr>
                <w:rStyle w:val="IndexLink"/>
              </w:rPr>
              <w:t>212</w:t>
            </w:r>
          </w:hyperlink>
        </w:p>
        <w:p>
          <w:pPr>
            <w:pStyle w:val="Contents4"/>
            <w:tabs>
              <w:tab w:val="clear" w:pos="8176"/>
              <w:tab w:val="right" w:pos="9026" w:leader="dot"/>
            </w:tabs>
            <w:rPr/>
          </w:pPr>
          <w:hyperlink w:anchor="__RefHeading___Toc2819690_1395250215">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819692_1395250215">
            <w:r>
              <w:rPr>
                <w:webHidden/>
                <w:rStyle w:val="IndexLink"/>
                <w:rtl w:val="true"/>
              </w:rPr>
              <w:t>بطلان التفویض فی الکتاب و السنّة</w:t>
            </w:r>
            <w:r>
              <w:rPr>
                <w:rStyle w:val="IndexLink"/>
                <w:rtl w:val="true"/>
              </w:rPr>
              <w:tab/>
            </w:r>
            <w:r>
              <w:rPr>
                <w:rStyle w:val="IndexLink"/>
              </w:rPr>
              <w:t>215</w:t>
            </w:r>
          </w:hyperlink>
        </w:p>
        <w:p>
          <w:pPr>
            <w:pStyle w:val="Contents3"/>
            <w:tabs>
              <w:tab w:val="clear" w:pos="8459"/>
              <w:tab w:val="right" w:pos="9026" w:leader="dot"/>
            </w:tabs>
            <w:rPr/>
          </w:pPr>
          <w:hyperlink w:anchor="__RefHeading___Toc2819694_1395250215">
            <w:r>
              <w:rPr>
                <w:webHidden/>
                <w:rStyle w:val="IndexLink"/>
                <w:rtl w:val="true"/>
              </w:rPr>
              <w:t>الفصل التاسع</w:t>
            </w:r>
            <w:r>
              <w:rPr>
                <w:rStyle w:val="IndexLink"/>
                <w:rtl w:val="true"/>
              </w:rPr>
              <w:t>:</w:t>
            </w:r>
            <w:r>
              <w:rPr>
                <w:rStyle w:val="IndexLink"/>
                <w:rtl w:val="true"/>
              </w:rPr>
              <w:t>الأمر بین الأمرین</w:t>
            </w:r>
            <w:r>
              <w:rPr>
                <w:rStyle w:val="IndexLink"/>
                <w:rtl w:val="true"/>
              </w:rPr>
              <w:tab/>
            </w:r>
            <w:r>
              <w:rPr>
                <w:rStyle w:val="IndexLink"/>
              </w:rPr>
              <w:t>218</w:t>
            </w:r>
          </w:hyperlink>
        </w:p>
        <w:p>
          <w:pPr>
            <w:pStyle w:val="Contents4"/>
            <w:tabs>
              <w:tab w:val="clear" w:pos="8176"/>
              <w:tab w:val="right" w:pos="9026" w:leader="dot"/>
            </w:tabs>
            <w:rPr/>
          </w:pPr>
          <w:hyperlink w:anchor="__RefHeading___Toc2819696_1395250215">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2819698_1395250215">
            <w:r>
              <w:rPr>
                <w:webHidden/>
                <w:rStyle w:val="IndexLink"/>
              </w:rPr>
              <w:t>1</w:t>
            </w:r>
            <w:r>
              <w:rPr>
                <w:rStyle w:val="IndexLink"/>
                <w:rtl w:val="true"/>
              </w:rPr>
              <w:t xml:space="preserve">. </w:t>
            </w:r>
            <w:r>
              <w:rPr>
                <w:rStyle w:val="IndexLink"/>
                <w:rtl w:val="true"/>
              </w:rPr>
              <w:t>وجود المعلول عین الربط بوجود علّته</w:t>
            </w:r>
            <w:r>
              <w:rPr>
                <w:rStyle w:val="IndexLink"/>
                <w:rtl w:val="true"/>
              </w:rPr>
              <w:tab/>
            </w:r>
            <w:r>
              <w:rPr>
                <w:rStyle w:val="IndexLink"/>
              </w:rPr>
              <w:t>218</w:t>
            </w:r>
          </w:hyperlink>
        </w:p>
        <w:p>
          <w:pPr>
            <w:pStyle w:val="Contents4"/>
            <w:tabs>
              <w:tab w:val="clear" w:pos="8176"/>
              <w:tab w:val="right" w:pos="9026" w:leader="dot"/>
            </w:tabs>
            <w:rPr/>
          </w:pPr>
          <w:hyperlink w:anchor="__RefHeading___Toc2819700_1395250215">
            <w:r>
              <w:rPr>
                <w:webHidden/>
                <w:rStyle w:val="IndexLink"/>
              </w:rPr>
              <w:t>2</w:t>
            </w:r>
            <w:r>
              <w:rPr>
                <w:rStyle w:val="IndexLink"/>
                <w:rtl w:val="true"/>
              </w:rPr>
              <w:t xml:space="preserve">. </w:t>
            </w:r>
            <w:r>
              <w:rPr>
                <w:rStyle w:val="IndexLink"/>
                <w:rtl w:val="true"/>
              </w:rPr>
              <w:t>وحدة حقیقة الوجود تلازم عمومیّة التأثیر</w:t>
            </w:r>
            <w:r>
              <w:rPr>
                <w:rStyle w:val="IndexLink"/>
                <w:rtl w:val="true"/>
              </w:rPr>
              <w:tab/>
            </w:r>
            <w:r>
              <w:rPr>
                <w:rStyle w:val="IndexLink"/>
              </w:rPr>
              <w:t>219</w:t>
            </w:r>
          </w:hyperlink>
        </w:p>
        <w:p>
          <w:pPr>
            <w:pStyle w:val="Contents4"/>
            <w:tabs>
              <w:tab w:val="clear" w:pos="8176"/>
              <w:tab w:val="right" w:pos="9026" w:leader="dot"/>
            </w:tabs>
            <w:rPr/>
          </w:pPr>
          <w:hyperlink w:anchor="__RefHeading___Toc2819702_1395250215">
            <w:r>
              <w:rPr>
                <w:webHidden/>
                <w:rStyle w:val="IndexLink"/>
                <w:rtl w:val="true"/>
              </w:rPr>
              <w:t>الأمر بین الأمرین فی الکتاب و السنّة</w:t>
            </w:r>
            <w:r>
              <w:rPr>
                <w:rStyle w:val="IndexLink"/>
                <w:rtl w:val="true"/>
              </w:rPr>
              <w:tab/>
            </w:r>
            <w:r>
              <w:rPr>
                <w:rStyle w:val="IndexLink"/>
              </w:rPr>
              <w:t>222</w:t>
            </w:r>
          </w:hyperlink>
        </w:p>
        <w:p>
          <w:pPr>
            <w:pStyle w:val="Contents3"/>
            <w:tabs>
              <w:tab w:val="clear" w:pos="8459"/>
              <w:tab w:val="right" w:pos="9026" w:leader="dot"/>
            </w:tabs>
            <w:rPr/>
          </w:pPr>
          <w:hyperlink w:anchor="__RefHeading___Toc2819704_1395250215">
            <w:r>
              <w:rPr>
                <w:webHidden/>
                <w:rStyle w:val="IndexLink"/>
                <w:rtl w:val="true"/>
              </w:rPr>
              <w:t>الفصل العاشر</w:t>
            </w:r>
            <w:r>
              <w:rPr>
                <w:rStyle w:val="IndexLink"/>
                <w:rtl w:val="true"/>
              </w:rPr>
              <w:t>:</w:t>
            </w:r>
            <w:r>
              <w:rPr>
                <w:rStyle w:val="IndexLink"/>
                <w:rtl w:val="true"/>
              </w:rPr>
              <w:t>شبهات و ردود</w:t>
            </w:r>
            <w:r>
              <w:rPr>
                <w:rStyle w:val="IndexLink"/>
                <w:rtl w:val="true"/>
              </w:rPr>
              <w:tab/>
            </w:r>
            <w:r>
              <w:rPr>
                <w:rStyle w:val="IndexLink"/>
              </w:rPr>
              <w:t>226</w:t>
            </w:r>
          </w:hyperlink>
        </w:p>
        <w:p>
          <w:pPr>
            <w:pStyle w:val="Contents4"/>
            <w:tabs>
              <w:tab w:val="clear" w:pos="8176"/>
              <w:tab w:val="right" w:pos="9026" w:leader="dot"/>
            </w:tabs>
            <w:rPr/>
          </w:pPr>
          <w:hyperlink w:anchor="__RefHeading___Toc2819706_1395250215">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819708_1395250215">
            <w:r>
              <w:rPr>
                <w:webHidden/>
                <w:rStyle w:val="IndexLink"/>
              </w:rPr>
              <w:t>1</w:t>
            </w:r>
            <w:r>
              <w:rPr>
                <w:rStyle w:val="IndexLink"/>
                <w:rtl w:val="true"/>
              </w:rPr>
              <w:t xml:space="preserve">. </w:t>
            </w:r>
            <w:r>
              <w:rPr>
                <w:rStyle w:val="IndexLink"/>
                <w:rtl w:val="true"/>
              </w:rPr>
              <w:t>علم اللّه الأزلی</w:t>
            </w:r>
            <w:r>
              <w:rPr>
                <w:rStyle w:val="IndexLink"/>
                <w:rtl w:val="true"/>
              </w:rPr>
              <w:tab/>
            </w:r>
            <w:r>
              <w:rPr>
                <w:rStyle w:val="IndexLink"/>
              </w:rPr>
              <w:t>226</w:t>
            </w:r>
          </w:hyperlink>
        </w:p>
        <w:p>
          <w:pPr>
            <w:pStyle w:val="Contents4"/>
            <w:tabs>
              <w:tab w:val="clear" w:pos="8176"/>
              <w:tab w:val="right" w:pos="9026" w:leader="dot"/>
            </w:tabs>
            <w:rPr/>
          </w:pPr>
          <w:hyperlink w:anchor="__RefHeading___Toc2819710_1395250215">
            <w:r>
              <w:rPr>
                <w:webHidden/>
                <w:rStyle w:val="IndexLink"/>
              </w:rPr>
              <w:t>2</w:t>
            </w:r>
            <w:r>
              <w:rPr>
                <w:rStyle w:val="IndexLink"/>
                <w:rtl w:val="true"/>
              </w:rPr>
              <w:t xml:space="preserve">. </w:t>
            </w:r>
            <w:r>
              <w:rPr>
                <w:rStyle w:val="IndexLink"/>
                <w:rtl w:val="true"/>
              </w:rPr>
              <w:t>إرادة اللّه الأزلیة</w:t>
            </w:r>
            <w:r>
              <w:rPr>
                <w:rStyle w:val="IndexLink"/>
                <w:rtl w:val="true"/>
              </w:rPr>
              <w:tab/>
            </w:r>
            <w:r>
              <w:rPr>
                <w:rStyle w:val="IndexLink"/>
              </w:rPr>
              <w:t>227</w:t>
            </w:r>
          </w:hyperlink>
        </w:p>
        <w:p>
          <w:pPr>
            <w:pStyle w:val="Contents4"/>
            <w:tabs>
              <w:tab w:val="clear" w:pos="8176"/>
              <w:tab w:val="right" w:pos="9026" w:leader="dot"/>
            </w:tabs>
            <w:rPr/>
          </w:pPr>
          <w:hyperlink w:anchor="__RefHeading___Toc2819712_1395250215">
            <w:r>
              <w:rPr>
                <w:webHidden/>
                <w:rStyle w:val="IndexLink"/>
              </w:rPr>
              <w:t>3</w:t>
            </w:r>
            <w:r>
              <w:rPr>
                <w:rStyle w:val="IndexLink"/>
                <w:rtl w:val="true"/>
              </w:rPr>
              <w:t xml:space="preserve">. </w:t>
            </w:r>
            <w:r>
              <w:rPr>
                <w:rStyle w:val="IndexLink"/>
                <w:rtl w:val="true"/>
              </w:rPr>
              <w:t>لزوم الفعل مع المرجِّح الخارج عن الاختیار</w:t>
            </w:r>
            <w:r>
              <w:rPr>
                <w:rStyle w:val="IndexLink"/>
                <w:rtl w:val="true"/>
              </w:rPr>
              <w:tab/>
            </w:r>
            <w:r>
              <w:rPr>
                <w:rStyle w:val="IndexLink"/>
              </w:rPr>
              <w:t>228</w:t>
            </w:r>
          </w:hyperlink>
        </w:p>
        <w:p>
          <w:pPr>
            <w:pStyle w:val="Contents4"/>
            <w:tabs>
              <w:tab w:val="clear" w:pos="8176"/>
              <w:tab w:val="right" w:pos="9026" w:leader="dot"/>
            </w:tabs>
            <w:rPr/>
          </w:pPr>
          <w:hyperlink w:anchor="__RefHeading___Toc2819714_1395250215">
            <w:r>
              <w:rPr>
                <w:webHidden/>
                <w:rStyle w:val="IndexLink"/>
              </w:rPr>
              <w:t>4</w:t>
            </w:r>
            <w:r>
              <w:rPr>
                <w:rStyle w:val="IndexLink"/>
                <w:rtl w:val="true"/>
              </w:rPr>
              <w:t xml:space="preserve">. </w:t>
            </w:r>
            <w:r>
              <w:rPr>
                <w:rStyle w:val="IndexLink"/>
                <w:rtl w:val="true"/>
              </w:rPr>
              <w:t>التکلیف بمعرفة اللّه تکلیف بالمحال</w:t>
            </w:r>
            <w:r>
              <w:rPr>
                <w:rStyle w:val="IndexLink"/>
                <w:rtl w:val="true"/>
              </w:rPr>
              <w:tab/>
            </w:r>
            <w:r>
              <w:rPr>
                <w:rStyle w:val="IndexLink"/>
              </w:rPr>
              <w:t>229</w:t>
            </w:r>
          </w:hyperlink>
        </w:p>
        <w:p>
          <w:pPr>
            <w:pStyle w:val="Contents4"/>
            <w:tabs>
              <w:tab w:val="clear" w:pos="8176"/>
              <w:tab w:val="right" w:pos="9026" w:leader="dot"/>
            </w:tabs>
            <w:rPr/>
          </w:pPr>
          <w:hyperlink w:anchor="__RefHeading___Toc2819716_1395250215">
            <w:r>
              <w:rPr>
                <w:webHidden/>
                <w:rStyle w:val="IndexLink"/>
              </w:rPr>
              <w:t>5</w:t>
            </w:r>
            <w:r>
              <w:rPr>
                <w:rStyle w:val="IndexLink"/>
                <w:rtl w:val="true"/>
              </w:rPr>
              <w:t xml:space="preserve">. </w:t>
            </w:r>
            <w:r>
              <w:rPr>
                <w:rStyle w:val="IndexLink"/>
                <w:rtl w:val="true"/>
              </w:rPr>
              <w:t>لا یوجد الشیء إلّا بالوجوب السابق علیه</w:t>
            </w:r>
            <w:r>
              <w:rPr>
                <w:rStyle w:val="IndexLink"/>
                <w:rtl w:val="true"/>
              </w:rPr>
              <w:tab/>
            </w:r>
            <w:r>
              <w:rPr>
                <w:rStyle w:val="IndexLink"/>
              </w:rPr>
              <w:t>230</w:t>
            </w:r>
          </w:hyperlink>
        </w:p>
        <w:p>
          <w:pPr>
            <w:pStyle w:val="Contents3"/>
            <w:tabs>
              <w:tab w:val="clear" w:pos="8459"/>
              <w:tab w:val="right" w:pos="9026" w:leader="dot"/>
            </w:tabs>
            <w:rPr/>
          </w:pPr>
          <w:hyperlink w:anchor="__RefHeading___Toc2819718_1395250215">
            <w:r>
              <w:rPr>
                <w:webHidden/>
                <w:rStyle w:val="IndexLink"/>
                <w:rtl w:val="true"/>
              </w:rPr>
              <w:t>الفصل الحادی عشر</w:t>
            </w:r>
            <w:r>
              <w:rPr>
                <w:rStyle w:val="IndexLink"/>
                <w:rtl w:val="true"/>
              </w:rPr>
              <w:t>:</w:t>
            </w:r>
            <w:r>
              <w:rPr>
                <w:rStyle w:val="IndexLink"/>
                <w:rtl w:val="true"/>
              </w:rPr>
              <w:t>القضاء و القدر</w:t>
            </w:r>
            <w:r>
              <w:rPr>
                <w:rStyle w:val="IndexLink"/>
                <w:rtl w:val="true"/>
              </w:rPr>
              <w:tab/>
            </w:r>
            <w:r>
              <w:rPr>
                <w:rStyle w:val="IndexLink"/>
              </w:rPr>
              <w:t>232</w:t>
            </w:r>
          </w:hyperlink>
        </w:p>
        <w:p>
          <w:pPr>
            <w:pStyle w:val="Contents4"/>
            <w:tabs>
              <w:tab w:val="clear" w:pos="8176"/>
              <w:tab w:val="right" w:pos="9026" w:leader="dot"/>
            </w:tabs>
            <w:rPr/>
          </w:pPr>
          <w:hyperlink w:anchor="__RefHeading___Toc2819720_1395250215">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2819722_1395250215">
            <w:r>
              <w:rPr>
                <w:webHidden/>
                <w:rStyle w:val="IndexLink"/>
              </w:rPr>
              <w:t>1</w:t>
            </w:r>
            <w:r>
              <w:rPr>
                <w:rStyle w:val="IndexLink"/>
                <w:rtl w:val="true"/>
              </w:rPr>
              <w:t xml:space="preserve">. </w:t>
            </w:r>
            <w:r>
              <w:rPr>
                <w:rStyle w:val="IndexLink"/>
                <w:rtl w:val="true"/>
              </w:rPr>
              <w:t>تعریف القضاء و القدر</w:t>
            </w:r>
            <w:r>
              <w:rPr>
                <w:rStyle w:val="IndexLink"/>
                <w:rtl w:val="true"/>
              </w:rPr>
              <w:tab/>
            </w:r>
            <w:r>
              <w:rPr>
                <w:rStyle w:val="IndexLink"/>
              </w:rPr>
              <w:t>232</w:t>
            </w:r>
          </w:hyperlink>
        </w:p>
        <w:p>
          <w:pPr>
            <w:pStyle w:val="Contents4"/>
            <w:tabs>
              <w:tab w:val="clear" w:pos="8176"/>
              <w:tab w:val="right" w:pos="9026" w:leader="dot"/>
            </w:tabs>
            <w:rPr/>
          </w:pPr>
          <w:hyperlink w:anchor="__RefHeading___Toc2819724_1395250215">
            <w:r>
              <w:rPr>
                <w:webHidden/>
                <w:rStyle w:val="IndexLink"/>
              </w:rPr>
              <w:t>2</w:t>
            </w:r>
            <w:r>
              <w:rPr>
                <w:rStyle w:val="IndexLink"/>
                <w:rtl w:val="true"/>
              </w:rPr>
              <w:t xml:space="preserve">. </w:t>
            </w:r>
            <w:r>
              <w:rPr>
                <w:rStyle w:val="IndexLink"/>
                <w:rtl w:val="true"/>
              </w:rPr>
              <w:t>القضاء و القدر التشریعیان</w:t>
            </w:r>
            <w:r>
              <w:rPr>
                <w:rStyle w:val="IndexLink"/>
                <w:rtl w:val="true"/>
              </w:rPr>
              <w:tab/>
            </w:r>
            <w:r>
              <w:rPr>
                <w:rStyle w:val="IndexLink"/>
              </w:rPr>
              <w:t>233</w:t>
            </w:r>
          </w:hyperlink>
        </w:p>
        <w:p>
          <w:pPr>
            <w:pStyle w:val="Contents4"/>
            <w:tabs>
              <w:tab w:val="clear" w:pos="8176"/>
              <w:tab w:val="right" w:pos="9026" w:leader="dot"/>
            </w:tabs>
            <w:rPr/>
          </w:pPr>
          <w:hyperlink w:anchor="__RefHeading___Toc2819726_1395250215">
            <w:r>
              <w:rPr>
                <w:webHidden/>
                <w:rStyle w:val="IndexLink"/>
              </w:rPr>
              <w:t>3</w:t>
            </w:r>
            <w:r>
              <w:rPr>
                <w:rStyle w:val="IndexLink"/>
                <w:rtl w:val="true"/>
              </w:rPr>
              <w:t xml:space="preserve">. </w:t>
            </w:r>
            <w:r>
              <w:rPr>
                <w:rStyle w:val="IndexLink"/>
                <w:rtl w:val="true"/>
              </w:rPr>
              <w:t>القضاء و القدر العلمیّان</w:t>
            </w:r>
            <w:r>
              <w:rPr>
                <w:rStyle w:val="IndexLink"/>
                <w:rtl w:val="true"/>
              </w:rPr>
              <w:tab/>
            </w:r>
            <w:r>
              <w:rPr>
                <w:rStyle w:val="IndexLink"/>
              </w:rPr>
              <w:t>234</w:t>
            </w:r>
          </w:hyperlink>
        </w:p>
        <w:p>
          <w:pPr>
            <w:pStyle w:val="Contents4"/>
            <w:tabs>
              <w:tab w:val="clear" w:pos="8176"/>
              <w:tab w:val="right" w:pos="9026" w:leader="dot"/>
            </w:tabs>
            <w:rPr/>
          </w:pPr>
          <w:hyperlink w:anchor="__RefHeading___Toc2819728_1395250215">
            <w:r>
              <w:rPr>
                <w:webHidden/>
                <w:rStyle w:val="IndexLink"/>
              </w:rPr>
              <w:t>4</w:t>
            </w:r>
            <w:r>
              <w:rPr>
                <w:rStyle w:val="IndexLink"/>
                <w:rtl w:val="true"/>
              </w:rPr>
              <w:t xml:space="preserve">. </w:t>
            </w:r>
            <w:r>
              <w:rPr>
                <w:rStyle w:val="IndexLink"/>
                <w:rtl w:val="true"/>
              </w:rPr>
              <w:t>القضاء و القدر العینیان</w:t>
            </w:r>
            <w:r>
              <w:rPr>
                <w:rStyle w:val="IndexLink"/>
                <w:rtl w:val="true"/>
              </w:rPr>
              <w:tab/>
            </w:r>
            <w:r>
              <w:rPr>
                <w:rStyle w:val="IndexLink"/>
              </w:rPr>
              <w:t>235</w:t>
            </w:r>
          </w:hyperlink>
        </w:p>
        <w:p>
          <w:pPr>
            <w:pStyle w:val="Contents3"/>
            <w:tabs>
              <w:tab w:val="clear" w:pos="8459"/>
              <w:tab w:val="right" w:pos="9026" w:leader="dot"/>
            </w:tabs>
            <w:rPr/>
          </w:pPr>
          <w:hyperlink w:anchor="__RefHeading___Toc2819730_1395250215">
            <w:r>
              <w:rPr>
                <w:webHidden/>
                <w:rStyle w:val="IndexLink"/>
                <w:rtl w:val="true"/>
              </w:rPr>
              <w:t>الفصل الثانی عشر</w:t>
            </w:r>
            <w:r>
              <w:rPr>
                <w:rStyle w:val="IndexLink"/>
                <w:rtl w:val="true"/>
              </w:rPr>
              <w:t>:</w:t>
            </w:r>
            <w:r>
              <w:rPr>
                <w:rStyle w:val="IndexLink"/>
                <w:rtl w:val="true"/>
              </w:rPr>
              <w:t>فی حقیقة البداء</w:t>
            </w:r>
            <w:r>
              <w:rPr>
                <w:rStyle w:val="IndexLink"/>
                <w:rtl w:val="true"/>
              </w:rPr>
              <w:tab/>
            </w:r>
            <w:r>
              <w:rPr>
                <w:rStyle w:val="IndexLink"/>
              </w:rPr>
              <w:t>240</w:t>
            </w:r>
          </w:hyperlink>
        </w:p>
        <w:p>
          <w:pPr>
            <w:pStyle w:val="Contents4"/>
            <w:tabs>
              <w:tab w:val="clear" w:pos="8176"/>
              <w:tab w:val="right" w:pos="9026" w:leader="dot"/>
            </w:tabs>
            <w:rPr/>
          </w:pPr>
          <w:hyperlink w:anchor="__RefHeading___Toc2819732_1395250215">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2819734_1395250215">
            <w:r>
              <w:rPr>
                <w:webHidden/>
                <w:rStyle w:val="IndexLink"/>
                <w:rtl w:val="true"/>
              </w:rPr>
              <w:t>حقیقة البداء عند الإمامیّة</w:t>
            </w:r>
            <w:r>
              <w:rPr>
                <w:rStyle w:val="IndexLink"/>
                <w:rtl w:val="true"/>
              </w:rPr>
              <w:tab/>
            </w:r>
            <w:r>
              <w:rPr>
                <w:rStyle w:val="IndexLink"/>
              </w:rPr>
              <w:t>241</w:t>
            </w:r>
          </w:hyperlink>
        </w:p>
        <w:p>
          <w:pPr>
            <w:pStyle w:val="Contents2"/>
            <w:tabs>
              <w:tab w:val="clear" w:pos="8743"/>
              <w:tab w:val="right" w:pos="9026" w:leader="dot"/>
            </w:tabs>
            <w:rPr/>
          </w:pPr>
          <w:hyperlink w:anchor="__RefHeading___Toc2819736_1395250215">
            <w:r>
              <w:rPr>
                <w:webHidden/>
                <w:rStyle w:val="IndexLink"/>
                <w:rtl w:val="true"/>
              </w:rPr>
              <w:t>الباب الخامس فی النبوّة العامّة و فیه خمسة فصول</w:t>
            </w:r>
            <w:r>
              <w:rPr>
                <w:rStyle w:val="IndexLink"/>
                <w:rtl w:val="true"/>
              </w:rPr>
              <w:t>:</w:t>
              <w:tab/>
            </w:r>
            <w:r>
              <w:rPr>
                <w:rStyle w:val="IndexLink"/>
              </w:rPr>
              <w:t>254</w:t>
            </w:r>
          </w:hyperlink>
        </w:p>
        <w:p>
          <w:pPr>
            <w:pStyle w:val="Contents3"/>
            <w:tabs>
              <w:tab w:val="clear" w:pos="8459"/>
              <w:tab w:val="right" w:pos="9026" w:leader="dot"/>
            </w:tabs>
            <w:rPr/>
          </w:pPr>
          <w:hyperlink w:anchor="__RefHeading___Toc2819738_1395250215">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2819740_1395250215">
            <w:r>
              <w:rPr>
                <w:webHidden/>
                <w:rStyle w:val="IndexLink"/>
                <w:rtl w:val="true"/>
              </w:rPr>
              <w:t>مقدمة</w:t>
            </w:r>
            <w:r>
              <w:rPr>
                <w:rStyle w:val="IndexLink"/>
                <w:rtl w:val="true"/>
              </w:rPr>
              <w:t>:</w:t>
              <w:tab/>
            </w:r>
            <w:r>
              <w:rPr>
                <w:rStyle w:val="IndexLink"/>
              </w:rPr>
              <w:t>256</w:t>
            </w:r>
          </w:hyperlink>
        </w:p>
        <w:p>
          <w:pPr>
            <w:pStyle w:val="Contents3"/>
            <w:tabs>
              <w:tab w:val="clear" w:pos="8459"/>
              <w:tab w:val="right" w:pos="9026" w:leader="dot"/>
            </w:tabs>
            <w:rPr/>
          </w:pPr>
          <w:hyperlink w:anchor="__RefHeading___Toc2819742_1395250215">
            <w:r>
              <w:rPr>
                <w:webHidden/>
                <w:rStyle w:val="IndexLink"/>
                <w:rtl w:val="true"/>
              </w:rPr>
              <w:t>الفصل الأوّل</w:t>
            </w:r>
            <w:r>
              <w:rPr>
                <w:rStyle w:val="IndexLink"/>
                <w:rtl w:val="true"/>
              </w:rPr>
              <w:t>:</w:t>
            </w:r>
            <w:r>
              <w:rPr>
                <w:rStyle w:val="IndexLink"/>
                <w:rtl w:val="true"/>
              </w:rPr>
              <w:t>أدلّة لزوم البعثة</w:t>
            </w:r>
            <w:r>
              <w:rPr>
                <w:rStyle w:val="IndexLink"/>
                <w:rtl w:val="true"/>
              </w:rPr>
              <w:t>:</w:t>
              <w:tab/>
            </w:r>
            <w:r>
              <w:rPr>
                <w:rStyle w:val="IndexLink"/>
              </w:rPr>
              <w:t>258</w:t>
            </w:r>
          </w:hyperlink>
        </w:p>
        <w:p>
          <w:pPr>
            <w:pStyle w:val="Contents4"/>
            <w:tabs>
              <w:tab w:val="clear" w:pos="8176"/>
              <w:tab w:val="right" w:pos="9026" w:leader="dot"/>
            </w:tabs>
            <w:rPr/>
          </w:pPr>
          <w:hyperlink w:anchor="__RefHeading___Toc2819744_1395250215">
            <w:r>
              <w:rPr>
                <w:webHidden/>
                <w:rStyle w:val="IndexLink"/>
              </w:rPr>
              <w:t>1</w:t>
            </w:r>
            <w:r>
              <w:rPr>
                <w:rStyle w:val="IndexLink"/>
                <w:rtl w:val="true"/>
              </w:rPr>
              <w:t xml:space="preserve">. </w:t>
            </w:r>
            <w:r>
              <w:rPr>
                <w:rStyle w:val="IndexLink"/>
                <w:rtl w:val="true"/>
              </w:rPr>
              <w:t>حاجة المجتمع إلی القانون الکامل</w:t>
            </w:r>
            <w:r>
              <w:rPr>
                <w:rStyle w:val="IndexLink"/>
                <w:rtl w:val="true"/>
              </w:rPr>
              <w:tab/>
            </w:r>
            <w:r>
              <w:rPr>
                <w:rStyle w:val="IndexLink"/>
              </w:rPr>
              <w:t>258</w:t>
            </w:r>
          </w:hyperlink>
        </w:p>
        <w:p>
          <w:pPr>
            <w:pStyle w:val="Contents4"/>
            <w:tabs>
              <w:tab w:val="clear" w:pos="8176"/>
              <w:tab w:val="right" w:pos="9026" w:leader="dot"/>
            </w:tabs>
            <w:rPr/>
          </w:pPr>
          <w:hyperlink w:anchor="__RefHeading___Toc2819746_1395250215">
            <w:r>
              <w:rPr>
                <w:webHidden/>
                <w:rStyle w:val="IndexLink"/>
              </w:rPr>
              <w:t>2</w:t>
            </w:r>
            <w:r>
              <w:rPr>
                <w:rStyle w:val="IndexLink"/>
                <w:rtl w:val="true"/>
              </w:rPr>
              <w:t xml:space="preserve">. </w:t>
            </w:r>
            <w:r>
              <w:rPr>
                <w:rStyle w:val="IndexLink"/>
                <w:rtl w:val="true"/>
              </w:rPr>
              <w:t>حاجة الانسان إلی المعارف العالیة</w:t>
            </w:r>
            <w:r>
              <w:rPr>
                <w:rStyle w:val="IndexLink"/>
                <w:rtl w:val="true"/>
              </w:rPr>
              <w:tab/>
            </w:r>
            <w:r>
              <w:rPr>
                <w:rStyle w:val="IndexLink"/>
              </w:rPr>
              <w:t>260</w:t>
            </w:r>
          </w:hyperlink>
        </w:p>
        <w:p>
          <w:pPr>
            <w:pStyle w:val="Contents3"/>
            <w:tabs>
              <w:tab w:val="clear" w:pos="8459"/>
              <w:tab w:val="right" w:pos="9026" w:leader="dot"/>
            </w:tabs>
            <w:rPr/>
          </w:pPr>
          <w:hyperlink w:anchor="__RefHeading___Toc2819748_1395250215">
            <w:r>
              <w:rPr>
                <w:webHidden/>
                <w:rStyle w:val="IndexLink"/>
                <w:rtl w:val="true"/>
              </w:rPr>
              <w:t>الفصل الثانی</w:t>
            </w:r>
            <w:r>
              <w:rPr>
                <w:rStyle w:val="IndexLink"/>
                <w:rtl w:val="true"/>
              </w:rPr>
              <w:t>:</w:t>
            </w:r>
            <w:r>
              <w:rPr>
                <w:rStyle w:val="IndexLink"/>
                <w:rtl w:val="true"/>
              </w:rPr>
              <w:t>أدلّة منکری بعثة الأنبیاء</w:t>
            </w:r>
            <w:r>
              <w:rPr>
                <w:rStyle w:val="IndexLink"/>
                <w:rtl w:val="true"/>
              </w:rPr>
              <w:tab/>
            </w:r>
            <w:r>
              <w:rPr>
                <w:rStyle w:val="IndexLink"/>
              </w:rPr>
              <w:t>264</w:t>
            </w:r>
          </w:hyperlink>
        </w:p>
        <w:p>
          <w:pPr>
            <w:pStyle w:val="Contents4"/>
            <w:tabs>
              <w:tab w:val="clear" w:pos="8176"/>
              <w:tab w:val="right" w:pos="9026" w:leader="dot"/>
            </w:tabs>
            <w:rPr/>
          </w:pPr>
          <w:hyperlink w:anchor="__RefHeading___Toc2819750_1395250215">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819752_1395250215">
            <w:r>
              <w:rPr>
                <w:webHidden/>
                <w:rStyle w:val="IndexLink"/>
                <w:rtl w:val="true"/>
              </w:rPr>
              <w:t>الدلیل الأوّل</w:t>
            </w:r>
            <w:r>
              <w:rPr>
                <w:rStyle w:val="IndexLink"/>
                <w:rtl w:val="true"/>
              </w:rPr>
              <w:tab/>
            </w:r>
            <w:r>
              <w:rPr>
                <w:rStyle w:val="IndexLink"/>
              </w:rPr>
              <w:t>264</w:t>
            </w:r>
          </w:hyperlink>
        </w:p>
        <w:p>
          <w:pPr>
            <w:pStyle w:val="Contents4"/>
            <w:tabs>
              <w:tab w:val="clear" w:pos="8176"/>
              <w:tab w:val="right" w:pos="9026" w:leader="dot"/>
            </w:tabs>
            <w:rPr/>
          </w:pPr>
          <w:hyperlink w:anchor="__RefHeading___Toc2819754_1395250215">
            <w:r>
              <w:rPr>
                <w:webHidden/>
                <w:rStyle w:val="IndexLink"/>
                <w:rtl w:val="true"/>
              </w:rPr>
              <w:t>الدلیل الثانی</w:t>
            </w:r>
            <w:r>
              <w:rPr>
                <w:rStyle w:val="IndexLink"/>
                <w:rtl w:val="true"/>
              </w:rPr>
              <w:t>:</w:t>
              <w:tab/>
            </w:r>
            <w:r>
              <w:rPr>
                <w:rStyle w:val="IndexLink"/>
              </w:rPr>
              <w:t>264</w:t>
            </w:r>
          </w:hyperlink>
        </w:p>
        <w:p>
          <w:pPr>
            <w:pStyle w:val="Contents4"/>
            <w:tabs>
              <w:tab w:val="clear" w:pos="8176"/>
              <w:tab w:val="right" w:pos="9026" w:leader="dot"/>
            </w:tabs>
            <w:rPr/>
          </w:pPr>
          <w:hyperlink w:anchor="__RefHeading___Toc2819756_1395250215">
            <w:r>
              <w:rPr>
                <w:webHidden/>
                <w:rStyle w:val="IndexLink"/>
                <w:rtl w:val="true"/>
              </w:rPr>
              <w:t>الدلیل الثالث</w:t>
            </w:r>
            <w:r>
              <w:rPr>
                <w:rStyle w:val="IndexLink"/>
                <w:rtl w:val="true"/>
              </w:rPr>
              <w:t>:</w:t>
              <w:tab/>
            </w:r>
            <w:r>
              <w:rPr>
                <w:rStyle w:val="IndexLink"/>
              </w:rPr>
              <w:t>265</w:t>
            </w:r>
          </w:hyperlink>
        </w:p>
        <w:p>
          <w:pPr>
            <w:pStyle w:val="Contents3"/>
            <w:tabs>
              <w:tab w:val="clear" w:pos="8459"/>
              <w:tab w:val="right" w:pos="9026" w:leader="dot"/>
            </w:tabs>
            <w:rPr/>
          </w:pPr>
          <w:hyperlink w:anchor="__RefHeading___Toc2819758_1395250215">
            <w:r>
              <w:rPr>
                <w:webHidden/>
                <w:rStyle w:val="IndexLink"/>
                <w:rtl w:val="true"/>
              </w:rPr>
              <w:t>الفصل الثالث</w:t>
            </w:r>
            <w:r>
              <w:rPr>
                <w:rStyle w:val="IndexLink"/>
                <w:rtl w:val="true"/>
              </w:rPr>
              <w:t>:</w:t>
            </w:r>
            <w:r>
              <w:rPr>
                <w:rStyle w:val="IndexLink"/>
                <w:rtl w:val="true"/>
              </w:rPr>
              <w:t>المعجزة و إثبات صدق دعوی النبوّة</w:t>
            </w:r>
            <w:r>
              <w:rPr>
                <w:rStyle w:val="IndexLink"/>
                <w:rtl w:val="true"/>
              </w:rPr>
              <w:tab/>
            </w:r>
            <w:r>
              <w:rPr>
                <w:rStyle w:val="IndexLink"/>
              </w:rPr>
              <w:t>268</w:t>
            </w:r>
          </w:hyperlink>
        </w:p>
        <w:p>
          <w:pPr>
            <w:pStyle w:val="Contents4"/>
            <w:tabs>
              <w:tab w:val="clear" w:pos="8176"/>
              <w:tab w:val="right" w:pos="9026" w:leader="dot"/>
            </w:tabs>
            <w:rPr/>
          </w:pPr>
          <w:hyperlink w:anchor="__RefHeading___Toc2819760_1395250215">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2819762_1395250215">
            <w:r>
              <w:rPr>
                <w:webHidden/>
                <w:rStyle w:val="IndexLink"/>
                <w:rtl w:val="true"/>
              </w:rPr>
              <w:t>تعریف المعجزة</w:t>
            </w:r>
            <w:r>
              <w:rPr>
                <w:rStyle w:val="IndexLink"/>
                <w:rtl w:val="true"/>
              </w:rPr>
              <w:tab/>
            </w:r>
            <w:r>
              <w:rPr>
                <w:rStyle w:val="IndexLink"/>
              </w:rPr>
              <w:t>268</w:t>
            </w:r>
          </w:hyperlink>
        </w:p>
        <w:p>
          <w:pPr>
            <w:pStyle w:val="Contents4"/>
            <w:tabs>
              <w:tab w:val="clear" w:pos="8176"/>
              <w:tab w:val="right" w:pos="9026" w:leader="dot"/>
            </w:tabs>
            <w:rPr/>
          </w:pPr>
          <w:hyperlink w:anchor="__RefHeading___Toc2819764_1395250215">
            <w:r>
              <w:rPr>
                <w:webHidden/>
                <w:rStyle w:val="IndexLink"/>
                <w:rtl w:val="true"/>
              </w:rPr>
              <w:t>دلالة المعجزة و قاعدة الحسن و القبح العقلیین</w:t>
            </w:r>
            <w:r>
              <w:rPr>
                <w:rStyle w:val="IndexLink"/>
                <w:rtl w:val="true"/>
              </w:rPr>
              <w:tab/>
            </w:r>
            <w:r>
              <w:rPr>
                <w:rStyle w:val="IndexLink"/>
              </w:rPr>
              <w:t>270</w:t>
            </w:r>
          </w:hyperlink>
        </w:p>
        <w:p>
          <w:pPr>
            <w:pStyle w:val="Contents4"/>
            <w:tabs>
              <w:tab w:val="clear" w:pos="8176"/>
              <w:tab w:val="right" w:pos="9026" w:leader="dot"/>
            </w:tabs>
            <w:rPr/>
          </w:pPr>
          <w:hyperlink w:anchor="__RefHeading___Toc2819766_1395250215">
            <w:r>
              <w:rPr>
                <w:webHidden/>
                <w:rStyle w:val="IndexLink"/>
                <w:rtl w:val="true"/>
              </w:rPr>
              <w:t>المعجزة دلیل برهانی</w:t>
            </w:r>
            <w:r>
              <w:rPr>
                <w:rStyle w:val="IndexLink"/>
                <w:rtl w:val="true"/>
              </w:rPr>
              <w:tab/>
            </w:r>
            <w:r>
              <w:rPr>
                <w:rStyle w:val="IndexLink"/>
              </w:rPr>
              <w:t>271</w:t>
            </w:r>
          </w:hyperlink>
        </w:p>
        <w:p>
          <w:pPr>
            <w:pStyle w:val="Contents4"/>
            <w:tabs>
              <w:tab w:val="clear" w:pos="8176"/>
              <w:tab w:val="right" w:pos="9026" w:leader="dot"/>
            </w:tabs>
            <w:rPr/>
          </w:pPr>
          <w:hyperlink w:anchor="__RefHeading___Toc2819768_1395250215">
            <w:r>
              <w:rPr>
                <w:webHidden/>
                <w:rStyle w:val="IndexLink"/>
                <w:rtl w:val="true"/>
              </w:rPr>
              <w:t>فوارق المعجزة لسائر خوارق العادة</w:t>
            </w:r>
            <w:r>
              <w:rPr>
                <w:rStyle w:val="IndexLink"/>
                <w:rtl w:val="true"/>
              </w:rPr>
              <w:tab/>
            </w:r>
            <w:r>
              <w:rPr>
                <w:rStyle w:val="IndexLink"/>
              </w:rPr>
              <w:t>272</w:t>
            </w:r>
          </w:hyperlink>
        </w:p>
        <w:p>
          <w:pPr>
            <w:pStyle w:val="Contents4"/>
            <w:tabs>
              <w:tab w:val="clear" w:pos="8176"/>
              <w:tab w:val="right" w:pos="9026" w:leader="dot"/>
            </w:tabs>
            <w:rPr/>
          </w:pPr>
          <w:hyperlink w:anchor="__RefHeading___Toc2819770_1395250215">
            <w:r>
              <w:rPr>
                <w:webHidden/>
                <w:rStyle w:val="IndexLink"/>
                <w:rtl w:val="true"/>
              </w:rPr>
              <w:t>المعجزة و قانون العلّیة</w:t>
            </w:r>
            <w:r>
              <w:rPr>
                <w:rStyle w:val="IndexLink"/>
                <w:rtl w:val="true"/>
              </w:rPr>
              <w:tab/>
            </w:r>
            <w:r>
              <w:rPr>
                <w:rStyle w:val="IndexLink"/>
              </w:rPr>
              <w:t>275</w:t>
            </w:r>
          </w:hyperlink>
        </w:p>
        <w:p>
          <w:pPr>
            <w:pStyle w:val="Contents3"/>
            <w:tabs>
              <w:tab w:val="clear" w:pos="8459"/>
              <w:tab w:val="right" w:pos="9026" w:leader="dot"/>
            </w:tabs>
            <w:rPr/>
          </w:pPr>
          <w:hyperlink w:anchor="__RefHeading___Toc2819772_1395250215">
            <w:r>
              <w:rPr>
                <w:webHidden/>
                <w:rStyle w:val="IndexLink"/>
                <w:rtl w:val="true"/>
              </w:rPr>
              <w:t>الفصل الرابع</w:t>
            </w:r>
            <w:r>
              <w:rPr>
                <w:rStyle w:val="IndexLink"/>
                <w:rtl w:val="true"/>
              </w:rPr>
              <w:t>:</w:t>
            </w:r>
            <w:r>
              <w:rPr>
                <w:rStyle w:val="IndexLink"/>
                <w:rtl w:val="true"/>
              </w:rPr>
              <w:t>حقیقة الوحی فی النبوّة</w:t>
            </w:r>
            <w:r>
              <w:rPr>
                <w:rStyle w:val="IndexLink"/>
                <w:rtl w:val="true"/>
              </w:rPr>
              <w:tab/>
            </w:r>
            <w:r>
              <w:rPr>
                <w:rStyle w:val="IndexLink"/>
              </w:rPr>
              <w:t>276</w:t>
            </w:r>
          </w:hyperlink>
        </w:p>
        <w:p>
          <w:pPr>
            <w:pStyle w:val="Contents4"/>
            <w:tabs>
              <w:tab w:val="clear" w:pos="8176"/>
              <w:tab w:val="right" w:pos="9026" w:leader="dot"/>
            </w:tabs>
            <w:rPr/>
          </w:pPr>
          <w:hyperlink w:anchor="__RefHeading___Toc2819774_1395250215">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2819776_1395250215">
            <w:r>
              <w:rPr>
                <w:webHidden/>
                <w:rStyle w:val="IndexLink"/>
                <w:rtl w:val="true"/>
              </w:rPr>
              <w:t>وحی النبوّة</w:t>
            </w:r>
            <w:r>
              <w:rPr>
                <w:rStyle w:val="IndexLink"/>
                <w:rtl w:val="true"/>
              </w:rPr>
              <w:tab/>
            </w:r>
            <w:r>
              <w:rPr>
                <w:rStyle w:val="IndexLink"/>
              </w:rPr>
              <w:t>277</w:t>
            </w:r>
          </w:hyperlink>
        </w:p>
        <w:p>
          <w:pPr>
            <w:pStyle w:val="Contents4"/>
            <w:tabs>
              <w:tab w:val="clear" w:pos="8176"/>
              <w:tab w:val="right" w:pos="9026" w:leader="dot"/>
            </w:tabs>
            <w:rPr/>
          </w:pPr>
          <w:hyperlink w:anchor="__RefHeading___Toc2819778_1395250215">
            <w:r>
              <w:rPr>
                <w:webHidden/>
                <w:rStyle w:val="IndexLink"/>
                <w:rtl w:val="true"/>
              </w:rPr>
              <w:t>فرضیّة النبوغ</w:t>
            </w:r>
            <w:r>
              <w:rPr>
                <w:rStyle w:val="IndexLink"/>
                <w:rtl w:val="true"/>
              </w:rPr>
              <w:tab/>
            </w:r>
            <w:r>
              <w:rPr>
                <w:rStyle w:val="IndexLink"/>
              </w:rPr>
              <w:t>278</w:t>
            </w:r>
          </w:hyperlink>
        </w:p>
        <w:p>
          <w:pPr>
            <w:pStyle w:val="Contents4"/>
            <w:tabs>
              <w:tab w:val="clear" w:pos="8176"/>
              <w:tab w:val="right" w:pos="9026" w:leader="dot"/>
            </w:tabs>
            <w:rPr/>
          </w:pPr>
          <w:hyperlink w:anchor="__RefHeading___Toc2819780_1395250215">
            <w:r>
              <w:rPr>
                <w:webHidden/>
                <w:rStyle w:val="IndexLink"/>
                <w:rtl w:val="true"/>
              </w:rPr>
              <w:t>هل الوحی نتیجة تجلّی الأحوال الروحیّة؟</w:t>
            </w:r>
            <w:r>
              <w:rPr>
                <w:rStyle w:val="IndexLink"/>
                <w:rtl w:val="true"/>
              </w:rPr>
              <w:tab/>
            </w:r>
            <w:r>
              <w:rPr>
                <w:rStyle w:val="IndexLink"/>
              </w:rPr>
              <w:t>279</w:t>
            </w:r>
          </w:hyperlink>
        </w:p>
        <w:p>
          <w:pPr>
            <w:pStyle w:val="Contents4"/>
            <w:tabs>
              <w:tab w:val="clear" w:pos="8176"/>
              <w:tab w:val="right" w:pos="9026" w:leader="dot"/>
            </w:tabs>
            <w:rPr/>
          </w:pPr>
          <w:hyperlink w:anchor="__RefHeading___Toc2819782_1395250215">
            <w:r>
              <w:rPr>
                <w:webHidden/>
                <w:rStyle w:val="IndexLink"/>
                <w:rtl w:val="true"/>
              </w:rPr>
              <w:t>نقد هذه النظریّة</w:t>
            </w:r>
            <w:r>
              <w:rPr>
                <w:rStyle w:val="IndexLink"/>
                <w:rtl w:val="true"/>
              </w:rPr>
              <w:tab/>
            </w:r>
            <w:r>
              <w:rPr>
                <w:rStyle w:val="IndexLink"/>
              </w:rPr>
              <w:t>280</w:t>
            </w:r>
          </w:hyperlink>
        </w:p>
        <w:p>
          <w:pPr>
            <w:pStyle w:val="Contents4"/>
            <w:tabs>
              <w:tab w:val="clear" w:pos="8176"/>
              <w:tab w:val="right" w:pos="9026" w:leader="dot"/>
            </w:tabs>
            <w:rPr/>
          </w:pPr>
          <w:hyperlink w:anchor="__RefHeading___Toc2819784_1395250215">
            <w:r>
              <w:rPr>
                <w:webHidden/>
                <w:rStyle w:val="IndexLink"/>
                <w:rtl w:val="true"/>
              </w:rPr>
              <w:t>الوحی و الشخصیة الباطنة</w:t>
            </w:r>
            <w:r>
              <w:rPr>
                <w:rStyle w:val="IndexLink"/>
                <w:rtl w:val="true"/>
              </w:rPr>
              <w:tab/>
            </w:r>
            <w:r>
              <w:rPr>
                <w:rStyle w:val="IndexLink"/>
              </w:rPr>
              <w:t>282</w:t>
            </w:r>
          </w:hyperlink>
        </w:p>
        <w:p>
          <w:pPr>
            <w:pStyle w:val="Contents3"/>
            <w:tabs>
              <w:tab w:val="clear" w:pos="8459"/>
              <w:tab w:val="right" w:pos="9026" w:leader="dot"/>
            </w:tabs>
            <w:rPr/>
          </w:pPr>
          <w:hyperlink w:anchor="__RefHeading___Toc2819786_1395250215">
            <w:r>
              <w:rPr>
                <w:webHidden/>
                <w:rStyle w:val="IndexLink"/>
                <w:rtl w:val="true"/>
              </w:rPr>
              <w:t>الفصل الخامس</w:t>
            </w:r>
            <w:r>
              <w:rPr>
                <w:rStyle w:val="IndexLink"/>
                <w:rtl w:val="true"/>
              </w:rPr>
              <w:t>:</w:t>
            </w:r>
            <w:r>
              <w:rPr>
                <w:rStyle w:val="IndexLink"/>
                <w:rtl w:val="true"/>
              </w:rPr>
              <w:t>عصمة أنبیاء اللّه تعالی</w:t>
            </w:r>
            <w:r>
              <w:rPr>
                <w:rStyle w:val="IndexLink"/>
                <w:rtl w:val="true"/>
              </w:rPr>
              <w:tab/>
            </w:r>
            <w:r>
              <w:rPr>
                <w:rStyle w:val="IndexLink"/>
              </w:rPr>
              <w:t>284</w:t>
            </w:r>
          </w:hyperlink>
        </w:p>
        <w:p>
          <w:pPr>
            <w:pStyle w:val="Contents4"/>
            <w:tabs>
              <w:tab w:val="clear" w:pos="8176"/>
              <w:tab w:val="right" w:pos="9026" w:leader="dot"/>
            </w:tabs>
            <w:rPr/>
          </w:pPr>
          <w:hyperlink w:anchor="__RefHeading___Toc2819788_1395250215">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2819790_1395250215">
            <w:r>
              <w:rPr>
                <w:webHidden/>
                <w:rStyle w:val="IndexLink"/>
                <w:rtl w:val="true"/>
              </w:rPr>
              <w:t>العصمة فی اللّغة و الاصطلاح</w:t>
            </w:r>
            <w:r>
              <w:rPr>
                <w:rStyle w:val="IndexLink"/>
                <w:rtl w:val="true"/>
              </w:rPr>
              <w:tab/>
            </w:r>
            <w:r>
              <w:rPr>
                <w:rStyle w:val="IndexLink"/>
              </w:rPr>
              <w:t>284</w:t>
            </w:r>
          </w:hyperlink>
        </w:p>
        <w:p>
          <w:pPr>
            <w:pStyle w:val="Contents4"/>
            <w:tabs>
              <w:tab w:val="clear" w:pos="8176"/>
              <w:tab w:val="right" w:pos="9026" w:leader="dot"/>
            </w:tabs>
            <w:rPr/>
          </w:pPr>
          <w:hyperlink w:anchor="__RefHeading___Toc2819792_1395250215">
            <w:r>
              <w:rPr>
                <w:webHidden/>
                <w:rStyle w:val="IndexLink"/>
                <w:rtl w:val="true"/>
              </w:rPr>
              <w:t>عصمة الأنبیاء فی تلقّی الوحی و إبلاغه</w:t>
            </w:r>
            <w:r>
              <w:rPr>
                <w:rStyle w:val="IndexLink"/>
                <w:rtl w:val="true"/>
              </w:rPr>
              <w:tab/>
            </w:r>
            <w:r>
              <w:rPr>
                <w:rStyle w:val="IndexLink"/>
              </w:rPr>
              <w:t>285</w:t>
            </w:r>
          </w:hyperlink>
        </w:p>
        <w:p>
          <w:pPr>
            <w:pStyle w:val="Contents4"/>
            <w:tabs>
              <w:tab w:val="clear" w:pos="8176"/>
              <w:tab w:val="right" w:pos="9026" w:leader="dot"/>
            </w:tabs>
            <w:rPr/>
          </w:pPr>
          <w:hyperlink w:anchor="__RefHeading___Toc2819794_1395250215">
            <w:r>
              <w:rPr>
                <w:webHidden/>
                <w:rStyle w:val="IndexLink"/>
                <w:rtl w:val="true"/>
              </w:rPr>
              <w:t>لزوم عصمة الأنبیاء عن المعاصی</w:t>
            </w:r>
            <w:r>
              <w:rPr>
                <w:rStyle w:val="IndexLink"/>
                <w:rtl w:val="true"/>
              </w:rPr>
              <w:tab/>
            </w:r>
            <w:r>
              <w:rPr>
                <w:rStyle w:val="IndexLink"/>
              </w:rPr>
              <w:t>286</w:t>
            </w:r>
          </w:hyperlink>
        </w:p>
        <w:p>
          <w:pPr>
            <w:pStyle w:val="Contents4"/>
            <w:tabs>
              <w:tab w:val="clear" w:pos="8176"/>
              <w:tab w:val="right" w:pos="9026" w:leader="dot"/>
            </w:tabs>
            <w:rPr/>
          </w:pPr>
          <w:hyperlink w:anchor="__RefHeading___Toc2819796_1395250215">
            <w:r>
              <w:rPr>
                <w:webHidden/>
                <w:rStyle w:val="IndexLink"/>
                <w:rtl w:val="true"/>
              </w:rPr>
              <w:t>عصمة الأنبیاء فی الکتاب العزیز</w:t>
            </w:r>
            <w:r>
              <w:rPr>
                <w:rStyle w:val="IndexLink"/>
                <w:rtl w:val="true"/>
              </w:rPr>
              <w:tab/>
            </w:r>
            <w:r>
              <w:rPr>
                <w:rStyle w:val="IndexLink"/>
              </w:rPr>
              <w:t>289</w:t>
            </w:r>
          </w:hyperlink>
        </w:p>
        <w:p>
          <w:pPr>
            <w:pStyle w:val="Contents4"/>
            <w:tabs>
              <w:tab w:val="clear" w:pos="8176"/>
              <w:tab w:val="right" w:pos="9026" w:leader="dot"/>
            </w:tabs>
            <w:rPr/>
          </w:pPr>
          <w:hyperlink w:anchor="__RefHeading___Toc2819798_1395250215">
            <w:r>
              <w:rPr>
                <w:webHidden/>
                <w:rStyle w:val="IndexLink"/>
                <w:rtl w:val="true"/>
              </w:rPr>
              <w:t>العصمة عن الخطأ فی تطبیق الشریعة و الأُمور العادیة</w:t>
            </w:r>
            <w:r>
              <w:rPr>
                <w:rStyle w:val="IndexLink"/>
                <w:rtl w:val="true"/>
              </w:rPr>
              <w:tab/>
            </w:r>
            <w:r>
              <w:rPr>
                <w:rStyle w:val="IndexLink"/>
              </w:rPr>
              <w:t>289</w:t>
            </w:r>
          </w:hyperlink>
        </w:p>
        <w:p>
          <w:pPr>
            <w:pStyle w:val="Contents2"/>
            <w:tabs>
              <w:tab w:val="clear" w:pos="8743"/>
              <w:tab w:val="right" w:pos="9026" w:leader="dot"/>
            </w:tabs>
            <w:rPr/>
          </w:pPr>
          <w:hyperlink w:anchor="__RefHeading___Toc2819800_1395250215">
            <w:r>
              <w:rPr>
                <w:webHidden/>
                <w:rStyle w:val="IndexLink"/>
                <w:rtl w:val="true"/>
              </w:rPr>
              <w:t>الباب السادس</w:t>
            </w:r>
            <w:r>
              <w:rPr>
                <w:rStyle w:val="IndexLink"/>
                <w:rtl w:val="true"/>
              </w:rPr>
              <w:t>:</w:t>
            </w:r>
            <w:r>
              <w:rPr>
                <w:rStyle w:val="IndexLink"/>
                <w:rtl w:val="true"/>
              </w:rPr>
              <w:t>فی النبوّة الخاصة</w:t>
            </w:r>
            <w:r>
              <w:rPr>
                <w:rStyle w:val="IndexLink"/>
                <w:rtl w:val="true"/>
              </w:rPr>
              <w:tab/>
            </w:r>
            <w:r>
              <w:rPr>
                <w:rStyle w:val="IndexLink"/>
              </w:rPr>
              <w:t>294</w:t>
            </w:r>
          </w:hyperlink>
        </w:p>
        <w:p>
          <w:pPr>
            <w:pStyle w:val="Contents3"/>
            <w:tabs>
              <w:tab w:val="clear" w:pos="8459"/>
              <w:tab w:val="right" w:pos="9026" w:leader="dot"/>
            </w:tabs>
            <w:rPr/>
          </w:pPr>
          <w:hyperlink w:anchor="__RefHeading___Toc2819802_1395250215">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2819804_1395250215">
            <w:r>
              <w:rPr>
                <w:webHidden/>
                <w:rStyle w:val="IndexLink"/>
                <w:rtl w:val="true"/>
              </w:rPr>
              <w:t>تمهید</w:t>
            </w:r>
            <w:r>
              <w:rPr>
                <w:rStyle w:val="IndexLink"/>
                <w:rtl w:val="true"/>
              </w:rPr>
              <w:tab/>
            </w:r>
            <w:r>
              <w:rPr>
                <w:rStyle w:val="IndexLink"/>
              </w:rPr>
              <w:t>296</w:t>
            </w:r>
          </w:hyperlink>
        </w:p>
        <w:p>
          <w:pPr>
            <w:pStyle w:val="Contents3"/>
            <w:tabs>
              <w:tab w:val="clear" w:pos="8459"/>
              <w:tab w:val="right" w:pos="9026" w:leader="dot"/>
            </w:tabs>
            <w:rPr/>
          </w:pPr>
          <w:hyperlink w:anchor="__RefHeading___Toc2819806_1395250215">
            <w:r>
              <w:rPr>
                <w:webHidden/>
                <w:rStyle w:val="IndexLink"/>
                <w:rtl w:val="true"/>
              </w:rPr>
              <w:t>الفصل الأوّل</w:t>
            </w:r>
            <w:r>
              <w:rPr>
                <w:rStyle w:val="IndexLink"/>
                <w:rtl w:val="true"/>
              </w:rPr>
              <w:t>:</w:t>
            </w:r>
            <w:r>
              <w:rPr>
                <w:rStyle w:val="IndexLink"/>
                <w:rtl w:val="true"/>
              </w:rPr>
              <w:t>الإعجاز البیانی للقرآن الکریم</w:t>
            </w:r>
            <w:r>
              <w:rPr>
                <w:rStyle w:val="IndexLink"/>
                <w:rtl w:val="true"/>
              </w:rPr>
              <w:tab/>
            </w:r>
            <w:r>
              <w:rPr>
                <w:rStyle w:val="IndexLink"/>
              </w:rPr>
              <w:t>298</w:t>
            </w:r>
          </w:hyperlink>
        </w:p>
        <w:p>
          <w:pPr>
            <w:pStyle w:val="Contents4"/>
            <w:tabs>
              <w:tab w:val="clear" w:pos="8176"/>
              <w:tab w:val="right" w:pos="9026" w:leader="dot"/>
            </w:tabs>
            <w:rPr/>
          </w:pPr>
          <w:hyperlink w:anchor="__RefHeading___Toc2819808_1395250215">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2819810_1395250215">
            <w:r>
              <w:rPr>
                <w:webHidden/>
                <w:rStyle w:val="IndexLink"/>
                <w:rtl w:val="true"/>
              </w:rPr>
              <w:t>اعتراف بلغاء العرب بإعجاز القرآن البیانی</w:t>
            </w:r>
            <w:r>
              <w:rPr>
                <w:rStyle w:val="IndexLink"/>
                <w:rtl w:val="true"/>
              </w:rPr>
              <w:tab/>
            </w:r>
            <w:r>
              <w:rPr>
                <w:rStyle w:val="IndexLink"/>
              </w:rPr>
              <w:t>299</w:t>
            </w:r>
          </w:hyperlink>
        </w:p>
        <w:p>
          <w:pPr>
            <w:pStyle w:val="Contents3"/>
            <w:tabs>
              <w:tab w:val="clear" w:pos="8459"/>
              <w:tab w:val="right" w:pos="9026" w:leader="dot"/>
            </w:tabs>
            <w:rPr/>
          </w:pPr>
          <w:hyperlink w:anchor="__RefHeading___Toc2819812_1395250215">
            <w:r>
              <w:rPr>
                <w:webHidden/>
                <w:rStyle w:val="IndexLink"/>
                <w:rtl w:val="true"/>
              </w:rPr>
              <w:t>الفصل الثانی</w:t>
            </w:r>
            <w:r>
              <w:rPr>
                <w:rStyle w:val="IndexLink"/>
                <w:rtl w:val="true"/>
              </w:rPr>
              <w:t>:</w:t>
            </w:r>
            <w:r>
              <w:rPr>
                <w:rStyle w:val="IndexLink"/>
                <w:rtl w:val="true"/>
              </w:rPr>
              <w:t>إعجاز القرآن من جهات أُخری</w:t>
            </w:r>
            <w:r>
              <w:rPr>
                <w:rStyle w:val="IndexLink"/>
                <w:rtl w:val="true"/>
              </w:rPr>
              <w:tab/>
            </w:r>
            <w:r>
              <w:rPr>
                <w:rStyle w:val="IndexLink"/>
              </w:rPr>
              <w:t>306</w:t>
            </w:r>
          </w:hyperlink>
        </w:p>
        <w:p>
          <w:pPr>
            <w:pStyle w:val="Contents4"/>
            <w:tabs>
              <w:tab w:val="clear" w:pos="8176"/>
              <w:tab w:val="right" w:pos="9026" w:leader="dot"/>
            </w:tabs>
            <w:rPr/>
          </w:pPr>
          <w:hyperlink w:anchor="__RefHeading___Toc2819814_1395250215">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2819816_1395250215">
            <w:r>
              <w:rPr>
                <w:webHidden/>
                <w:rStyle w:val="IndexLink"/>
              </w:rPr>
              <w:t>1</w:t>
            </w:r>
            <w:r>
              <w:rPr>
                <w:rStyle w:val="IndexLink"/>
                <w:rtl w:val="true"/>
              </w:rPr>
              <w:t xml:space="preserve">. </w:t>
            </w:r>
            <w:r>
              <w:rPr>
                <w:rStyle w:val="IndexLink"/>
                <w:rtl w:val="true"/>
              </w:rPr>
              <w:t>عدم التناقض و الاختلاف</w:t>
            </w:r>
            <w:r>
              <w:rPr>
                <w:rStyle w:val="IndexLink"/>
                <w:rtl w:val="true"/>
              </w:rPr>
              <w:tab/>
            </w:r>
            <w:r>
              <w:rPr>
                <w:rStyle w:val="IndexLink"/>
              </w:rPr>
              <w:t>307</w:t>
            </w:r>
          </w:hyperlink>
        </w:p>
        <w:p>
          <w:pPr>
            <w:pStyle w:val="Contents4"/>
            <w:tabs>
              <w:tab w:val="clear" w:pos="8176"/>
              <w:tab w:val="right" w:pos="9026" w:leader="dot"/>
            </w:tabs>
            <w:rPr/>
          </w:pPr>
          <w:hyperlink w:anchor="__RefHeading___Toc2819818_1395250215">
            <w:r>
              <w:rPr>
                <w:webHidden/>
                <w:rStyle w:val="IndexLink"/>
              </w:rPr>
              <w:t>2</w:t>
            </w:r>
            <w:r>
              <w:rPr>
                <w:rStyle w:val="IndexLink"/>
                <w:rtl w:val="true"/>
              </w:rPr>
              <w:t xml:space="preserve">. </w:t>
            </w:r>
            <w:r>
              <w:rPr>
                <w:rStyle w:val="IndexLink"/>
                <w:rtl w:val="true"/>
              </w:rPr>
              <w:t>الإخبار عن الغیب</w:t>
            </w:r>
            <w:r>
              <w:rPr>
                <w:rStyle w:val="IndexLink"/>
                <w:rtl w:val="true"/>
              </w:rPr>
              <w:tab/>
            </w:r>
            <w:r>
              <w:rPr>
                <w:rStyle w:val="IndexLink"/>
              </w:rPr>
              <w:t>308</w:t>
            </w:r>
          </w:hyperlink>
        </w:p>
        <w:p>
          <w:pPr>
            <w:pStyle w:val="Contents4"/>
            <w:tabs>
              <w:tab w:val="clear" w:pos="8176"/>
              <w:tab w:val="right" w:pos="9026" w:leader="dot"/>
            </w:tabs>
            <w:rPr/>
          </w:pPr>
          <w:hyperlink w:anchor="__RefHeading___Toc2819820_1395250215">
            <w:r>
              <w:rPr>
                <w:webHidden/>
                <w:rStyle w:val="IndexLink"/>
              </w:rPr>
              <w:t>3</w:t>
            </w:r>
            <w:r>
              <w:rPr>
                <w:rStyle w:val="IndexLink"/>
                <w:rtl w:val="true"/>
              </w:rPr>
              <w:t xml:space="preserve">. </w:t>
            </w:r>
            <w:r>
              <w:rPr>
                <w:rStyle w:val="IndexLink"/>
                <w:rtl w:val="true"/>
              </w:rPr>
              <w:t>الإخبار عن القوانین الکونیة</w:t>
            </w:r>
            <w:r>
              <w:rPr>
                <w:rStyle w:val="IndexLink"/>
                <w:rtl w:val="true"/>
              </w:rPr>
              <w:tab/>
            </w:r>
            <w:r>
              <w:rPr>
                <w:rStyle w:val="IndexLink"/>
              </w:rPr>
              <w:t>312</w:t>
            </w:r>
          </w:hyperlink>
        </w:p>
        <w:p>
          <w:pPr>
            <w:pStyle w:val="Contents4"/>
            <w:tabs>
              <w:tab w:val="clear" w:pos="8176"/>
              <w:tab w:val="right" w:pos="9026" w:leader="dot"/>
            </w:tabs>
            <w:rPr/>
          </w:pPr>
          <w:hyperlink w:anchor="__RefHeading___Toc2819822_1395250215">
            <w:r>
              <w:rPr>
                <w:webHidden/>
                <w:rStyle w:val="IndexLink"/>
              </w:rPr>
              <w:t>4</w:t>
            </w:r>
            <w:r>
              <w:rPr>
                <w:rStyle w:val="IndexLink"/>
                <w:rtl w:val="true"/>
              </w:rPr>
              <w:t xml:space="preserve">. </w:t>
            </w:r>
            <w:r>
              <w:rPr>
                <w:rStyle w:val="IndexLink"/>
                <w:rtl w:val="true"/>
              </w:rPr>
              <w:t>الجامعیّة فی التشریع</w:t>
            </w:r>
            <w:r>
              <w:rPr>
                <w:rStyle w:val="IndexLink"/>
                <w:rtl w:val="true"/>
              </w:rPr>
              <w:tab/>
            </w:r>
            <w:r>
              <w:rPr>
                <w:rStyle w:val="IndexLink"/>
              </w:rPr>
              <w:t>315</w:t>
            </w:r>
          </w:hyperlink>
        </w:p>
        <w:p>
          <w:pPr>
            <w:pStyle w:val="Contents4"/>
            <w:tabs>
              <w:tab w:val="clear" w:pos="8176"/>
              <w:tab w:val="right" w:pos="9026" w:leader="dot"/>
            </w:tabs>
            <w:rPr/>
          </w:pPr>
          <w:hyperlink w:anchor="__RefHeading___Toc2819824_1395250215">
            <w:r>
              <w:rPr>
                <w:webHidden/>
                <w:rStyle w:val="IndexLink"/>
              </w:rPr>
              <w:t>5</w:t>
            </w:r>
            <w:r>
              <w:rPr>
                <w:rStyle w:val="IndexLink"/>
                <w:rtl w:val="true"/>
              </w:rPr>
              <w:t xml:space="preserve">. </w:t>
            </w:r>
            <w:r>
              <w:rPr>
                <w:rStyle w:val="IndexLink"/>
                <w:rtl w:val="true"/>
              </w:rPr>
              <w:t>أُمّیّة حامل الرسالة</w:t>
            </w:r>
            <w:r>
              <w:rPr>
                <w:rStyle w:val="IndexLink"/>
                <w:rtl w:val="true"/>
              </w:rPr>
              <w:tab/>
            </w:r>
            <w:r>
              <w:rPr>
                <w:rStyle w:val="IndexLink"/>
              </w:rPr>
              <w:t>316</w:t>
            </w:r>
          </w:hyperlink>
        </w:p>
        <w:p>
          <w:pPr>
            <w:pStyle w:val="Contents3"/>
            <w:tabs>
              <w:tab w:val="clear" w:pos="8459"/>
              <w:tab w:val="right" w:pos="9026" w:leader="dot"/>
            </w:tabs>
            <w:rPr/>
          </w:pPr>
          <w:hyperlink w:anchor="__RefHeading___Toc2819826_1395250215">
            <w:r>
              <w:rPr>
                <w:webHidden/>
                <w:rStyle w:val="IndexLink"/>
                <w:rtl w:val="true"/>
              </w:rPr>
              <w:t>الفصل الثالث</w:t>
            </w:r>
            <w:r>
              <w:rPr>
                <w:rStyle w:val="IndexLink"/>
                <w:rtl w:val="true"/>
              </w:rPr>
              <w:t>:</w:t>
            </w:r>
            <w:r>
              <w:rPr>
                <w:rStyle w:val="IndexLink"/>
                <w:rtl w:val="true"/>
              </w:rPr>
              <w:t>الخاتمیة فی ضوء العقل و الوحی</w:t>
            </w:r>
            <w:r>
              <w:rPr>
                <w:rStyle w:val="IndexLink"/>
                <w:rtl w:val="true"/>
              </w:rPr>
              <w:tab/>
            </w:r>
            <w:r>
              <w:rPr>
                <w:rStyle w:val="IndexLink"/>
              </w:rPr>
              <w:t>320</w:t>
            </w:r>
          </w:hyperlink>
        </w:p>
        <w:p>
          <w:pPr>
            <w:pStyle w:val="Contents4"/>
            <w:tabs>
              <w:tab w:val="clear" w:pos="8176"/>
              <w:tab w:val="right" w:pos="9026" w:leader="dot"/>
            </w:tabs>
            <w:rPr/>
          </w:pPr>
          <w:hyperlink w:anchor="__RefHeading___Toc2819828_1395250215">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2819830_1395250215">
            <w:r>
              <w:rPr>
                <w:webHidden/>
                <w:rStyle w:val="IndexLink"/>
                <w:rtl w:val="true"/>
              </w:rPr>
              <w:t>شبهة واهیة</w:t>
            </w:r>
            <w:r>
              <w:rPr>
                <w:rStyle w:val="IndexLink"/>
                <w:rtl w:val="true"/>
              </w:rPr>
              <w:tab/>
            </w:r>
            <w:r>
              <w:rPr>
                <w:rStyle w:val="IndexLink"/>
              </w:rPr>
              <w:t>321</w:t>
            </w:r>
          </w:hyperlink>
        </w:p>
        <w:p>
          <w:pPr>
            <w:pStyle w:val="Contents4"/>
            <w:tabs>
              <w:tab w:val="clear" w:pos="8176"/>
              <w:tab w:val="right" w:pos="9026" w:leader="dot"/>
            </w:tabs>
            <w:rPr/>
          </w:pPr>
          <w:hyperlink w:anchor="__RefHeading___Toc2819832_1395250215">
            <w:r>
              <w:rPr>
                <w:webHidden/>
                <w:rStyle w:val="IndexLink"/>
                <w:rtl w:val="true"/>
              </w:rPr>
              <w:t>الخاتمیة و خلود التشریع الإسلامی</w:t>
            </w:r>
            <w:r>
              <w:rPr>
                <w:rStyle w:val="IndexLink"/>
                <w:rtl w:val="true"/>
              </w:rPr>
              <w:tab/>
            </w:r>
            <w:r>
              <w:rPr>
                <w:rStyle w:val="IndexLink"/>
              </w:rPr>
              <w:t>322</w:t>
            </w:r>
          </w:hyperlink>
        </w:p>
        <w:p>
          <w:pPr>
            <w:pStyle w:val="Contents5"/>
            <w:tabs>
              <w:tab w:val="clear" w:pos="7892"/>
              <w:tab w:val="right" w:pos="9026" w:leader="dot"/>
            </w:tabs>
            <w:rPr/>
          </w:pPr>
          <w:hyperlink w:anchor="__RefHeading___Toc2819834_1395250215">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2819836_1395250215">
            <w:r>
              <w:rPr>
                <w:webHidden/>
                <w:rStyle w:val="IndexLink"/>
              </w:rPr>
              <w:t>1</w:t>
            </w:r>
            <w:r>
              <w:rPr>
                <w:rStyle w:val="IndexLink"/>
                <w:rtl w:val="true"/>
              </w:rPr>
              <w:t xml:space="preserve">. </w:t>
            </w:r>
            <w:r>
              <w:rPr>
                <w:rStyle w:val="IndexLink"/>
                <w:rtl w:val="true"/>
              </w:rPr>
              <w:t>حجیّة العقل فی مجالات خاصّة</w:t>
            </w:r>
            <w:r>
              <w:rPr>
                <w:rStyle w:val="IndexLink"/>
                <w:rtl w:val="true"/>
              </w:rPr>
              <w:tab/>
            </w:r>
            <w:r>
              <w:rPr>
                <w:rStyle w:val="IndexLink"/>
              </w:rPr>
              <w:t>323</w:t>
            </w:r>
          </w:hyperlink>
        </w:p>
        <w:p>
          <w:pPr>
            <w:pStyle w:val="Contents5"/>
            <w:tabs>
              <w:tab w:val="clear" w:pos="7892"/>
              <w:tab w:val="right" w:pos="9026" w:leader="dot"/>
            </w:tabs>
            <w:rPr/>
          </w:pPr>
          <w:hyperlink w:anchor="__RefHeading___Toc2819838_1395250215">
            <w:r>
              <w:rPr>
                <w:webHidden/>
                <w:rStyle w:val="IndexLink"/>
              </w:rPr>
              <w:t>2</w:t>
            </w:r>
            <w:r>
              <w:rPr>
                <w:rStyle w:val="IndexLink"/>
                <w:rtl w:val="true"/>
              </w:rPr>
              <w:t xml:space="preserve">. </w:t>
            </w:r>
            <w:r>
              <w:rPr>
                <w:rStyle w:val="IndexLink"/>
                <w:rtl w:val="true"/>
              </w:rPr>
              <w:t>تشریع الاجتهاد</w:t>
            </w:r>
            <w:r>
              <w:rPr>
                <w:rStyle w:val="IndexLink"/>
                <w:rtl w:val="true"/>
              </w:rPr>
              <w:tab/>
            </w:r>
            <w:r>
              <w:rPr>
                <w:rStyle w:val="IndexLink"/>
              </w:rPr>
              <w:t>324</w:t>
            </w:r>
          </w:hyperlink>
        </w:p>
        <w:p>
          <w:pPr>
            <w:pStyle w:val="Contents5"/>
            <w:tabs>
              <w:tab w:val="clear" w:pos="7892"/>
              <w:tab w:val="right" w:pos="9026" w:leader="dot"/>
            </w:tabs>
            <w:rPr/>
          </w:pPr>
          <w:hyperlink w:anchor="__RefHeading___Toc2819840_1395250215">
            <w:r>
              <w:rPr>
                <w:webHidden/>
                <w:rStyle w:val="IndexLink"/>
              </w:rPr>
              <w:t>3</w:t>
            </w:r>
            <w:r>
              <w:rPr>
                <w:rStyle w:val="IndexLink"/>
                <w:rtl w:val="true"/>
              </w:rPr>
              <w:t xml:space="preserve">. </w:t>
            </w:r>
            <w:r>
              <w:rPr>
                <w:rStyle w:val="IndexLink"/>
                <w:rtl w:val="true"/>
              </w:rPr>
              <w:t>صلاحیات الحاکم الإسلامی و شئونه</w:t>
            </w:r>
            <w:r>
              <w:rPr>
                <w:rStyle w:val="IndexLink"/>
                <w:rtl w:val="true"/>
              </w:rPr>
              <w:tab/>
            </w:r>
            <w:r>
              <w:rPr>
                <w:rStyle w:val="IndexLink"/>
              </w:rPr>
              <w:t>325</w:t>
            </w:r>
          </w:hyperlink>
        </w:p>
        <w:p>
          <w:pPr>
            <w:pStyle w:val="Contents5"/>
            <w:tabs>
              <w:tab w:val="clear" w:pos="7892"/>
              <w:tab w:val="right" w:pos="9026" w:leader="dot"/>
            </w:tabs>
            <w:rPr/>
          </w:pPr>
          <w:hyperlink w:anchor="__RefHeading___Toc2819842_1395250215">
            <w:r>
              <w:rPr>
                <w:webHidden/>
                <w:rStyle w:val="IndexLink"/>
              </w:rPr>
              <w:t>4</w:t>
            </w:r>
            <w:r>
              <w:rPr>
                <w:rStyle w:val="IndexLink"/>
                <w:rtl w:val="true"/>
              </w:rPr>
              <w:t xml:space="preserve">. </w:t>
            </w:r>
            <w:r>
              <w:rPr>
                <w:rStyle w:val="IndexLink"/>
                <w:rtl w:val="true"/>
              </w:rPr>
              <w:t>الأحکام الّتی لها دور التحدید</w:t>
            </w:r>
            <w:r>
              <w:rPr>
                <w:rStyle w:val="IndexLink"/>
                <w:rtl w:val="true"/>
              </w:rPr>
              <w:tab/>
            </w:r>
            <w:r>
              <w:rPr>
                <w:rStyle w:val="IndexLink"/>
              </w:rPr>
              <w:t>326</w:t>
            </w:r>
          </w:hyperlink>
        </w:p>
        <w:p>
          <w:pPr>
            <w:pStyle w:val="Contents5"/>
            <w:tabs>
              <w:tab w:val="clear" w:pos="7892"/>
              <w:tab w:val="right" w:pos="9026" w:leader="dot"/>
            </w:tabs>
            <w:rPr/>
          </w:pPr>
          <w:hyperlink w:anchor="__RefHeading___Toc2819844_1395250215">
            <w:r>
              <w:rPr>
                <w:webHidden/>
                <w:rStyle w:val="IndexLink"/>
              </w:rPr>
              <w:t>5</w:t>
            </w:r>
            <w:r>
              <w:rPr>
                <w:rStyle w:val="IndexLink"/>
                <w:rtl w:val="true"/>
              </w:rPr>
              <w:t xml:space="preserve">. </w:t>
            </w:r>
            <w:r>
              <w:rPr>
                <w:rStyle w:val="IndexLink"/>
                <w:rtl w:val="true"/>
              </w:rPr>
              <w:t>الاعتدال فی التشریع</w:t>
            </w:r>
            <w:r>
              <w:rPr>
                <w:rStyle w:val="IndexLink"/>
                <w:rtl w:val="true"/>
              </w:rPr>
              <w:tab/>
            </w:r>
            <w:r>
              <w:rPr>
                <w:rStyle w:val="IndexLink"/>
              </w:rPr>
              <w:t>327</w:t>
            </w:r>
          </w:hyperlink>
        </w:p>
        <w:p>
          <w:pPr>
            <w:pStyle w:val="Contents2"/>
            <w:tabs>
              <w:tab w:val="clear" w:pos="8743"/>
              <w:tab w:val="right" w:pos="9026" w:leader="dot"/>
            </w:tabs>
            <w:rPr/>
          </w:pPr>
          <w:hyperlink w:anchor="__RefHeading___Toc2819846_1395250215">
            <w:r>
              <w:rPr>
                <w:webHidden/>
                <w:rStyle w:val="IndexLink"/>
                <w:rtl w:val="true"/>
              </w:rPr>
              <w:t>الباب السابع</w:t>
            </w:r>
            <w:r>
              <w:rPr>
                <w:rStyle w:val="IndexLink"/>
                <w:rtl w:val="true"/>
              </w:rPr>
              <w:t>:</w:t>
            </w:r>
            <w:r>
              <w:rPr>
                <w:rStyle w:val="IndexLink"/>
                <w:rtl w:val="true"/>
              </w:rPr>
              <w:t>فی الإمامة و الخلافة</w:t>
            </w:r>
            <w:r>
              <w:rPr>
                <w:rStyle w:val="IndexLink"/>
                <w:rtl w:val="true"/>
              </w:rPr>
              <w:tab/>
            </w:r>
            <w:r>
              <w:rPr>
                <w:rStyle w:val="IndexLink"/>
              </w:rPr>
              <w:t>328</w:t>
            </w:r>
          </w:hyperlink>
        </w:p>
        <w:p>
          <w:pPr>
            <w:pStyle w:val="Contents3"/>
            <w:tabs>
              <w:tab w:val="clear" w:pos="8459"/>
              <w:tab w:val="right" w:pos="9026" w:leader="dot"/>
            </w:tabs>
            <w:rPr/>
          </w:pPr>
          <w:hyperlink w:anchor="__RefHeading___Toc2819848_1395250215">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2819850_1395250215">
            <w:r>
              <w:rPr>
                <w:webHidden/>
                <w:rStyle w:val="IndexLink"/>
                <w:rtl w:val="true"/>
              </w:rPr>
              <w:t>الفصل الأوّل</w:t>
            </w:r>
            <w:r>
              <w:rPr>
                <w:rStyle w:val="IndexLink"/>
                <w:rtl w:val="true"/>
              </w:rPr>
              <w:t>:</w:t>
            </w:r>
            <w:r>
              <w:rPr>
                <w:rStyle w:val="IndexLink"/>
                <w:rtl w:val="true"/>
              </w:rPr>
              <w:t>لما ذا نبحث عن الإمامة؟</w:t>
            </w:r>
            <w:r>
              <w:rPr>
                <w:rStyle w:val="IndexLink"/>
                <w:rtl w:val="true"/>
              </w:rPr>
              <w:tab/>
            </w:r>
            <w:r>
              <w:rPr>
                <w:rStyle w:val="IndexLink"/>
              </w:rPr>
              <w:t>330</w:t>
            </w:r>
          </w:hyperlink>
        </w:p>
        <w:p>
          <w:pPr>
            <w:pStyle w:val="Contents3"/>
            <w:tabs>
              <w:tab w:val="clear" w:pos="8459"/>
              <w:tab w:val="right" w:pos="9026" w:leader="dot"/>
            </w:tabs>
            <w:rPr/>
          </w:pPr>
          <w:hyperlink w:anchor="__RefHeading___Toc2819852_1395250215">
            <w:r>
              <w:rPr>
                <w:webHidden/>
                <w:rStyle w:val="IndexLink"/>
                <w:rtl w:val="true"/>
              </w:rPr>
              <w:t>الفصل الثانی</w:t>
            </w:r>
            <w:r>
              <w:rPr>
                <w:rStyle w:val="IndexLink"/>
                <w:rtl w:val="true"/>
              </w:rPr>
              <w:t>:</w:t>
            </w:r>
            <w:r>
              <w:rPr>
                <w:rStyle w:val="IndexLink"/>
                <w:rtl w:val="true"/>
              </w:rPr>
              <w:t>حقیقة الإمامة عند الشیعة و أهل السنّة</w:t>
            </w:r>
            <w:r>
              <w:rPr>
                <w:rStyle w:val="IndexLink"/>
                <w:rtl w:val="true"/>
              </w:rPr>
              <w:tab/>
            </w:r>
            <w:r>
              <w:rPr>
                <w:rStyle w:val="IndexLink"/>
              </w:rPr>
              <w:t>334</w:t>
            </w:r>
          </w:hyperlink>
        </w:p>
        <w:p>
          <w:pPr>
            <w:pStyle w:val="Contents4"/>
            <w:tabs>
              <w:tab w:val="clear" w:pos="8176"/>
              <w:tab w:val="right" w:pos="9026" w:leader="dot"/>
            </w:tabs>
            <w:rPr/>
          </w:pPr>
          <w:hyperlink w:anchor="__RefHeading___Toc2819854_1395250215">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819856_1395250215">
            <w:r>
              <w:rPr>
                <w:webHidden/>
                <w:rStyle w:val="IndexLink"/>
                <w:rtl w:val="true"/>
              </w:rPr>
              <w:t>مؤهِّلات الإمام و صفاته</w:t>
            </w:r>
            <w:r>
              <w:rPr>
                <w:rStyle w:val="IndexLink"/>
                <w:rtl w:val="true"/>
              </w:rPr>
              <w:tab/>
            </w:r>
            <w:r>
              <w:rPr>
                <w:rStyle w:val="IndexLink"/>
              </w:rPr>
              <w:t>336</w:t>
            </w:r>
          </w:hyperlink>
        </w:p>
        <w:p>
          <w:pPr>
            <w:pStyle w:val="Contents3"/>
            <w:tabs>
              <w:tab w:val="clear" w:pos="8459"/>
              <w:tab w:val="right" w:pos="9026" w:leader="dot"/>
            </w:tabs>
            <w:rPr/>
          </w:pPr>
          <w:hyperlink w:anchor="__RefHeading___Toc2819858_1395250215">
            <w:r>
              <w:rPr>
                <w:webHidden/>
                <w:rStyle w:val="IndexLink"/>
                <w:rtl w:val="true"/>
              </w:rPr>
              <w:t>الفصل الثالث</w:t>
            </w:r>
            <w:r>
              <w:rPr>
                <w:rStyle w:val="IndexLink"/>
                <w:rtl w:val="true"/>
              </w:rPr>
              <w:t>:</w:t>
            </w:r>
            <w:r>
              <w:rPr>
                <w:rStyle w:val="IndexLink"/>
                <w:rtl w:val="true"/>
              </w:rPr>
              <w:t>طرق إثبات الإمامة عند أهل السنّة</w:t>
            </w:r>
            <w:r>
              <w:rPr>
                <w:rStyle w:val="IndexLink"/>
                <w:rtl w:val="true"/>
              </w:rPr>
              <w:tab/>
            </w:r>
            <w:r>
              <w:rPr>
                <w:rStyle w:val="IndexLink"/>
              </w:rPr>
              <w:t>340</w:t>
            </w:r>
          </w:hyperlink>
        </w:p>
        <w:p>
          <w:pPr>
            <w:pStyle w:val="Contents4"/>
            <w:tabs>
              <w:tab w:val="clear" w:pos="8176"/>
              <w:tab w:val="right" w:pos="9026" w:leader="dot"/>
            </w:tabs>
            <w:rPr/>
          </w:pPr>
          <w:hyperlink w:anchor="__RefHeading___Toc2819860_1395250215">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2819862_1395250215">
            <w:r>
              <w:rPr>
                <w:webHidden/>
                <w:rStyle w:val="IndexLink"/>
                <w:rtl w:val="true"/>
              </w:rPr>
              <w:t>تصوّر النبیّ الأکرم للقیادة بعده</w:t>
            </w:r>
            <w:r>
              <w:rPr>
                <w:rStyle w:val="IndexLink"/>
                <w:rtl w:val="true"/>
              </w:rPr>
              <w:tab/>
            </w:r>
            <w:r>
              <w:rPr>
                <w:rStyle w:val="IndexLink"/>
              </w:rPr>
              <w:t>345</w:t>
            </w:r>
          </w:hyperlink>
        </w:p>
        <w:p>
          <w:pPr>
            <w:pStyle w:val="Contents3"/>
            <w:tabs>
              <w:tab w:val="clear" w:pos="8459"/>
              <w:tab w:val="right" w:pos="9026" w:leader="dot"/>
            </w:tabs>
            <w:rPr/>
          </w:pPr>
          <w:hyperlink w:anchor="__RefHeading___Toc2819864_1395250215">
            <w:r>
              <w:rPr>
                <w:webHidden/>
                <w:rStyle w:val="IndexLink"/>
                <w:rtl w:val="true"/>
              </w:rPr>
              <w:t>الفصل الرابع</w:t>
            </w:r>
            <w:r>
              <w:rPr>
                <w:rStyle w:val="IndexLink"/>
                <w:rtl w:val="true"/>
              </w:rPr>
              <w:t>:</w:t>
            </w:r>
            <w:r>
              <w:rPr>
                <w:rStyle w:val="IndexLink"/>
                <w:rtl w:val="true"/>
              </w:rPr>
              <w:t>أدلة وجوب النصّ فی الإمامة عند الشیعة الإمامیة</w:t>
            </w:r>
            <w:r>
              <w:rPr>
                <w:rStyle w:val="IndexLink"/>
                <w:rtl w:val="true"/>
              </w:rPr>
              <w:tab/>
            </w:r>
            <w:r>
              <w:rPr>
                <w:rStyle w:val="IndexLink"/>
              </w:rPr>
              <w:t>348</w:t>
            </w:r>
          </w:hyperlink>
        </w:p>
        <w:p>
          <w:pPr>
            <w:pStyle w:val="Contents4"/>
            <w:tabs>
              <w:tab w:val="clear" w:pos="8176"/>
              <w:tab w:val="right" w:pos="9026" w:leader="dot"/>
            </w:tabs>
            <w:rPr/>
          </w:pPr>
          <w:hyperlink w:anchor="__RefHeading___Toc2819866_1395250215">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2819868_1395250215">
            <w:r>
              <w:rPr>
                <w:webHidden/>
                <w:rStyle w:val="IndexLink"/>
                <w:rtl w:val="true"/>
              </w:rPr>
              <w:t>أ</w:t>
            </w:r>
            <w:r>
              <w:rPr>
                <w:rStyle w:val="IndexLink"/>
                <w:rtl w:val="true"/>
              </w:rPr>
              <w:t xml:space="preserve">) </w:t>
            </w:r>
            <w:r>
              <w:rPr>
                <w:rStyle w:val="IndexLink"/>
                <w:rtl w:val="true"/>
              </w:rPr>
              <w:t>الفراغات الهائلة بعد النبیّ صلی الله علیه و آله فی مجالات أربعة</w:t>
            </w:r>
            <w:r>
              <w:rPr>
                <w:rStyle w:val="IndexLink"/>
                <w:rtl w:val="true"/>
              </w:rPr>
              <w:tab/>
            </w:r>
            <w:r>
              <w:rPr>
                <w:rStyle w:val="IndexLink"/>
              </w:rPr>
              <w:t>348</w:t>
            </w:r>
          </w:hyperlink>
        </w:p>
        <w:p>
          <w:pPr>
            <w:pStyle w:val="Contents4"/>
            <w:tabs>
              <w:tab w:val="clear" w:pos="8176"/>
              <w:tab w:val="right" w:pos="9026" w:leader="dot"/>
            </w:tabs>
            <w:rPr/>
          </w:pPr>
          <w:hyperlink w:anchor="__RefHeading___Toc2819870_1395250215">
            <w:r>
              <w:rPr>
                <w:webHidden/>
                <w:rStyle w:val="IndexLink"/>
                <w:rtl w:val="true"/>
              </w:rPr>
              <w:t>ب</w:t>
            </w:r>
            <w:r>
              <w:rPr>
                <w:rStyle w:val="IndexLink"/>
                <w:rtl w:val="true"/>
              </w:rPr>
              <w:t xml:space="preserve">) </w:t>
            </w:r>
            <w:r>
              <w:rPr>
                <w:rStyle w:val="IndexLink"/>
                <w:rtl w:val="true"/>
              </w:rPr>
              <w:t>الأُمّة الإسلامیة و مثلث الخطر الدّاهم</w:t>
            </w:r>
            <w:r>
              <w:rPr>
                <w:rStyle w:val="IndexLink"/>
                <w:rtl w:val="true"/>
              </w:rPr>
              <w:tab/>
            </w:r>
            <w:r>
              <w:rPr>
                <w:rStyle w:val="IndexLink"/>
              </w:rPr>
              <w:t>353</w:t>
            </w:r>
          </w:hyperlink>
        </w:p>
        <w:p>
          <w:pPr>
            <w:pStyle w:val="Contents4"/>
            <w:tabs>
              <w:tab w:val="clear" w:pos="8176"/>
              <w:tab w:val="right" w:pos="9026" w:leader="dot"/>
            </w:tabs>
            <w:rPr/>
          </w:pPr>
          <w:hyperlink w:anchor="__RefHeading___Toc2819872_1395250215">
            <w:r>
              <w:rPr>
                <w:webHidden/>
                <w:rStyle w:val="IndexLink"/>
                <w:rtl w:val="true"/>
              </w:rPr>
              <w:t>ج</w:t>
            </w:r>
            <w:r>
              <w:rPr>
                <w:rStyle w:val="IndexLink"/>
                <w:rtl w:val="true"/>
              </w:rPr>
              <w:t xml:space="preserve">) </w:t>
            </w:r>
            <w:r>
              <w:rPr>
                <w:rStyle w:val="IndexLink"/>
                <w:rtl w:val="true"/>
              </w:rPr>
              <w:t>نصب الإمام لطف إلهی</w:t>
            </w:r>
            <w:r>
              <w:rPr>
                <w:rStyle w:val="IndexLink"/>
                <w:rtl w:val="true"/>
              </w:rPr>
              <w:tab/>
            </w:r>
            <w:r>
              <w:rPr>
                <w:rStyle w:val="IndexLink"/>
              </w:rPr>
              <w:t>355</w:t>
            </w:r>
          </w:hyperlink>
        </w:p>
        <w:p>
          <w:pPr>
            <w:pStyle w:val="Contents3"/>
            <w:tabs>
              <w:tab w:val="clear" w:pos="8459"/>
              <w:tab w:val="right" w:pos="9026" w:leader="dot"/>
            </w:tabs>
            <w:rPr/>
          </w:pPr>
          <w:hyperlink w:anchor="__RefHeading___Toc2819874_1395250215">
            <w:r>
              <w:rPr>
                <w:webHidden/>
                <w:rStyle w:val="IndexLink"/>
                <w:rtl w:val="true"/>
              </w:rPr>
              <w:t>الفصل الخامس</w:t>
            </w:r>
            <w:r>
              <w:rPr>
                <w:rStyle w:val="IndexLink"/>
                <w:rtl w:val="true"/>
              </w:rPr>
              <w:t>:</w:t>
            </w:r>
            <w:r>
              <w:rPr>
                <w:rStyle w:val="IndexLink"/>
                <w:rtl w:val="true"/>
              </w:rPr>
              <w:t>وجوب العصمة فی الإمام</w:t>
            </w:r>
            <w:r>
              <w:rPr>
                <w:rStyle w:val="IndexLink"/>
                <w:rtl w:val="true"/>
              </w:rPr>
              <w:tab/>
            </w:r>
            <w:r>
              <w:rPr>
                <w:rStyle w:val="IndexLink"/>
              </w:rPr>
              <w:t>362</w:t>
            </w:r>
          </w:hyperlink>
        </w:p>
        <w:p>
          <w:pPr>
            <w:pStyle w:val="Contents4"/>
            <w:tabs>
              <w:tab w:val="clear" w:pos="8176"/>
              <w:tab w:val="right" w:pos="9026" w:leader="dot"/>
            </w:tabs>
            <w:rPr/>
          </w:pPr>
          <w:hyperlink w:anchor="__RefHeading___Toc2819876_1395250215">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2819878_1395250215">
            <w:r>
              <w:rPr>
                <w:webHidden/>
                <w:rStyle w:val="IndexLink"/>
              </w:rPr>
              <w:t>1</w:t>
            </w:r>
            <w:r>
              <w:rPr>
                <w:rStyle w:val="IndexLink"/>
                <w:rtl w:val="true"/>
              </w:rPr>
              <w:t xml:space="preserve">. </w:t>
            </w:r>
            <w:r>
              <w:rPr>
                <w:rStyle w:val="IndexLink"/>
                <w:rtl w:val="true"/>
              </w:rPr>
              <w:t>الإمام حافظ للشریعة کالنبیّ صلی الله علیه و آله</w:t>
            </w:r>
            <w:r>
              <w:rPr>
                <w:rStyle w:val="IndexLink"/>
                <w:rtl w:val="true"/>
              </w:rPr>
              <w:tab/>
            </w:r>
            <w:r>
              <w:rPr>
                <w:rStyle w:val="IndexLink"/>
              </w:rPr>
              <w:t>363</w:t>
            </w:r>
          </w:hyperlink>
        </w:p>
        <w:p>
          <w:pPr>
            <w:pStyle w:val="Contents4"/>
            <w:tabs>
              <w:tab w:val="clear" w:pos="8176"/>
              <w:tab w:val="right" w:pos="9026" w:leader="dot"/>
            </w:tabs>
            <w:rPr/>
          </w:pPr>
          <w:hyperlink w:anchor="__RefHeading___Toc2819880_1395250215">
            <w:r>
              <w:rPr>
                <w:webHidden/>
                <w:rStyle w:val="IndexLink"/>
              </w:rPr>
              <w:t>2</w:t>
            </w:r>
            <w:r>
              <w:rPr>
                <w:rStyle w:val="IndexLink"/>
                <w:rtl w:val="true"/>
              </w:rPr>
              <w:t xml:space="preserve">. </w:t>
            </w:r>
            <w:r>
              <w:rPr>
                <w:rStyle w:val="IndexLink"/>
                <w:rtl w:val="true"/>
              </w:rPr>
              <w:t>آیة ابتلاء إبراهیم علیه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2819882_1395250215">
            <w:r>
              <w:rPr>
                <w:webHidden/>
                <w:rStyle w:val="IndexLink"/>
              </w:rPr>
              <w:t>3</w:t>
            </w:r>
            <w:r>
              <w:rPr>
                <w:rStyle w:val="IndexLink"/>
                <w:rtl w:val="true"/>
              </w:rPr>
              <w:t xml:space="preserve">. </w:t>
            </w:r>
            <w:r>
              <w:rPr>
                <w:rStyle w:val="IndexLink"/>
                <w:rtl w:val="true"/>
              </w:rPr>
              <w:t>آیة إطاعة أولی الأمر</w:t>
            </w:r>
            <w:r>
              <w:rPr>
                <w:rStyle w:val="IndexLink"/>
                <w:rtl w:val="true"/>
              </w:rPr>
              <w:tab/>
            </w:r>
            <w:r>
              <w:rPr>
                <w:rStyle w:val="IndexLink"/>
              </w:rPr>
              <w:t>366</w:t>
            </w:r>
          </w:hyperlink>
        </w:p>
        <w:p>
          <w:pPr>
            <w:pStyle w:val="Contents3"/>
            <w:tabs>
              <w:tab w:val="clear" w:pos="8459"/>
              <w:tab w:val="right" w:pos="9026" w:leader="dot"/>
            </w:tabs>
            <w:rPr/>
          </w:pPr>
          <w:hyperlink w:anchor="__RefHeading___Toc2819884_1395250215">
            <w:r>
              <w:rPr>
                <w:webHidden/>
                <w:rStyle w:val="IndexLink"/>
                <w:rtl w:val="true"/>
              </w:rPr>
              <w:t>الفصل السادس</w:t>
            </w:r>
            <w:r>
              <w:rPr>
                <w:rStyle w:val="IndexLink"/>
                <w:rtl w:val="true"/>
              </w:rPr>
              <w:t>:</w:t>
            </w:r>
            <w:r>
              <w:rPr>
                <w:rStyle w:val="IndexLink"/>
                <w:rtl w:val="true"/>
              </w:rPr>
              <w:t>النصوص الدینیة و تنصیب علی علیه السلام للإمامة</w:t>
            </w:r>
            <w:r>
              <w:rPr>
                <w:rStyle w:val="IndexLink"/>
                <w:rtl w:val="true"/>
              </w:rPr>
              <w:tab/>
            </w:r>
            <w:r>
              <w:rPr>
                <w:rStyle w:val="IndexLink"/>
              </w:rPr>
              <w:t>370</w:t>
            </w:r>
          </w:hyperlink>
        </w:p>
        <w:p>
          <w:pPr>
            <w:pStyle w:val="Contents4"/>
            <w:tabs>
              <w:tab w:val="clear" w:pos="8176"/>
              <w:tab w:val="right" w:pos="9026" w:leader="dot"/>
            </w:tabs>
            <w:rPr/>
          </w:pPr>
          <w:hyperlink w:anchor="__RefHeading___Toc2819886_1395250215">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2819888_1395250215">
            <w:r>
              <w:rPr>
                <w:webHidden/>
                <w:rStyle w:val="IndexLink"/>
                <w:rtl w:val="true"/>
              </w:rPr>
              <w:t>آیة الولایة</w:t>
            </w:r>
            <w:r>
              <w:rPr>
                <w:rStyle w:val="IndexLink"/>
                <w:rtl w:val="true"/>
              </w:rPr>
              <w:tab/>
            </w:r>
            <w:r>
              <w:rPr>
                <w:rStyle w:val="IndexLink"/>
              </w:rPr>
              <w:t>371</w:t>
            </w:r>
          </w:hyperlink>
        </w:p>
        <w:p>
          <w:pPr>
            <w:pStyle w:val="Contents4"/>
            <w:tabs>
              <w:tab w:val="clear" w:pos="8176"/>
              <w:tab w:val="right" w:pos="9026" w:leader="dot"/>
            </w:tabs>
            <w:rPr/>
          </w:pPr>
          <w:hyperlink w:anchor="__RefHeading___Toc2819890_1395250215">
            <w:r>
              <w:rPr>
                <w:webHidden/>
                <w:rStyle w:val="IndexLink"/>
                <w:rtl w:val="true"/>
              </w:rPr>
              <w:t xml:space="preserve">حدیث </w:t>
            </w:r>
            <w:r>
              <w:rPr>
                <w:rStyle w:val="IndexLink"/>
                <w:rtl w:val="true"/>
              </w:rPr>
              <w:t>«</w:t>
            </w:r>
            <w:r>
              <w:rPr>
                <w:rStyle w:val="IndexLink"/>
                <w:rtl w:val="true"/>
              </w:rPr>
              <w:t>المنزلة</w:t>
            </w:r>
            <w:r>
              <w:rPr>
                <w:rStyle w:val="IndexLink"/>
                <w:rtl w:val="true"/>
              </w:rPr>
              <w:t>»</w:t>
              <w:tab/>
            </w:r>
            <w:r>
              <w:rPr>
                <w:rStyle w:val="IndexLink"/>
              </w:rPr>
              <w:t>373</w:t>
            </w:r>
          </w:hyperlink>
        </w:p>
        <w:p>
          <w:pPr>
            <w:pStyle w:val="Contents4"/>
            <w:tabs>
              <w:tab w:val="clear" w:pos="8176"/>
              <w:tab w:val="right" w:pos="9026" w:leader="dot"/>
            </w:tabs>
            <w:rPr/>
          </w:pPr>
          <w:hyperlink w:anchor="__RefHeading___Toc2819892_1395250215">
            <w:r>
              <w:rPr>
                <w:webHidden/>
                <w:rStyle w:val="IndexLink"/>
                <w:rtl w:val="true"/>
              </w:rPr>
              <w:t xml:space="preserve">حدیث </w:t>
            </w:r>
            <w:r>
              <w:rPr>
                <w:rStyle w:val="IndexLink"/>
                <w:rtl w:val="true"/>
              </w:rPr>
              <w:t>«</w:t>
            </w:r>
            <w:r>
              <w:rPr>
                <w:rStyle w:val="IndexLink"/>
                <w:rtl w:val="true"/>
              </w:rPr>
              <w:t>الغدیر</w:t>
            </w:r>
            <w:r>
              <w:rPr>
                <w:rStyle w:val="IndexLink"/>
                <w:rtl w:val="true"/>
              </w:rPr>
              <w:t>»</w:t>
              <w:tab/>
            </w:r>
            <w:r>
              <w:rPr>
                <w:rStyle w:val="IndexLink"/>
              </w:rPr>
              <w:t>375</w:t>
            </w:r>
          </w:hyperlink>
        </w:p>
        <w:p>
          <w:pPr>
            <w:pStyle w:val="Contents4"/>
            <w:tabs>
              <w:tab w:val="clear" w:pos="8176"/>
              <w:tab w:val="right" w:pos="9026" w:leader="dot"/>
            </w:tabs>
            <w:rPr/>
          </w:pPr>
          <w:hyperlink w:anchor="__RefHeading___Toc2819894_1395250215">
            <w:r>
              <w:rPr>
                <w:webHidden/>
                <w:rStyle w:val="IndexLink"/>
                <w:rtl w:val="true"/>
              </w:rPr>
              <w:t>دلالة الحدیث</w:t>
            </w:r>
            <w:r>
              <w:rPr>
                <w:rStyle w:val="IndexLink"/>
                <w:rtl w:val="true"/>
              </w:rPr>
              <w:tab/>
            </w:r>
            <w:r>
              <w:rPr>
                <w:rStyle w:val="IndexLink"/>
              </w:rPr>
              <w:t>377</w:t>
            </w:r>
          </w:hyperlink>
        </w:p>
        <w:p>
          <w:pPr>
            <w:pStyle w:val="Contents4"/>
            <w:tabs>
              <w:tab w:val="clear" w:pos="8176"/>
              <w:tab w:val="right" w:pos="9026" w:leader="dot"/>
            </w:tabs>
            <w:rPr/>
          </w:pPr>
          <w:hyperlink w:anchor="__RefHeading___Toc2819896_1395250215">
            <w:r>
              <w:rPr>
                <w:webHidden/>
                <w:rStyle w:val="IndexLink"/>
                <w:rtl w:val="true"/>
              </w:rPr>
              <w:t>لما ذا أعرض الصحابة عن مدلول حدیث الغدیر؟</w:t>
            </w:r>
            <w:r>
              <w:rPr>
                <w:rStyle w:val="IndexLink"/>
                <w:rtl w:val="true"/>
              </w:rPr>
              <w:tab/>
            </w:r>
            <w:r>
              <w:rPr>
                <w:rStyle w:val="IndexLink"/>
              </w:rPr>
              <w:t>379</w:t>
            </w:r>
          </w:hyperlink>
        </w:p>
        <w:p>
          <w:pPr>
            <w:pStyle w:val="Contents3"/>
            <w:tabs>
              <w:tab w:val="clear" w:pos="8459"/>
              <w:tab w:val="right" w:pos="9026" w:leader="dot"/>
            </w:tabs>
            <w:rPr/>
          </w:pPr>
          <w:hyperlink w:anchor="__RefHeading___Toc2819898_1395250215">
            <w:r>
              <w:rPr>
                <w:webHidden/>
                <w:rStyle w:val="IndexLink"/>
                <w:rtl w:val="true"/>
              </w:rPr>
              <w:t>الفصل السابع</w:t>
            </w:r>
            <w:r>
              <w:rPr>
                <w:rStyle w:val="IndexLink"/>
                <w:rtl w:val="true"/>
              </w:rPr>
              <w:t>:</w:t>
            </w:r>
            <w:r>
              <w:rPr>
                <w:rStyle w:val="IndexLink"/>
                <w:rtl w:val="true"/>
              </w:rPr>
              <w:t>السنّة النبویّة و الأئمّة الاثنا عشر</w:t>
            </w:r>
            <w:r>
              <w:rPr>
                <w:rStyle w:val="IndexLink"/>
                <w:rtl w:val="true"/>
              </w:rPr>
              <w:t>:</w:t>
            </w:r>
            <w:r>
              <w:rPr>
                <w:rStyle w:val="IndexLink"/>
                <w:rtl w:val="true"/>
              </w:rPr>
              <w:t>حدیث اثنی عشر خلیفة</w:t>
            </w:r>
            <w:r>
              <w:rPr>
                <w:rStyle w:val="IndexLink"/>
                <w:rtl w:val="true"/>
              </w:rPr>
              <w:tab/>
            </w:r>
            <w:r>
              <w:rPr>
                <w:rStyle w:val="IndexLink"/>
              </w:rPr>
              <w:t>380</w:t>
            </w:r>
          </w:hyperlink>
        </w:p>
        <w:p>
          <w:pPr>
            <w:pStyle w:val="Contents4"/>
            <w:tabs>
              <w:tab w:val="clear" w:pos="8176"/>
              <w:tab w:val="right" w:pos="9026" w:leader="dot"/>
            </w:tabs>
            <w:rPr/>
          </w:pPr>
          <w:hyperlink w:anchor="__RefHeading___Toc2819900_1395250215">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2819902_1395250215">
            <w:r>
              <w:rPr>
                <w:webHidden/>
                <w:rStyle w:val="IndexLink"/>
                <w:rtl w:val="true"/>
              </w:rPr>
              <w:t>حدیث الثقلین</w:t>
            </w:r>
            <w:r>
              <w:rPr>
                <w:rStyle w:val="IndexLink"/>
                <w:rtl w:val="true"/>
              </w:rPr>
              <w:tab/>
            </w:r>
            <w:r>
              <w:rPr>
                <w:rStyle w:val="IndexLink"/>
              </w:rPr>
              <w:t>383</w:t>
            </w:r>
          </w:hyperlink>
        </w:p>
        <w:p>
          <w:pPr>
            <w:pStyle w:val="Contents3"/>
            <w:tabs>
              <w:tab w:val="clear" w:pos="8459"/>
              <w:tab w:val="right" w:pos="9026" w:leader="dot"/>
            </w:tabs>
            <w:rPr/>
          </w:pPr>
          <w:hyperlink w:anchor="__RefHeading___Toc2819904_1395250215">
            <w:r>
              <w:rPr>
                <w:webHidden/>
                <w:rStyle w:val="IndexLink"/>
                <w:rtl w:val="true"/>
              </w:rPr>
              <w:t>الفصل الثامن</w:t>
            </w:r>
            <w:r>
              <w:rPr>
                <w:rStyle w:val="IndexLink"/>
                <w:rtl w:val="true"/>
              </w:rPr>
              <w:t>:</w:t>
            </w:r>
            <w:r>
              <w:rPr>
                <w:rStyle w:val="IndexLink"/>
                <w:rtl w:val="true"/>
              </w:rPr>
              <w:t>الإمام الثانی عشر فی الکتاب و السنّة</w:t>
            </w:r>
            <w:r>
              <w:rPr>
                <w:rStyle w:val="IndexLink"/>
                <w:rtl w:val="true"/>
              </w:rPr>
              <w:tab/>
            </w:r>
            <w:r>
              <w:rPr>
                <w:rStyle w:val="IndexLink"/>
              </w:rPr>
              <w:t>384</w:t>
            </w:r>
          </w:hyperlink>
        </w:p>
        <w:p>
          <w:pPr>
            <w:pStyle w:val="Contents4"/>
            <w:tabs>
              <w:tab w:val="clear" w:pos="8176"/>
              <w:tab w:val="right" w:pos="9026" w:leader="dot"/>
            </w:tabs>
            <w:rPr/>
          </w:pPr>
          <w:hyperlink w:anchor="__RefHeading___Toc2819906_1395250215">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2819908_1395250215">
            <w:r>
              <w:rPr>
                <w:webHidden/>
                <w:rStyle w:val="IndexLink"/>
                <w:rtl w:val="true"/>
              </w:rPr>
              <w:t>أسئلة حول المهدی المنتظر</w:t>
            </w:r>
            <w:r>
              <w:rPr>
                <w:rStyle w:val="IndexLink"/>
                <w:rtl w:val="true"/>
              </w:rPr>
              <w:tab/>
            </w:r>
            <w:r>
              <w:rPr>
                <w:rStyle w:val="IndexLink"/>
              </w:rPr>
              <w:t>388</w:t>
            </w:r>
          </w:hyperlink>
        </w:p>
        <w:p>
          <w:pPr>
            <w:pStyle w:val="Contents3"/>
            <w:tabs>
              <w:tab w:val="clear" w:pos="8459"/>
              <w:tab w:val="right" w:pos="9026" w:leader="dot"/>
            </w:tabs>
            <w:rPr/>
          </w:pPr>
          <w:hyperlink w:anchor="__RefHeading___Toc2819910_1395250215">
            <w:r>
              <w:rPr>
                <w:webHidden/>
                <w:rStyle w:val="IndexLink"/>
                <w:rtl w:val="true"/>
              </w:rPr>
              <w:t>الفصل التاسع</w:t>
            </w:r>
            <w:r>
              <w:rPr>
                <w:rStyle w:val="IndexLink"/>
                <w:rtl w:val="true"/>
              </w:rPr>
              <w:t>:</w:t>
            </w:r>
            <w:r>
              <w:rPr>
                <w:rStyle w:val="IndexLink"/>
                <w:rtl w:val="true"/>
              </w:rPr>
              <w:t>الرجعة</w:t>
            </w:r>
            <w:r>
              <w:rPr>
                <w:rStyle w:val="IndexLink"/>
                <w:rtl w:val="true"/>
              </w:rPr>
              <w:tab/>
            </w:r>
            <w:r>
              <w:rPr>
                <w:rStyle w:val="IndexLink"/>
              </w:rPr>
              <w:t>398</w:t>
            </w:r>
          </w:hyperlink>
        </w:p>
        <w:p>
          <w:pPr>
            <w:pStyle w:val="Contents4"/>
            <w:tabs>
              <w:tab w:val="clear" w:pos="8176"/>
              <w:tab w:val="right" w:pos="9026" w:leader="dot"/>
            </w:tabs>
            <w:rPr/>
          </w:pPr>
          <w:hyperlink w:anchor="__RefHeading___Toc2819912_1395250215">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2819914_1395250215">
            <w:r>
              <w:rPr>
                <w:webHidden/>
                <w:rStyle w:val="IndexLink"/>
                <w:rtl w:val="true"/>
              </w:rPr>
              <w:t>أسئلة و أجوبتها</w:t>
            </w:r>
            <w:r>
              <w:rPr>
                <w:rStyle w:val="IndexLink"/>
                <w:rtl w:val="true"/>
              </w:rPr>
              <w:tab/>
            </w:r>
            <w:r>
              <w:rPr>
                <w:rStyle w:val="IndexLink"/>
              </w:rPr>
              <w:t>401</w:t>
            </w:r>
          </w:hyperlink>
        </w:p>
        <w:p>
          <w:pPr>
            <w:pStyle w:val="Contents2"/>
            <w:tabs>
              <w:tab w:val="clear" w:pos="8743"/>
              <w:tab w:val="right" w:pos="9026" w:leader="dot"/>
            </w:tabs>
            <w:rPr/>
          </w:pPr>
          <w:hyperlink w:anchor="__RefHeading___Toc2819916_1395250215">
            <w:r>
              <w:rPr>
                <w:webHidden/>
                <w:rStyle w:val="IndexLink"/>
                <w:rtl w:val="true"/>
              </w:rPr>
              <w:t>الباب الثامن</w:t>
            </w:r>
            <w:r>
              <w:rPr>
                <w:rStyle w:val="IndexLink"/>
                <w:rtl w:val="true"/>
              </w:rPr>
              <w:t>:</w:t>
            </w:r>
            <w:r>
              <w:rPr>
                <w:rStyle w:val="IndexLink"/>
                <w:rtl w:val="true"/>
              </w:rPr>
              <w:t>فی المعاد و فیه عشرة فصول</w:t>
            </w:r>
            <w:r>
              <w:rPr>
                <w:rStyle w:val="IndexLink"/>
                <w:rtl w:val="true"/>
              </w:rPr>
              <w:t>:</w:t>
              <w:tab/>
            </w:r>
            <w:r>
              <w:rPr>
                <w:rStyle w:val="IndexLink"/>
              </w:rPr>
              <w:t>404</w:t>
            </w:r>
          </w:hyperlink>
        </w:p>
        <w:p>
          <w:pPr>
            <w:pStyle w:val="Contents3"/>
            <w:tabs>
              <w:tab w:val="clear" w:pos="8459"/>
              <w:tab w:val="right" w:pos="9026" w:leader="dot"/>
            </w:tabs>
            <w:rPr/>
          </w:pPr>
          <w:hyperlink w:anchor="__RefHeading___Toc2819918_1395250215">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2819920_1395250215">
            <w:r>
              <w:rPr>
                <w:webHidden/>
                <w:rStyle w:val="IndexLink"/>
                <w:rtl w:val="true"/>
              </w:rPr>
              <w:t>الفصل الأوّل</w:t>
            </w:r>
            <w:r>
              <w:rPr>
                <w:rStyle w:val="IndexLink"/>
                <w:rtl w:val="true"/>
              </w:rPr>
              <w:t>:</w:t>
            </w:r>
            <w:r>
              <w:rPr>
                <w:rStyle w:val="IndexLink"/>
                <w:rtl w:val="true"/>
              </w:rPr>
              <w:t>براهین إثبات المعاد</w:t>
            </w:r>
            <w:r>
              <w:rPr>
                <w:rStyle w:val="IndexLink"/>
                <w:rtl w:val="true"/>
              </w:rPr>
              <w:tab/>
            </w:r>
            <w:r>
              <w:rPr>
                <w:rStyle w:val="IndexLink"/>
              </w:rPr>
              <w:t>406</w:t>
            </w:r>
          </w:hyperlink>
        </w:p>
        <w:p>
          <w:pPr>
            <w:pStyle w:val="Contents4"/>
            <w:tabs>
              <w:tab w:val="clear" w:pos="8176"/>
              <w:tab w:val="right" w:pos="9026" w:leader="dot"/>
            </w:tabs>
            <w:rPr/>
          </w:pPr>
          <w:hyperlink w:anchor="__RefHeading___Toc2819922_1395250215">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2819924_1395250215">
            <w:r>
              <w:rPr>
                <w:webHidden/>
                <w:rStyle w:val="IndexLink"/>
                <w:rtl w:val="true"/>
              </w:rPr>
              <w:t>الأوّل</w:t>
            </w:r>
            <w:r>
              <w:rPr>
                <w:rStyle w:val="IndexLink"/>
                <w:rtl w:val="true"/>
              </w:rPr>
              <w:t xml:space="preserve">: </w:t>
            </w:r>
            <w:r>
              <w:rPr>
                <w:rStyle w:val="IndexLink"/>
                <w:rtl w:val="true"/>
              </w:rPr>
              <w:t>صیانة الخلقة عن العبث</w:t>
            </w:r>
            <w:r>
              <w:rPr>
                <w:rStyle w:val="IndexLink"/>
                <w:rtl w:val="true"/>
              </w:rPr>
              <w:tab/>
            </w:r>
            <w:r>
              <w:rPr>
                <w:rStyle w:val="IndexLink"/>
              </w:rPr>
              <w:t>407</w:t>
            </w:r>
          </w:hyperlink>
        </w:p>
        <w:p>
          <w:pPr>
            <w:pStyle w:val="Contents4"/>
            <w:tabs>
              <w:tab w:val="clear" w:pos="8176"/>
              <w:tab w:val="right" w:pos="9026" w:leader="dot"/>
            </w:tabs>
            <w:rPr/>
          </w:pPr>
          <w:hyperlink w:anchor="__RefHeading___Toc2819926_1395250215">
            <w:r>
              <w:rPr>
                <w:webHidden/>
                <w:rStyle w:val="IndexLink"/>
                <w:rtl w:val="true"/>
              </w:rPr>
              <w:t>الثانی</w:t>
            </w:r>
            <w:r>
              <w:rPr>
                <w:rStyle w:val="IndexLink"/>
                <w:rtl w:val="true"/>
              </w:rPr>
              <w:t xml:space="preserve">: </w:t>
            </w:r>
            <w:r>
              <w:rPr>
                <w:rStyle w:val="IndexLink"/>
                <w:rtl w:val="true"/>
              </w:rPr>
              <w:t>المعاد مقتضی العدل الإلهی</w:t>
            </w:r>
            <w:r>
              <w:rPr>
                <w:rStyle w:val="IndexLink"/>
                <w:rtl w:val="true"/>
              </w:rPr>
              <w:tab/>
            </w:r>
            <w:r>
              <w:rPr>
                <w:rStyle w:val="IndexLink"/>
              </w:rPr>
              <w:t>408</w:t>
            </w:r>
          </w:hyperlink>
        </w:p>
        <w:p>
          <w:pPr>
            <w:pStyle w:val="Contents4"/>
            <w:tabs>
              <w:tab w:val="clear" w:pos="8176"/>
              <w:tab w:val="right" w:pos="9026" w:leader="dot"/>
            </w:tabs>
            <w:rPr/>
          </w:pPr>
          <w:hyperlink w:anchor="__RefHeading___Toc2819928_1395250215">
            <w:r>
              <w:rPr>
                <w:webHidden/>
                <w:rStyle w:val="IndexLink"/>
                <w:rtl w:val="true"/>
              </w:rPr>
              <w:t>الثالث</w:t>
            </w:r>
            <w:r>
              <w:rPr>
                <w:rStyle w:val="IndexLink"/>
                <w:rtl w:val="true"/>
              </w:rPr>
              <w:t xml:space="preserve">: </w:t>
            </w:r>
            <w:r>
              <w:rPr>
                <w:rStyle w:val="IndexLink"/>
                <w:rtl w:val="true"/>
              </w:rPr>
              <w:t>المعاد مجلی لتحقّق مواعیده تعالی</w:t>
            </w:r>
            <w:r>
              <w:rPr>
                <w:rStyle w:val="IndexLink"/>
                <w:rtl w:val="true"/>
              </w:rPr>
              <w:tab/>
            </w:r>
            <w:r>
              <w:rPr>
                <w:rStyle w:val="IndexLink"/>
              </w:rPr>
              <w:t>409</w:t>
            </w:r>
          </w:hyperlink>
        </w:p>
        <w:p>
          <w:pPr>
            <w:pStyle w:val="Contents3"/>
            <w:tabs>
              <w:tab w:val="clear" w:pos="8459"/>
              <w:tab w:val="right" w:pos="9026" w:leader="dot"/>
            </w:tabs>
            <w:rPr/>
          </w:pPr>
          <w:hyperlink w:anchor="__RefHeading___Toc2819930_1395250215">
            <w:r>
              <w:rPr>
                <w:webHidden/>
                <w:rStyle w:val="IndexLink"/>
                <w:rtl w:val="true"/>
              </w:rPr>
              <w:t>الفصل الثانی</w:t>
            </w:r>
            <w:r>
              <w:rPr>
                <w:rStyle w:val="IndexLink"/>
                <w:rtl w:val="true"/>
              </w:rPr>
              <w:t>:</w:t>
            </w:r>
            <w:r>
              <w:rPr>
                <w:rStyle w:val="IndexLink"/>
                <w:rtl w:val="true"/>
              </w:rPr>
              <w:t>بقاء النفس الإنسانیة بعد الموت</w:t>
            </w:r>
            <w:r>
              <w:rPr>
                <w:rStyle w:val="IndexLink"/>
                <w:rtl w:val="true"/>
              </w:rPr>
              <w:tab/>
            </w:r>
            <w:r>
              <w:rPr>
                <w:rStyle w:val="IndexLink"/>
              </w:rPr>
              <w:t>412</w:t>
            </w:r>
          </w:hyperlink>
        </w:p>
        <w:p>
          <w:pPr>
            <w:pStyle w:val="Contents4"/>
            <w:tabs>
              <w:tab w:val="clear" w:pos="8176"/>
              <w:tab w:val="right" w:pos="9026" w:leader="dot"/>
            </w:tabs>
            <w:rPr/>
          </w:pPr>
          <w:hyperlink w:anchor="__RefHeading___Toc2819932_1395250215">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2819934_1395250215">
            <w:r>
              <w:rPr>
                <w:webHidden/>
                <w:rStyle w:val="IndexLink"/>
                <w:rtl w:val="true"/>
              </w:rPr>
              <w:t>أ</w:t>
            </w:r>
            <w:r>
              <w:rPr>
                <w:rStyle w:val="IndexLink"/>
                <w:rtl w:val="true"/>
              </w:rPr>
              <w:t xml:space="preserve">) </w:t>
            </w:r>
            <w:r>
              <w:rPr>
                <w:rStyle w:val="IndexLink"/>
                <w:rtl w:val="true"/>
              </w:rPr>
              <w:t>البراهین العقلیة</w:t>
            </w:r>
            <w:r>
              <w:rPr>
                <w:rStyle w:val="IndexLink"/>
                <w:rtl w:val="true"/>
              </w:rPr>
              <w:tab/>
            </w:r>
            <w:r>
              <w:rPr>
                <w:rStyle w:val="IndexLink"/>
              </w:rPr>
              <w:t>413</w:t>
            </w:r>
          </w:hyperlink>
        </w:p>
        <w:p>
          <w:pPr>
            <w:pStyle w:val="Contents4"/>
            <w:tabs>
              <w:tab w:val="clear" w:pos="8176"/>
              <w:tab w:val="right" w:pos="9026" w:leader="dot"/>
            </w:tabs>
            <w:rPr/>
          </w:pPr>
          <w:hyperlink w:anchor="__RefHeading___Toc2819936_1395250215">
            <w:r>
              <w:rPr>
                <w:webHidden/>
                <w:rStyle w:val="IndexLink"/>
                <w:rtl w:val="true"/>
              </w:rPr>
              <w:t>ب</w:t>
            </w:r>
            <w:r>
              <w:rPr>
                <w:rStyle w:val="IndexLink"/>
                <w:rtl w:val="true"/>
              </w:rPr>
              <w:t xml:space="preserve">) </w:t>
            </w:r>
            <w:r>
              <w:rPr>
                <w:rStyle w:val="IndexLink"/>
                <w:rtl w:val="true"/>
              </w:rPr>
              <w:t>القرآن و تجرّد النفس</w:t>
            </w:r>
            <w:r>
              <w:rPr>
                <w:rStyle w:val="IndexLink"/>
                <w:rtl w:val="true"/>
              </w:rPr>
              <w:tab/>
            </w:r>
            <w:r>
              <w:rPr>
                <w:rStyle w:val="IndexLink"/>
              </w:rPr>
              <w:t>414</w:t>
            </w:r>
          </w:hyperlink>
        </w:p>
        <w:p>
          <w:pPr>
            <w:pStyle w:val="Contents3"/>
            <w:tabs>
              <w:tab w:val="clear" w:pos="8459"/>
              <w:tab w:val="right" w:pos="9026" w:leader="dot"/>
            </w:tabs>
            <w:rPr/>
          </w:pPr>
          <w:hyperlink w:anchor="__RefHeading___Toc2819938_1395250215">
            <w:r>
              <w:rPr>
                <w:webHidden/>
                <w:rStyle w:val="IndexLink"/>
                <w:rtl w:val="true"/>
              </w:rPr>
              <w:t>الفصل الثالث</w:t>
            </w:r>
            <w:r>
              <w:rPr>
                <w:rStyle w:val="IndexLink"/>
                <w:rtl w:val="true"/>
              </w:rPr>
              <w:t>:</w:t>
            </w:r>
            <w:r>
              <w:rPr>
                <w:rStyle w:val="IndexLink"/>
                <w:rtl w:val="true"/>
              </w:rPr>
              <w:t>المعاد الجسمانی و الروحانی فی القرآن الکریم</w:t>
            </w:r>
            <w:r>
              <w:rPr>
                <w:rStyle w:val="IndexLink"/>
                <w:rtl w:val="true"/>
              </w:rPr>
              <w:tab/>
            </w:r>
            <w:r>
              <w:rPr>
                <w:rStyle w:val="IndexLink"/>
              </w:rPr>
              <w:t>418</w:t>
            </w:r>
          </w:hyperlink>
        </w:p>
        <w:p>
          <w:pPr>
            <w:pStyle w:val="Contents4"/>
            <w:tabs>
              <w:tab w:val="clear" w:pos="8176"/>
              <w:tab w:val="right" w:pos="9026" w:leader="dot"/>
            </w:tabs>
            <w:rPr/>
          </w:pPr>
          <w:hyperlink w:anchor="__RefHeading___Toc2819940_1395250215">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2819942_1395250215">
            <w:r>
              <w:rPr>
                <w:webHidden/>
                <w:rStyle w:val="IndexLink"/>
                <w:rtl w:val="true"/>
              </w:rPr>
              <w:t>شبهة الآکل و المأکول</w:t>
            </w:r>
            <w:r>
              <w:rPr>
                <w:rStyle w:val="IndexLink"/>
                <w:rtl w:val="true"/>
              </w:rPr>
              <w:tab/>
            </w:r>
            <w:r>
              <w:rPr>
                <w:rStyle w:val="IndexLink"/>
              </w:rPr>
              <w:t>422</w:t>
            </w:r>
          </w:hyperlink>
        </w:p>
        <w:p>
          <w:pPr>
            <w:pStyle w:val="Contents3"/>
            <w:tabs>
              <w:tab w:val="clear" w:pos="8459"/>
              <w:tab w:val="right" w:pos="9026" w:leader="dot"/>
            </w:tabs>
            <w:rPr/>
          </w:pPr>
          <w:hyperlink w:anchor="__RefHeading___Toc2819944_1395250215">
            <w:r>
              <w:rPr>
                <w:webHidden/>
                <w:rStyle w:val="IndexLink"/>
                <w:rtl w:val="true"/>
              </w:rPr>
              <w:t>الفصل الرابع</w:t>
            </w:r>
            <w:r>
              <w:rPr>
                <w:rStyle w:val="IndexLink"/>
                <w:rtl w:val="true"/>
              </w:rPr>
              <w:t>:</w:t>
            </w:r>
            <w:r>
              <w:rPr>
                <w:rStyle w:val="IndexLink"/>
                <w:rtl w:val="true"/>
              </w:rPr>
              <w:t>براهین بطلان التناسخ</w:t>
            </w:r>
            <w:r>
              <w:rPr>
                <w:rStyle w:val="IndexLink"/>
                <w:rtl w:val="true"/>
              </w:rPr>
              <w:tab/>
            </w:r>
            <w:r>
              <w:rPr>
                <w:rStyle w:val="IndexLink"/>
              </w:rPr>
              <w:t>426</w:t>
            </w:r>
          </w:hyperlink>
        </w:p>
        <w:p>
          <w:pPr>
            <w:pStyle w:val="Contents4"/>
            <w:tabs>
              <w:tab w:val="clear" w:pos="8176"/>
              <w:tab w:val="right" w:pos="9026" w:leader="dot"/>
            </w:tabs>
            <w:rPr/>
          </w:pPr>
          <w:hyperlink w:anchor="__RefHeading___Toc2819946_1395250215">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2819948_1395250215">
            <w:r>
              <w:rPr>
                <w:webHidden/>
                <w:rStyle w:val="IndexLink"/>
                <w:rtl w:val="true"/>
              </w:rPr>
              <w:t>التناسخ و المسخ</w:t>
            </w:r>
            <w:r>
              <w:rPr>
                <w:rStyle w:val="IndexLink"/>
                <w:rtl w:val="true"/>
              </w:rPr>
              <w:tab/>
            </w:r>
            <w:r>
              <w:rPr>
                <w:rStyle w:val="IndexLink"/>
              </w:rPr>
              <w:t>428</w:t>
            </w:r>
          </w:hyperlink>
        </w:p>
        <w:p>
          <w:pPr>
            <w:pStyle w:val="Contents4"/>
            <w:tabs>
              <w:tab w:val="clear" w:pos="8176"/>
              <w:tab w:val="right" w:pos="9026" w:leader="dot"/>
            </w:tabs>
            <w:rPr/>
          </w:pPr>
          <w:hyperlink w:anchor="__RefHeading___Toc2819950_1395250215">
            <w:r>
              <w:rPr>
                <w:webHidden/>
                <w:rStyle w:val="IndexLink"/>
                <w:rtl w:val="true"/>
              </w:rPr>
              <w:t>التناسخ و الرجعة</w:t>
            </w:r>
            <w:r>
              <w:rPr>
                <w:rStyle w:val="IndexLink"/>
                <w:rtl w:val="true"/>
              </w:rPr>
              <w:tab/>
            </w:r>
            <w:r>
              <w:rPr>
                <w:rStyle w:val="IndexLink"/>
              </w:rPr>
              <w:t>429</w:t>
            </w:r>
          </w:hyperlink>
        </w:p>
        <w:p>
          <w:pPr>
            <w:pStyle w:val="Contents3"/>
            <w:tabs>
              <w:tab w:val="clear" w:pos="8459"/>
              <w:tab w:val="right" w:pos="9026" w:leader="dot"/>
            </w:tabs>
            <w:rPr/>
          </w:pPr>
          <w:hyperlink w:anchor="__RefHeading___Toc2819952_1395250215">
            <w:r>
              <w:rPr>
                <w:webHidden/>
                <w:rStyle w:val="IndexLink"/>
                <w:rtl w:val="true"/>
              </w:rPr>
              <w:t>الفصل الخامس</w:t>
            </w:r>
            <w:r>
              <w:rPr>
                <w:rStyle w:val="IndexLink"/>
                <w:rtl w:val="true"/>
              </w:rPr>
              <w:t>:</w:t>
            </w:r>
            <w:r>
              <w:rPr>
                <w:rStyle w:val="IndexLink"/>
                <w:rtl w:val="true"/>
              </w:rPr>
              <w:t>القبر و البرزخ</w:t>
            </w:r>
            <w:r>
              <w:rPr>
                <w:rStyle w:val="IndexLink"/>
                <w:rtl w:val="true"/>
              </w:rPr>
              <w:tab/>
            </w:r>
            <w:r>
              <w:rPr>
                <w:rStyle w:val="IndexLink"/>
              </w:rPr>
              <w:t>430</w:t>
            </w:r>
          </w:hyperlink>
        </w:p>
        <w:p>
          <w:pPr>
            <w:pStyle w:val="Contents4"/>
            <w:tabs>
              <w:tab w:val="clear" w:pos="8176"/>
              <w:tab w:val="right" w:pos="9026" w:leader="dot"/>
            </w:tabs>
            <w:rPr/>
          </w:pPr>
          <w:hyperlink w:anchor="__RefHeading___Toc2819954_1395250215">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2819956_1395250215">
            <w:r>
              <w:rPr>
                <w:webHidden/>
                <w:rStyle w:val="IndexLink"/>
                <w:rtl w:val="true"/>
              </w:rPr>
              <w:t>السؤال فی القبر و عذابه و نعیمه</w:t>
            </w:r>
            <w:r>
              <w:rPr>
                <w:rStyle w:val="IndexLink"/>
                <w:rtl w:val="true"/>
              </w:rPr>
              <w:tab/>
            </w:r>
            <w:r>
              <w:rPr>
                <w:rStyle w:val="IndexLink"/>
              </w:rPr>
              <w:t>433</w:t>
            </w:r>
          </w:hyperlink>
        </w:p>
        <w:p>
          <w:pPr>
            <w:pStyle w:val="Contents3"/>
            <w:tabs>
              <w:tab w:val="clear" w:pos="8459"/>
              <w:tab w:val="right" w:pos="9026" w:leader="dot"/>
            </w:tabs>
            <w:rPr/>
          </w:pPr>
          <w:hyperlink w:anchor="__RefHeading___Toc2819958_1395250215">
            <w:r>
              <w:rPr>
                <w:webHidden/>
                <w:rStyle w:val="IndexLink"/>
                <w:rtl w:val="true"/>
              </w:rPr>
              <w:t>الفصل السادس</w:t>
            </w:r>
            <w:r>
              <w:rPr>
                <w:rStyle w:val="IndexLink"/>
                <w:rtl w:val="true"/>
              </w:rPr>
              <w:t>:</w:t>
            </w:r>
            <w:r>
              <w:rPr>
                <w:rStyle w:val="IndexLink"/>
                <w:rtl w:val="true"/>
              </w:rPr>
              <w:t>الحساب و الشهود</w:t>
            </w:r>
            <w:r>
              <w:rPr>
                <w:rStyle w:val="IndexLink"/>
                <w:rtl w:val="true"/>
              </w:rPr>
              <w:t>:</w:t>
              <w:tab/>
            </w:r>
            <w:r>
              <w:rPr>
                <w:rStyle w:val="IndexLink"/>
              </w:rPr>
              <w:t>436</w:t>
            </w:r>
          </w:hyperlink>
        </w:p>
        <w:p>
          <w:pPr>
            <w:pStyle w:val="Contents4"/>
            <w:tabs>
              <w:tab w:val="clear" w:pos="8176"/>
              <w:tab w:val="right" w:pos="9026" w:leader="dot"/>
            </w:tabs>
            <w:rPr/>
          </w:pPr>
          <w:hyperlink w:anchor="__RefHeading___Toc2819960_1395250215">
            <w:r>
              <w:rPr>
                <w:webHidden/>
                <w:rStyle w:val="IndexLink"/>
                <w:rtl w:val="true"/>
              </w:rPr>
              <w:t>أ</w:t>
            </w:r>
            <w:r>
              <w:rPr>
                <w:rStyle w:val="IndexLink"/>
                <w:rtl w:val="true"/>
              </w:rPr>
              <w:t xml:space="preserve">. </w:t>
            </w:r>
            <w:r>
              <w:rPr>
                <w:rStyle w:val="IndexLink"/>
                <w:rtl w:val="true"/>
              </w:rPr>
              <w:t>الحساب یوم القیامة</w:t>
            </w:r>
            <w:r>
              <w:rPr>
                <w:rStyle w:val="IndexLink"/>
                <w:rtl w:val="true"/>
              </w:rPr>
              <w:tab/>
            </w:r>
            <w:r>
              <w:rPr>
                <w:rStyle w:val="IndexLink"/>
              </w:rPr>
              <w:t>436</w:t>
            </w:r>
          </w:hyperlink>
        </w:p>
        <w:p>
          <w:pPr>
            <w:pStyle w:val="Contents4"/>
            <w:tabs>
              <w:tab w:val="clear" w:pos="8176"/>
              <w:tab w:val="right" w:pos="9026" w:leader="dot"/>
            </w:tabs>
            <w:rPr/>
          </w:pPr>
          <w:hyperlink w:anchor="__RefHeading___Toc2819962_1395250215">
            <w:r>
              <w:rPr>
                <w:webHidden/>
                <w:rStyle w:val="IndexLink"/>
                <w:rtl w:val="true"/>
              </w:rPr>
              <w:t>ب</w:t>
            </w:r>
            <w:r>
              <w:rPr>
                <w:rStyle w:val="IndexLink"/>
                <w:rtl w:val="true"/>
              </w:rPr>
              <w:t xml:space="preserve">. </w:t>
            </w:r>
            <w:r>
              <w:rPr>
                <w:rStyle w:val="IndexLink"/>
                <w:rtl w:val="true"/>
              </w:rPr>
              <w:t>الشهود یوم القیامة</w:t>
            </w:r>
            <w:r>
              <w:rPr>
                <w:rStyle w:val="IndexLink"/>
                <w:rtl w:val="true"/>
              </w:rPr>
              <w:tab/>
            </w:r>
            <w:r>
              <w:rPr>
                <w:rStyle w:val="IndexLink"/>
              </w:rPr>
              <w:t>438</w:t>
            </w:r>
          </w:hyperlink>
        </w:p>
        <w:p>
          <w:pPr>
            <w:pStyle w:val="Contents3"/>
            <w:tabs>
              <w:tab w:val="clear" w:pos="8459"/>
              <w:tab w:val="right" w:pos="9026" w:leader="dot"/>
            </w:tabs>
            <w:rPr/>
          </w:pPr>
          <w:hyperlink w:anchor="__RefHeading___Toc2819964_1395250215">
            <w:r>
              <w:rPr>
                <w:webHidden/>
                <w:rStyle w:val="IndexLink"/>
                <w:rtl w:val="true"/>
              </w:rPr>
              <w:t>الفصل السابع</w:t>
            </w:r>
            <w:r>
              <w:rPr>
                <w:rStyle w:val="IndexLink"/>
                <w:rtl w:val="true"/>
              </w:rPr>
              <w:t>:</w:t>
            </w:r>
            <w:r>
              <w:rPr>
                <w:rStyle w:val="IndexLink"/>
                <w:rtl w:val="true"/>
              </w:rPr>
              <w:t>المیزان و الصراط</w:t>
            </w:r>
            <w:r>
              <w:rPr>
                <w:rStyle w:val="IndexLink"/>
                <w:rtl w:val="true"/>
              </w:rPr>
              <w:tab/>
            </w:r>
            <w:r>
              <w:rPr>
                <w:rStyle w:val="IndexLink"/>
              </w:rPr>
              <w:t>442</w:t>
            </w:r>
          </w:hyperlink>
        </w:p>
        <w:p>
          <w:pPr>
            <w:pStyle w:val="Contents4"/>
            <w:tabs>
              <w:tab w:val="clear" w:pos="8176"/>
              <w:tab w:val="right" w:pos="9026" w:leader="dot"/>
            </w:tabs>
            <w:rPr/>
          </w:pPr>
          <w:hyperlink w:anchor="__RefHeading___Toc2819966_1395250215">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2819968_1395250215">
            <w:r>
              <w:rPr>
                <w:webHidden/>
                <w:rStyle w:val="IndexLink"/>
                <w:rtl w:val="true"/>
              </w:rPr>
              <w:t>أ</w:t>
            </w:r>
            <w:r>
              <w:rPr>
                <w:rStyle w:val="IndexLink"/>
                <w:rtl w:val="true"/>
              </w:rPr>
              <w:t xml:space="preserve">) </w:t>
            </w:r>
            <w:r>
              <w:rPr>
                <w:rStyle w:val="IndexLink"/>
                <w:rtl w:val="true"/>
              </w:rPr>
              <w:t>المیزان</w:t>
            </w:r>
            <w:r>
              <w:rPr>
                <w:rStyle w:val="IndexLink"/>
                <w:rtl w:val="true"/>
              </w:rPr>
              <w:tab/>
            </w:r>
            <w:r>
              <w:rPr>
                <w:rStyle w:val="IndexLink"/>
              </w:rPr>
              <w:t>442</w:t>
            </w:r>
          </w:hyperlink>
        </w:p>
        <w:p>
          <w:pPr>
            <w:pStyle w:val="Contents4"/>
            <w:tabs>
              <w:tab w:val="clear" w:pos="8176"/>
              <w:tab w:val="right" w:pos="9026" w:leader="dot"/>
            </w:tabs>
            <w:rPr/>
          </w:pPr>
          <w:hyperlink w:anchor="__RefHeading___Toc2819970_1395250215">
            <w:r>
              <w:rPr>
                <w:webHidden/>
                <w:rStyle w:val="IndexLink"/>
                <w:rtl w:val="true"/>
              </w:rPr>
              <w:t>ب</w:t>
            </w:r>
            <w:r>
              <w:rPr>
                <w:rStyle w:val="IndexLink"/>
                <w:rtl w:val="true"/>
              </w:rPr>
              <w:t xml:space="preserve">) </w:t>
            </w:r>
            <w:r>
              <w:rPr>
                <w:rStyle w:val="IndexLink"/>
                <w:rtl w:val="true"/>
              </w:rPr>
              <w:t>الصراط</w:t>
            </w:r>
            <w:r>
              <w:rPr>
                <w:rStyle w:val="IndexLink"/>
                <w:rtl w:val="true"/>
              </w:rPr>
              <w:tab/>
            </w:r>
            <w:r>
              <w:rPr>
                <w:rStyle w:val="IndexLink"/>
              </w:rPr>
              <w:t>445</w:t>
            </w:r>
          </w:hyperlink>
        </w:p>
        <w:p>
          <w:pPr>
            <w:pStyle w:val="Contents3"/>
            <w:tabs>
              <w:tab w:val="clear" w:pos="8459"/>
              <w:tab w:val="right" w:pos="9026" w:leader="dot"/>
            </w:tabs>
            <w:rPr/>
          </w:pPr>
          <w:hyperlink w:anchor="__RefHeading___Toc2819972_1395250215">
            <w:r>
              <w:rPr>
                <w:webHidden/>
                <w:rStyle w:val="IndexLink"/>
                <w:rtl w:val="true"/>
              </w:rPr>
              <w:t>الفصل الثامن</w:t>
            </w:r>
            <w:r>
              <w:rPr>
                <w:rStyle w:val="IndexLink"/>
                <w:rtl w:val="true"/>
              </w:rPr>
              <w:t>:</w:t>
            </w:r>
            <w:r>
              <w:rPr>
                <w:rStyle w:val="IndexLink"/>
                <w:rtl w:val="true"/>
              </w:rPr>
              <w:t>الشفاعة فی القیامة</w:t>
            </w:r>
            <w:r>
              <w:rPr>
                <w:rStyle w:val="IndexLink"/>
                <w:rtl w:val="true"/>
              </w:rPr>
              <w:tab/>
            </w:r>
            <w:r>
              <w:rPr>
                <w:rStyle w:val="IndexLink"/>
              </w:rPr>
              <w:t>450</w:t>
            </w:r>
          </w:hyperlink>
        </w:p>
        <w:p>
          <w:pPr>
            <w:pStyle w:val="Contents4"/>
            <w:tabs>
              <w:tab w:val="clear" w:pos="8176"/>
              <w:tab w:val="right" w:pos="9026" w:leader="dot"/>
            </w:tabs>
            <w:rPr/>
          </w:pPr>
          <w:hyperlink w:anchor="__RefHeading___Toc2819974_1395250215">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2819976_1395250215">
            <w:r>
              <w:rPr>
                <w:webHidden/>
                <w:rStyle w:val="IndexLink"/>
                <w:rtl w:val="true"/>
              </w:rPr>
              <w:t>الشفاعة فی الکتاب و السنّة</w:t>
            </w:r>
            <w:r>
              <w:rPr>
                <w:rStyle w:val="IndexLink"/>
                <w:rtl w:val="true"/>
              </w:rPr>
              <w:tab/>
            </w:r>
            <w:r>
              <w:rPr>
                <w:rStyle w:val="IndexLink"/>
              </w:rPr>
              <w:t>450</w:t>
            </w:r>
          </w:hyperlink>
        </w:p>
        <w:p>
          <w:pPr>
            <w:pStyle w:val="Contents4"/>
            <w:tabs>
              <w:tab w:val="clear" w:pos="8176"/>
              <w:tab w:val="right" w:pos="9026" w:leader="dot"/>
            </w:tabs>
            <w:rPr/>
          </w:pPr>
          <w:hyperlink w:anchor="__RefHeading___Toc2819978_1395250215">
            <w:r>
              <w:rPr>
                <w:webHidden/>
                <w:rStyle w:val="IndexLink"/>
                <w:rtl w:val="true"/>
              </w:rPr>
              <w:t>الشفاعة المطلقة و المحدودة</w:t>
            </w:r>
            <w:r>
              <w:rPr>
                <w:rStyle w:val="IndexLink"/>
                <w:rtl w:val="true"/>
              </w:rPr>
              <w:tab/>
            </w:r>
            <w:r>
              <w:rPr>
                <w:rStyle w:val="IndexLink"/>
              </w:rPr>
              <w:t>453</w:t>
            </w:r>
          </w:hyperlink>
        </w:p>
        <w:p>
          <w:pPr>
            <w:pStyle w:val="Contents4"/>
            <w:tabs>
              <w:tab w:val="clear" w:pos="8176"/>
              <w:tab w:val="right" w:pos="9026" w:leader="dot"/>
            </w:tabs>
            <w:rPr/>
          </w:pPr>
          <w:hyperlink w:anchor="__RefHeading___Toc2819980_1395250215">
            <w:r>
              <w:rPr>
                <w:webHidden/>
                <w:rStyle w:val="IndexLink"/>
                <w:rtl w:val="true"/>
              </w:rPr>
              <w:t>شرائط شمول الشفاعة</w:t>
            </w:r>
            <w:r>
              <w:rPr>
                <w:rStyle w:val="IndexLink"/>
                <w:rtl w:val="true"/>
              </w:rPr>
              <w:tab/>
            </w:r>
            <w:r>
              <w:rPr>
                <w:rStyle w:val="IndexLink"/>
              </w:rPr>
              <w:t>454</w:t>
            </w:r>
          </w:hyperlink>
        </w:p>
        <w:p>
          <w:pPr>
            <w:pStyle w:val="Contents4"/>
            <w:tabs>
              <w:tab w:val="clear" w:pos="8176"/>
              <w:tab w:val="right" w:pos="9026" w:leader="dot"/>
            </w:tabs>
            <w:rPr/>
          </w:pPr>
          <w:hyperlink w:anchor="__RefHeading___Toc2819982_1395250215">
            <w:r>
              <w:rPr>
                <w:webHidden/>
                <w:rStyle w:val="IndexLink"/>
                <w:rtl w:val="true"/>
              </w:rPr>
              <w:t>ما هو أثر الشفاعة؟</w:t>
            </w:r>
            <w:r>
              <w:rPr>
                <w:rStyle w:val="IndexLink"/>
                <w:rtl w:val="true"/>
              </w:rPr>
              <w:tab/>
            </w:r>
            <w:r>
              <w:rPr>
                <w:rStyle w:val="IndexLink"/>
              </w:rPr>
              <w:t>455</w:t>
            </w:r>
          </w:hyperlink>
        </w:p>
        <w:p>
          <w:pPr>
            <w:pStyle w:val="Contents4"/>
            <w:tabs>
              <w:tab w:val="clear" w:pos="8176"/>
              <w:tab w:val="right" w:pos="9026" w:leader="dot"/>
            </w:tabs>
            <w:rPr/>
          </w:pPr>
          <w:hyperlink w:anchor="__RefHeading___Toc2819984_1395250215">
            <w:r>
              <w:rPr>
                <w:webHidden/>
                <w:rStyle w:val="IndexLink"/>
                <w:rtl w:val="true"/>
              </w:rPr>
              <w:t>هل یجوز طلب الشفاعة؟</w:t>
            </w:r>
            <w:r>
              <w:rPr>
                <w:rStyle w:val="IndexLink"/>
                <w:rtl w:val="true"/>
              </w:rPr>
              <w:tab/>
            </w:r>
            <w:r>
              <w:rPr>
                <w:rStyle w:val="IndexLink"/>
              </w:rPr>
              <w:t>456</w:t>
            </w:r>
          </w:hyperlink>
        </w:p>
        <w:p>
          <w:pPr>
            <w:pStyle w:val="Contents3"/>
            <w:tabs>
              <w:tab w:val="clear" w:pos="8459"/>
              <w:tab w:val="right" w:pos="9026" w:leader="dot"/>
            </w:tabs>
            <w:rPr/>
          </w:pPr>
          <w:hyperlink w:anchor="__RefHeading___Toc2819986_1395250215">
            <w:r>
              <w:rPr>
                <w:webHidden/>
                <w:rStyle w:val="IndexLink"/>
                <w:rtl w:val="true"/>
              </w:rPr>
              <w:t>الفصل التاسع</w:t>
            </w:r>
            <w:r>
              <w:rPr>
                <w:rStyle w:val="IndexLink"/>
                <w:rtl w:val="true"/>
              </w:rPr>
              <w:t>:</w:t>
            </w:r>
            <w:r>
              <w:rPr>
                <w:rStyle w:val="IndexLink"/>
                <w:rtl w:val="true"/>
              </w:rPr>
              <w:t>الإحباط و التکفیر</w:t>
            </w:r>
            <w:r>
              <w:rPr>
                <w:rStyle w:val="IndexLink"/>
                <w:rtl w:val="true"/>
              </w:rPr>
              <w:tab/>
            </w:r>
            <w:r>
              <w:rPr>
                <w:rStyle w:val="IndexLink"/>
              </w:rPr>
              <w:t>460</w:t>
            </w:r>
          </w:hyperlink>
        </w:p>
        <w:p>
          <w:pPr>
            <w:pStyle w:val="Contents3"/>
            <w:tabs>
              <w:tab w:val="clear" w:pos="8459"/>
              <w:tab w:val="right" w:pos="9026" w:leader="dot"/>
            </w:tabs>
            <w:rPr/>
          </w:pPr>
          <w:hyperlink w:anchor="__RefHeading___Toc2819988_1395250215">
            <w:r>
              <w:rPr>
                <w:webHidden/>
                <w:rStyle w:val="IndexLink"/>
                <w:rtl w:val="true"/>
              </w:rPr>
              <w:t>الفصل العاشر</w:t>
            </w:r>
            <w:r>
              <w:rPr>
                <w:rStyle w:val="IndexLink"/>
                <w:rtl w:val="true"/>
              </w:rPr>
              <w:t>:</w:t>
            </w:r>
            <w:r>
              <w:rPr>
                <w:rStyle w:val="IndexLink"/>
                <w:rtl w:val="true"/>
              </w:rPr>
              <w:t>الإجابة عن أسئلة حول المعاد</w:t>
            </w:r>
            <w:r>
              <w:rPr>
                <w:rStyle w:val="IndexLink"/>
                <w:rtl w:val="true"/>
              </w:rPr>
              <w:tab/>
            </w:r>
            <w:r>
              <w:rPr>
                <w:rStyle w:val="IndexLink"/>
              </w:rPr>
              <w:t>464</w:t>
            </w:r>
          </w:hyperlink>
        </w:p>
        <w:p>
          <w:pPr>
            <w:pStyle w:val="Contents4"/>
            <w:tabs>
              <w:tab w:val="clear" w:pos="8176"/>
              <w:tab w:val="right" w:pos="9026" w:leader="dot"/>
            </w:tabs>
            <w:rPr/>
          </w:pPr>
          <w:hyperlink w:anchor="__RefHeading___Toc2819990_1395250215">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2819992_1395250215">
            <w:r>
              <w:rPr>
                <w:webHidden/>
                <w:rStyle w:val="IndexLink"/>
              </w:rPr>
              <w:t>1</w:t>
            </w:r>
            <w:r>
              <w:rPr>
                <w:rStyle w:val="IndexLink"/>
                <w:rtl w:val="true"/>
              </w:rPr>
              <w:t xml:space="preserve">. </w:t>
            </w:r>
            <w:r>
              <w:rPr>
                <w:rStyle w:val="IndexLink"/>
                <w:rtl w:val="true"/>
              </w:rPr>
              <w:t>کیف یخلّد الإنسان فی الآخرة مع أنّ المادّة تفنی؟</w:t>
            </w:r>
            <w:r>
              <w:rPr>
                <w:rStyle w:val="IndexLink"/>
                <w:rtl w:val="true"/>
              </w:rPr>
              <w:tab/>
            </w:r>
            <w:r>
              <w:rPr>
                <w:rStyle w:val="IndexLink"/>
              </w:rPr>
              <w:t>464</w:t>
            </w:r>
          </w:hyperlink>
        </w:p>
        <w:p>
          <w:pPr>
            <w:pStyle w:val="Contents4"/>
            <w:tabs>
              <w:tab w:val="clear" w:pos="8176"/>
              <w:tab w:val="right" w:pos="9026" w:leader="dot"/>
            </w:tabs>
            <w:rPr/>
          </w:pPr>
          <w:hyperlink w:anchor="__RefHeading___Toc2819994_1395250215">
            <w:r>
              <w:rPr>
                <w:webHidden/>
                <w:rStyle w:val="IndexLink"/>
              </w:rPr>
              <w:t>2</w:t>
            </w:r>
            <w:r>
              <w:rPr>
                <w:rStyle w:val="IndexLink"/>
                <w:rtl w:val="true"/>
              </w:rPr>
              <w:t xml:space="preserve">. </w:t>
            </w:r>
            <w:r>
              <w:rPr>
                <w:rStyle w:val="IndexLink"/>
                <w:rtl w:val="true"/>
              </w:rPr>
              <w:t>ما هو الغرض من عقاب المجرم؟</w:t>
            </w:r>
            <w:r>
              <w:rPr>
                <w:rStyle w:val="IndexLink"/>
                <w:rtl w:val="true"/>
              </w:rPr>
              <w:tab/>
            </w:r>
            <w:r>
              <w:rPr>
                <w:rStyle w:val="IndexLink"/>
              </w:rPr>
              <w:t>465</w:t>
            </w:r>
          </w:hyperlink>
        </w:p>
        <w:p>
          <w:pPr>
            <w:pStyle w:val="Contents4"/>
            <w:tabs>
              <w:tab w:val="clear" w:pos="8176"/>
              <w:tab w:val="right" w:pos="9026" w:leader="dot"/>
            </w:tabs>
            <w:rPr/>
          </w:pPr>
          <w:hyperlink w:anchor="__RefHeading___Toc2819996_1395250215">
            <w:r>
              <w:rPr>
                <w:webHidden/>
                <w:rStyle w:val="IndexLink"/>
              </w:rPr>
              <w:t>3</w:t>
            </w:r>
            <w:r>
              <w:rPr>
                <w:rStyle w:val="IndexLink"/>
                <w:rtl w:val="true"/>
              </w:rPr>
              <w:t xml:space="preserve">. </w:t>
            </w:r>
            <w:r>
              <w:rPr>
                <w:rStyle w:val="IndexLink"/>
                <w:rtl w:val="true"/>
              </w:rPr>
              <w:t>هل یجوز العفو عن المسیء ؟</w:t>
            </w:r>
            <w:r>
              <w:rPr>
                <w:rStyle w:val="IndexLink"/>
                <w:rtl w:val="true"/>
              </w:rPr>
              <w:tab/>
            </w:r>
            <w:r>
              <w:rPr>
                <w:rStyle w:val="IndexLink"/>
              </w:rPr>
              <w:t>466</w:t>
            </w:r>
          </w:hyperlink>
        </w:p>
        <w:p>
          <w:pPr>
            <w:pStyle w:val="Contents4"/>
            <w:tabs>
              <w:tab w:val="clear" w:pos="8176"/>
              <w:tab w:val="right" w:pos="9026" w:leader="dot"/>
            </w:tabs>
            <w:rPr/>
          </w:pPr>
          <w:hyperlink w:anchor="__RefHeading___Toc2819998_1395250215">
            <w:r>
              <w:rPr>
                <w:webHidden/>
                <w:rStyle w:val="IndexLink"/>
              </w:rPr>
              <w:t>4</w:t>
            </w:r>
            <w:r>
              <w:rPr>
                <w:rStyle w:val="IndexLink"/>
                <w:rtl w:val="true"/>
              </w:rPr>
              <w:t xml:space="preserve">. </w:t>
            </w:r>
            <w:r>
              <w:rPr>
                <w:rStyle w:val="IndexLink"/>
                <w:rtl w:val="true"/>
              </w:rPr>
              <w:t>هل الجنّة و النار مخلوقتان؟</w:t>
            </w:r>
            <w:r>
              <w:rPr>
                <w:rStyle w:val="IndexLink"/>
                <w:rtl w:val="true"/>
              </w:rPr>
              <w:tab/>
            </w:r>
            <w:r>
              <w:rPr>
                <w:rStyle w:val="IndexLink"/>
              </w:rPr>
              <w:t>467</w:t>
            </w:r>
          </w:hyperlink>
        </w:p>
        <w:p>
          <w:pPr>
            <w:pStyle w:val="Contents4"/>
            <w:tabs>
              <w:tab w:val="clear" w:pos="8176"/>
              <w:tab w:val="right" w:pos="9026" w:leader="dot"/>
            </w:tabs>
            <w:rPr/>
          </w:pPr>
          <w:hyperlink w:anchor="__RefHeading___Toc2820000_1395250215">
            <w:r>
              <w:rPr>
                <w:webHidden/>
                <w:rStyle w:val="IndexLink"/>
              </w:rPr>
              <w:t>5</w:t>
            </w:r>
            <w:r>
              <w:rPr>
                <w:rStyle w:val="IndexLink"/>
                <w:rtl w:val="true"/>
              </w:rPr>
              <w:t xml:space="preserve">. </w:t>
            </w:r>
            <w:r>
              <w:rPr>
                <w:rStyle w:val="IndexLink"/>
                <w:rtl w:val="true"/>
              </w:rPr>
              <w:t>أین مکان الجنّة و النّار؟</w:t>
            </w:r>
            <w:r>
              <w:rPr>
                <w:rStyle w:val="IndexLink"/>
                <w:rtl w:val="true"/>
              </w:rPr>
              <w:tab/>
            </w:r>
            <w:r>
              <w:rPr>
                <w:rStyle w:val="IndexLink"/>
              </w:rPr>
              <w:t>469</w:t>
            </w:r>
          </w:hyperlink>
        </w:p>
        <w:p>
          <w:pPr>
            <w:pStyle w:val="Contents4"/>
            <w:tabs>
              <w:tab w:val="clear" w:pos="8176"/>
              <w:tab w:val="right" w:pos="9026" w:leader="dot"/>
            </w:tabs>
            <w:rPr/>
          </w:pPr>
          <w:hyperlink w:anchor="__RefHeading___Toc2820002_1395250215">
            <w:r>
              <w:rPr>
                <w:webHidden/>
                <w:rStyle w:val="IndexLink"/>
              </w:rPr>
              <w:t>6</w:t>
            </w:r>
            <w:r>
              <w:rPr>
                <w:rStyle w:val="IndexLink"/>
                <w:rtl w:val="true"/>
              </w:rPr>
              <w:t xml:space="preserve">. </w:t>
            </w:r>
            <w:r>
              <w:rPr>
                <w:rStyle w:val="IndexLink"/>
                <w:rtl w:val="true"/>
              </w:rPr>
              <w:t>من هو المخلَّد فی النار؟</w:t>
            </w:r>
            <w:r>
              <w:rPr>
                <w:rStyle w:val="IndexLink"/>
                <w:rtl w:val="true"/>
              </w:rPr>
              <w:tab/>
            </w:r>
            <w:r>
              <w:rPr>
                <w:rStyle w:val="IndexLink"/>
              </w:rPr>
              <w:t>470</w:t>
            </w:r>
          </w:hyperlink>
        </w:p>
        <w:p>
          <w:pPr>
            <w:pStyle w:val="Contents4"/>
            <w:tabs>
              <w:tab w:val="clear" w:pos="8176"/>
              <w:tab w:val="right" w:pos="9026" w:leader="dot"/>
            </w:tabs>
            <w:rPr/>
          </w:pPr>
          <w:hyperlink w:anchor="__RefHeading___Toc2820004_1395250215">
            <w:r>
              <w:rPr>
                <w:webHidden/>
                <w:rStyle w:val="IndexLink"/>
              </w:rPr>
              <w:t>7</w:t>
            </w:r>
            <w:r>
              <w:rPr>
                <w:rStyle w:val="IndexLink"/>
                <w:rtl w:val="true"/>
              </w:rPr>
              <w:t xml:space="preserve">. </w:t>
            </w:r>
            <w:r>
              <w:rPr>
                <w:rStyle w:val="IndexLink"/>
                <w:rtl w:val="true"/>
              </w:rPr>
              <w:t>کیف یصحّ الخلود مع کون الذنب منقطعاً؟</w:t>
            </w:r>
            <w:r>
              <w:rPr>
                <w:rStyle w:val="IndexLink"/>
                <w:rtl w:val="true"/>
              </w:rPr>
              <w:tab/>
            </w:r>
            <w:r>
              <w:rPr>
                <w:rStyle w:val="IndexLink"/>
              </w:rPr>
              <w:t>472</w:t>
            </w:r>
          </w:hyperlink>
        </w:p>
        <w:p>
          <w:pPr>
            <w:pStyle w:val="Contents2"/>
            <w:tabs>
              <w:tab w:val="clear" w:pos="8743"/>
              <w:tab w:val="right" w:pos="9026" w:leader="dot"/>
            </w:tabs>
            <w:rPr/>
          </w:pPr>
          <w:hyperlink w:anchor="__RefHeading___Toc2820006_1395250215">
            <w:r>
              <w:rPr>
                <w:webHidden/>
                <w:rStyle w:val="IndexLink"/>
                <w:rtl w:val="true"/>
              </w:rPr>
              <w:t>خاتمة المطاف</w:t>
            </w:r>
            <w:r>
              <w:rPr>
                <w:rStyle w:val="IndexLink"/>
                <w:rtl w:val="true"/>
              </w:rPr>
              <w:tab/>
            </w:r>
            <w:r>
              <w:rPr>
                <w:rStyle w:val="IndexLink"/>
              </w:rPr>
              <w:t>474</w:t>
            </w:r>
          </w:hyperlink>
        </w:p>
        <w:p>
          <w:pPr>
            <w:pStyle w:val="Contents3"/>
            <w:tabs>
              <w:tab w:val="clear" w:pos="8459"/>
              <w:tab w:val="right" w:pos="9026" w:leader="dot"/>
            </w:tabs>
            <w:rPr/>
          </w:pPr>
          <w:hyperlink w:anchor="__RefHeading___Toc2820008_1395250215">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2820010_1395250215">
            <w:r>
              <w:rPr>
                <w:webHidden/>
                <w:rStyle w:val="IndexLink"/>
              </w:rPr>
              <w:t>1</w:t>
            </w:r>
            <w:r>
              <w:rPr>
                <w:rStyle w:val="IndexLink"/>
                <w:rtl w:val="true"/>
              </w:rPr>
              <w:t xml:space="preserve">. </w:t>
            </w:r>
            <w:r>
              <w:rPr>
                <w:rStyle w:val="IndexLink"/>
                <w:rtl w:val="true"/>
              </w:rPr>
              <w:t>الإیمان و أحکامه</w:t>
            </w:r>
            <w:r>
              <w:rPr>
                <w:rStyle w:val="IndexLink"/>
                <w:rtl w:val="true"/>
              </w:rPr>
              <w:tab/>
            </w:r>
            <w:r>
              <w:rPr>
                <w:rStyle w:val="IndexLink"/>
              </w:rPr>
              <w:t>474</w:t>
            </w:r>
          </w:hyperlink>
        </w:p>
        <w:p>
          <w:pPr>
            <w:pStyle w:val="Contents3"/>
            <w:tabs>
              <w:tab w:val="clear" w:pos="8459"/>
              <w:tab w:val="right" w:pos="9026" w:leader="dot"/>
            </w:tabs>
            <w:rPr/>
          </w:pPr>
          <w:hyperlink w:anchor="__RefHeading___Toc2820012_1395250215">
            <w:r>
              <w:rPr>
                <w:webHidden/>
                <w:rStyle w:val="IndexLink"/>
              </w:rPr>
              <w:t>2</w:t>
            </w:r>
            <w:r>
              <w:rPr>
                <w:rStyle w:val="IndexLink"/>
                <w:rtl w:val="true"/>
              </w:rPr>
              <w:t xml:space="preserve">. </w:t>
            </w:r>
            <w:r>
              <w:rPr>
                <w:rStyle w:val="IndexLink"/>
                <w:rtl w:val="true"/>
              </w:rPr>
              <w:t>الشیعة و الاتّهامات الواهیة</w:t>
            </w:r>
            <w:r>
              <w:rPr>
                <w:rStyle w:val="IndexLink"/>
                <w:rtl w:val="true"/>
              </w:rPr>
              <w:tab/>
            </w:r>
            <w:r>
              <w:rPr>
                <w:rStyle w:val="IndexLink"/>
              </w:rPr>
              <w:t>479</w:t>
            </w:r>
          </w:hyperlink>
        </w:p>
        <w:p>
          <w:pPr>
            <w:pStyle w:val="Contents3"/>
            <w:tabs>
              <w:tab w:val="clear" w:pos="8459"/>
              <w:tab w:val="right" w:pos="9026" w:leader="dot"/>
            </w:tabs>
            <w:rPr/>
          </w:pPr>
          <w:hyperlink w:anchor="__RefHeading___Toc2820014_1395250215">
            <w:r>
              <w:rPr>
                <w:webHidden/>
                <w:rStyle w:val="IndexLink"/>
                <w:rtl w:val="true"/>
              </w:rPr>
              <w:t>[</w:t>
            </w:r>
            <w:r>
              <w:rPr>
                <w:rStyle w:val="IndexLink"/>
              </w:rPr>
              <w:t>3</w:t>
            </w:r>
            <w:r>
              <w:rPr>
                <w:rStyle w:val="IndexLink"/>
                <w:rtl w:val="true"/>
              </w:rPr>
              <w:t xml:space="preserve">] </w:t>
            </w:r>
            <w:r>
              <w:rPr>
                <w:rStyle w:val="IndexLink"/>
                <w:rtl w:val="true"/>
              </w:rPr>
              <w:t>الصحابة فی الذکر الحکیم</w:t>
            </w:r>
            <w:r>
              <w:rPr>
                <w:rStyle w:val="IndexLink"/>
                <w:rtl w:val="true"/>
              </w:rPr>
              <w:tab/>
            </w:r>
            <w:r>
              <w:rPr>
                <w:rStyle w:val="IndexLink"/>
              </w:rPr>
              <w:t>485</w:t>
            </w:r>
          </w:hyperlink>
        </w:p>
        <w:p>
          <w:pPr>
            <w:pStyle w:val="Contents3"/>
            <w:tabs>
              <w:tab w:val="clear" w:pos="8459"/>
              <w:tab w:val="right" w:pos="9026" w:leader="dot"/>
            </w:tabs>
            <w:rPr/>
          </w:pPr>
          <w:hyperlink w:anchor="__RefHeading___Toc2820016_1395250215">
            <w:r>
              <w:rPr>
                <w:webHidden/>
                <w:rStyle w:val="IndexLink"/>
                <w:rtl w:val="true"/>
              </w:rPr>
              <w:t>[</w:t>
            </w:r>
            <w:r>
              <w:rPr>
                <w:rStyle w:val="IndexLink"/>
              </w:rPr>
              <w:t>4</w:t>
            </w:r>
            <w:r>
              <w:rPr>
                <w:rStyle w:val="IndexLink"/>
                <w:rtl w:val="true"/>
              </w:rPr>
              <w:t xml:space="preserve">] </w:t>
            </w:r>
            <w:r>
              <w:rPr>
                <w:rStyle w:val="IndexLink"/>
                <w:rtl w:val="true"/>
              </w:rPr>
              <w:t>التاریخ و عدالة الصحابة</w:t>
            </w:r>
            <w:r>
              <w:rPr>
                <w:rStyle w:val="IndexLink"/>
                <w:rtl w:val="true"/>
              </w:rPr>
              <w:tab/>
            </w:r>
            <w:r>
              <w:rPr>
                <w:rStyle w:val="IndexLink"/>
              </w:rPr>
              <w:t>488</w:t>
            </w:r>
          </w:hyperlink>
        </w:p>
        <w:p>
          <w:pPr>
            <w:pStyle w:val="Contents3"/>
            <w:tabs>
              <w:tab w:val="clear" w:pos="8459"/>
              <w:tab w:val="right" w:pos="9026" w:leader="dot"/>
            </w:tabs>
            <w:rPr/>
          </w:pPr>
          <w:hyperlink w:anchor="__RefHeading___Toc2820018_1395250215">
            <w:r>
              <w:rPr>
                <w:webHidden/>
                <w:rStyle w:val="IndexLink"/>
                <w:rtl w:val="true"/>
              </w:rPr>
              <w:t>[</w:t>
            </w:r>
            <w:r>
              <w:rPr>
                <w:rStyle w:val="IndexLink"/>
              </w:rPr>
              <w:t>5</w:t>
            </w:r>
            <w:r>
              <w:rPr>
                <w:rStyle w:val="IndexLink"/>
                <w:rtl w:val="true"/>
              </w:rPr>
              <w:t xml:space="preserve">] </w:t>
            </w:r>
            <w:r>
              <w:rPr>
                <w:rStyle w:val="IndexLink"/>
                <w:rtl w:val="true"/>
              </w:rPr>
              <w:t>حدیث أصحابی کالنجوم</w:t>
            </w:r>
            <w:r>
              <w:rPr>
                <w:rStyle w:val="IndexLink"/>
                <w:rtl w:val="true"/>
              </w:rPr>
              <w:tab/>
            </w:r>
            <w:r>
              <w:rPr>
                <w:rStyle w:val="IndexLink"/>
              </w:rPr>
              <w:t>490</w:t>
            </w:r>
          </w:hyperlink>
        </w:p>
        <w:p>
          <w:pPr>
            <w:pStyle w:val="Contents3"/>
            <w:tabs>
              <w:tab w:val="clear" w:pos="8459"/>
              <w:tab w:val="right" w:pos="9026" w:leader="dot"/>
            </w:tabs>
            <w:rPr/>
          </w:pPr>
          <w:hyperlink w:anchor="__RefHeading___Toc2820020_1395250215">
            <w:r>
              <w:rPr>
                <w:webHidden/>
                <w:rStyle w:val="IndexLink"/>
                <w:rtl w:val="true"/>
              </w:rPr>
              <w:t>[</w:t>
            </w:r>
            <w:r>
              <w:rPr>
                <w:rStyle w:val="IndexLink"/>
              </w:rPr>
              <w:t>6</w:t>
            </w:r>
            <w:r>
              <w:rPr>
                <w:rStyle w:val="IndexLink"/>
                <w:rtl w:val="true"/>
              </w:rPr>
              <w:t xml:space="preserve">] </w:t>
            </w:r>
            <w:r>
              <w:rPr>
                <w:rStyle w:val="IndexLink"/>
                <w:rtl w:val="true"/>
              </w:rPr>
              <w:t>کلمة لبعض المعاصرین من أهل السنّة</w:t>
            </w:r>
            <w:r>
              <w:rPr>
                <w:rStyle w:val="IndexLink"/>
                <w:rtl w:val="true"/>
              </w:rPr>
              <w:tab/>
            </w:r>
            <w:r>
              <w:rPr>
                <w:rStyle w:val="IndexLink"/>
              </w:rPr>
              <w:t>491</w:t>
            </w:r>
          </w:hyperlink>
        </w:p>
        <w:p>
          <w:pPr>
            <w:pStyle w:val="Contents3"/>
            <w:tabs>
              <w:tab w:val="clear" w:pos="8459"/>
              <w:tab w:val="right" w:pos="9026" w:leader="dot"/>
            </w:tabs>
            <w:rPr/>
          </w:pPr>
          <w:hyperlink w:anchor="__RefHeading___Toc2820022_1395250215">
            <w:r>
              <w:rPr>
                <w:webHidden/>
                <w:rStyle w:val="IndexLink"/>
                <w:rtl w:val="true"/>
              </w:rPr>
              <w:t>[</w:t>
            </w:r>
            <w:r>
              <w:rPr>
                <w:rStyle w:val="IndexLink"/>
              </w:rPr>
              <w:t>7</w:t>
            </w:r>
            <w:r>
              <w:rPr>
                <w:rStyle w:val="IndexLink"/>
                <w:rtl w:val="true"/>
              </w:rPr>
              <w:t xml:space="preserve">] </w:t>
            </w:r>
            <w:r>
              <w:rPr>
                <w:rStyle w:val="IndexLink"/>
                <w:rtl w:val="true"/>
              </w:rPr>
              <w:t>التقیة فی الکتاب العزیز</w:t>
            </w:r>
            <w:r>
              <w:rPr>
                <w:rStyle w:val="IndexLink"/>
                <w:rtl w:val="true"/>
              </w:rPr>
              <w:tab/>
            </w:r>
            <w:r>
              <w:rPr>
                <w:rStyle w:val="IndexLink"/>
              </w:rPr>
              <w:t>494</w:t>
            </w:r>
          </w:hyperlink>
        </w:p>
        <w:p>
          <w:pPr>
            <w:pStyle w:val="Contents2"/>
            <w:tabs>
              <w:tab w:val="clear" w:pos="8743"/>
              <w:tab w:val="right" w:pos="9026" w:leader="dot"/>
            </w:tabs>
            <w:rPr/>
          </w:pPr>
          <w:hyperlink w:anchor="__RefHeading___Toc2820024_1395250215">
            <w:r>
              <w:rPr>
                <w:webHidden/>
                <w:rStyle w:val="IndexLink"/>
                <w:rtl w:val="true"/>
              </w:rPr>
              <w:t>فهرس المصادر</w:t>
            </w:r>
            <w:r>
              <w:rPr>
                <w:rStyle w:val="IndexLink"/>
                <w:rtl w:val="true"/>
              </w:rPr>
              <w:tab/>
            </w:r>
            <w:r>
              <w:rPr>
                <w:rStyle w:val="IndexLink"/>
              </w:rPr>
              <w:t>502</w:t>
            </w:r>
          </w:hyperlink>
        </w:p>
        <w:p>
          <w:pPr>
            <w:pStyle w:val="Contents2"/>
            <w:tabs>
              <w:tab w:val="clear" w:pos="8743"/>
              <w:tab w:val="right" w:pos="9026" w:leader="dot"/>
            </w:tabs>
            <w:rPr/>
          </w:pPr>
          <w:hyperlink w:anchor="__RefHeading___Toc2820026_1395250215">
            <w:r>
              <w:rPr>
                <w:webHidden/>
                <w:rStyle w:val="IndexLink"/>
                <w:rtl w:val="true"/>
              </w:rPr>
              <w:t>فهرس المحتويات</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66_37921"/>
      <w:bookmarkStart w:id="1" w:name="pg2866_37921"/>
      <w:bookmarkEnd w:id="1"/>
    </w:p>
    <w:p>
      <w:pPr>
        <w:pStyle w:val="Heading2"/>
        <w:numPr>
          <w:ilvl w:val="1"/>
          <w:numId w:val="1"/>
        </w:numPr>
        <w:rPr/>
      </w:pPr>
      <w:bookmarkStart w:id="2" w:name="pg2866_37921"/>
      <w:bookmarkStart w:id="3" w:name="__RefHeading___Toc281937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 تلخیص علی الربانی‌الگلپایگانی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الحوزه العلمیه بقم، موسسه النشر الاسلامی،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النشر الاسلامی التابعه لجماعه المدرسین بقم المقدسه؛</w:t>
      </w:r>
      <w:r>
        <w:rPr>
          <w:rFonts w:ascii="IRNazanin" w:hAnsi="IRNazanin" w:eastAsia="IRNazanin"/>
          <w:color w:val="111111"/>
          <w:sz w:val="28"/>
          <w:sz w:val="28"/>
          <w:szCs w:val="28"/>
          <w:lang w:bidi="fa-IR"/>
        </w:rPr>
        <w:t>۷۱۷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حاضرخلاصه و اقتباسی از مجالس درس الهیات آیت‌الله جعفر السبحانی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9374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866_37925"/>
      <w:bookmarkStart w:id="8" w:name="pg2866_37925"/>
      <w:bookmarkEnd w:id="8"/>
    </w:p>
    <w:p>
      <w:pPr>
        <w:pStyle w:val="Heading2"/>
        <w:numPr>
          <w:ilvl w:val="1"/>
          <w:numId w:val="1"/>
        </w:numPr>
        <w:rPr/>
      </w:pPr>
      <w:bookmarkStart w:id="9" w:name="pg2866_37925"/>
      <w:bookmarkStart w:id="10" w:name="__RefHeading___Toc2819376_1395250215"/>
      <w:bookmarkStart w:id="11" w:name="_Toc3"/>
      <w:bookmarkEnd w:id="9"/>
      <w:bookmarkEnd w:id="10"/>
      <w:r>
        <w:rPr>
          <w:rtl w:val="true"/>
        </w:rPr>
        <w:t>[</w:t>
      </w:r>
      <w:r>
        <w:rPr>
          <w:rtl w:val="true"/>
        </w:rPr>
        <w:t>مقدمات التحقیق</w:t>
      </w:r>
      <w:r>
        <w:rPr>
          <w:rtl w:val="true"/>
        </w:rPr>
        <w:t>]</w:t>
      </w:r>
      <w:bookmarkEnd w:id="11"/>
    </w:p>
    <w:p>
      <w:pPr>
        <w:pStyle w:val="Heading3"/>
        <w:numPr>
          <w:ilvl w:val="2"/>
          <w:numId w:val="1"/>
        </w:numPr>
        <w:rPr/>
      </w:pPr>
      <w:bookmarkStart w:id="12" w:name="__RefHeading___Toc2819378_1395250215"/>
      <w:bookmarkStart w:id="13" w:name="_Toc4"/>
      <w:bookmarkEnd w:id="12"/>
      <w:r>
        <w:rPr>
          <w:rtl w:val="true"/>
        </w:rPr>
        <w:t>مقدمة الطبعة الأولی</w:t>
      </w:r>
      <w:r>
        <w:rPr>
          <w:rtl w:val="true"/>
        </w:rPr>
        <w:t>:</w:t>
      </w:r>
      <w:r>
        <w:rPr>
          <w:rtl w:val="true"/>
        </w:rPr>
        <w:t>علم الکلام رائد الفطرة الإنسانیة</w:t>
      </w:r>
      <w:bookmarkEnd w:id="13"/>
    </w:p>
    <w:p>
      <w:pPr>
        <w:pStyle w:val="BookText"/>
        <w:rPr/>
      </w:pPr>
      <w:r>
        <w:rPr>
          <w:rFonts w:ascii="IRNazanin" w:hAnsi="IRNazanin" w:eastAsia="IRNazanin"/>
          <w:color w:val="111111"/>
          <w:sz w:val="28"/>
          <w:sz w:val="28"/>
          <w:szCs w:val="28"/>
          <w:rtl w:val="true"/>
          <w:lang w:bidi="fa-IR"/>
        </w:rPr>
        <w:t>الالتفات إلی ما وراء الطبیعة انجذاب طبیعیّ و میل فطریّ بشریّ، یظهر فی کلّ فردٍ من أفراد النوع البشری من أوائل شبابه، و مطلع عمره ما دامت مرآة تلک الفطرة نقیّة صافیة لم تنکسف بآراء بشریة غیر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الالتفات و الانجذاب نعمة کبیرة من نعمِ اللّه سبحانه علی العباد، حیث یدفعهم نحو مبدأ هذا الکون و صانعه و منشئه، و ما یترتب علی ذلک من مسائل حیویّة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الانجذاب إنّما یجدیه إذا خضع لتربیة الأنبیاء و رعایتهم، و صار مشفوعاً بالدلیل و البرهان، إذ حینذاک یُصبحُ هذا الانجذاب کشجرة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تُضعْضعها العواصف مهما کانت شدیدة قالعة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ترک حتی استغلّته الأهواء و الآراء المنحرفة، انطفأت هذه الشعلة المقدّسة و اختفت تحت رکام من الأوهام و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یجب علی القائمین علی شئون التربیة أن یُطْعِموا الفطرة البشریّة بالبراهین العقلیّة القاطعة الساطعة الّتی هدانا إلیها الذکر الحکیم و الأحادیث الصحیحة الشریفة، و ما أنتجته الأبحاث الفکریّة طوال العصور و الأزمنة فی الأوساط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عمد أئمّة أهل البیت علیهم السلام واحداً تلو الآخر، بصقل الأذهان و تنویرها بالبراهین الدامغة، مراعین فیها مستوی الأذهان یومذاک، بل و آخذین بالاعتبار، مستوی أذهان الأجیال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المسلمون من عصر الإمام أمیر المؤمنین علی بن أبی طالب علیه السلام بتدوین علم الکلام، مقتبسین اصوله من خطبه و کلمه، فلم یزل ینمو و یتکامل فی ظلِّ الاحتکاکات و المذاکرات، إلی أن دخل رابع القرون، فقامت شخصیات مفکّرة کبیرة ألَّفت فی ذلک المضمار کتباً قیِّمة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الشیعة نجد الشیخ الأقدم أبا إسحاق إبراهیم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 الصلاح الحلبی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الطائفة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زهرة الحلبی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سدید الدین الحمصی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میثم البحرانی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الفاضل المقداد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الأعلام الفطاحل، و العلماء الأفذاذ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کتبته تلک الثلّة المبارکة فی هذا المضمار رسائل جلیلة تکفّلت أداء الرسالة بصورة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کلّ عصر یطلب لنفسه طوراً من التألیف یتناسب مع حاجات ذلک العصر و یستجیب لمطالبه، فلا بدّ من أبحاث فی هذا العصر تناسب حاجاته و متطلّباته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قام شیخنا العلاّمة الحجّة آیة اللّه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المهمَّة فی عصرنا الحاضر، و هو ممّن کرّس قسماً کبیراً من حیاته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أکثر من التألیف فی هذا العلم، و دبّجت یراعته أسفاراً متنوعة مناسبة لکلّ مستوی من المستویات، و من أحسن نتاجاته المبارکة فی هذا العلم محاضراته القیّمة الّتی ألقاها فی جامعة قم الدینیة العلمیة، و حرَّرها تلمیذه الفاضل الشیخ حسن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علی هدی 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المحاضرات جامعة لأطراف هذا العلم، و متکفّلة لجمیع مسائله المهمّة، و قد تعرّض فیها للآراء بعد أن حاکمها قضاء منطقیاً منصفاً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یغنی الطالب الدینی الّذی یرید أن یحیط بالآراء الکلامیة فی جمیع الأبواب، و قد صار محور الدراسة الکلامیة فی جامعة قم منذ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من شیخنا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 هذا الکتاب القیِّم علی وجه لا یُخلّ بمقاصده و أهدافه، و منهجه، و یتمثّل عملی هذا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العبارات، و الاکتفاء بأقصرها و أقلّها أوّلاً؛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الاقتصار علی أقوی البراهین و أوضحها ثانیاً؛ </w:t>
      </w:r>
    </w:p>
    <w:p>
      <w:pPr>
        <w:pStyle w:val="BookText"/>
        <w:rPr/>
      </w:pPr>
      <w:r>
        <w:rPr>
          <w:rFonts w:ascii="Amiri" w:hAnsi="Amiri" w:eastAsia="Amiri" w:cs="Amiri"/>
          <w:color w:val="111111"/>
          <w:sz w:val="28"/>
          <w:sz w:val="28"/>
          <w:szCs w:val="28"/>
          <w:rtl w:val="true"/>
          <w:lang w:bidi="ar-SA"/>
        </w:rPr>
        <w:t>و حذف الأقوال و الأبحاث الموجبة للإطناب ثالثاً؛</w:t>
      </w:r>
    </w:p>
    <w:p>
      <w:pPr>
        <w:pStyle w:val="BookText"/>
        <w:rPr/>
      </w:pPr>
      <w:r>
        <w:rPr>
          <w:rFonts w:ascii="IRNazanin" w:hAnsi="IRNazanin" w:eastAsia="IRNazanin"/>
          <w:color w:val="111111"/>
          <w:sz w:val="28"/>
          <w:sz w:val="28"/>
          <w:szCs w:val="28"/>
          <w:rtl w:val="true"/>
          <w:lang w:bidi="fa-IR"/>
        </w:rPr>
        <w:t>و التصرّف فی تنسیق الأبحاث و ترتیبها رابعاً؛</w:t>
      </w:r>
    </w:p>
    <w:p>
      <w:pPr>
        <w:pStyle w:val="BookText"/>
        <w:rPr/>
      </w:pPr>
      <w:r>
        <w:rPr>
          <w:rFonts w:ascii="IRNazanin" w:hAnsi="IRNazanin" w:eastAsia="IRNazanin"/>
          <w:color w:val="111111"/>
          <w:sz w:val="28"/>
          <w:sz w:val="28"/>
          <w:szCs w:val="28"/>
          <w:rtl w:val="true"/>
          <w:lang w:bidi="fa-IR"/>
        </w:rPr>
        <w:t>و استدراک ما فات شیخنا الأُستاذ فی بعض المجالات خامساً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أحدثناه مستفاداً من مشکاة علمه، و مستقی من معین فضله، و له حقوق کبیرة علی العلم و أهله، و الجیل المعاصر، حفظه اللّه مناراً للعلم، و مشعلاً للهدایة، انّه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الربّانی الگلپایگانی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المطابق 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bookmarkStart w:id="14" w:name="pg2866_37930"/>
    </w:p>
    <w:p>
      <w:pPr>
        <w:pStyle w:val="Heading3"/>
        <w:numPr>
          <w:ilvl w:val="2"/>
          <w:numId w:val="1"/>
        </w:numPr>
        <w:rPr/>
      </w:pPr>
      <w:bookmarkStart w:id="15" w:name="__RefHeading___Toc2819380_1395250215"/>
      <w:bookmarkStart w:id="16" w:name="_Toc5"/>
      <w:bookmarkEnd w:id="14"/>
      <w:bookmarkEnd w:id="15"/>
      <w:r>
        <w:rPr>
          <w:rtl w:val="true"/>
        </w:rPr>
        <w:t>مقدمة الطبعة العاشرة</w:t>
      </w:r>
      <w:r>
        <w:rPr>
          <w:rtl w:val="true"/>
        </w:rPr>
        <w:t>:</w:t>
      </w:r>
      <w:r>
        <w:rPr>
          <w:rtl w:val="true"/>
        </w:rPr>
        <w:t>ثمرة التجربة حُسن الاختیار</w:t>
      </w:r>
      <w:bookmarkEnd w:id="16"/>
    </w:p>
    <w:p>
      <w:pPr>
        <w:pStyle w:val="BookText"/>
        <w:rPr/>
      </w:pPr>
      <w:r>
        <w:rPr>
          <w:rFonts w:ascii="IRNazanin" w:hAnsi="IRNazanin" w:eastAsia="IRNazanin"/>
          <w:color w:val="111111"/>
          <w:sz w:val="28"/>
          <w:sz w:val="28"/>
          <w:szCs w:val="28"/>
          <w:rtl w:val="true"/>
          <w:lang w:bidi="fa-IR"/>
        </w:rPr>
        <w:t>مقدمة الطبعة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التجربة حُسن الاختیار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علی هدی 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أجمع و أحسن ما أُلّفَّ فی العقائد الإسلامیة فی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الکتاب عبارة عن محاضرات شیخنا الأستاذ العلاّمة آیة اللّٰه 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بتقریرها و تحریرها تلمیذه الفاضل الشیخ محمد حسن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إفاضاته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هذه الموسوعة العقائدیة فی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سالف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بتلخیصها و تهذیبها فصار التلخیص أحد المواد الدراسیة المقررة فی الحوزة العلمیة فی قم المقدسة و قد تولّیت تدریسه دورة بعد دورة کما شارکنی فی ذلک عدد آخر من الأفاضل، فابدوا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حول الکتاب تهدف إلی لزوم عرض الکتاب بشکل آخر یحقق الهدفین التالیین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مستوی الفهم لطلاب العلوم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الانسجام مع الفترة الدراسیة المقررة لدراسة هذه المادة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فلذلک قمت علی ضوء مقترحاتهم و تجاربی عبر التدریس بإکمال بعض البحوث، و حذف ما لا یتمتع بأهمیة، کما أوجدت تغییراً فی ترتیب مباحث الکتاب، کل ذلک انطلاقاً من قول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الأُمور بالتجربة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 انی اقدم نتیجة عملی فی هذا التلخیص الجدید الوافی للموسوعة الأم راجیاً من اللّٰه أن یستفید منه طلاب العلوم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نشکر اللّه تعالی علی ألطافه و توفیقاته العظیمة کما نشکر الأساتذة الکرام علی ما أبدوه من ملاحظات حول الکتاب نقداً و اصلاحاً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الربانی الگلپایگانی</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المطابق ل </w:t>
      </w:r>
      <w:r>
        <w:rPr>
          <w:rFonts w:eastAsia="IRNazanin" w:cs="IRNazanin"/>
          <w:color w:val="111111"/>
          <w:sz w:val="28"/>
          <w:szCs w:val="28"/>
          <w:lang w:bidi="fa-IR"/>
        </w:rPr>
        <w:t>1385/4/5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7" w:name="pg2866_37932"/>
    </w:p>
    <w:p>
      <w:pPr>
        <w:pStyle w:val="Heading2"/>
        <w:numPr>
          <w:ilvl w:val="1"/>
          <w:numId w:val="1"/>
        </w:numPr>
        <w:rPr/>
      </w:pPr>
      <w:bookmarkStart w:id="18" w:name="__RefHeading___Toc2819382_1395250215"/>
      <w:bookmarkStart w:id="19" w:name="_Toc6"/>
      <w:bookmarkEnd w:id="17"/>
      <w:bookmarkEnd w:id="18"/>
      <w:r>
        <w:rPr>
          <w:rtl w:val="true"/>
        </w:rPr>
        <w:t>الباب الأوّل</w:t>
      </w:r>
      <w:r>
        <w:rPr>
          <w:rtl w:val="true"/>
        </w:rPr>
        <w:t>:</w:t>
      </w:r>
      <w:r>
        <w:rPr>
          <w:rtl w:val="true"/>
        </w:rPr>
        <w:t>فیما یتعلّق بذاته تعالی</w:t>
      </w:r>
      <w:bookmarkEnd w:id="19"/>
    </w:p>
    <w:p>
      <w:pPr>
        <w:pStyle w:val="Heading3"/>
        <w:numPr>
          <w:ilvl w:val="2"/>
          <w:numId w:val="1"/>
        </w:numPr>
        <w:rPr/>
      </w:pPr>
      <w:bookmarkStart w:id="20" w:name="__RefHeading___Toc2819384_1395250215"/>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و فیه أربعة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و أصول؛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النظم و إثبات وجود الصانع العلیم؛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الحدوث و إثبات وجود المحدث للعالم؛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الإمکان و إثبات واجب الوجود بالذات</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866_37934"/>
      <w:bookmarkStart w:id="23" w:name="pg2866_37934"/>
      <w:bookmarkEnd w:id="23"/>
    </w:p>
    <w:p>
      <w:pPr>
        <w:pStyle w:val="Heading3"/>
        <w:numPr>
          <w:ilvl w:val="2"/>
          <w:numId w:val="1"/>
        </w:numPr>
        <w:rPr/>
      </w:pPr>
      <w:bookmarkStart w:id="24" w:name="pg2866_37934"/>
      <w:bookmarkStart w:id="25" w:name="__RefHeading___Toc2819386_1395250215"/>
      <w:bookmarkStart w:id="26" w:name="_Toc8"/>
      <w:bookmarkEnd w:id="24"/>
      <w:bookmarkEnd w:id="25"/>
      <w:r>
        <w:rPr>
          <w:rtl w:val="true"/>
        </w:rPr>
        <w:t>الفصل الأول</w:t>
      </w:r>
      <w:r>
        <w:rPr>
          <w:rtl w:val="true"/>
        </w:rPr>
        <w:t>:</w:t>
      </w:r>
      <w:r>
        <w:rPr>
          <w:rtl w:val="true"/>
        </w:rPr>
        <w:t>مقدمات و أُصول</w:t>
      </w:r>
      <w:bookmarkEnd w:id="26"/>
    </w:p>
    <w:p>
      <w:pPr>
        <w:pStyle w:val="Heading4"/>
        <w:numPr>
          <w:ilvl w:val="3"/>
          <w:numId w:val="1"/>
        </w:numPr>
        <w:rPr/>
      </w:pPr>
      <w:bookmarkStart w:id="27" w:name="__RefHeading___Toc2819388_1395250215"/>
      <w:bookmarkStart w:id="28" w:name="_Toc9"/>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إنّ هناک مقدمات و أصولاً ینبغی للطالب الوقوف علیها قبل أن یبتدئ بالبحث عن براهین وجود اللّه تعالی و توحیده و صفاته و هی</w:t>
      </w:r>
      <w:r>
        <w:rPr>
          <w:rFonts w:eastAsia="IRNazanin" w:cs="IRNazanin"/>
          <w:color w:val="111111"/>
          <w:sz w:val="28"/>
          <w:szCs w:val="28"/>
          <w:rtl w:val="true"/>
          <w:lang w:bidi="fa-IR"/>
        </w:rPr>
        <w:t>:</w:t>
      </w:r>
    </w:p>
    <w:p>
      <w:pPr>
        <w:pStyle w:val="Heading4"/>
        <w:numPr>
          <w:ilvl w:val="3"/>
          <w:numId w:val="1"/>
        </w:numPr>
        <w:rPr/>
      </w:pPr>
      <w:bookmarkStart w:id="29" w:name="__RefHeading___Toc2819390_1395250215"/>
      <w:bookmarkStart w:id="30" w:name="_Toc10"/>
      <w:bookmarkEnd w:id="29"/>
      <w:r>
        <w:rPr/>
        <w:t>1</w:t>
      </w:r>
      <w:r>
        <w:rPr>
          <w:rtl w:val="true"/>
        </w:rPr>
        <w:t xml:space="preserve">- </w:t>
      </w:r>
      <w:r>
        <w:rPr>
          <w:rtl w:val="true"/>
        </w:rPr>
        <w:t>دور الدین الإلهی فی حیاة الإنسان</w:t>
      </w:r>
      <w:bookmarkEnd w:id="30"/>
    </w:p>
    <w:p>
      <w:pPr>
        <w:pStyle w:val="BookText"/>
        <w:rPr/>
      </w:pPr>
      <w:r>
        <w:rPr>
          <w:rFonts w:ascii="IRNazanin" w:hAnsi="IRNazanin" w:eastAsia="IRNazanin"/>
          <w:color w:val="111111"/>
          <w:sz w:val="28"/>
          <w:sz w:val="28"/>
          <w:szCs w:val="28"/>
          <w:rtl w:val="true"/>
          <w:lang w:bidi="fa-IR"/>
        </w:rPr>
        <w:t>الدین ثورة فکریة تقود الإنسان إلی الکمال و الترقّی فی جمیع المجالات المهمّة الّتی لها صلة وثیقة بحیاة الإنسان؛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الأفکار و العقائد و تهذیبها عن الأوهام و الخرافات؛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تنمیة الأصول الأخلاقیة؛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العلاقات الاجتماعیة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المجال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الدین یفسّر واقع الکون بأنّه إبداع موجود عال قام بخلق المادّة و تصویرها و تحدیدها بقوانین و حدود، کما أنه یفسّر الحیاة الإنسانیة بأنّها لم تظهر علی صفحة الکون عبثا و لم یخلق الإنسان سدی، بل لتکوّنه فی هذا الکوکب غایة علیا یصل إلیها فی ظلّ تعالیم الأنبیاء و الهداة المبعوثین من جانب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مقابل هذا التفسیر الدینی لواقع الکون و الحیاة الإنسانیة تفسیر المادّی القائل بأنّ المادّة الأولی قدیمة بالذات و هی الّتی قامت فأعطت لنفسها نظماً، و انّه لا غایة لها و لا للإنسان القاطن فیها وراء هذه الحیاة المادیّة، و هذا التفسیر یقود الإنسان إلی الجهل و الخرافة، إذ کیف یمکن للمادّة أن تمنح نفسها 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یمکن أن تتّحد العلّة و المعلول، و الفاعل و المفعول، و الجاعل و المجعول؟</w:t>
      </w:r>
    </w:p>
    <w:p>
      <w:pPr>
        <w:pStyle w:val="BookText"/>
        <w:rPr/>
      </w:pPr>
      <w:r>
        <w:rPr>
          <w:rFonts w:ascii="IRNazanin" w:hAnsi="IRNazanin" w:eastAsia="IRNazanin"/>
          <w:color w:val="111111"/>
          <w:sz w:val="28"/>
          <w:sz w:val="28"/>
          <w:szCs w:val="28"/>
          <w:rtl w:val="true"/>
          <w:lang w:bidi="fa-IR"/>
        </w:rPr>
        <w:t>و من هنا یتبیّن أنّ التکامل الفکری إنّما یتحقّق فی ظلّ الدین، لأنّه یکشف آفاقاً وسیعة أمام عقله و تفکّره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المجال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العقائد الدینیة تُعدّ رصیداً للاُصول الاخلاقیة، إذ التقیّد بالقیم و رعایتها لا ینفکّ عن مصائب و آلام یصعب علی الإنسان تحمّلها إلّا بعامل روحی یسهِّلها و یزیل صعوبتها له، و هذا کالتضحیة فی سبیل الحق و العدل، و رعایة الأمانة و مساعدة المستضعفین، فهذه بعض الأُصول الأخلاقیة الّتی لا تنکر صحّتها، غیر أن تجسیدها فی المجتمع یستتبع آلاماً و صعوبات، و الاعتقاد باللّه سبحانه و ما فی العمل بها من الأجر و الثواب خیر عامل لتشویق الإنسان علی اجرائها و تحمّل المصائب و الآلام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المجال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الدین یعتبر البشر کلّهم مخلوقین لمبدإ واحد، فالکلّ بالنسبة إلیه حسب الذات و الجوهر کأسنان المشط، و لا یری أیّ معنی للممیّزات القومیّة و التفاریق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 من جانب آخر فإنّ العقیدة الدینیة تساند الأُصول الاجتماعیة، لأنّها تصبح عند الإنسان </w:t>
      </w:r>
      <w:bookmarkStart w:id="31" w:name="pg2866_37937"/>
    </w:p>
    <w:p>
      <w:pPr>
        <w:pStyle w:val="BookText"/>
        <w:rPr/>
      </w:pPr>
      <w:bookmarkEnd w:id="31"/>
      <w:r>
        <w:rPr>
          <w:rFonts w:ascii="IRNazanin" w:hAnsi="IRNazanin" w:eastAsia="IRNazanin"/>
          <w:color w:val="111111"/>
          <w:sz w:val="28"/>
          <w:sz w:val="28"/>
          <w:szCs w:val="28"/>
          <w:rtl w:val="true"/>
          <w:lang w:bidi="fa-IR"/>
        </w:rPr>
        <w:t>المتدیّن تکالیف لازمة، و یکون الإنسان بنفسه مقوداً إلی العمل و الإجراء، أی إجراء التکالیف و القوانین الاجتماعیة فی شتّی الحقول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بعض المجالات الّتی للدین فیها دور و تأثیر واضح، أ فیصحّ بعد الوقوف علی هذه التأثیرات المعجبة أن نهمل البحث عنه، و نجعله فی زاویة النسیان؟</w:t>
      </w:r>
    </w:p>
    <w:p>
      <w:pPr>
        <w:pStyle w:val="BookText"/>
        <w:rPr/>
      </w:pPr>
      <w:r>
        <w:rPr>
          <w:rFonts w:ascii="IRNazanin" w:hAnsi="IRNazanin" w:eastAsia="IRNazanin"/>
          <w:color w:val="111111"/>
          <w:sz w:val="28"/>
          <w:sz w:val="28"/>
          <w:szCs w:val="28"/>
          <w:rtl w:val="true"/>
          <w:lang w:bidi="fa-IR"/>
        </w:rPr>
        <w:t>نعم ما ذکرنا من دور الدین و تأثیره فی الجوانب الحیویّة من الإنسان إنّما هو من شئون الدین الحقیقی الّذی یؤیّد العلم و یؤکّد الاخلاق و لا یخالفهما، و أمّا الأدیان غیر الإلهیة أو المنسوبة إلی الوحی بکذب و زور فخارجة عن موضوع بحثنا</w:t>
      </w:r>
      <w:r>
        <w:rPr>
          <w:rFonts w:eastAsia="IRNazanin" w:cs="IRNazanin"/>
          <w:color w:val="111111"/>
          <w:sz w:val="28"/>
          <w:szCs w:val="28"/>
          <w:rtl w:val="true"/>
          <w:lang w:bidi="fa-IR"/>
        </w:rPr>
        <w:t>.</w:t>
      </w:r>
    </w:p>
    <w:p>
      <w:pPr>
        <w:pStyle w:val="Heading4"/>
        <w:numPr>
          <w:ilvl w:val="3"/>
          <w:numId w:val="1"/>
        </w:numPr>
        <w:rPr/>
      </w:pPr>
      <w:bookmarkStart w:id="32" w:name="__RefHeading___Toc2819392_1395250215"/>
      <w:bookmarkStart w:id="33" w:name="_Toc11"/>
      <w:bookmarkEnd w:id="32"/>
      <w:r>
        <w:rPr/>
        <w:t>2</w:t>
      </w:r>
      <w:r>
        <w:rPr>
          <w:rtl w:val="true"/>
        </w:rPr>
        <w:t xml:space="preserve">- </w:t>
      </w:r>
      <w:r>
        <w:rPr>
          <w:rtl w:val="true"/>
        </w:rPr>
        <w:t>الدین و الفطرة</w:t>
      </w:r>
      <w:bookmarkEnd w:id="33"/>
    </w:p>
    <w:p>
      <w:pPr>
        <w:pStyle w:val="BookText"/>
        <w:rPr/>
      </w:pPr>
      <w:r>
        <w:rPr>
          <w:rFonts w:ascii="IRNazanin" w:hAnsi="IRNazanin" w:eastAsia="IRNazanin"/>
          <w:color w:val="111111"/>
          <w:sz w:val="28"/>
          <w:sz w:val="28"/>
          <w:szCs w:val="28"/>
          <w:rtl w:val="true"/>
          <w:lang w:bidi="fa-IR"/>
        </w:rPr>
        <w:t>إنّ علماء النفس یعتقدون بأنّ للنفس الإنسانیة أبعاداً أربعة، یکون کلّ بعدٍ منها مبدأ لآثار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الاستطلاع و استکشاف الحقائق، و هذا البعد من الروح الإنسانیة باعث فطری لسعی الإنسان فی سبیل معرفة الکون و استکشاف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الخیر و النزوع إلی البرّ و المعروف، و لأجل ذلک یجد الإنسان فی نفسه میلاً إلی الخیر و الصلاح، و انزجاراً عن الشرّ و الفساد، و هذا الإحساس الفطری مبدأ للقیم و الاخلاق الإنسانیة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الإنسان بالجمال فی مجالات الطبیعة و الصناعة، </w:t>
      </w:r>
      <w:bookmarkStart w:id="34" w:name="pg2866_37938"/>
    </w:p>
    <w:p>
      <w:pPr>
        <w:pStyle w:val="BookText"/>
        <w:rPr/>
      </w:pPr>
      <w:bookmarkEnd w:id="34"/>
      <w:r>
        <w:rPr>
          <w:rFonts w:ascii="IRNazanin" w:hAnsi="IRNazanin" w:eastAsia="IRNazanin"/>
          <w:color w:val="111111"/>
          <w:sz w:val="28"/>
          <w:sz w:val="28"/>
          <w:szCs w:val="28"/>
          <w:rtl w:val="true"/>
          <w:lang w:bidi="fa-IR"/>
        </w:rPr>
        <w:t>فالمصنوعات الدقیقة و الجمیلة، و اللوحات الفنّیة و التماثیل الرائعة تستمدّ روعتها و جمالها من هذا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الدینی الّذی یدعو الإنسان إلی الاعتقاد بأنّ وراء هذا العالم عالما آخر یستمدّ هذا العالم وجوده منه، و أنَّ الإنسان بکلّ خصوصیاته متعلّق بذلک العالم و یستمدّ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البعد الرابع الّذی اکتشفه علماء النفس فی العصر الأخیر و أیّدوه بالاختبارات المتنوّعة مما رکّز علیه الذکر الحکیم قبل قرون و أشار إلیه فی آیاته المبارکات،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فالآیة تنصّ علی أنّ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الاعتقاد بخالق العالم و الإنسان و بأنّ مصیر الإنسان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خلق الإنسان علیه و فطر به، کما خلق و فطر علی کثیر من المیول و الغرائز</w:t>
      </w:r>
      <w:r>
        <w:rPr>
          <w:rFonts w:eastAsia="IRNazanin" w:cs="IRNazanin"/>
          <w:color w:val="111111"/>
          <w:sz w:val="28"/>
          <w:szCs w:val="28"/>
          <w:rtl w:val="true"/>
          <w:lang w:bidi="fa-IR"/>
        </w:rPr>
        <w:t>.</w:t>
      </w:r>
    </w:p>
    <w:p>
      <w:pPr>
        <w:pStyle w:val="Heading4"/>
        <w:numPr>
          <w:ilvl w:val="3"/>
          <w:numId w:val="1"/>
        </w:numPr>
        <w:rPr/>
      </w:pPr>
      <w:bookmarkStart w:id="35" w:name="__RefHeading___Toc2819394_1395250215"/>
      <w:bookmarkStart w:id="36" w:name="_Toc12"/>
      <w:bookmarkEnd w:id="35"/>
      <w:r>
        <w:rPr/>
        <w:t>3</w:t>
      </w:r>
      <w:r>
        <w:rPr>
          <w:rtl w:val="true"/>
        </w:rPr>
        <w:t xml:space="preserve">. </w:t>
      </w:r>
      <w:r>
        <w:rPr>
          <w:rtl w:val="true"/>
        </w:rPr>
        <w:t>المعرفة المعتبرة</w:t>
      </w:r>
      <w:bookmarkEnd w:id="36"/>
    </w:p>
    <w:p>
      <w:pPr>
        <w:pStyle w:val="BookText"/>
        <w:rPr/>
      </w:pPr>
      <w:r>
        <w:rPr>
          <w:rFonts w:ascii="IRNazanin" w:hAnsi="IRNazanin" w:eastAsia="IRNazanin"/>
          <w:color w:val="111111"/>
          <w:sz w:val="28"/>
          <w:sz w:val="28"/>
          <w:szCs w:val="28"/>
          <w:rtl w:val="true"/>
          <w:lang w:bidi="fa-IR"/>
        </w:rPr>
        <w:t>إنّ الخطوة الأولی لفهم الدین هی الوقوف علی المعرفة المعتبرة فیه؛ فالدین الواقعی لا یعتبر کلّ معرفة حقّا قابلاً للاستناد، بل یشترط أن تکون معرفة قطعیة حاصلة من أدوات المعرفة المناسبة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سبحانه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تری أنَّ الآیة ترفض کلّ معرفة خرجت عن إطار العلم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یذمّ اقتفاء سنن الآباء و الأجداد، اقتفاءً بلا دلیل معتبر، و بلا علم بصحته و إتقانه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 ردّاً لمقالتهم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لَوْ کٰانَ آبٰاؤُهُمْ لاٰ یَعْقِلُونَ شَیْئاً وَ لاٰ یَهْتَدُونَ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اقتفاء الآباء و الأجداد و تقلیدهم امراً مذموماً فلما ذا جوّز الاسلام تقلید الفقهاء فی فروع الدین؟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تقلید الفقیه فی الأحکام الدینیة لیس من قسم التقلید المذموم، لأنّ رجوع الجاهل إلی العالم و اقتفائه أثره رجوع إلیه مع الدلیل، و علیه سیرة العقلاء فی جمیع المجالات، فالجاهل بالصنعة یرجع إلی عالمها، و جاهل الطب یرجع إلی خبیره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أصول العقائد ممّا یتمکّن کلّ إنسان بعقله و فطرته أن یتعرّف علیها، و یعتقد بها فلیس للتقلید فیها مجال، إلّا فیما یرجع إلی الأبحاث الدقیقة و الغامضة، فیجوز فیها الاستناد بآراء العلماء البارزین فی الکلام</w:t>
      </w:r>
      <w:r>
        <w:rPr>
          <w:rFonts w:eastAsia="IRNazanin" w:cs="IRNazanin"/>
          <w:color w:val="111111"/>
          <w:sz w:val="28"/>
          <w:szCs w:val="28"/>
          <w:rtl w:val="true"/>
          <w:lang w:bidi="fa-IR"/>
        </w:rPr>
        <w:t xml:space="preserve">. </w:t>
      </w:r>
      <w:bookmarkStart w:id="37" w:name="pg2866_37941"/>
    </w:p>
    <w:p>
      <w:pPr>
        <w:pStyle w:val="Heading4"/>
        <w:numPr>
          <w:ilvl w:val="3"/>
          <w:numId w:val="1"/>
        </w:numPr>
        <w:rPr/>
      </w:pPr>
      <w:bookmarkStart w:id="38" w:name="__RefHeading___Toc2819396_1395250215"/>
      <w:bookmarkStart w:id="39" w:name="_Toc13"/>
      <w:bookmarkEnd w:id="37"/>
      <w:bookmarkEnd w:id="38"/>
      <w:r>
        <w:rPr/>
        <w:t>4</w:t>
      </w:r>
      <w:r>
        <w:rPr>
          <w:rtl w:val="true"/>
        </w:rPr>
        <w:t xml:space="preserve">. </w:t>
      </w:r>
      <w:r>
        <w:rPr>
          <w:rtl w:val="true"/>
        </w:rPr>
        <w:t>وجوب البحث عن وجود اللّه تعالی</w:t>
      </w:r>
      <w:bookmarkEnd w:id="39"/>
    </w:p>
    <w:p>
      <w:pPr>
        <w:pStyle w:val="BookText"/>
        <w:rPr/>
      </w:pPr>
      <w:r>
        <w:rPr>
          <w:rFonts w:ascii="IRNazanin" w:hAnsi="IRNazanin" w:eastAsia="IRNazanin"/>
          <w:color w:val="111111"/>
          <w:sz w:val="28"/>
          <w:sz w:val="28"/>
          <w:szCs w:val="28"/>
          <w:rtl w:val="true"/>
          <w:lang w:bidi="fa-IR"/>
        </w:rPr>
        <w:t>إنّ العقل یدعو الإنسان العاقل و یحفزه إلی التفکر و البحث عن 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هناک مجموعة کبیرة من رجالات الإصلاح و الأخلاق الدینی فدوا انفسهم فی طریق إصلاح المجتمع و تهذیبه و توالوا علی مدی القرون و الأعصار، ودعوا المجتمعات البشریة إلی الاعتقاد باللّه سبحانه و صفاته الکمالیة، و ادّعوا أنّ له تکالیف علی عباده و وظائف وضعها علیهم، و أنّ الحیاة لا تنقطع بالموت، و إنّما ینقل الإنسان من دار إلی دار، و أنّ من قام بتکالیفه فله الجزاء الأوفیٰ، و من خالف و استکبر فله النکایة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سمعته آذان أهل الدنیا من رجالات الوحی و الاصلاح، و لم یکن هؤلاء متَّهمین بالکذب و الاختلاق، بل کانت علائم الصدق لائحة من خلال حیاتهم و أفعالهم و أذکارهم، عند ذلک یدفع العقل الإنسان المفکّر إلی البحث عن صحّة مقالتهم دفعاً للضرر المحتمل أو المظنون الّذی یورثه أمثال هؤلاء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هاهنا وجهاً آخر لوجوب البحث عن 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الإنسان فی حیاته غارق فی النعم، و هذا ممّا لا یمکن لأحد إنکاره، و من جانب آخر أنّ العقل یستقلّ بلزوم شکر المنعم، و لا یتحقّق الشکر إلاّ بمعرفته</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هذین الأمرین یجب البحث عن المنعم الّذی غمر الإنسان بالنعم و أفاضها علیه، فالتعرّف علیه من خلال البحث إجابة لهتاف العقل و دعوته إلی شکر المنعم المتوقّف علی معرفته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866_37944"/>
      <w:bookmarkStart w:id="41" w:name="pg2866_37944"/>
      <w:bookmarkEnd w:id="41"/>
    </w:p>
    <w:p>
      <w:pPr>
        <w:pStyle w:val="Heading3"/>
        <w:numPr>
          <w:ilvl w:val="2"/>
          <w:numId w:val="1"/>
        </w:numPr>
        <w:rPr/>
      </w:pPr>
      <w:bookmarkStart w:id="42" w:name="pg2866_37944"/>
      <w:bookmarkStart w:id="43" w:name="__RefHeading___Toc2819398_1395250215"/>
      <w:bookmarkStart w:id="44" w:name="_Toc14"/>
      <w:bookmarkEnd w:id="42"/>
      <w:bookmarkEnd w:id="43"/>
      <w:r>
        <w:rPr>
          <w:rtl w:val="true"/>
        </w:rPr>
        <w:t>الفصل الثانی</w:t>
      </w:r>
      <w:r>
        <w:rPr>
          <w:rtl w:val="true"/>
        </w:rPr>
        <w:t>:</w:t>
      </w:r>
      <w:r>
        <w:rPr>
          <w:rtl w:val="true"/>
        </w:rPr>
        <w:t>برهان النظم و إثبات وجود الصانع العلیم</w:t>
      </w:r>
      <w:bookmarkEnd w:id="44"/>
    </w:p>
    <w:p>
      <w:pPr>
        <w:pStyle w:val="Heading4"/>
        <w:numPr>
          <w:ilvl w:val="3"/>
          <w:numId w:val="1"/>
        </w:numPr>
        <w:rPr/>
      </w:pPr>
      <w:bookmarkStart w:id="45" w:name="__RefHeading___Toc2819400_1395250215"/>
      <w:bookmarkStart w:id="46" w:name="_Toc15"/>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إنّ البراهین الدالّة علی وجود خالق لهذا الکون و مفیض لهذه الحیاة کثیرة متعدّدة، و نحن نکتفی بتقریر ثلاثة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النظم؛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الحدوث؛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الإمکان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الفصل نبیّن برهان النظم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أوضح البراهین العقلیة و أیسرها تناولاً للجمیع هو برهان النظم، و هو الاهتداء إلی وجود اللّه سبحانه عن طریق مشاهدة النظام الدقیق البدیع السائد فی عالم الکون و التفکّر فیه</w:t>
      </w:r>
      <w:r>
        <w:rPr>
          <w:rFonts w:eastAsia="IRNazanin" w:cs="IRNazanin"/>
          <w:color w:val="111111"/>
          <w:sz w:val="28"/>
          <w:szCs w:val="28"/>
          <w:rtl w:val="true"/>
          <w:lang w:bidi="fa-IR"/>
        </w:rPr>
        <w:t>.</w:t>
      </w:r>
    </w:p>
    <w:p>
      <w:pPr>
        <w:pStyle w:val="Heading4"/>
        <w:numPr>
          <w:ilvl w:val="3"/>
          <w:numId w:val="1"/>
        </w:numPr>
        <w:rPr/>
      </w:pPr>
      <w:bookmarkStart w:id="47" w:name="__RefHeading___Toc2819402_1395250215"/>
      <w:bookmarkStart w:id="48" w:name="_Toc16"/>
      <w:bookmarkEnd w:id="47"/>
      <w:r>
        <w:rPr>
          <w:rtl w:val="true"/>
        </w:rPr>
        <w:t>ما هو النظم؟</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مفهوم النظم من المفاهیم الواضحة لدی الأذهان و من خواصّه أنّه یتحقّق بین أُمور مختلفة سواء کانت أجزاء لمرکب أو افراداً من ماهیة واحدة </w:t>
      </w:r>
      <w:bookmarkStart w:id="49" w:name="pg2866_37945"/>
    </w:p>
    <w:p>
      <w:pPr>
        <w:pStyle w:val="BookText"/>
        <w:rPr/>
      </w:pPr>
      <w:bookmarkEnd w:id="49"/>
      <w:r>
        <w:rPr>
          <w:rFonts w:ascii="IRNazanin" w:hAnsi="IRNazanin" w:eastAsia="IRNazanin"/>
          <w:color w:val="111111"/>
          <w:sz w:val="28"/>
          <w:sz w:val="28"/>
          <w:szCs w:val="28"/>
          <w:rtl w:val="true"/>
          <w:lang w:bidi="fa-IR"/>
        </w:rPr>
        <w:t>أو ماهیات مختلفة، فهناک ترابط و تناسق بین الأجزاء، أو توازن و انسجام بین الأفراد یؤدّی إلی هدف و غایة مخصوصة، کالتلاؤم الموجود بین أجزاء الشجر، و کالتوازن الحاصل بین حیاة الشجر و الحیوان</w:t>
      </w:r>
      <w:r>
        <w:rPr>
          <w:rFonts w:eastAsia="IRNazanin" w:cs="IRNazanin"/>
          <w:color w:val="111111"/>
          <w:sz w:val="28"/>
          <w:szCs w:val="28"/>
          <w:rtl w:val="true"/>
          <w:lang w:bidi="fa-IR"/>
        </w:rPr>
        <w:t>.</w:t>
      </w:r>
    </w:p>
    <w:p>
      <w:pPr>
        <w:pStyle w:val="Heading4"/>
        <w:numPr>
          <w:ilvl w:val="3"/>
          <w:numId w:val="1"/>
        </w:numPr>
        <w:rPr/>
      </w:pPr>
      <w:bookmarkStart w:id="50" w:name="__RefHeading___Toc2819404_1395250215"/>
      <w:bookmarkStart w:id="51" w:name="_Toc17"/>
      <w:bookmarkEnd w:id="50"/>
      <w:r>
        <w:rPr>
          <w:rtl w:val="true"/>
        </w:rPr>
        <w:t>تقریر برهان النظم</w:t>
      </w:r>
      <w:bookmarkEnd w:id="51"/>
    </w:p>
    <w:p>
      <w:pPr>
        <w:pStyle w:val="BookText"/>
        <w:rPr/>
      </w:pPr>
      <w:r>
        <w:rPr>
          <w:rFonts w:ascii="IRNazanin" w:hAnsi="IRNazanin" w:eastAsia="IRNazanin"/>
          <w:color w:val="111111"/>
          <w:sz w:val="28"/>
          <w:sz w:val="28"/>
          <w:szCs w:val="28"/>
          <w:rtl w:val="true"/>
          <w:lang w:bidi="fa-IR"/>
        </w:rPr>
        <w:t>إنّ برهان النظم یقوم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حسیّة، و الأُخری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هناک نظاماً سائداً علی الظواهر الطبیعیة الّتی یعرفها الإنسان إمّا بالمشاهدة الحسّیة الظاهریة و إمّا بفضل الأدوات و الطرق العلمیّة التجریبیّة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زالت العلوم الطبیعیّة تکشف مظاهر و أبعاداً جدیدة من النظام السائد فی عالم الطبیعة، و هناک آلاف من الرسائل و الکتب المؤلّفة حول العلوم الطبیعیّة ملیئة بذکر ما للعالم الطبیعی من النظام المعجب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تطویل الکلام فی هذا المجال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العقل بعد ما لاحظ النظام و ما یقوم علیه من المحاسبة و التقدیر و التوازن و الانسجام، یحکم بالبداهة بأنّ أمراً هکذا شأنه یمتنع صدوره إلّا عن فاعل قادر علیم ذی إرادة و قصد، و یستحیل تحقّقها صدفة و تبعا لحرکات فوضویّة للمادّة العمیاء الصمّاء، فإنّ تصوّر مفهوم النظم و أنّه ملازم للمحاسبة و العلم یکفی فی التصدیق بأنّ النظم لا ینفک عن وجود ناظم عالم أوجده، و هذا علی غرار حکم العقل بأنّ کلّ ممکن فله علّة موجدة، و غیر ذلک من البدیهیات العقلیة</w:t>
      </w:r>
      <w:r>
        <w:rPr>
          <w:rFonts w:eastAsia="IRNazanin" w:cs="IRNazanin"/>
          <w:color w:val="111111"/>
          <w:sz w:val="28"/>
          <w:szCs w:val="28"/>
          <w:rtl w:val="true"/>
          <w:lang w:bidi="fa-IR"/>
        </w:rPr>
        <w:t xml:space="preserve">. </w:t>
      </w:r>
      <w:bookmarkStart w:id="52" w:name="pg2866_37947"/>
    </w:p>
    <w:p>
      <w:pPr>
        <w:pStyle w:val="Heading4"/>
        <w:numPr>
          <w:ilvl w:val="3"/>
          <w:numId w:val="1"/>
        </w:numPr>
        <w:rPr/>
      </w:pPr>
      <w:bookmarkStart w:id="53" w:name="__RefHeading___Toc2819406_1395250215"/>
      <w:bookmarkStart w:id="54" w:name="_Toc18"/>
      <w:bookmarkEnd w:id="52"/>
      <w:bookmarkEnd w:id="53"/>
      <w:r>
        <w:rPr>
          <w:rtl w:val="true"/>
        </w:rPr>
        <w:t>برهان النظم فی الوحی الإلهی</w:t>
      </w:r>
      <w:bookmarkEnd w:id="54"/>
    </w:p>
    <w:p>
      <w:pPr>
        <w:pStyle w:val="BookText"/>
        <w:rPr/>
      </w:pPr>
      <w:r>
        <w:rPr>
          <w:rFonts w:ascii="IRNazanin" w:hAnsi="IRNazanin" w:eastAsia="IRNazanin"/>
          <w:color w:val="111111"/>
          <w:sz w:val="28"/>
          <w:sz w:val="28"/>
          <w:szCs w:val="28"/>
          <w:rtl w:val="true"/>
          <w:lang w:bidi="fa-IR"/>
        </w:rPr>
        <w:t xml:space="preserve">برهان النظم فی الوحی الإلهی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إنّ الوحی الإلهی قد أعطی برهان النظم اهتماماً بالغاً، و هناک آیات کثیرة من القرآن تدعو الإنسان إلی مطالعة الکون و ما فیه من النظم و الإتقان حتی یهتدی إلی وجود اللّه تعالی و علمه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أنّ القرآن الکریم یلفت نظر الإنسان إلی السّیر فی الآفاق و الأنفس 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 ذٰا 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یَتَفَکَّرُوا فِی أَنْفُسِهِمْ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یقول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ینظرون إلی صغیر ما خلق؟ کیف أحکم خلقه و أتقن ترکیبه، و فلق له السّمع و البصر، و سوّی له العظم و البشر، انظروا إلی النّملة فی صغر جثّتها و لطافة هیئتها لا تکاد تنال بلحظ البصر و لا بمستدرک الفکر، کیف دبّت علی أرضها و صبّت علی رزقها، تنقل الحبّة إلی جحرها و تعدّها فی مستقرها، تجمع فی حرِّها لبردها و فی ورْدِها لصَدَرها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فالویل لمن أنکر المقدِّر و جحد المدبِّر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قال الامام الصادق علیه السلام فی ما أملاه علی تلمیذه المفضّل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العبر و الأدلّة علی الباری جلّ قدسه، تهیئة هذا العالم و تألیف أجزائه و نظمها علی ما هی علیه، فإنّک إذا تأمّلت بفکرک و میّزته بعقلک وجدته کالبیت المبنیّ المعدّ فیه جمیع ما یحتاج إلیه عباده، فالسّماء مرفوعة کالسّقف، و الأرض ممدودة کالبساط، و النجوم مضیئة کالمصابیح، و الجواهر مخزونة کالذخائر، و کلّ شیء فیه لشأنه معدّ، و الإنسان کالمملَّک ذلک البیت، و المُخَوَّل جمیع ما فیه، و ضروب النبات مهیئة لمآربه، و صنوف الحیوان مصروفة فی مصالحه و منافعه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دلالة واضحة علی أنّ العالم مخلوق بتقدیر و حکمة و نظام و ملاءمة، و انّ الخالق له واحد، و هو الّذی ألّفه و نظّمه بعضاً إلی بعض جلّ قدسه و تعالی جدّه</w:t>
      </w:r>
      <w:r>
        <w:rPr>
          <w:rFonts w:eastAsia="IRNazanin" w:cs="IRNazanin"/>
          <w:color w:val="111111"/>
          <w:sz w:val="28"/>
          <w:szCs w:val="28"/>
          <w:rtl w:val="true"/>
          <w:lang w:bidi="fa-IR"/>
        </w:rPr>
        <w:t xml:space="preserve">». </w:t>
      </w:r>
      <w:r>
        <w:rPr>
          <w:rStyle w:val="FootnoteAnchor"/>
          <w:rtl w:val="true"/>
        </w:rPr>
        <w:footnoteReference w:id="18"/>
      </w:r>
      <w:bookmarkStart w:id="55" w:name="pg2866_37949"/>
    </w:p>
    <w:p>
      <w:pPr>
        <w:pStyle w:val="Heading4"/>
        <w:numPr>
          <w:ilvl w:val="3"/>
          <w:numId w:val="1"/>
        </w:numPr>
        <w:rPr/>
      </w:pPr>
      <w:bookmarkStart w:id="56" w:name="__RefHeading___Toc2819408_1395250215"/>
      <w:bookmarkStart w:id="57" w:name="_Toc19"/>
      <w:bookmarkEnd w:id="55"/>
      <w:bookmarkEnd w:id="56"/>
      <w:r>
        <w:rPr>
          <w:rtl w:val="true"/>
        </w:rPr>
        <w:t>إشکالات و الإجابة عنها</w:t>
      </w:r>
      <w:bookmarkEnd w:id="57"/>
    </w:p>
    <w:p>
      <w:pPr>
        <w:pStyle w:val="Heading5"/>
        <w:numPr>
          <w:ilvl w:val="4"/>
          <w:numId w:val="1"/>
        </w:numPr>
        <w:rPr/>
      </w:pPr>
      <w:bookmarkStart w:id="58" w:name="__RefHeading___Toc2819410_1395250215"/>
      <w:bookmarkStart w:id="59" w:name="_Toc20"/>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إنّ هناک إشکالات طرحت حول برهان النظم یجب علینا الإجابة عنها، و المعروف منها ما طرحه دیفوید هیوم </w:t>
      </w:r>
      <w:r>
        <w:rPr>
          <w:rStyle w:val="FootnoteAnchor"/>
          <w:rtl w:val="true"/>
        </w:rPr>
        <w:footnoteReference w:id="19"/>
      </w:r>
      <w:r>
        <w:rPr>
          <w:rFonts w:ascii="IRNazanin" w:hAnsi="IRNazanin" w:eastAsia="IRNazanin"/>
          <w:color w:val="111111"/>
          <w:sz w:val="28"/>
          <w:sz w:val="28"/>
          <w:szCs w:val="28"/>
          <w:rtl w:val="true"/>
          <w:lang w:bidi="fa-IR"/>
        </w:rPr>
        <w:t xml:space="preserve">الفیلسوف الانکلیزی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محاورات حول الدّین الطبیعی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هی ستّة إشکالات کما یلی</w:t>
      </w:r>
      <w:r>
        <w:rPr>
          <w:rFonts w:eastAsia="IRNazanin" w:cs="IRNazanin"/>
          <w:color w:val="111111"/>
          <w:sz w:val="28"/>
          <w:szCs w:val="28"/>
          <w:rtl w:val="true"/>
          <w:lang w:bidi="fa-IR"/>
        </w:rPr>
        <w:t>:.</w:t>
      </w:r>
    </w:p>
    <w:p>
      <w:pPr>
        <w:pStyle w:val="Heading5"/>
        <w:numPr>
          <w:ilvl w:val="4"/>
          <w:numId w:val="1"/>
        </w:numPr>
        <w:rPr/>
      </w:pPr>
      <w:bookmarkStart w:id="60" w:name="__RefHeading___Toc2819412_1395250215"/>
      <w:bookmarkStart w:id="61" w:name="_Toc21"/>
      <w:bookmarkEnd w:id="60"/>
      <w:r>
        <w:rPr>
          <w:rtl w:val="true"/>
        </w:rPr>
        <w:t>الإشکال الأوّل</w:t>
      </w:r>
      <w:bookmarkEnd w:id="61"/>
    </w:p>
    <w:p>
      <w:pPr>
        <w:pStyle w:val="BookText"/>
        <w:rPr/>
      </w:pPr>
      <w:r>
        <w:rPr>
          <w:rFonts w:ascii="IRNazanin" w:hAnsi="IRNazanin" w:eastAsia="IRNazanin"/>
          <w:color w:val="111111"/>
          <w:sz w:val="28"/>
          <w:sz w:val="28"/>
          <w:szCs w:val="28"/>
          <w:rtl w:val="true"/>
          <w:lang w:bidi="fa-IR"/>
        </w:rPr>
        <w:t>إنّ برهان النّظم لا یتمتّع بشرائط البرهان التجریبی، لأنّه لم یجرّب فی شأن عالم آخر غیر هذا العالم، صحیح أنّا جرّبنا المصنوعات البشریّة فرأینا أنّها لا توجد إلّا بصانع عاقل کما فی البیت و السفینة و السّاعة و غیر ذلک، و لکنّنا لم نجرّب ذلک فی الکون، فانّا لم نشاهد عوالم اخر مماثلة لهذا العالم و هی مخلوقة لخالق عاقل و حکیم حتی نحکم بذلک فی خلق هذا العالم، و لهذا لا یمکن أن نثبت له علّة خالقة علی غرار المصنوعات البشریّة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برهان النظم لیس برهانا تجریبیّاً بأن یکون الملاک فیه هو تعمیم الحکم علی أساس المماثلة الکاملة بین الأشیاء المجرّبة و غیر المجرّبة، بل هو برهان عقلی یحکم العقل بعد مشاهدة النظم الحاکم علی </w:t>
      </w:r>
      <w:bookmarkStart w:id="62" w:name="pg2866_37950"/>
    </w:p>
    <w:p>
      <w:pPr>
        <w:pStyle w:val="BookText"/>
        <w:rPr/>
      </w:pPr>
      <w:bookmarkEnd w:id="62"/>
      <w:r>
        <w:rPr>
          <w:rFonts w:ascii="IRNazanin" w:hAnsi="IRNazanin" w:eastAsia="IRNazanin"/>
          <w:color w:val="111111"/>
          <w:sz w:val="28"/>
          <w:sz w:val="28"/>
          <w:szCs w:val="28"/>
          <w:rtl w:val="true"/>
          <w:lang w:bidi="fa-IR"/>
        </w:rPr>
        <w:t>العالم الطبیعی و التفکر فیه بأنّه مخلوقٌ موجودٍ عالم قادر مختار من دون حاجة إلی مقولة التمثیل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إحدی مقدّمتیه حسّیّة لا یضرّ بکون البرهان عقلیّاً، فإنّ دور الحسّ فیه ینحصر فی إثبات الموضوع، أی إثبات النظم فی عالم الکون، و أمّا الحکم و الاستنتاج یرجع إلی العقل و یبتنی علی محاسبات عقلیة، و هو نظیر ما إذا ثبت بالحس أنّ هاهنا مربّعاً، فإنّ العقل یحکم من فوره بأنّ أضلاعه الأربعة متساویة فی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یری ملازمة بیّنة بین النظم بمقدّماته الثلاث،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الترابط و التناسق و الهدفیّة، و بین دخالة الشعور و العقل، فعند ما یلاحظ ما فی جهاز العین مثلا من النظام بمعنی تحقّق أجزاء مختلفة کمّاً و کیفاً، و تناسقها بشکل یمکنها من التعاون و التفاعل فیما بینها و یتحقّق الهدف الخاص منه، یحکم بأنّها من فعل خالق عظیم، لاحتیاجه إلی دخالة شعور و عقل و هدفیّة و قصد</w:t>
      </w:r>
      <w:r>
        <w:rPr>
          <w:rFonts w:eastAsia="IRNazanin" w:cs="IRNazanin"/>
          <w:color w:val="111111"/>
          <w:sz w:val="28"/>
          <w:szCs w:val="28"/>
          <w:rtl w:val="true"/>
          <w:lang w:bidi="fa-IR"/>
        </w:rPr>
        <w:t>.</w:t>
      </w:r>
    </w:p>
    <w:p>
      <w:pPr>
        <w:pStyle w:val="Heading5"/>
        <w:numPr>
          <w:ilvl w:val="4"/>
          <w:numId w:val="1"/>
        </w:numPr>
        <w:rPr/>
      </w:pPr>
      <w:bookmarkStart w:id="63" w:name="__RefHeading___Toc2819414_1395250215"/>
      <w:bookmarkStart w:id="64" w:name="_Toc22"/>
      <w:bookmarkEnd w:id="63"/>
      <w:r>
        <w:rPr>
          <w:rtl w:val="true"/>
        </w:rPr>
        <w:t>الإشکال الثانی</w:t>
      </w:r>
      <w:bookmarkEnd w:id="64"/>
    </w:p>
    <w:p>
      <w:pPr>
        <w:pStyle w:val="BookText"/>
        <w:rPr/>
      </w:pPr>
      <w:r>
        <w:rPr>
          <w:rFonts w:ascii="IRNazanin" w:hAnsi="IRNazanin" w:eastAsia="IRNazanin"/>
          <w:color w:val="111111"/>
          <w:sz w:val="28"/>
          <w:sz w:val="28"/>
          <w:szCs w:val="28"/>
          <w:rtl w:val="true"/>
          <w:lang w:bidi="fa-IR"/>
        </w:rPr>
        <w:t>إنّ هناک فی عالم الطبیعة ظواهر و حوادث غیر متوازنة خارجة عن النظام و هی لا تتّفق مع النظام المدّعیٰ و لا مع الحکمة الّتی یوصف بها خالق الکون، کالزلازل و الطوفانات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تعدّ من الحوادث الکونیّة شروراً کالزلازل و الطوفانات لها نظام خاصّ فی صفحة الکون، ناشئة عن علل و أسباب معیّنة </w:t>
      </w:r>
      <w:bookmarkStart w:id="65" w:name="pg2866_37951"/>
    </w:p>
    <w:p>
      <w:pPr>
        <w:pStyle w:val="BookText"/>
        <w:rPr/>
      </w:pPr>
      <w:bookmarkEnd w:id="65"/>
      <w:r>
        <w:rPr>
          <w:rFonts w:ascii="IRNazanin" w:hAnsi="IRNazanin" w:eastAsia="IRNazanin"/>
          <w:color w:val="111111"/>
          <w:sz w:val="28"/>
          <w:sz w:val="28"/>
          <w:szCs w:val="28"/>
          <w:rtl w:val="true"/>
          <w:lang w:bidi="fa-IR"/>
        </w:rPr>
        <w:t>تتحکّم علیها محاسبات و معادلات خاصّة و قد وفّق الإنسان إلی اکتشاف بعضها و إن بقی بعض آخر منها مجهولاً له بعد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أمّا أنّها ملائمة لمصالح الإنسان أو غیر ملائمة له، فلا صلة له ببرهان النظم الّذی بصدد إثبات أنّ هناک مبدئاً و فاعلاً لعالم الطبیعة ذا علم و قدرة و إرادة، و سیجیء البحث عنها فی الفصول القادمة فانتظره</w:t>
      </w:r>
      <w:r>
        <w:rPr>
          <w:rFonts w:eastAsia="IRNazanin" w:cs="IRNazanin"/>
          <w:color w:val="111111"/>
          <w:sz w:val="28"/>
          <w:szCs w:val="28"/>
          <w:rtl w:val="true"/>
          <w:lang w:bidi="fa-IR"/>
        </w:rPr>
        <w:t>.</w:t>
      </w:r>
    </w:p>
    <w:p>
      <w:pPr>
        <w:pStyle w:val="Heading5"/>
        <w:numPr>
          <w:ilvl w:val="4"/>
          <w:numId w:val="1"/>
        </w:numPr>
        <w:rPr/>
      </w:pPr>
      <w:bookmarkStart w:id="66" w:name="__RefHeading___Toc2819416_1395250215"/>
      <w:bookmarkStart w:id="67" w:name="_Toc23"/>
      <w:bookmarkEnd w:id="66"/>
      <w:r>
        <w:rPr>
          <w:rtl w:val="true"/>
        </w:rPr>
        <w:t>الإشکال الثالث</w:t>
      </w:r>
      <w:bookmarkEnd w:id="67"/>
    </w:p>
    <w:p>
      <w:pPr>
        <w:pStyle w:val="BookText"/>
        <w:rPr/>
      </w:pPr>
      <w:r>
        <w:rPr>
          <w:rFonts w:ascii="IRNazanin" w:hAnsi="IRNazanin" w:eastAsia="IRNazanin"/>
          <w:color w:val="111111"/>
          <w:sz w:val="28"/>
          <w:sz w:val="28"/>
          <w:szCs w:val="28"/>
          <w:rtl w:val="true"/>
          <w:lang w:bidi="fa-IR"/>
        </w:rPr>
        <w:t>ما ذا یمنع من أن نعتقد بأنّ النظام السائد فی عالم الطبیعة حاصل من قبل عامل کامن فی نفس الطبیعة، أی أنّ النظام یکون ذاتیّاً للمادّة؟ إذ لکلّ مادّة خاصیّة معیّنة لا تنفکّ عنها، و هذه الخواصّ هی الّتی جعلت الکون علی ما هو علیه الآن من النظام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ما تعطیه خاصیّة المادّة هی أن تبلغ بنفسها فقط إلی مرحلة معیّنة من التکامل الخاصّ و النظام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صحّة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أن تتحسّب للمستقبل و تتهیّأ للحاجات الطارئة، و لا أن تقیم حالة عجیبة و رائعة من التناسق و الانسجام بینها و بین الأشیاء </w:t>
      </w:r>
      <w:bookmarkStart w:id="68" w:name="pg2866_37952"/>
    </w:p>
    <w:p>
      <w:pPr>
        <w:pStyle w:val="BookText"/>
        <w:rPr/>
      </w:pPr>
      <w:bookmarkEnd w:id="68"/>
      <w:r>
        <w:rPr>
          <w:rFonts w:ascii="IRNazanin" w:hAnsi="IRNazanin" w:eastAsia="IRNazanin"/>
          <w:color w:val="111111"/>
          <w:sz w:val="28"/>
          <w:sz w:val="28"/>
          <w:szCs w:val="28"/>
          <w:rtl w:val="true"/>
          <w:lang w:bidi="fa-IR"/>
        </w:rPr>
        <w:t>المختلفة و العناصر المتنافرة فی الخواصّ و الأنظمة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لنأت بمثال لما ذکرناه، و هو مثال واحد من آلاف الأمثلة فی هذا الکون، هب أنّ خاصیّة الخلیّة البشریّة عند ما تستقرّ فی رحم المرأة، هی أن تتحرّک نحو الهیئة الجنینیة، ثمّ تصیر إنساناً ذا أجهزة منظّمة، و لکن هناک فی الکون فی مجال الإنسان تحسُّباً للمستقبل و تهیُّؤاً لحاجاته القادمة لا یمکن أن یستند إلی خاصیّة المادّة، و هو أنّه قبل أن تتواجد الخلیّة البشریّة فی رحم الأُمّ وجدت المرأة ذات ترکیبة و أجهزة خاصّة تناسب حیاة الطفل ثمّ تحدث للأُمّ تطوّرات فی أجهزتها البدنیة و الروحیّة مناسبة لحیاة الطفل و تطوّراته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نعتبر کلّ هذا التحسّب من خواصّ الخلیّة البشریّة، و ما علاقة هذا بذاک؟</w:t>
      </w:r>
    </w:p>
    <w:p>
      <w:pPr>
        <w:pStyle w:val="Heading4"/>
        <w:numPr>
          <w:ilvl w:val="3"/>
          <w:numId w:val="1"/>
        </w:numPr>
        <w:rPr/>
      </w:pPr>
      <w:bookmarkStart w:id="69" w:name="__RefHeading___Toc2819418_1395250215"/>
      <w:bookmarkStart w:id="70" w:name="_Toc24"/>
      <w:bookmarkEnd w:id="69"/>
      <w:r>
        <w:rPr>
          <w:rtl w:val="true"/>
        </w:rPr>
        <w:t>ثلاثة اشکالات أُخری لهیوم</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أین نثبت أنّ النظام الموجود فعلاً هو النظام الأکمل، لأنّا لم نلاحظ مشابهه حتی نقیس 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یدری لعلّ خالق الکون جرّب صنع الکون مراراً حتی اهتدی إلی النظام الفعلی؟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فرضنا أنّ برهان النظم أثبت وجود الخالق العالم القادر، غیر أنّه لا یدلّ مطلقاً علی الصفات الکمالیة کالعدالة و الرحمة الّتی یوصف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الإشکالات ناشئة من عدم الوقوف علی رسالة برهان النظم و مدی ما یسعی إلی اثباته، إنّ رسالة برهان النظم تتلخّص فی إثبات أنّ النظام السائد فی الکون لیس ناشئاً من الصدفة و لا من خاصیّة ذاتیة للمادّة العمیاء، بل وجد بعقل و شعور و محاسبة و تخطیط، فله خالق عالم قادر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هذا الخالق الصانع هو اللّه الواجب الوجوب الأزلی الأبدی أم لا، و أنّ علمه بالنظام الأحسن هل هو ذاتی فعلی أو انفعالی تدریجی، و أنّ النظام الموجود هل هو أحسن نظام أو لا؟ فهی ممّا لا یتکفّل بإثباته هذا البرهان و لا أنّه فی رسالته و لا مقتضاه، بل لا بدّ فی هذا المورد من الاستناد إلی براهین أُخری مثل برهان الإمکان و الوجوب، و الاستناد بقواعد عقلیة بدیهیة أو مبرهنة مذکورة فی کتب الفلسفة و الکلام، مثل أنّ علمه تعالی ذاتی فعلی و لیس بانفعالی تدریجی، و أنّ النظام الکیانی ناشئ عن النظام الربّانی و مطابق له، و ذلک النظام الربّانی العلمی أکمل نظام ممکن، إلی غیر ذلک من الأُصول الفلسفیة</w:t>
      </w:r>
      <w:r>
        <w:rPr>
          <w:rFonts w:eastAsia="IRNazanin" w:cs="IRNazanin"/>
          <w:color w:val="111111"/>
          <w:sz w:val="28"/>
          <w:szCs w:val="28"/>
          <w:rtl w:val="true"/>
          <w:lang w:bidi="fa-IR"/>
        </w:rPr>
        <w:t xml:space="preserve">. </w:t>
      </w:r>
      <w:bookmarkStart w:id="71" w:name="pg2866_37955"/>
    </w:p>
    <w:p>
      <w:pPr>
        <w:pStyle w:val="BookText"/>
        <w:rPr/>
      </w:pPr>
      <w:bookmarkEnd w:id="71"/>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72" w:name="__RefHeading___Toc2819420_1395250215"/>
      <w:bookmarkStart w:id="73" w:name="_Toc25"/>
      <w:bookmarkEnd w:id="72"/>
      <w:r>
        <w:rPr>
          <w:rtl w:val="true"/>
        </w:rPr>
        <w:t>[</w:t>
      </w:r>
      <w:r>
        <w:rPr>
          <w:rtl w:val="true"/>
        </w:rPr>
        <w:t>الفصل الثالث</w:t>
      </w:r>
      <w:r>
        <w:rPr>
          <w:rtl w:val="true"/>
        </w:rPr>
        <w:t xml:space="preserve">] </w:t>
      </w:r>
      <w:r>
        <w:rPr>
          <w:rtl w:val="true"/>
        </w:rPr>
        <w:t>برهان الحدوث</w:t>
      </w:r>
      <w:bookmarkEnd w:id="73"/>
    </w:p>
    <w:p>
      <w:pPr>
        <w:pStyle w:val="Heading4"/>
        <w:numPr>
          <w:ilvl w:val="3"/>
          <w:numId w:val="1"/>
        </w:numPr>
        <w:rPr/>
      </w:pPr>
      <w:bookmarkStart w:id="74" w:name="__RefHeading___Toc2819422_1395250215"/>
      <w:bookmarkStart w:id="75" w:name="_Toc26"/>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من البراهین الّتی یُستدلّ بها علی إثبات وجود خالق الکون، برهان الحدوث، و هو المشهور عند المتکلمین و تقریر البرهان یتوقف علی تعریف الحدوث و أقسامه أوّلا و إثبات حدوث العالم ثانیاً فنقول</w:t>
      </w:r>
      <w:r>
        <w:rPr>
          <w:rFonts w:eastAsia="IRNazanin" w:cs="IRNazanin"/>
          <w:color w:val="111111"/>
          <w:sz w:val="28"/>
          <w:szCs w:val="28"/>
          <w:rtl w:val="true"/>
          <w:lang w:bidi="fa-IR"/>
        </w:rPr>
        <w:t>:</w:t>
      </w:r>
    </w:p>
    <w:p>
      <w:pPr>
        <w:pStyle w:val="Heading4"/>
        <w:numPr>
          <w:ilvl w:val="3"/>
          <w:numId w:val="1"/>
        </w:numPr>
        <w:rPr/>
      </w:pPr>
      <w:bookmarkStart w:id="76" w:name="__RefHeading___Toc2819424_1395250215"/>
      <w:bookmarkStart w:id="77" w:name="_Toc27"/>
      <w:bookmarkEnd w:id="76"/>
      <w:r>
        <w:rPr>
          <w:rtl w:val="true"/>
        </w:rPr>
        <w:t>تعریف الحدوث و أقسامه</w:t>
      </w:r>
      <w:bookmarkEnd w:id="77"/>
    </w:p>
    <w:p>
      <w:pPr>
        <w:pStyle w:val="BookText"/>
        <w:rPr/>
      </w:pPr>
      <w:r>
        <w:rPr>
          <w:rFonts w:ascii="IRNazanin" w:hAnsi="IRNazanin" w:eastAsia="IRNazanin"/>
          <w:color w:val="111111"/>
          <w:sz w:val="28"/>
          <w:sz w:val="28"/>
          <w:szCs w:val="28"/>
          <w:rtl w:val="true"/>
          <w:lang w:bidi="fa-IR"/>
        </w:rPr>
        <w:t>الحدوث وصف للوجود باعتبار کونه مسبوقاً بالعدم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الزمانی و هو مسبوقیّة وجود الشیء بالعدم الزمانی کمسبوقیّة الیوم بالعدم فی أمس و مسبوقیّة حوادث الیوم بالعدم فی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الذّاتی و هو مسبوقیّة وجود الشیء بالعدم فی ذاته، کجمیع الموجودات الممکنة الّتی لها الوجود بعلّة خارجة من ذاتها، و لیس لها فی ماهیّتها و حدّ ذاتها إلّا العدم، هذا حاصل ما ذکروه فی تعریف الحدوث و تقسیمه إلی الزمانی و الذاتی و التفصیل یطلب من محلّه</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مرجع الحدوث الذاتی إلی الإمکان الذاتی، فالاستدلال </w:t>
      </w:r>
      <w:bookmarkStart w:id="78" w:name="pg2866_37956"/>
    </w:p>
    <w:p>
      <w:pPr>
        <w:pStyle w:val="BookText"/>
        <w:rPr/>
      </w:pPr>
      <w:bookmarkEnd w:id="78"/>
      <w:r>
        <w:rPr>
          <w:rFonts w:ascii="IRNazanin" w:hAnsi="IRNazanin" w:eastAsia="IRNazanin"/>
          <w:color w:val="111111"/>
          <w:sz w:val="28"/>
          <w:sz w:val="28"/>
          <w:szCs w:val="28"/>
          <w:rtl w:val="true"/>
          <w:lang w:bidi="fa-IR"/>
        </w:rPr>
        <w:t>بالحدوث الذاتی راجع إلی برهان الإمکان و الوجوب، فلنرکّز البرهان هنا علی الحدوث الزّمانی فنقول</w:t>
      </w:r>
      <w:r>
        <w:rPr>
          <w:rFonts w:eastAsia="IRNazanin" w:cs="IRNazanin"/>
          <w:color w:val="111111"/>
          <w:sz w:val="28"/>
          <w:szCs w:val="28"/>
          <w:rtl w:val="true"/>
          <w:lang w:bidi="fa-IR"/>
        </w:rPr>
        <w:t>:</w:t>
      </w:r>
    </w:p>
    <w:p>
      <w:pPr>
        <w:pStyle w:val="Heading4"/>
        <w:numPr>
          <w:ilvl w:val="3"/>
          <w:numId w:val="1"/>
        </w:numPr>
        <w:rPr/>
      </w:pPr>
      <w:bookmarkStart w:id="79" w:name="__RefHeading___Toc2819426_1395250215"/>
      <w:bookmarkStart w:id="80" w:name="_Toc28"/>
      <w:bookmarkEnd w:id="79"/>
      <w:r>
        <w:rPr>
          <w:rtl w:val="true"/>
        </w:rPr>
        <w:t>حدوث الحیاة فی عالم المادّة</w:t>
      </w:r>
      <w:bookmarkEnd w:id="80"/>
    </w:p>
    <w:p>
      <w:pPr>
        <w:pStyle w:val="BookText"/>
        <w:rPr/>
      </w:pPr>
      <w:r>
        <w:rPr>
          <w:rFonts w:ascii="IRNazanin" w:hAnsi="IRNazanin" w:eastAsia="IRNazanin"/>
          <w:color w:val="111111"/>
          <w:sz w:val="28"/>
          <w:sz w:val="28"/>
          <w:szCs w:val="28"/>
          <w:rtl w:val="true"/>
          <w:lang w:bidi="fa-IR"/>
        </w:rPr>
        <w:t>أثبت العلم بوضوح أنّ هناک انتقالاً حراریّاً مستمرّاً من الأجسام الحارّة إلی الأجسام الباردة، و لا تتحقّق فی عالم الطبیعة عملیة طبیعیة معاکسةً لذلک، و معنی ذلک أنّ الکون یتّجه إلی درجة تتساوی فیها جمیع الأجسام من حیث الحرارة و عند ذلک لن تتحقّق عملیات کیمیائیّة أو طبیعیّة، و یستنتج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الحیاة فی عالم المادّة أمر حادث و لها بدایة، إذ لو کانت موجوداً أزلیاً و بلا ابتداء لزم استهلاک طاقات المادّة، و انضباب ظاهرة الحیاة المادّیة منذ زمن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ما ذکرنا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علم الفیزیاء بقوله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ترمودینامیا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أنّ العالم لا یزال یتّجه إلی نقطة تتساوی فیها درجة حرارة جمیع الأجسام، و لا توجد هناک طاقة مؤثِّرة لعملیّة الحیاة، فلو لم یکن للعالم بدایة و کان موجوداً من الأزل لزم أن یقضی للحیاة أجلها منذ أمدٍ بعیدٍ، فالشَّمس المشرقة و النجوم و الأرض الملیئة من الظواهر الحیویّة و عملیاتها أصدق شاهد علی أنّ العالم حدث فی زمان معیَّن، فلیس العالم إلّا مخلوقاً حادثاً</w:t>
      </w:r>
      <w:r>
        <w:rPr>
          <w:rFonts w:eastAsia="IRNazanin" w:cs="IRNazanin"/>
          <w:color w:val="111111"/>
          <w:sz w:val="28"/>
          <w:szCs w:val="28"/>
          <w:rtl w:val="true"/>
          <w:lang w:bidi="fa-IR"/>
        </w:rPr>
        <w:t xml:space="preserve">. </w:t>
      </w:r>
      <w:r>
        <w:rPr>
          <w:rStyle w:val="FootnoteAnchor"/>
          <w:rtl w:val="true"/>
        </w:rPr>
        <w:footnoteReference w:id="23"/>
      </w:r>
      <w:bookmarkStart w:id="81" w:name="pg2866_37957"/>
    </w:p>
    <w:p>
      <w:pPr>
        <w:pStyle w:val="Heading4"/>
        <w:numPr>
          <w:ilvl w:val="3"/>
          <w:numId w:val="1"/>
        </w:numPr>
        <w:rPr/>
      </w:pPr>
      <w:bookmarkStart w:id="82" w:name="__RefHeading___Toc2819428_1395250215"/>
      <w:bookmarkStart w:id="83" w:name="_Toc29"/>
      <w:bookmarkEnd w:id="81"/>
      <w:bookmarkEnd w:id="82"/>
      <w:r>
        <w:rPr>
          <w:rtl w:val="true"/>
        </w:rPr>
        <w:t>تقریر برهان الحدوث</w:t>
      </w:r>
      <w:bookmarkEnd w:id="83"/>
    </w:p>
    <w:p>
      <w:pPr>
        <w:pStyle w:val="BookText"/>
        <w:rPr/>
      </w:pPr>
      <w:r>
        <w:rPr>
          <w:rFonts w:ascii="IRNazanin" w:hAnsi="IRNazanin" w:eastAsia="IRNazanin"/>
          <w:color w:val="111111"/>
          <w:sz w:val="28"/>
          <w:sz w:val="28"/>
          <w:szCs w:val="28"/>
          <w:rtl w:val="true"/>
          <w:lang w:bidi="fa-IR"/>
        </w:rPr>
        <w:t xml:space="preserve">ممّا تقدّم تبیَّنت صغری برهان الحدوث و هی أنّ الحیاة فی العالم المادّی حادث، فلیس بذاتی له، </w:t>
      </w:r>
      <w:r>
        <w:rPr>
          <w:rStyle w:val="FootnoteAnchor"/>
          <w:rtl w:val="true"/>
        </w:rPr>
        <w:footnoteReference w:id="24"/>
      </w:r>
      <w:r>
        <w:rPr>
          <w:rFonts w:ascii="IRNazanin" w:hAnsi="IRNazanin" w:eastAsia="IRNazanin"/>
          <w:color w:val="111111"/>
          <w:sz w:val="28"/>
          <w:sz w:val="28"/>
          <w:szCs w:val="28"/>
          <w:rtl w:val="true"/>
          <w:lang w:bidi="fa-IR"/>
        </w:rPr>
        <w:t>و لیُضمَّ إلیها الأصل البدیهی العقلی و هو أنّ کلّ أمر غیر ذاتی معلَّل، کما أنّ کلّ حادث لا بدّ له من محدث و خالق، فما هو المحدث لحیاة المادة؟ إمّا هی نفسها أو غیرها؟ و لکنّ الفرض الأوّل باطل، لأنّ المفروض أنّها کانت قبل حدوث الحیاة لها فاقدة لها، و فاقد الشیء یستحیل أن یکون معطیاً له، فلا مناص من قبول الفرض الثانی، فهناک موجود آخر وراء عالم المادّة هو الموجد للمادّة و محدث الحیاة لها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دور الحدوث الزمانی فی البرهان، و أنتج أنّ هناک موجوداً غیر مادّی، محدثاً لهذا العالم المادّی، و أمّا أنّ ذلک المحدث هل هو ممکن أو واجب، و حادث أو قدیم، فلا بدّ لإثباته من اللجوء إلی برهان الإمکان و الوجوب و امتناع الدور و التسلسل</w:t>
      </w:r>
      <w:r>
        <w:rPr>
          <w:rFonts w:eastAsia="IRNazanin" w:cs="IRNazanin"/>
          <w:color w:val="111111"/>
          <w:sz w:val="28"/>
          <w:szCs w:val="28"/>
          <w:rtl w:val="true"/>
          <w:lang w:bidi="fa-IR"/>
        </w:rPr>
        <w:t xml:space="preserve">. </w:t>
      </w:r>
      <w:bookmarkStart w:id="84" w:name="pg2866_37958"/>
    </w:p>
    <w:p>
      <w:pPr>
        <w:pStyle w:val="Heading4"/>
        <w:numPr>
          <w:ilvl w:val="3"/>
          <w:numId w:val="1"/>
        </w:numPr>
        <w:rPr/>
      </w:pPr>
      <w:bookmarkStart w:id="85" w:name="__RefHeading___Toc2819430_1395250215"/>
      <w:bookmarkStart w:id="86" w:name="_Toc30"/>
      <w:bookmarkEnd w:id="84"/>
      <w:bookmarkEnd w:id="85"/>
      <w:r>
        <w:rPr>
          <w:rtl w:val="true"/>
        </w:rPr>
        <w:t>الإجابة عن شبهة رسل</w:t>
      </w:r>
      <w:bookmarkEnd w:id="86"/>
    </w:p>
    <w:p>
      <w:pPr>
        <w:pStyle w:val="BookText"/>
        <w:rPr/>
      </w:pPr>
      <w:r>
        <w:rPr>
          <w:rFonts w:ascii="IRNazanin" w:hAnsi="IRNazanin" w:eastAsia="IRNazanin"/>
          <w:color w:val="111111"/>
          <w:sz w:val="28"/>
          <w:sz w:val="28"/>
          <w:szCs w:val="28"/>
          <w:rtl w:val="true"/>
          <w:lang w:bidi="fa-IR"/>
        </w:rPr>
        <w:t xml:space="preserve">إنّ لبرترند رسل </w:t>
      </w:r>
      <w:r>
        <w:rPr>
          <w:rStyle w:val="FootnoteAnchor"/>
          <w:rtl w:val="true"/>
        </w:rPr>
        <w:footnoteReference w:id="25"/>
      </w:r>
      <w:r>
        <w:rPr>
          <w:rFonts w:ascii="IRNazanin" w:hAnsi="IRNazanin" w:eastAsia="IRNazanin"/>
          <w:color w:val="111111"/>
          <w:sz w:val="28"/>
          <w:sz w:val="28"/>
          <w:szCs w:val="28"/>
          <w:rtl w:val="true"/>
          <w:lang w:bidi="fa-IR"/>
        </w:rPr>
        <w:t>هاهنا شبهة یجب أن نجیب عنها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الإشارة إلی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ترمودینامیا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یترتب علیه من حدوث العالم المادّی،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أن یستنتج منه أنّ العالم مخلوق لخالق وراءه، لأنّ استنتاج وجود الخالق استنتاج علیّ و الاستنتاج العلیِّ فی العلوم غیر جائز إلّا إذا انطبقت علیه القوانین العلمیة، و من المعلوم استحالة إجراء العملیّة التجریبیّة علی خلقة العالم من العدم، ففرض کون العالم مخلوقاً لخالق محدث، لیس أولی من فرض حدوثه بلا علّة محدثة، فانّ الفرضین مشترکان فی نقض القوانین العلمیّة المشهودة لنا</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برهان 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من مقدّمتین،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 و هذا نتیجة واضحة من الأبحاث العلمیة التجریبیّة،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العقلی البدیهی، و لیس هذا مستفاداً من الأبحاث العلمیة، بل هو خارج عن نطاق العلم التجریبی رأساً، فإن کان مراد رسل من تساوی فرض مخلوقیة العالم و فرض وجوده صدفةً أنّهما خارجتان عن نطاق </w:t>
      </w:r>
      <w:bookmarkStart w:id="87" w:name="pg2866_37959"/>
    </w:p>
    <w:p>
      <w:pPr>
        <w:pStyle w:val="BookText"/>
        <w:rPr/>
      </w:pPr>
      <w:bookmarkEnd w:id="87"/>
      <w:r>
        <w:rPr>
          <w:rFonts w:ascii="IRNazanin" w:hAnsi="IRNazanin" w:eastAsia="IRNazanin"/>
          <w:color w:val="111111"/>
          <w:sz w:val="28"/>
          <w:sz w:val="28"/>
          <w:szCs w:val="28"/>
          <w:rtl w:val="true"/>
          <w:lang w:bidi="fa-IR"/>
        </w:rPr>
        <w:t>العلوم التجریبیّة، فصحیح، لکنّهما غیر متساویین عند العقل الصریح الّذی هو الحاکم الفرید فی أمثال هذه الأبحاث العقلیة الخارجة عن نطاق العلوم التجریبیّة الحسیّة، فکأنّ رسل رفض العقل و البراهین العقلیّة و حصر طریق الاستدلال علی طریقة الحسّ و الاستقراء و التجربة، کما هو مختار جمیع الفلاسفة الحسّیّین الأوروبیّین و غیرهم، و قد برهن علی فساد هذا المبنی فی محلّه</w:t>
      </w:r>
      <w:r>
        <w:rPr>
          <w:rFonts w:eastAsia="IRNazanin" w:cs="IRNazanin"/>
          <w:color w:val="111111"/>
          <w:sz w:val="28"/>
          <w:szCs w:val="28"/>
          <w:rtl w:val="true"/>
          <w:lang w:bidi="fa-IR"/>
        </w:rPr>
        <w:t>.</w:t>
      </w:r>
    </w:p>
    <w:p>
      <w:pPr>
        <w:pStyle w:val="Heading4"/>
        <w:numPr>
          <w:ilvl w:val="3"/>
          <w:numId w:val="1"/>
        </w:numPr>
        <w:rPr/>
      </w:pPr>
      <w:bookmarkStart w:id="88" w:name="__RefHeading___Toc2819432_1395250215"/>
      <w:bookmarkStart w:id="89" w:name="_Toc31"/>
      <w:bookmarkEnd w:id="88"/>
      <w:r>
        <w:rPr>
          <w:rtl w:val="true"/>
        </w:rPr>
        <w:t>برهان الحدوث فی الکتاب و السنّة</w:t>
      </w:r>
      <w:bookmarkEnd w:id="89"/>
    </w:p>
    <w:p>
      <w:pPr>
        <w:pStyle w:val="BookText"/>
        <w:rPr/>
      </w:pPr>
      <w:r>
        <w:rPr>
          <w:rFonts w:ascii="Amiri" w:hAnsi="Amiri" w:eastAsia="Amiri" w:cs="Amiri"/>
          <w:color w:val="111111"/>
          <w:sz w:val="28"/>
          <w:sz w:val="28"/>
          <w:szCs w:val="28"/>
          <w:rtl w:val="true"/>
          <w:lang w:bidi="ar-SA"/>
        </w:rPr>
        <w:t>إنّ فی الکتاب الکریم نصوصاً علی حدوث الکون أرضا و سماءً و ما بینهما و ما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یَکُونُ لَهُ وَلَدٌ وَ لَمْ تَکُنْ لَهُ صٰاحِبَةٌ وَ خَلَقَ کُلَّ شَیْءٍ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فصرّح فی الآیة الأولی بخلق کلّ شیء و فی الآیة الثانیة بخلق السماوات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فی الآیة التالیة بخلق کل دابّة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حقّ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مخلوق فهو حادث فی ذاته کما أنّ کلّ مخلوق مادّی حادث ذاتاً و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الناظرة إلی مخلوقیّة العالم المادّی ناظرة إلی برهان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المرویة عن العترة الطاهرة علیهم السلام فی حدوث العالم کثیرة نکتفی بذکر بعض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الدالّ علی وجوده بخلقه و بمحدث خلقه علی أزلیّته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الدالّ علی قدمه بحدوث خلقه، و بحدوث خلقه علی وجوده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رجل علی الإمام علی بن موسی الرضا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الدلیل علی حَدَث العالم؟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لم تکن ثمّ کنت، و قد علمت أنّک لم تکوّن نفسک و لا کوّنک من هو مثلک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أبو شاکر الدیصانی علی الإمام الصادق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الدلیل علی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الإمام علیه السلام ببیضة فوضعها علی راحته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حصن ملموم، داخله غرقئ رقیق لطیف به فضّة سائلة و ذهبة مائعة، ثمّ تنفلق عن مثل الطاوس، أدخلها شیء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علی حدوث العالم</w:t>
      </w:r>
      <w:r>
        <w:rPr>
          <w:rFonts w:eastAsia="IRNazanin" w:cs="IRNazanin"/>
          <w:color w:val="111111"/>
          <w:sz w:val="28"/>
          <w:szCs w:val="28"/>
          <w:rtl w:val="true"/>
          <w:lang w:bidi="fa-IR"/>
        </w:rPr>
        <w:t xml:space="preserve">. </w:t>
      </w:r>
      <w:r>
        <w:rPr>
          <w:rStyle w:val="FootnoteAnchor"/>
          <w:rtl w:val="true"/>
        </w:rPr>
        <w:footnoteReference w:id="34"/>
      </w:r>
      <w:bookmarkStart w:id="90" w:name="pg2866_37962"/>
    </w:p>
    <w:p>
      <w:pPr>
        <w:pStyle w:val="BookText"/>
        <w:rPr/>
      </w:pPr>
      <w:bookmarkEnd w:id="90"/>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91" w:name="__RefHeading___Toc2819434_1395250215"/>
      <w:bookmarkStart w:id="92" w:name="_Toc32"/>
      <w:bookmarkEnd w:id="91"/>
      <w:r>
        <w:rPr>
          <w:rtl w:val="true"/>
        </w:rPr>
        <w:t>[</w:t>
      </w:r>
      <w:r>
        <w:rPr>
          <w:rtl w:val="true"/>
        </w:rPr>
        <w:t>الفصل الرابع</w:t>
      </w:r>
      <w:r>
        <w:rPr>
          <w:rtl w:val="true"/>
        </w:rPr>
        <w:t xml:space="preserve">] </w:t>
      </w:r>
      <w:r>
        <w:rPr>
          <w:rtl w:val="true"/>
        </w:rPr>
        <w:t>برهان الإمکان و الوجوب</w:t>
      </w:r>
      <w:bookmarkEnd w:id="92"/>
    </w:p>
    <w:p>
      <w:pPr>
        <w:pStyle w:val="Heading4"/>
        <w:numPr>
          <w:ilvl w:val="3"/>
          <w:numId w:val="1"/>
        </w:numPr>
        <w:rPr/>
      </w:pPr>
      <w:bookmarkStart w:id="93" w:name="__RefHeading___Toc2819436_1395250215"/>
      <w:bookmarkStart w:id="94" w:name="_Toc33"/>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إنّ برهان الإمکان و الوجوب من أحکم البراهین علی وجود الواجب الوجود بالذّات و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قد اکتفی به المتکلم البارع نصیر الدین الطوسی فی سفره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هذا البرهان یتوقّف علی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الموجود إلی الواجب و الممکن، و ذلک لأنّ الموجود إمّا أن یستدعی من صمیم ذاته ضرورة وجوده و لزوم تحقّقه فی الخارج، فهذا هو الواجب لذاته، و إمّا أن یکون متساوی النسبة إلی الوجود و العدم و لا یستدعی فی حدّ ذاته أحدهما أبداً، و هو الممکن لذاته، کأفراد الإنسان و غیره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یحتاج إلی علّة فی وجوده، و هذا من البدیهیات الّتی لا یرتاب فیها ذو مُسکة، فإنّ العقل یحکم بالبداهة علی أنّ ما لا یستدعی فی حدّ ذاته الوجود، یتوقف وجوده علی أمر آخر و هو العلّة، و إلّا فوجوده ناش من ذاته، هذا 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ممتنع، و هو عبارة عن کون الشیء موجداً لثان و فی الوقت نفسه یکون الشیء الثانی موجداً لذاک الشیء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امتناعه أنّ مقتضی کون الأوّل علّة للثانی، تقدّمه علیه و تأخّر الثانی عنه، و مقتضی کون الثانی علّة للأوّل تقدّم الثانی علیه، فینتج کون الشیء الواحد، فی حالة واحدة و بالنسبة إلی شیء واحد، متقدّماً و غیر متقدّم و متأخّراً و غیر متأخّر و هذا هو الجمع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امتناع الدور وجدانی و لتوضیح الحال نأتی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صدیقان علی إمضاء وثیقة و اشترط کلّ واحد منهما لإمضائها، إمضاء الآخر فتکون النتیجة توقّف إمضاء کلٍّ علی إمضاء الآخر، و عند ذلک لن تکون تلک الورقة ممضاة إلی یوم القیامة، و هذا ممّا یدرکه الإنسان بالوجدان وراء درکه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محال، و هو عبارة عن اجتماع سلسلة من العلل و المعالیل الممکنة، مترتبة غیر متناهیة، و یکون الکلّ متَّسماً بوصف الإمکان، بأن یتوقف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من دون أن تنتهی إلی علّة لیست بممکنة و لا معلولة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استحالته أنّ المعلولیّة وصف عامّ لکلّ جزء من أجزاء السلسلة، فعندئذ یطرح هذا السؤال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السلسلة الهائلة معلولة، فما هی العلّة الّتی أخرجتها من کتم العدم إلی عالم الوجود؟ و المفروض أنّه لیس هناک شیء یکون علّة و لا یکون معلولاً، و الاّ یلزم انقطاع السلسلة </w:t>
      </w:r>
    </w:p>
    <w:p>
      <w:pPr>
        <w:pStyle w:val="BookText"/>
        <w:rPr/>
      </w:pPr>
      <w:r>
        <w:rPr>
          <w:rFonts w:ascii="IRNazanin" w:hAnsi="IRNazanin" w:eastAsia="IRNazanin"/>
          <w:color w:val="111111"/>
          <w:sz w:val="28"/>
          <w:sz w:val="28"/>
          <w:szCs w:val="28"/>
          <w:rtl w:val="true"/>
          <w:lang w:bidi="fa-IR"/>
        </w:rPr>
        <w:t>و توقّفها عند نقطة خاصّة، و هی الموجود الّذی قائم بنفسه و غیر محتاج إلی غیره و هو الواجب الوجود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معلول من السلسلة متقوّم بالعلّة الّتی تتقدّمه و متعلّق بها، فالجزء الأوّل من آخر السلسلة وجد بالجزء الثانی، و الثانی بالثالث، و هکذا إلی أجزاء و حلقاتٍ غیر متناهیة، و هذا المقدار من التعلّق یکفی لرفع الفقر 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کلّ جزء من أجزاء السلسلةُ متَّسم بوصف الإمکان و المعلولیة، و علی هذا فوصف العلّیّة له لیس بالأصالة و الاستقلال، فلیس لکلّ حلقة دور الإفاضة و الإیجاد بالاستقلال، فلا بدّ أن یکون هناک علّة وراء هذه السلسلة ترفع فقرها و تکون سناداً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الحال نمثّل بمثال و هو أنّ کلّ واحدة من هذه المعالیل بحکم فقرها الذاتی، بمنزلة الصفر، فاجتماع هذه المعالیل بمنزلة اجتماع الأصفار، و من المعلوم أنّ الصفر بإضافة أصفار متناهیة أو غیر متناهیة إلیه لا ینتج عدداً، بل یجب أن یکون إلی جانب هذه الأصفار عدد صحیح قائم بالذات حتّی یکون مصحِّحاً لقراءة تلک الأصفار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خرجنا بهذه النتیجة و هی أنّ فرض علل و معالیل غیر متناهیة مستلزم لأحد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تحقّق المعلول بلا علّة، و إمّا عدم وجود شیء فی الخارج رأساً، و کلاهما بدیهی الاستحالة</w:t>
      </w:r>
      <w:r>
        <w:rPr>
          <w:rFonts w:eastAsia="IRNazanin" w:cs="IRNazanin"/>
          <w:color w:val="111111"/>
          <w:sz w:val="28"/>
          <w:szCs w:val="28"/>
          <w:rtl w:val="true"/>
          <w:lang w:bidi="fa-IR"/>
        </w:rPr>
        <w:t xml:space="preserve">. </w:t>
      </w:r>
      <w:bookmarkStart w:id="95" w:name="pg2866_37965"/>
    </w:p>
    <w:p>
      <w:pPr>
        <w:pStyle w:val="Heading4"/>
        <w:numPr>
          <w:ilvl w:val="3"/>
          <w:numId w:val="1"/>
        </w:numPr>
        <w:rPr/>
      </w:pPr>
      <w:bookmarkStart w:id="96" w:name="__RefHeading___Toc2819438_1395250215"/>
      <w:bookmarkStart w:id="97" w:name="_Toc34"/>
      <w:bookmarkEnd w:id="95"/>
      <w:bookmarkEnd w:id="96"/>
      <w:r>
        <w:rPr>
          <w:rtl w:val="true"/>
        </w:rPr>
        <w:t>تقریر برهان الإمکان</w:t>
      </w:r>
      <w:bookmarkEnd w:id="97"/>
    </w:p>
    <w:p>
      <w:pPr>
        <w:pStyle w:val="BookText"/>
        <w:rPr/>
      </w:pPr>
      <w:r>
        <w:rPr>
          <w:rFonts w:ascii="IRNazanin" w:hAnsi="IRNazanin" w:eastAsia="IRNazanin"/>
          <w:color w:val="111111"/>
          <w:sz w:val="28"/>
          <w:sz w:val="28"/>
          <w:szCs w:val="28"/>
          <w:rtl w:val="true"/>
          <w:lang w:bidi="fa-IR"/>
        </w:rPr>
        <w:t>إلی هنا تمّت المقدّمات الّتی یبتنی علیها برهان الإمکان، و إلیک نفس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صفحة الوجود ملیئة بالموجودات الإمکانیة، بدلیل انّها توجد و تنعدم و تحدث و تفنی و یطرأ علیها التبدّل و التغیر، إلی غیر ذلک من الحالات الّتی هی آیات الإمکان و سمات الافتقار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وجودها لا یخلو عن الفروض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علّة لوجودها، و هذا باطل بحکم المقدّمة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یحتاج إلی علّة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البعض منها علّة لبعض آخر و بالعکس، و هو محال بمقتضی المقدّمة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بعضها معلول لبعض آخر و ذلک البعض معلول لآخر من غیر أن ینتهی إلی علّة لیست بمعلول، و هو ممتنع بمقتضی المقدّمة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التسلسل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وراء تلک الموجودات الإمکانیة علّة لیست بمعلولة بل یکون واجب الوجود لذاته و هو المطلوب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أنّه لا یصحّ تفسیر النظام الکونی إلّا بالقول بانتهاء الممکنات </w:t>
      </w:r>
      <w:bookmarkStart w:id="98" w:name="pg2866_37966"/>
    </w:p>
    <w:p>
      <w:pPr>
        <w:pStyle w:val="BookText"/>
        <w:rPr/>
      </w:pPr>
      <w:bookmarkEnd w:id="98"/>
      <w:r>
        <w:rPr>
          <w:rFonts w:ascii="IRNazanin" w:hAnsi="IRNazanin" w:eastAsia="IRNazanin"/>
          <w:color w:val="111111"/>
          <w:sz w:val="28"/>
          <w:sz w:val="28"/>
          <w:szCs w:val="28"/>
          <w:rtl w:val="true"/>
          <w:lang w:bidi="fa-IR"/>
        </w:rPr>
        <w:t>إلی الواجب لذاته القائم بنفسه، فهذه الصورة هی الّتی یصحِّحها العقل و یعدُّها خالیة عن الإشکال، و أمّا الصور الباقیة، فکلّها تستلزم المحال، و المستلزم للمحال محال</w:t>
      </w:r>
      <w:r>
        <w:rPr>
          <w:rFonts w:eastAsia="IRNazanin" w:cs="IRNazanin"/>
          <w:color w:val="111111"/>
          <w:sz w:val="28"/>
          <w:szCs w:val="28"/>
          <w:rtl w:val="true"/>
          <w:lang w:bidi="fa-IR"/>
        </w:rPr>
        <w:t>.</w:t>
      </w:r>
    </w:p>
    <w:p>
      <w:pPr>
        <w:pStyle w:val="Heading4"/>
        <w:numPr>
          <w:ilvl w:val="3"/>
          <w:numId w:val="1"/>
        </w:numPr>
        <w:rPr/>
      </w:pPr>
      <w:bookmarkStart w:id="99" w:name="__RefHeading___Toc2819440_1395250215"/>
      <w:bookmarkStart w:id="100" w:name="_Toc35"/>
      <w:bookmarkEnd w:id="99"/>
      <w:r>
        <w:rPr>
          <w:rtl w:val="true"/>
        </w:rPr>
        <w:t>برهان الإمکان فی الذکر الحکیم</w:t>
      </w:r>
      <w:bookmarkEnd w:id="100"/>
    </w:p>
    <w:p>
      <w:pPr>
        <w:pStyle w:val="BookText"/>
        <w:rPr/>
      </w:pPr>
      <w:r>
        <w:rPr>
          <w:rFonts w:ascii="IRNazanin" w:hAnsi="IRNazanin" w:eastAsia="IRNazanin"/>
          <w:color w:val="111111"/>
          <w:sz w:val="28"/>
          <w:sz w:val="28"/>
          <w:szCs w:val="28"/>
          <w:rtl w:val="true"/>
          <w:lang w:bidi="fa-IR"/>
        </w:rPr>
        <w:t>قد أُشیر فی الذکر الحکیم إلی شقوق برهان الإمکان، فإلی أنّ حقیقة الممکن حقیقة مفتقرة لا تملک لنفسها وجوداً و تحقّقاً و لا أیّ شیء آخر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الْغَنِیُّ وَ أَنْتُمُ الْفُقَرٰاءُ</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أنّ الممکن و منه الإنسان لا یتحقّق بلا علّة، و لا تکون علّته نفسه، أشار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أنّ الممکن لا یصحّ أن یکون خالقاً لممکن آخر بالأصالة و الاستقلال و من دون الاستناد إلی خالق واجب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السَّمٰاوٰاتِ وَ الْأَرْضَ بَلْ لاٰ یُوقِنُونَ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1" w:name="pg2866_37968"/>
    </w:p>
    <w:p>
      <w:pPr>
        <w:pStyle w:val="Heading4"/>
        <w:numPr>
          <w:ilvl w:val="3"/>
          <w:numId w:val="1"/>
        </w:numPr>
        <w:rPr/>
      </w:pPr>
      <w:bookmarkStart w:id="102" w:name="__RefHeading___Toc2819442_1395250215"/>
      <w:bookmarkStart w:id="103" w:name="_Toc36"/>
      <w:bookmarkEnd w:id="101"/>
      <w:bookmarkEnd w:id="102"/>
      <w:r>
        <w:rPr>
          <w:rtl w:val="true"/>
        </w:rPr>
        <w:t>إجابة عن إشکال</w:t>
      </w:r>
      <w:bookmarkEnd w:id="103"/>
    </w:p>
    <w:p>
      <w:pPr>
        <w:pStyle w:val="BookText"/>
        <w:rPr/>
      </w:pPr>
      <w:r>
        <w:rPr>
          <w:rFonts w:ascii="IRNazanin" w:hAnsi="IRNazanin" w:eastAsia="IRNazanin"/>
          <w:color w:val="111111"/>
          <w:sz w:val="28"/>
          <w:sz w:val="28"/>
          <w:szCs w:val="28"/>
          <w:rtl w:val="true"/>
          <w:lang w:bidi="fa-IR"/>
        </w:rPr>
        <w:t>قد استشکل علی القول بانتهاء الممکنات إلی علّة أزلیّة لیست بمعلول، بأنّه یستلزم تخصیص القاعدة العقلیة، فإنّ العقل یحکم بأنّ الشیء لا یتحقّق بلا علّة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العقلیّة تختص بالموجودات الإمکانیة الّتی لا تقتضی فی ذاتها وجوداً و لا عدماً، إذ الحاجة إلی العلّة، لیست من خصائص الموجود بما هو موجود، بل هی من خصائص الموجود الممکن، فإنّه حیث لا یقتضی فی حدِّ ذاته الوجود و لا العدم، لا بدَّ له من علّة توجده، و یجب انتهاء أمر الإیجاد إلی ما یکون الوجود عین ذاته و لا یحتاج إلی غیره، لما تقدّم من إقامة البرهان علی امتناع التسلسل، فالاشتباه نشأ من الغفلة عن وجه الحاجة إلی العلّة و هو الإمکان لا الوجود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2866_37970"/>
      <w:bookmarkStart w:id="105" w:name="pg2866_37970"/>
      <w:bookmarkEnd w:id="105"/>
    </w:p>
    <w:p>
      <w:pPr>
        <w:pStyle w:val="Heading2"/>
        <w:numPr>
          <w:ilvl w:val="1"/>
          <w:numId w:val="1"/>
        </w:numPr>
        <w:rPr/>
      </w:pPr>
      <w:bookmarkStart w:id="106" w:name="pg2866_37970"/>
      <w:bookmarkStart w:id="107" w:name="__RefHeading___Toc2819444_1395250215"/>
      <w:bookmarkStart w:id="108" w:name="_Toc37"/>
      <w:bookmarkEnd w:id="106"/>
      <w:bookmarkEnd w:id="107"/>
      <w:r>
        <w:rPr>
          <w:rtl w:val="true"/>
        </w:rPr>
        <w:t>الباب الثانی</w:t>
      </w:r>
      <w:r>
        <w:rPr>
          <w:rtl w:val="true"/>
        </w:rPr>
        <w:t>:</w:t>
      </w:r>
      <w:r>
        <w:rPr>
          <w:rtl w:val="true"/>
        </w:rPr>
        <w:t>فی التوحید و مراحله</w:t>
      </w:r>
      <w:bookmarkEnd w:id="108"/>
    </w:p>
    <w:p>
      <w:pPr>
        <w:pStyle w:val="Heading3"/>
        <w:numPr>
          <w:ilvl w:val="2"/>
          <w:numId w:val="1"/>
        </w:numPr>
        <w:rPr/>
      </w:pPr>
      <w:bookmarkStart w:id="109" w:name="__RefHeading___Toc2819446_1395250215"/>
      <w:bookmarkStart w:id="110" w:name="_Toc38"/>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یحتلّ التوحید المکانة العلیا فی الشرائع السماویة، فکان أوّل کلمة فی تبلیغ الرسل الدعوة إلی التوحید و رفض الثنویة و الشرک،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 فَمِنْهُمْ مَنْ هَدَی اللّٰهُ وَ مِنْهُمْ مَنْ حَقَّتْ عَلَیْهِ الضَّلاٰلَةُ فَسِیرُوا فِی الْأَرْضِ 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لأجل ذلک یجب علی الإلهی الترکیز علی مسألة التوحید أکثر من غیرها، و استیفاء الکلام فیه موقوف علی البحث حول أهمِّ مراحل التوحید،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الصفات؛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الخالقیة؛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الربوبیة؛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العبادة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دراسة المواضیع المتقدّمة</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2866_37972"/>
      <w:bookmarkStart w:id="112" w:name="pg2866_37972"/>
      <w:bookmarkEnd w:id="112"/>
    </w:p>
    <w:p>
      <w:pPr>
        <w:pStyle w:val="Heading3"/>
        <w:numPr>
          <w:ilvl w:val="2"/>
          <w:numId w:val="1"/>
        </w:numPr>
        <w:rPr/>
      </w:pPr>
      <w:bookmarkStart w:id="113" w:name="pg2866_37972"/>
      <w:bookmarkStart w:id="114" w:name="__RefHeading___Toc2819448_1395250215"/>
      <w:bookmarkStart w:id="115" w:name="_Toc39"/>
      <w:bookmarkEnd w:id="113"/>
      <w:bookmarkEnd w:id="114"/>
      <w:r>
        <w:rPr>
          <w:rtl w:val="true"/>
        </w:rPr>
        <w:t>الفصل الأوّل</w:t>
      </w:r>
      <w:r>
        <w:rPr>
          <w:rtl w:val="true"/>
        </w:rPr>
        <w:t>:</w:t>
      </w:r>
      <w:r>
        <w:rPr>
          <w:rtl w:val="true"/>
        </w:rPr>
        <w:t>التوحید فی الذات</w:t>
      </w:r>
      <w:bookmarkEnd w:id="115"/>
    </w:p>
    <w:p>
      <w:pPr>
        <w:pStyle w:val="Heading4"/>
        <w:numPr>
          <w:ilvl w:val="3"/>
          <w:numId w:val="1"/>
        </w:numPr>
        <w:rPr/>
      </w:pPr>
      <w:bookmarkStart w:id="116" w:name="__RefHeading___Toc2819450_1395250215"/>
      <w:bookmarkStart w:id="117" w:name="_Toc40"/>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یعنی بالتوحید فی الذات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ذاته سبحانه بسیط لا جزء له، و الثانی أنّ ذاته تعالی متفرِّد لیس له مثل و لا نظیر، و قد یعبَّر عن الأوّل بأحدیّة الذات و عن الثانی بواحدیّته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التوحید إشارة إلی هذین المعنیین،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المعنی الأوّل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المعنی الثانی</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819452_1395250215"/>
      <w:bookmarkStart w:id="119" w:name="_Toc41"/>
      <w:bookmarkEnd w:id="118"/>
      <w:r>
        <w:rPr>
          <w:rtl w:val="true"/>
        </w:rPr>
        <w:t>البرهان علی بساطة ذاته تعالی</w:t>
      </w:r>
      <w:bookmarkEnd w:id="119"/>
    </w:p>
    <w:p>
      <w:pPr>
        <w:pStyle w:val="BookText"/>
        <w:rPr/>
      </w:pPr>
      <w:r>
        <w:rPr>
          <w:rFonts w:ascii="IRNazanin" w:hAnsi="IRNazanin" w:eastAsia="IRNazanin"/>
          <w:color w:val="111111"/>
          <w:sz w:val="28"/>
          <w:sz w:val="28"/>
          <w:szCs w:val="28"/>
          <w:rtl w:val="true"/>
          <w:lang w:bidi="fa-IR"/>
        </w:rPr>
        <w:t>اعلم أنّ الترکیب علی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الترکیب من الأجزاء العقلیة فقط کالجنس و الفصل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الترکیب منها و من الأجزاء الخارجیة کالمادّة و الصورة و الأجزاء العنصریة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الترکیب من الأجزاء المقداریة کأجزاء الخط و السطح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المدّعی أنّ ذاته تعالی بسیط لیس بمرکب من الأجزاء مطلقاً</w:t>
      </w:r>
      <w:r>
        <w:rPr>
          <w:rFonts w:eastAsia="IRNazanin" w:cs="IRNazanin"/>
          <w:color w:val="111111"/>
          <w:sz w:val="28"/>
          <w:szCs w:val="28"/>
          <w:rtl w:val="true"/>
          <w:lang w:bidi="fa-IR"/>
        </w:rPr>
        <w:t xml:space="preserve">. </w:t>
      </w:r>
      <w:bookmarkStart w:id="120" w:name="pg2866_37973"/>
    </w:p>
    <w:p>
      <w:pPr>
        <w:pStyle w:val="BookText"/>
        <w:rPr/>
      </w:pPr>
      <w:bookmarkEnd w:id="120"/>
      <w:r>
        <w:rPr>
          <w:rFonts w:ascii="IRNazanin" w:hAnsi="IRNazanin" w:eastAsia="IRNazanin"/>
          <w:color w:val="111111"/>
          <w:sz w:val="28"/>
          <w:sz w:val="28"/>
          <w:szCs w:val="28"/>
          <w:rtl w:val="true"/>
          <w:lang w:bidi="fa-IR"/>
        </w:rPr>
        <w:t>و الدلیل علی أنّه لیس مرکّباً من الأجزاء الخارجیة و المقداریّة أنّه سبحانه منزّه عن الجسم و المادّة کما سیوافیک البحث عنه فی الصفات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البرهان علی عدم کونه مرکّباً من الأجزاء العقلیة هو أنّ واجب الوجود بالذات لا ماهیة له، و ما لا ماهیة له لیس له الأجزاء العقلیّة الّتی هی الجنس و الفصل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انتفاء الماهیّة عنه تعالی بهذا المعنی هو أنّ الماهیّة من حیث هی هی، مع قطع النظر عن غیرها، متساویة النسبة إلی الوجود و العدم، فکلّ ماهیّة من حیث هی، تکون ممکنة، فما لیس بممکن، لا ماهیّة له و اللّه تعالی بما أنّه واجب الوجود بالذات، لا یکون ممکناً بالذات فلا ماهیّة له</w:t>
      </w:r>
      <w:r>
        <w:rPr>
          <w:rFonts w:eastAsia="IRNazanin" w:cs="IRNazanin"/>
          <w:color w:val="111111"/>
          <w:sz w:val="28"/>
          <w:szCs w:val="28"/>
          <w:rtl w:val="true"/>
          <w:lang w:bidi="fa-IR"/>
        </w:rPr>
        <w:t>.</w:t>
      </w:r>
    </w:p>
    <w:p>
      <w:pPr>
        <w:pStyle w:val="Heading4"/>
        <w:numPr>
          <w:ilvl w:val="3"/>
          <w:numId w:val="1"/>
        </w:numPr>
        <w:rPr/>
      </w:pPr>
      <w:bookmarkStart w:id="121" w:name="__RefHeading___Toc2819454_1395250215"/>
      <w:bookmarkStart w:id="122" w:name="_Toc42"/>
      <w:bookmarkEnd w:id="121"/>
      <w:r>
        <w:rPr>
          <w:rtl w:val="true"/>
        </w:rPr>
        <w:t>دلائل وحدانیّته</w:t>
      </w:r>
      <w:r>
        <w:rPr>
          <w:rtl w:val="true"/>
        </w:rPr>
        <w:t>:</w:t>
      </w:r>
      <w:bookmarkEnd w:id="12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یستلزم الترکیب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هناک واجب وجود آخر لتشارک الواجبان فی کونهما واجبی الوجود، فلا بدّ من تمیّز أحدهما عن الآخر بشیء وراء ذلک الأمر المشترک، و ذلک یستلزم ترکب کلّ منهما من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یرجع إلی ما به الاشتراک، </w:t>
      </w:r>
      <w:bookmarkStart w:id="123" w:name="pg2866_37975"/>
    </w:p>
    <w:p>
      <w:pPr>
        <w:pStyle w:val="BookText"/>
        <w:rPr/>
      </w:pPr>
      <w:bookmarkEnd w:id="123"/>
      <w:r>
        <w:rPr>
          <w:rFonts w:ascii="IRNazanin" w:hAnsi="IRNazanin" w:eastAsia="IRNazanin"/>
          <w:color w:val="111111"/>
          <w:sz w:val="28"/>
          <w:sz w:val="28"/>
          <w:szCs w:val="28"/>
          <w:rtl w:val="true"/>
          <w:lang w:bidi="fa-IR"/>
        </w:rPr>
        <w:t>و الآخر إلی ما به الامتیاز، و قد عرفت انّ واجب الوجود بالذات بسیط لیس مرکّباً لا من الأجزاء العقلیة و لا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لا یتثنّی و لا یتکرّر</w:t>
      </w:r>
    </w:p>
    <w:p>
      <w:pPr>
        <w:pStyle w:val="BookText"/>
        <w:rPr/>
      </w:pPr>
      <w:r>
        <w:rPr>
          <w:rFonts w:ascii="IRNazanin" w:hAnsi="IRNazanin" w:eastAsia="IRNazanin"/>
          <w:color w:val="111111"/>
          <w:sz w:val="28"/>
          <w:sz w:val="28"/>
          <w:szCs w:val="28"/>
          <w:rtl w:val="true"/>
          <w:lang w:bidi="fa-IR"/>
        </w:rPr>
        <w:t>قد تبیّن أنّ واجب الوجود بالذات لا ماهیّة له، فهو صرف الوجود، و لا یخلط وجوده نقص و فقدان، و من الواضح أنّ کلّ حقیقة من الحقائق إذا تجرّدت عن أیّ خلیط و صارت صرف الشیء ، لا یمکن أن تتثنّی و تتعدّد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فإذا کان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بحکم أنّه لا ماهیّة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صرفاً، لا یتطرّق إلیه التعدّد، ینتج أنّه تعالی واحد لا ثانی له و لا نظیر و هو المطلوب</w:t>
      </w:r>
      <w:r>
        <w:rPr>
          <w:rFonts w:eastAsia="IRNazanin" w:cs="IRNazanin"/>
          <w:color w:val="111111"/>
          <w:sz w:val="28"/>
          <w:szCs w:val="28"/>
          <w:rtl w:val="true"/>
          <w:lang w:bidi="fa-IR"/>
        </w:rPr>
        <w:t>.</w:t>
      </w:r>
    </w:p>
    <w:p>
      <w:pPr>
        <w:pStyle w:val="Heading4"/>
        <w:numPr>
          <w:ilvl w:val="3"/>
          <w:numId w:val="1"/>
        </w:numPr>
        <w:rPr/>
      </w:pPr>
      <w:bookmarkStart w:id="124" w:name="__RefHeading___Toc2819456_1395250215"/>
      <w:bookmarkStart w:id="125" w:name="_Toc43"/>
      <w:bookmarkEnd w:id="124"/>
      <w:r>
        <w:rPr>
          <w:rtl w:val="true"/>
        </w:rPr>
        <w:t>التوحید الذاتی فی القرآن و الحدیث</w:t>
      </w:r>
      <w:bookmarkEnd w:id="125"/>
    </w:p>
    <w:p>
      <w:pPr>
        <w:pStyle w:val="BookText"/>
        <w:rPr/>
      </w:pPr>
      <w:r>
        <w:rPr>
          <w:rFonts w:ascii="IRNazanin" w:hAnsi="IRNazanin" w:eastAsia="IRNazanin"/>
          <w:color w:val="111111"/>
          <w:sz w:val="28"/>
          <w:sz w:val="28"/>
          <w:szCs w:val="28"/>
          <w:rtl w:val="true"/>
          <w:lang w:bidi="fa-IR"/>
        </w:rPr>
        <w:t>إنّ القرآن الکریم عند ما یصف اللّه تعالی بالوحدانیة، یصفه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المضمون آیات متعدّدة أُخریٰ فی الکتاب المجید، و ما ذلک إلّا لأنّ الموجود المحدود المتناهی مقهور للحدود و القیود الحاکمة علیه، فإذا کان قاهراً من کل الجهات لم تتحکّم فیه الحدود، فاللاّمحدودیة تلازم وصف القاهریة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هنا یتضح أنّ وحدته تعالی لیست وحدة عددیة و لا مفهومیة، قال العلاّمة الطباطبائی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کلاً من الوحدة العددیة کالفرد الواحد من النوع، و الوحدة النوعیة کالإنسان الّذی هو نوع واحد فی مقابل الانواع الکثیرة، مقهور بالحدّ الّذی یمیّز الفرد عن الآخر و النوع عن مثله، فإذا کان تعالی لا یقهره شیء و هو القاهر فوق کل شیء ، فلیس بمحدود فی شیء ، فهو موجود لا یشوبه عدم، و حقّ لا یعرضه باطل، فللّه من کلّ کمال محضه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إمام الموحّدین علیّاً علیه السلام عند ما سئل عن وحدانیّته تعالی، ذکر للوحدة أربعة معان، اثنان منها لا یلیقان بساحته تعالی و اثنان منها ثابتان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اللّذان لا یلیقان بساحته تعالی،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العددیة و الوحدة المفهومیة حیث 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اللّذان لا یجوزان علیه، فقول القائل واحد یقصد به باب الأعداد، فهذا ما لا یجوز، لأنّ ما لا ثانی له لا یدخل فی باب الاعداد، أ ما تری انّه کفر من قال إنّه ثالث ثلاثة، و قول القائل هو واحد من الناس یرید به النوع من الجنس، فهذا ما لا یجوز، لأنّه تشبیه و جلّ ربُّنا و تعالی عن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اللذان ثابتان له تعالی،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بساطة ذاته، و عدم المثل و النظیر له،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له فی الأشیاء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عزّ و جلّ أحدیّ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 فی وجود و لا عقل و لا وهم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التثلیث عند النصاری</w:t>
      </w:r>
    </w:p>
    <w:p>
      <w:pPr>
        <w:pStyle w:val="BookText"/>
        <w:rPr/>
      </w:pPr>
      <w:r>
        <w:rPr>
          <w:rFonts w:ascii="IRNazanin" w:hAnsi="IRNazanin" w:eastAsia="IRNazanin"/>
          <w:color w:val="111111"/>
          <w:sz w:val="28"/>
          <w:sz w:val="28"/>
          <w:szCs w:val="28"/>
          <w:rtl w:val="true"/>
          <w:lang w:bidi="fa-IR"/>
        </w:rPr>
        <w:t>إنّ کلمات المسیحیین فی کتبهم الکلامیّة تحکی عن أنّ الاعتقاد بالتثلیث من المسائل الأساسیة الّتی تبتنی علیها عقیدتهم، و لا مناص لأیّ مسیحی من الاعتقاد به، و فی عین الوقت یعتبرون أنفسهم موحّدین غیر مشرکین، و أنّ الإله فی عین کونه واحداً ثلاثة و مع کونه ثلاثة 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أقصی ما عندهم فی تفسیر الجمع بین هذین النقیضین هو أنّ عقیدة التثلیث عقیدة تعبّدیّة محضة و لا سبیل إلی نفیها و إثباتها إلّا الوحی، فإنّها فوق التجربیات الحسیّة و الإدراکات العقلیّة المحدودة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هذه النظریّة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یلاحظ علیه أنّ عقیدة التثلیث بالتفسیر المتقدّم مشتملة علی التناقض الصریح، إذ من جانب یعرّفون کلّ واحد من الآلهة الثلاثة بأنّه متشخّص و متمیّز عن البقیة، و فی الوقت نفسه یعتبرون الجمیع واحداً </w:t>
      </w:r>
    </w:p>
    <w:p>
      <w:pPr>
        <w:pStyle w:val="BookText"/>
        <w:rPr/>
      </w:pPr>
      <w:r>
        <w:rPr>
          <w:rFonts w:ascii="IRNazanin" w:hAnsi="IRNazanin" w:eastAsia="IRNazanin"/>
          <w:color w:val="111111"/>
          <w:sz w:val="28"/>
          <w:sz w:val="28"/>
          <w:szCs w:val="28"/>
          <w:rtl w:val="true"/>
          <w:lang w:bidi="fa-IR"/>
        </w:rPr>
        <w:t>حقیقة لا مجازاً، أ فیمکن الاعتقاد بشیء یضادّ بداهة العقل، ثمّ إسناده إلی ساحة الوحی الإلهی؟</w:t>
      </w:r>
    </w:p>
    <w:p>
      <w:pPr>
        <w:pStyle w:val="BookText"/>
        <w:rPr/>
      </w:pPr>
      <w:r>
        <w:rPr>
          <w:rFonts w:ascii="IRNazanin" w:hAnsi="IRNazanin" w:eastAsia="IRNazanin"/>
          <w:color w:val="111111"/>
          <w:sz w:val="28"/>
          <w:sz w:val="28"/>
          <w:szCs w:val="28"/>
          <w:rtl w:val="true"/>
          <w:lang w:bidi="fa-IR"/>
        </w:rPr>
        <w:t>و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مقصودکم من الآلهة الثلاثة الّتی تتشکّل منها الطبیعة الإلهیة الواحدة، فإنّ لها صورتین لا تناسب واحدة منهما ساحته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لکلّ واحد من هذه الآلهة الثلاثة وجوداً مستقلاً عن الآخر بحیث یظهر کلّ واحد منها فی تشخّص و وجود خاص، و یکون لکلّ واحد من هذه الأقانیم أصل مستقلّ و شخصیّة خاصّة ممیّزة عمّا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هو الاعتقاد بتعدّد الإله الواجب بذاته، و قد وافتک أدلّة وحدانیته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الأقانیم الثلاثة موجودة بوجود واحد، فیکون الإله هو المرکّب من هذه الأُمور الثلاثة، و هذا هو القول بترکّب ذات الواجب، و قد عرفت بساطة ذاته تعالی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تسرّب خرافة التثلیث إلی النصرانیة</w:t>
      </w:r>
    </w:p>
    <w:p>
      <w:pPr>
        <w:pStyle w:val="BookText"/>
        <w:rPr/>
      </w:pPr>
      <w:r>
        <w:rPr>
          <w:rFonts w:ascii="IRNazanin" w:hAnsi="IRNazanin" w:eastAsia="IRNazanin"/>
          <w:color w:val="111111"/>
          <w:sz w:val="28"/>
          <w:sz w:val="28"/>
          <w:szCs w:val="28"/>
          <w:rtl w:val="true"/>
          <w:lang w:bidi="fa-IR"/>
        </w:rPr>
        <w:t xml:space="preserve">إنّ التاریخ البشری یرینا أنّه طالما عمد بعض أتباع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وفاة الأنبیاء أو خلال غیابهم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الشرک و الوثنیة، تحت تأثیر المضلّین؛ إنّ عبادة بنی اسرائیل للعجل فی غیاب موسی علیه السلام أظهر نموذج لما ذکرناه و هو ممّا أثبته القرآن و التاریخ، و علی هذا فلا عجب إذا رأینا تسرُّب خرافة التثلیث إلی العقیدة النصرانیة بعد ذهاب السید المسیح علیه السلام و غیابه عن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یصرّح بأنّ التثلیث دخل النصرانیة بعد رفع المسیح، من العقائد الخرافیة السابقة علیها، حیث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لقد أثبتت الأبحاث التاریخیة انّ هذا التثلیث کان فی الدیانة البرهمانیة و الهندوکیّة قبل میلاد السیّد المسیح بمئات السنین، فقد تجلّی الربّ الأزلی الأبدی لدیهم فی ثلاثة مظاهر و آلهة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بذلک یظهر قوّة ما ذکره الفیلسوف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غستاف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واصلت المسیحیة تطوّرها فی القرون الخمسة الأولیٰ من حیاتها، مع أخذ ما تیسّر من المفاهیم الفلسفیة و الدینیة الیونانیة و الشرقیة، و هکذا أصبحت خلیطاً من المعتقدات المصریة و الإیرانیة الّتی انتشرت فی المناطق الأُوروبیّة حوالی القرن الأوّل المیلادی فاعتنق الناس تثلیثاً جدیداً مکوّناً من الأب و الابن و روح القدس، مکان التثلیث القدیم المکوّن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نروبی‌تر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Style w:val="FootnoteAnchor"/>
          <w:rtl w:val="true"/>
        </w:rPr>
        <w:footnoteReference w:id="45"/>
      </w:r>
      <w:bookmarkStart w:id="126" w:name="pg2866_37982"/>
    </w:p>
    <w:p>
      <w:pPr>
        <w:pStyle w:val="Heading3"/>
        <w:numPr>
          <w:ilvl w:val="2"/>
          <w:numId w:val="1"/>
        </w:numPr>
        <w:rPr/>
      </w:pPr>
      <w:bookmarkStart w:id="127" w:name="__RefHeading___Toc2819458_1395250215"/>
      <w:bookmarkStart w:id="128" w:name="_Toc44"/>
      <w:bookmarkEnd w:id="126"/>
      <w:bookmarkEnd w:id="127"/>
      <w:r>
        <w:rPr>
          <w:rtl w:val="true"/>
        </w:rPr>
        <w:t>الفصل الثانی</w:t>
      </w:r>
      <w:r>
        <w:rPr>
          <w:rtl w:val="true"/>
        </w:rPr>
        <w:t>:</w:t>
      </w:r>
      <w:r>
        <w:rPr>
          <w:rtl w:val="true"/>
        </w:rPr>
        <w:t>التوحید فی الصفات</w:t>
      </w:r>
      <w:bookmarkEnd w:id="128"/>
    </w:p>
    <w:p>
      <w:pPr>
        <w:pStyle w:val="BookText"/>
        <w:rPr/>
      </w:pPr>
      <w:r>
        <w:rPr>
          <w:rFonts w:ascii="IRNazanin" w:hAnsi="IRNazanin" w:eastAsia="IRNazanin"/>
          <w:color w:val="111111"/>
          <w:sz w:val="28"/>
          <w:sz w:val="28"/>
          <w:szCs w:val="28"/>
          <w:rtl w:val="true"/>
          <w:lang w:bidi="fa-IR"/>
        </w:rPr>
        <w:t>اختلف الإلهیون فی کیفیة إجراء صفات اللّه الذاتیة علیه سبحانه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عینیة الصفات مع الذات، و هذا ما تبنّته أئمة أهل البیت علیهم السلام و اختاره الحکماء الإلهیون و علیه جمهور المتکلّمین من الإمامیة و المعتزلة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زیادتها علی الذات و هو مختار المشبِّهة من أصحاب الصفات و الأشاعرة، قال الشیح المفید فی هذا المجال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 جلّ اسمه حیّ لنفسه لا بحیاة، و انّه قادر لنفسه و عالم لنفسه لا بمعنی کما ذهب إلیه المشبِّهة من اصحاب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مذهب الإمامیة کافّة و المعتزلة إلّا من سمّیناه </w:t>
      </w:r>
      <w:r>
        <w:rPr>
          <w:rStyle w:val="FootnoteAnchor"/>
          <w:rtl w:val="true"/>
        </w:rPr>
        <w:footnoteReference w:id="46"/>
      </w:r>
      <w:r>
        <w:rPr>
          <w:rFonts w:ascii="IRNazanin" w:hAnsi="IRNazanin" w:eastAsia="IRNazanin"/>
          <w:color w:val="111111"/>
          <w:sz w:val="28"/>
          <w:sz w:val="28"/>
          <w:szCs w:val="28"/>
          <w:rtl w:val="true"/>
          <w:lang w:bidi="fa-IR"/>
        </w:rPr>
        <w:t>و أکثر المرجئة و جمهور الزیدیة و جماعة من اصحاب الحدیث و المحکِّمة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حیاة زائدة علی الذات،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صفة زائدة کالعلم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القول بالعینیة، فإنّ القول بالزیادة یستلزم افتقاره سبحانه فی العلم بالأشیاء و خلقه إیّاها إلی أمور خارجة عن ذاته، فهو یعلم بعلم هو سوی ذاته، و یخلق بقدرة هی خارجة عن حقیقته و هکذا، و الواجب بالذات منزّه عن الاحتیاج إلی غیر ذاته، و الأشاعرة و إن کانوا قائلین بأزلیّة الصفات مع زیادتها علی الذات، لکنّ الأزلیة لا ترفع الفقر و الحاجة عنه، لأنّ الملازمة غیر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زیادة الصفات علی الذات تستلزم الاثنینیة و الترکیب، قال الامام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 الصفات عنه، لشهادة کلّ صفة انّها غیر الموصوف، و شهادة کلّ موصوف انّه غیر الصفة، فمن وصف اللّه سبحانه فقد قرنه و من قرنه فقد ثنّاه، و من ثنّاه فقد جزّأه، و من جزّأه فقد جهله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للّه تعالی صفات و أسماء مختلفة أُنهیت فی الحدیث النبوی المعروف إلی تسع و تسعین </w:t>
      </w:r>
      <w:r>
        <w:rPr>
          <w:rStyle w:val="FootnoteAnchor"/>
          <w:rtl w:val="true"/>
        </w:rPr>
        <w:footnoteReference w:id="49"/>
      </w:r>
      <w:r>
        <w:rPr>
          <w:rFonts w:ascii="IRNazanin" w:hAnsi="IRNazanin" w:eastAsia="IRNazanin"/>
          <w:color w:val="111111"/>
          <w:sz w:val="28"/>
          <w:sz w:val="28"/>
          <w:szCs w:val="28"/>
          <w:rtl w:val="true"/>
          <w:lang w:bidi="fa-IR"/>
        </w:rPr>
        <w:t>، فکیف یجتمع ذلک مع القول بالعینیّة و وحدة الذات و الصفات؟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الأسماء و الصفات راجعة إلی عالم المفهوم، مع أنّ العینیة </w:t>
      </w:r>
    </w:p>
    <w:p>
      <w:pPr>
        <w:pStyle w:val="BookText"/>
        <w:rPr/>
      </w:pPr>
      <w:r>
        <w:rPr>
          <w:rFonts w:ascii="IRNazanin" w:hAnsi="IRNazanin" w:eastAsia="IRNazanin"/>
          <w:color w:val="111111"/>
          <w:sz w:val="28"/>
          <w:sz w:val="28"/>
          <w:szCs w:val="28"/>
          <w:rtl w:val="true"/>
          <w:lang w:bidi="fa-IR"/>
        </w:rPr>
        <w:t>ناظرة إلی مقام الواقع العینی، و لا یمتنع کون الشیء علی درجة من الکمال یکون فیها کلّه علماً و قدرة و حیاة و مع ذلک فینتزع منه باعتبارات مختلفة صفات متعدّدة متکثّرة، و هذا کما أنّ الإنسان الخارجی مثلا بتمام وجوده مخلوق للّه سبحانه، و معلوم له و مقدور له، من دون أن یخصّ جزء منه بکونه معلوماً و جزء آخر بکونه مخلوقاً أو مقدوراً، بل کلّه معلوم و کلّه مخلوق، و کلّه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الأشعری استدلّ علی نظریة الزیادة بأنّه یستحیل أن یکون العلم عالماً، أو العالم علماً، و من المعلوم انّ اللّه عالم،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نفس ذاته لا یصحّ له أن یقول إنّه عالم، فتعیّن أن یکون عالماً بعلم یستحیل أن یکون هو نفسه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باستحالة اتحاد العلم و العالم و عینیتهما مأخوذ عمّا نعرفه فی الإنسان و نحوه من الموجودات الممکنة فی ذاتها و لا شکّ فی مغایرة الذات و الصفة فی هذا المجال، و لکن لا تصحّ تسریته إلی الواجب الوجود بالذات، فإذا قام البرهان علی العینیة هنا، فلا استحالة فی کون العلم عالماً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ادلّة أخریٰ للأشاعرة علی إثبات نظریّتهم، و الکلّ مخدوشة کما اعترف بذلک صاحب المواقف</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المشهور أنّ المعتزلة نافون للصفات مطلقاً و قائلون بنیابة الذات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الصفات، و لکنّه لا أصل له، فالمنفی عندهم هو الصفات الزائدة الأزلیة، لا أصل الصفات فهم قائلون بالعینیة کالإمامیة، و یدلّ علی ذلک کلام الشیخ المفید الآنف الذکر، نعم یظهر القول بالنیابة من عبّاد بن سلیمان و أبی علی الجبّائی</w:t>
      </w:r>
      <w:r>
        <w:rPr>
          <w:rFonts w:eastAsia="IRNazanin" w:cs="IRNazanin"/>
          <w:color w:val="111111"/>
          <w:sz w:val="28"/>
          <w:szCs w:val="28"/>
          <w:rtl w:val="true"/>
          <w:lang w:bidi="fa-IR"/>
        </w:rPr>
        <w:t xml:space="preserve">. </w:t>
      </w:r>
      <w:r>
        <w:rPr>
          <w:rStyle w:val="FootnoteAnchor"/>
          <w:rtl w:val="true"/>
        </w:rPr>
        <w:footnoteReference w:id="52"/>
      </w:r>
      <w:bookmarkStart w:id="129" w:name="pg2866_37986"/>
    </w:p>
    <w:p>
      <w:pPr>
        <w:pStyle w:val="Heading3"/>
        <w:numPr>
          <w:ilvl w:val="2"/>
          <w:numId w:val="1"/>
        </w:numPr>
        <w:rPr/>
      </w:pPr>
      <w:bookmarkStart w:id="130" w:name="__RefHeading___Toc2819460_1395250215"/>
      <w:bookmarkStart w:id="131" w:name="_Toc45"/>
      <w:bookmarkEnd w:id="129"/>
      <w:bookmarkEnd w:id="130"/>
      <w:r>
        <w:rPr>
          <w:rtl w:val="true"/>
        </w:rPr>
        <w:t>الفصل الثالث</w:t>
      </w:r>
      <w:r>
        <w:rPr>
          <w:rtl w:val="true"/>
        </w:rPr>
        <w:t>:</w:t>
      </w:r>
      <w:r>
        <w:rPr>
          <w:rtl w:val="true"/>
        </w:rPr>
        <w:t>التوحید فی الخالقیة</w:t>
      </w:r>
      <w:bookmarkEnd w:id="131"/>
    </w:p>
    <w:p>
      <w:pPr>
        <w:pStyle w:val="Heading4"/>
        <w:numPr>
          <w:ilvl w:val="3"/>
          <w:numId w:val="1"/>
        </w:numPr>
        <w:rPr/>
      </w:pPr>
      <w:bookmarkStart w:id="132" w:name="__RefHeading___Toc2819462_1395250215"/>
      <w:bookmarkStart w:id="133" w:name="_Toc46"/>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إنّ العقل یدلّ بوضوح علی أنّه لیس فی الکون خالق أصیل إلّا اللّه سبحانه، و أنّ الموجودات الإمکانیة مخلوقة للّه تعالی، و ما یتبعها من الأفعال و الآثار، حتی الإنسان و ما یصدر منه، مستندة إلیه سبحانه بلا مجاز و شائبة عنایة، غایة الأمر أنّ ما فی الکون مخلوق له إمّا بالمباشرة أو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أنّه سبحانه هو الواجب الغنی، و غیره ممکن بالذات، و لا یعقل أن یکون الممکن غنیاً فی ذاته و فعله عن الواجب، فکما أنّ ذاته قائمة باللّه سبحانه، فهکذا فعله، و هذا ما یعبّر عنه بالتوحید فی الخالقیة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الممکن حقّ المعرفة و انّه الفقیر الفاقد لکلّ شیء فی حدّ ذاته، یعد المسألة 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لدی العقل، و أمّا النقل فقد تضافرت النصوص القرآنیة علی أنّ اللّه سبحانه هو الخالق، و لا خالق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نماذج من الآیات الواردة فی هذا المجال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34" w:name="pg2866_37987"/>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خٰالِقُ کُلِّ شَیْءٍ لاٰ إِلٰهَ إِلاّٰ هُوَ</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یَکُونُ لَهُ وَلَدٌ وَ لَمْ تَکُنْ لَهُ صٰاحِبَةٌ وَ خَلَقَ کُلَّ شَیْءٍ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اذْکُرُوا نِعْمَتَ اللّٰهِ عَلَیْکُمْ هَلْ مِنْ خٰالِقٍ غَیْرُ اللّٰهِ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القرآنیّة الدالّة علی ذلک</w:t>
      </w:r>
      <w:r>
        <w:rPr>
          <w:rFonts w:eastAsia="IRNazanin" w:cs="IRNazanin"/>
          <w:color w:val="111111"/>
          <w:sz w:val="28"/>
          <w:szCs w:val="28"/>
          <w:rtl w:val="true"/>
          <w:lang w:bidi="fa-IR"/>
        </w:rPr>
        <w:t>.</w:t>
      </w:r>
    </w:p>
    <w:p>
      <w:pPr>
        <w:pStyle w:val="Heading4"/>
        <w:numPr>
          <w:ilvl w:val="3"/>
          <w:numId w:val="1"/>
        </w:numPr>
        <w:rPr/>
      </w:pPr>
      <w:bookmarkStart w:id="135" w:name="__RefHeading___Toc2819464_1395250215"/>
      <w:bookmarkStart w:id="136" w:name="_Toc47"/>
      <w:bookmarkEnd w:id="135"/>
      <w:r>
        <w:rPr>
          <w:rtl w:val="true"/>
        </w:rPr>
        <w:t>موقف القرآن الکریم تجاه قانون العلّیّة</w:t>
      </w:r>
      <w:bookmarkEnd w:id="136"/>
    </w:p>
    <w:p>
      <w:pPr>
        <w:pStyle w:val="BookText"/>
        <w:rPr/>
      </w:pPr>
      <w:r>
        <w:rPr>
          <w:rFonts w:ascii="IRNazanin" w:hAnsi="IRNazanin" w:eastAsia="IRNazanin"/>
          <w:color w:val="111111"/>
          <w:sz w:val="28"/>
          <w:sz w:val="28"/>
          <w:szCs w:val="28"/>
          <w:rtl w:val="true"/>
          <w:lang w:bidi="fa-IR"/>
        </w:rPr>
        <w:t>إنّ الامعان فی الآیات الکریمة یدفع الإنسان إلی القول بأنّ الکتاب العزیز یعترف بأنّ النظام الإمکانی نظام الأسباب و المسبّبات، فإنّ المتأمّل فی الذکر الحکیم لا یشکّ فی أنّه کثیراً ما یسند آثاراً إلی الموضوعات الخارجیة و الأشیاء الواقعة فی دار المادة، کالسماء و کواکبها و نجومها، و الأرض و جبالها و بحارها و براریها و عناصرها و معادنها، و السحاب و الرعد و البرق و الصواعق و الماء و الأعشاب و الأشجار و الحیوان و الإنسان، إلی غیر ذلک من الموضوعات الواردة فی القرآن الکریم، فمن أنکر إسناد القرآن آثار تلک الأشیاء إلی أنفسها فإنّما أنکره بلسانه و قلبه مطمئن بخلافه، و إلیک ذکر نماذج من الآیات الواردة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السَّمٰاءِ مٰاءً فَأَخْرَجَ بِهِ مِنَ الثَّمَرٰاتِ رِزْقاً لَکُمْ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صرّح فی هذه الآیة بتأثیر الماء فی تکوّن الثمرات و النباتات، فإنّ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السببیة، و نظیرها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السجدة و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الرعد، و غیرها من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یُرْسِلُ الرِّیٰاحَ فَتُثِیرُ سَحٰاباً فَیَبْسُطُهُ فِی السَّمٰاءِ کَیْفَ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فَتُثِیرُ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الریاح تحرّک السحاب و تسوقها من جانب إلی جانب، فالریاح اسباب و علل تکوینیة لحرکة السحاب و بسطها فی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تصرّح بتأثیر الماء فی اهتزاز الأرض و ربوتها، ثمّ تصرّح بإنبات الأرض من کلّ زوج بهیج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تسند إنبات السنابل السبع إلی الحبَّة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هناک أفعالاً أسندها القرآن إلی الإنسان لا تقوم إلّا به، و لا یصحّ إسنادها إلی اللّه سبحانه بحدودها و بلا واسطة کأکله و شربه و مشیه و قعوده </w:t>
      </w:r>
      <w:bookmarkStart w:id="137" w:name="pg2866_37990"/>
    </w:p>
    <w:p>
      <w:pPr>
        <w:pStyle w:val="BookText"/>
        <w:rPr/>
      </w:pPr>
      <w:bookmarkEnd w:id="137"/>
      <w:r>
        <w:rPr>
          <w:rFonts w:ascii="IRNazanin" w:hAnsi="IRNazanin" w:eastAsia="IRNazanin"/>
          <w:color w:val="111111"/>
          <w:sz w:val="28"/>
          <w:sz w:val="28"/>
          <w:szCs w:val="28"/>
          <w:rtl w:val="true"/>
          <w:lang w:bidi="fa-IR"/>
        </w:rPr>
        <w:t>و نکاحه و نموّه و فهمه و شعوره و سروره و صلاته و صیامه، فهذه أفعال قائمة بالإنسان مستندة إلیه، فهو الّذی یأکل و یشرب و ینمو و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یعدّ الإنسان فاعلا لهذه الأفعال و علّة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فی القرآن آیات مشتملة علی الأوامر و النواهی الإلهیة، و تدلّ علی مجازاته علی تلک الأوامر و النواهی، فلو لم یکن للإنسان دور فی ذلک المجال و تأثیر فی الطاعة و العصیان فما هی الغایة من الأمر و النهی و ما معنی الجزاء و العقوبة؟</w:t>
      </w:r>
    </w:p>
    <w:p>
      <w:pPr>
        <w:pStyle w:val="Heading4"/>
        <w:numPr>
          <w:ilvl w:val="3"/>
          <w:numId w:val="1"/>
        </w:numPr>
        <w:rPr/>
      </w:pPr>
      <w:bookmarkStart w:id="138" w:name="__RefHeading___Toc2819466_1395250215"/>
      <w:bookmarkStart w:id="139" w:name="_Toc48"/>
      <w:bookmarkEnd w:id="138"/>
      <w:r>
        <w:rPr>
          <w:rtl w:val="true"/>
        </w:rPr>
        <w:t>التفسیر الصحیح للتوحید فی الخالقیة</w:t>
      </w:r>
      <w:bookmarkEnd w:id="139"/>
    </w:p>
    <w:p>
      <w:pPr>
        <w:pStyle w:val="BookText"/>
        <w:rPr/>
      </w:pPr>
      <w:r>
        <w:rPr>
          <w:rFonts w:ascii="IRNazanin" w:hAnsi="IRNazanin" w:eastAsia="IRNazanin"/>
          <w:color w:val="111111"/>
          <w:sz w:val="28"/>
          <w:sz w:val="28"/>
          <w:szCs w:val="28"/>
          <w:rtl w:val="true"/>
          <w:lang w:bidi="fa-IR"/>
        </w:rPr>
        <w:t>إنّ المقصود من حصر الخالقیة باللّه تعالی هو الخالقیة علی سبیل الاستقلال و بالذات، و أمّا الخالقیة المأذونة من جانبه تعالی فهی لا تنافی التوحید فی الخالقیة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المراد من السببیة الإمکانیة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الطبیعیة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عرض السببیة الإلهیة، بل المقصود انّ هناک نظاماً ثابتاً فی عالم الکون تجری علیه الآثار الطبیعیة و الأفعال البشریة، فلکلّ شیء أثر تکوینی خاصّ، کما أنّ لکلّ أثر و فعل مبدأً فاعلیاً خاصّاً، فلیس کلّ فاعل مبدأً لکل فعل، کما لیس کلّ فعل و أثر صادراً من کل مبدأ فاعلی، کل ذلک بإذن منه سبحانه، فهو الّذی أعطی السببیّة للنار کما أعطی لها الوجود، فهی تؤثّر بإذن و تقدیر منه سبحانه، هذا هو قانون العلیّة العامّ الجاری فی النظام الکونی الّذی یؤیّده الحسّ و التجربة و تبتنی علیه حیاة الإنسان فی ناحیة العلم و العمل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البیان یرتفع التنافی البدئی بین طائفتین من الآیات القرآنیة؛ </w:t>
      </w:r>
    </w:p>
    <w:p>
      <w:pPr>
        <w:pStyle w:val="BookText"/>
        <w:rPr/>
      </w:pPr>
      <w:r>
        <w:rPr>
          <w:rFonts w:ascii="IRNazanin" w:hAnsi="IRNazanin" w:eastAsia="IRNazanin"/>
          <w:color w:val="111111"/>
          <w:sz w:val="28"/>
          <w:sz w:val="28"/>
          <w:szCs w:val="28"/>
          <w:rtl w:val="true"/>
          <w:lang w:bidi="fa-IR"/>
        </w:rPr>
        <w:t>الطائفة الدالّة علی حصر الخالقیة باللّه تعالی، و الطائفة الدالّة علی صحّة قانون العلّیة و المعلولیة و استناد الآثار إلی مبادئها القریبة، و الشاهد علی صحّة هذا الجمع، لفیف من الآیات و هی الّتی تسند الآثار إلی أسباب کونیة خاصة و فی عین الوقت تسندها إلی اللّه سبحانه، و کذلک تسند بعض الأفعال إلی الإنسان أو غیره من ذوی العلم و الشعور، و فی الوقت نفسه تسند نفس تلک الأفعال إلی مشیَّته سبحانه، و إلیک فیما یلی نماذج من هذه الطائفة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القرآن الکریم أسند حرکة السحاب إلی الریاح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یُرْسِلُ الرِّیٰاحَ فَتُثِیرُ سَحٰاباً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أسندها إلی اللّه تعالی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یُزْجِی سَحٰاباً ثُمَّ یُؤَلِّفُ بَیْنَهُ ثُمَّ یَجْعَلُهُ رُکٰاماً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یسند الإنبات تارة إلی الحبّة 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 سَبْعَ سَنٰابِلَ</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 أخری إلی اللّه تعالی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السَّمٰاءِ مٰاءً فَأَنْبَتْنٰا بِهِ حَدٰائِقَ ذٰاتَ بَهْجَةٍ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تعالی نسب توفّی الموتی إلی الملائکة تارة و إلی نفسه أُخری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الذکر الحکیم یصفه سبحانه بأنّه الکاتب لأعمال عباده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یَکْتُبُ مٰا یُبَیِّتُونَ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فی الوقت نفسه ینسب الکتابة إلی رسله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رُسُلُنٰا لَدَیْهِمْ یَکْتُبُونَ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شکّ انّ التدبیر کالخلقة منحصر فی اللّه تعالی، و القرآن یأخذ من المشرکین الاعتراف بذلک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یُدَبِّرُ الْأَمْرَ فَسَیَقُولُونَ اللّٰهُ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یصرّح بمدبّریّة غیر اللّه سبحانه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یشیر إلی کلتا النسبتین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نسبة الفعل إلی اللّه سبحانه و إلی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جملة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یصف النبیّ الأعظم صلی الله علیه و آله بالرمی و ینسبه إلیه حقیقة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 ذلک یسلبه عنه و یری أنّه سبحانه الرامی الحقیقی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المجموعة من الآیات ترشدک إلی النظریّة الحقّة فی تفسیر التوحید فی الخالقیة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الخالقیة علی وجه الاستقلال منحصرة فیه سبحانه، و غیره من الأسباب الکونیة و الفواعل الشاعرة إنما </w:t>
      </w:r>
      <w:bookmarkStart w:id="140" w:name="pg2866_37993"/>
    </w:p>
    <w:p>
      <w:pPr>
        <w:pStyle w:val="BookText"/>
        <w:rPr/>
      </w:pPr>
      <w:bookmarkEnd w:id="140"/>
      <w:r>
        <w:rPr>
          <w:rFonts w:ascii="IRNazanin" w:hAnsi="IRNazanin" w:eastAsia="IRNazanin"/>
          <w:color w:val="111111"/>
          <w:sz w:val="28"/>
          <w:sz w:val="28"/>
          <w:szCs w:val="28"/>
          <w:rtl w:val="true"/>
          <w:lang w:bidi="fa-IR"/>
        </w:rPr>
        <w:t>تکون مؤثرات و فواعل بإذنه تعالی و مشیَّته، و لیست سببیّتها و فاعلیّتها فی عرض فاعلیته تعالی، بل فی طولها</w:t>
      </w:r>
      <w:r>
        <w:rPr>
          <w:rFonts w:eastAsia="IRNazanin" w:cs="IRNazanin"/>
          <w:color w:val="111111"/>
          <w:sz w:val="28"/>
          <w:szCs w:val="28"/>
          <w:rtl w:val="true"/>
          <w:lang w:bidi="fa-IR"/>
        </w:rPr>
        <w:t>.</w:t>
      </w:r>
    </w:p>
    <w:p>
      <w:pPr>
        <w:pStyle w:val="Heading4"/>
        <w:numPr>
          <w:ilvl w:val="3"/>
          <w:numId w:val="1"/>
        </w:numPr>
        <w:rPr/>
      </w:pPr>
      <w:bookmarkStart w:id="141" w:name="__RefHeading___Toc2819468_1395250215"/>
      <w:bookmarkStart w:id="142" w:name="_Toc49"/>
      <w:bookmarkEnd w:id="141"/>
      <w:r>
        <w:rPr>
          <w:rtl w:val="true"/>
        </w:rPr>
        <w:t>الإجابة عن شبهات</w:t>
      </w:r>
      <w:bookmarkEnd w:id="142"/>
    </w:p>
    <w:p>
      <w:pPr>
        <w:pStyle w:val="BookText"/>
        <w:rPr/>
      </w:pPr>
      <w:r>
        <w:rPr>
          <w:rFonts w:ascii="IRNazanin" w:hAnsi="IRNazanin" w:eastAsia="IRNazanin"/>
          <w:color w:val="111111"/>
          <w:sz w:val="28"/>
          <w:sz w:val="28"/>
          <w:szCs w:val="28"/>
          <w:rtl w:val="true"/>
          <w:lang w:bidi="fa-IR"/>
        </w:rPr>
        <w:t>قد عرفت أنّ خالقیّته تعالی عامّة لجمیع الأشیاء و الحوادث، و کلّ ما فی صفحة الوجود یستند إلیه سبحانه، و عندئذ تطرح إشکالات أو شبهات یجب علی المتکلم الإجابة عنها،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الثنویّة فی خلق الشرور؛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استناد القبائح إلی اللّه تعالی؛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الجبر فی الأفعال الإرادیة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الثنویة و شبهة الشرور</w:t>
      </w:r>
    </w:p>
    <w:p>
      <w:pPr>
        <w:pStyle w:val="BookText"/>
        <w:rPr/>
      </w:pPr>
      <w:r>
        <w:rPr>
          <w:rFonts w:ascii="IRNazanin" w:hAnsi="IRNazanin" w:eastAsia="IRNazanin"/>
          <w:color w:val="111111"/>
          <w:sz w:val="28"/>
          <w:sz w:val="28"/>
          <w:szCs w:val="28"/>
          <w:rtl w:val="true"/>
          <w:lang w:bidi="fa-IR"/>
        </w:rPr>
        <w:t>نسب إلی الثنویة القول بتعدّد الخالق، و استدلّوا علیه بما یشاهد فی عالم المادّة من الشرور و البلایا،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 یقابل الخیر، فلا یصحّ استنادهما إلی مبدأ واحد، فزعموا أنّ هناک مبدأین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الخیرات،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بوجهین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 أمر قیاسی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هناک ظاهرة لیست لها صلة وثیقة بحیاة الإنسان، أو لا تؤدّی </w:t>
      </w:r>
    </w:p>
    <w:p>
      <w:pPr>
        <w:pStyle w:val="BookText"/>
        <w:rPr/>
      </w:pPr>
      <w:r>
        <w:rPr>
          <w:rFonts w:ascii="IRNazanin" w:hAnsi="IRNazanin" w:eastAsia="IRNazanin"/>
          <w:color w:val="111111"/>
          <w:sz w:val="28"/>
          <w:sz w:val="28"/>
          <w:szCs w:val="28"/>
          <w:rtl w:val="true"/>
          <w:lang w:bidi="fa-IR"/>
        </w:rPr>
        <w:t>صلتها بها إلی اختلال فی حیاته فلا تتصف بالشرّ و البلاء، إنما تتّصف بصفة الشرّیّة إذا أوجبت نحو اختلال فی حیاة الإنسان بحیث یوجب هلاکة نفسه أو ما یتعلّق به أو یتضرّر به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النسبة و الإضافة متأخّرة عن وجود ذلک الموجود أو تلک الحادثة، فلو تحقّقت الظاهرة و قطع النظر عن المقایسة و الإضافة لا یتّصف إلّا بالخیر، بمعنی أنّ وجود کلّ شیء یلائم ذاته، و إنما یأتی حدیث الشرّ إذا کانت هناک مقایسة إلی موجود آخر، 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یستند إلی الجاعل اوّلاً و بالذات، هو وجوده النفسی، و المفروض أنّ وجود کلّ من المقیس و المقیس إلیه، لا یتّصفان بالشرّ و البلاء، بل بالخیر و الکمال، و أمّا الوجود الإضافی المنتزع من مقایسة إحدی الظاهرتین مع الأخری فلیس أمراً واقعیاً محتاجاً إلی مبدأ یحقّقها</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 عدمی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تحلیل آخر للشبهة و هو ما نقل عن أفلاطون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یسمّی بالشرّ من الحوادث و الوقائع یرجع عند التحلیل إلی العدم، فالّذی </w:t>
      </w:r>
    </w:p>
    <w:p>
      <w:pPr>
        <w:pStyle w:val="BookText"/>
        <w:rPr/>
      </w:pPr>
      <w:r>
        <w:rPr>
          <w:rFonts w:ascii="IRNazanin" w:hAnsi="IRNazanin" w:eastAsia="IRNazanin"/>
          <w:color w:val="111111"/>
          <w:sz w:val="28"/>
          <w:sz w:val="28"/>
          <w:szCs w:val="28"/>
          <w:rtl w:val="true"/>
          <w:lang w:bidi="fa-IR"/>
        </w:rPr>
        <w:t>یسمّی بالشرّ عند وقوع القتل لیس إلّا انقطاع حیاة البدن الناشئ عن قطع علاقة النفس عن البدن، و ما یسمّی بالشر عند وقوع المرض لیس إلّا الاختلال الواقع فی أجهزة البدن و زوال ما کان موجودا له عند الصحّة من التعادل الطبیعی فی الأعضاء و الأجهزة البدنیّة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سائر الحوادث الّتی تتّصف بالبلیّة و الشرّیّة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الّذی یحتاج إلی الفاعل المفیض هو الوجود، و أما العدم فلیس له حظّ من الواقعیة حتی یحتاج إلی المبدأ 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أشار الحکیم السبزواری فی منظومة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 أعدام فکم قد ضلّ من یقول بالیزدان ثمّ الأهرمن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الخالقیة و قبائح الأفعال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بعمومیة خالقیته تعالی لکلّ شیء یستلزم إسناد قبائح الأفعال إلیه تعالی، و هذا ینافی تنزُّهه سبحانه من کلّ قبح و 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للأفعال جهتین، جهة الثبوت و الوجود، وجهة استنادها إلی فواعلها بالمباشرة، فعنوان الطّاعة و المعصیة ینتزع من الجهة الثانیة، و ما یستند إلی اللّه تعالی هی الجهة الاولی، و الأفعال بهذا اللحاظ متّصفة بالحسن و الجمال، أی الحسن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الحسن و القبح المنطبق علی الأفعال الصادرة عن فاعل شاعر مختار، هو الّذی یدرکه العقل العملی بلحاظ مطابقة الأفعال لأحکام العقل و الشرع و عدمها، و هذا الحسن و القبح یرجع إلی الفاعل المباشر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أصل وجود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قطع النظر عن مقایسته إلی حکم العقل أو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یستند إلی اللّه تعالی و ینتهی إلی إرادته سبحانه، و الفعل بهذا الاعتبار لا یتّصف بالقبح، فإنّه وجود و الوجود خیر و حسن فی حدّ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شیء کما أنّه مخلوق، حسن، فالخلقة و الحسن متصاحبان لا ینفکّ احدهما عن الآخر اصلاً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الإجابة عن شبهة الجبر علی القول بعموم الخالقیة فسیوافیک بیانها فی الفصل المختصّ بذلک</w:t>
      </w:r>
      <w:r>
        <w:rPr>
          <w:rFonts w:eastAsia="IRNazanin" w:cs="IRNazanin"/>
          <w:color w:val="111111"/>
          <w:sz w:val="28"/>
          <w:szCs w:val="28"/>
          <w:rtl w:val="true"/>
          <w:lang w:bidi="fa-IR"/>
        </w:rPr>
        <w:t xml:space="preserve">. </w:t>
      </w:r>
      <w:bookmarkStart w:id="143" w:name="pg2866_37998"/>
    </w:p>
    <w:p>
      <w:pPr>
        <w:pStyle w:val="Heading3"/>
        <w:numPr>
          <w:ilvl w:val="2"/>
          <w:numId w:val="1"/>
        </w:numPr>
        <w:rPr/>
      </w:pPr>
      <w:bookmarkStart w:id="144" w:name="__RefHeading___Toc2819470_1395250215"/>
      <w:bookmarkStart w:id="145" w:name="_Toc50"/>
      <w:bookmarkEnd w:id="143"/>
      <w:bookmarkEnd w:id="144"/>
      <w:r>
        <w:rPr>
          <w:rtl w:val="true"/>
        </w:rPr>
        <w:t>الفصل الرابع</w:t>
      </w:r>
      <w:r>
        <w:rPr>
          <w:rtl w:val="true"/>
        </w:rPr>
        <w:t>:</w:t>
      </w:r>
      <w:r>
        <w:rPr>
          <w:rtl w:val="true"/>
        </w:rPr>
        <w:t>التوحید فی الربوبیّة</w:t>
      </w:r>
      <w:bookmarkEnd w:id="145"/>
    </w:p>
    <w:p>
      <w:pPr>
        <w:pStyle w:val="Heading4"/>
        <w:numPr>
          <w:ilvl w:val="3"/>
          <w:numId w:val="1"/>
        </w:numPr>
        <w:rPr/>
      </w:pPr>
      <w:bookmarkStart w:id="146" w:name="__RefHeading___Toc2819472_1395250215"/>
      <w:bookmarkStart w:id="147" w:name="_Toc51"/>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یستفاد من الکتاب العزیز أنّ التوحید فی الخالقیة کان موضع الوفاق عند الوثنیّین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مثله فی سورة الزمر الآیة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 فَأَنّٰی یُؤْفَکُونَ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مسألة التوحید فی التدبیر فلم تکن أمراً مسلّماً عندهم، بل الشرک فی التدبیر کان شائعا بین الوثنیین، کما أنّ عبدة الکواکب و النجوم فی عصر بطل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المشرکین فی أمر التدبیر، حیث کانوا یعتقدون بأنّ الأجرام العلویة هی المتصرّفة فی النظام السفلی من العالم و أنّ أمر تدبیر الکون، و منه الإنسان، فوّض إلیها فهی أرباب لهذا العالم و مدبّرات له لا خالقات له، و لأجل ذلک نجد أنّ ابراهیم یردّ علیهم بإبطال ربوبیتها عن طریق الإشارة إلی أُفولها و غروبها، یقول سبحانه حاکیاً عنه</w:t>
      </w:r>
      <w:r>
        <w:rPr>
          <w:rFonts w:eastAsia="IRNazanin" w:cs="IRNazanin"/>
          <w:color w:val="111111"/>
          <w:sz w:val="28"/>
          <w:szCs w:val="28"/>
          <w:rtl w:val="true"/>
          <w:lang w:bidi="fa-IR"/>
        </w:rPr>
        <w:t xml:space="preserve">: </w:t>
      </w:r>
      <w:bookmarkStart w:id="148" w:name="pg2866_37999"/>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الشَّمْسَ بٰازِغَةً قٰالَ هٰذٰا رَبِّی هٰذٰا أَکْبَرُ فَلَمّٰا أَفَلَتْ قٰالَ یٰا قَوْمِ إِنِّی بَرِیءٌ مِمّٰا تُشْرِکُونَ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أنّه علیه السلام استعمل کلمة الربّ فی احتجاجه مع المشرکین، و لم یستعمل کلمة الخالق، للفرق الواضح بین التوحیدین و عدم إنکارهم التوحید فی الأوّل و إصرارهم علی الشرک فی الثانی</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49" w:name="__RefHeading___Toc2819474_1395250215"/>
      <w:bookmarkStart w:id="150" w:name="_Toc52"/>
      <w:bookmarkEnd w:id="149"/>
      <w:r>
        <w:rPr>
          <w:rtl w:val="true"/>
        </w:rPr>
        <w:t>حقیقة الربوبیة و التوحید فیها</w:t>
      </w:r>
      <w:bookmarkEnd w:id="1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لفظة الربّ فی لغة العرب بمعنی المتصرّف و المدبّر و المتحمّل أمر تربیة الشیء ، و حقیقة التدبیر تنظیم الأشیاء و تنسیقها بحیث یتحقّق بذلک مطلوب کل منها و تحصل له غایته المطلوبة له، و علی هذا فحقیقة تدبیره سبحانه لیست الاّ خلق العالم و جعل الأسباب و العلل بحیث تأتی المعالیل و المسبّبات دبر الأسباب و عقیب العلل، فیؤثّر بعض أجزاء الکون فی البعض الآخر حتّی یصل کلّ موجود إلی کماله المناسب و هدفه المطلوب، یقول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التوحید فی الربوبیة هو الاعتقاد بأنّ تدبیر العالم الإمکانی بید اللّه سبحانه و أمّا الأسباب و العلل الکونیة فکلّها جنود له سبحانه یعملون بأمره و یفعلون بمشیئته و قد صرّح القرآن الکریم علی أن هناک مدبّرات لأمر العالم بإذنه تعالی،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یقابله الشرک فی الربوبیة و هو تصور أنّ هناک مخلوقات للّه سبحانه لکن فوّض إلیها أمر تدبیر الکون و مصیر الإنسان فی حیاته تکویناً و تشریعاً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نکتة یجب التنبیه علیها و هی أنّ الوثنیّة لم تکن معتقدة بربوبیّة الأصنام الحجریّة و الخشبیّة و نحوها بل کانوا یعتقدون بکونها اصناما للآلهة المدبّرة لهذا الکون، و لمّا لم تکن هذه الآلهة المزعومة فی متناول أیدیهم و کانت عبادة الموجود البعید عن متناول الحسّ صعبة التصور عمدوا إلی تجسیم تلک الآلهة و تصویرها فی أوثان و أصنام من الخشب و الحجر و صاروا یعبدونها عوضاً عن عبادة أصحابها الحقیقیة و هی الآلهة المزعومة</w:t>
      </w:r>
      <w:r>
        <w:rPr>
          <w:rFonts w:eastAsia="IRNazanin" w:cs="IRNazanin"/>
          <w:color w:val="111111"/>
          <w:sz w:val="28"/>
          <w:szCs w:val="28"/>
          <w:rtl w:val="true"/>
          <w:lang w:bidi="fa-IR"/>
        </w:rPr>
        <w:t xml:space="preserve">. </w:t>
      </w:r>
      <w:bookmarkStart w:id="151" w:name="pg2866_38001"/>
    </w:p>
    <w:p>
      <w:pPr>
        <w:pStyle w:val="Heading4"/>
        <w:numPr>
          <w:ilvl w:val="3"/>
          <w:numId w:val="1"/>
        </w:numPr>
        <w:rPr/>
      </w:pPr>
      <w:bookmarkStart w:id="152" w:name="__RefHeading___Toc2819476_1395250215"/>
      <w:bookmarkStart w:id="153" w:name="_Toc53"/>
      <w:bookmarkEnd w:id="151"/>
      <w:bookmarkEnd w:id="152"/>
      <w:r>
        <w:rPr>
          <w:rtl w:val="true"/>
        </w:rPr>
        <w:t>دلائل التوحید فی الربوبیة</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الکون لا ینفکّ عن الخلق</w:t>
      </w:r>
    </w:p>
    <w:p>
      <w:pPr>
        <w:pStyle w:val="BookText"/>
        <w:rPr/>
      </w:pPr>
      <w:r>
        <w:rPr>
          <w:rFonts w:ascii="IRNazanin" w:hAnsi="IRNazanin" w:eastAsia="IRNazanin"/>
          <w:color w:val="111111"/>
          <w:sz w:val="28"/>
          <w:sz w:val="28"/>
          <w:szCs w:val="28"/>
          <w:rtl w:val="true"/>
          <w:lang w:bidi="fa-IR"/>
        </w:rPr>
        <w:t>إنّ النکتة الأساسیة فی خطأ المشرکین تتمثّل فی أنّهم قاسوا تدبیر عالم الکون بتدبیر أُمور عائلة أو مؤسَّسة و تصوّروا أنّهما من نوع واحد، مع أنّهما مختلفان فی الغایة، فانّ تدبیر الکون فی الحقیقة إدامة الخلق و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النظام الکونی بحکم کونه فقیراً ممکناً فاقد للوجود الذاتی، لکن فقره لیس منحصرا فی بدء خلقته بل یستمرّ معه فی بقائه و علی هذا، فتدبیر الکون لا ینفکّ عن خلقه و إیجاده، فالتدبیر خلق و إیجاد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فتدبیر الوردة مثلاً لیس إلّا تکوّنها من المواد السُّکریة فی الأرض ثمّ تولیدها الأوکسجین فی الهواء إلی غیر ذلک من عشرات الأعمال الفیزیائیة و الکیمیائیة فی ذاتها و لیست کل منها إلّا شعبة من الخلق، و مثلها الجنین مذ تکوّنه فی رحم الأُم، فلا یزال یخضع لعملیّات التفاعل و النموّ حتی یخرج من بطنها، و لیست هذه التفاعلات إلّا شعبة من عملیّة الخلق و فرعاً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النظام و اتصال التدبیر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مطالعة کلّ صفحة من الکتاب التکوینی العظیم یقودنا إلی وجود نظام موحَّد و ارتباط وثیق بین أجزائه، و من المعلوم أنّ وحدة النظام </w:t>
      </w:r>
      <w:bookmarkStart w:id="154" w:name="pg2866_38003"/>
    </w:p>
    <w:p>
      <w:pPr>
        <w:pStyle w:val="BookText"/>
        <w:rPr/>
      </w:pPr>
      <w:bookmarkEnd w:id="154"/>
      <w:r>
        <w:rPr>
          <w:rFonts w:ascii="IRNazanin" w:hAnsi="IRNazanin" w:eastAsia="IRNazanin"/>
          <w:color w:val="111111"/>
          <w:sz w:val="28"/>
          <w:sz w:val="28"/>
          <w:szCs w:val="28"/>
          <w:rtl w:val="true"/>
          <w:lang w:bidi="fa-IR"/>
        </w:rPr>
        <w:t xml:space="preserve">و انسجامه و تلائمه لا تتحقّق إلّا إذا کان الکون بأجمعه تحت نظر حاکم و مدبِّر واحد، و لو خضع الکون لإرادة مدبِّرین لما کان من اتصال التدبیر و انسجام اجزاء الکون أیّ اثر، لانّ تعدّد المدبّر و المنظِّم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بحکم اختلافهما فی الذات أو فی الصفات و المشخصات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بالضرورة الاختلاف فی التدبیر و الإرادة، و ذلک ینافی الانسجام و التلائم فی أجزاء الکون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فوحدة النظام و انسجامه کاشف عن وحدة التدبیر و المدبّر و إلی هذا یشیر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الاستدلال بعینه موجود فی الأحادیث المرویة عن أئمة اهل البیت علیهم السلام یقول الامام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صحّة الأمر و التدبیر و ائتلاف الأمر علی انّ المدبّر واحد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سأله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انّ اللّه واحد؟</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اتصال التدبیر و تمام الصنع، کما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4"/>
        <w:numPr>
          <w:ilvl w:val="3"/>
          <w:numId w:val="1"/>
        </w:numPr>
        <w:rPr/>
      </w:pPr>
      <w:bookmarkStart w:id="155" w:name="__RefHeading___Toc2819478_1395250215"/>
      <w:bookmarkStart w:id="156" w:name="_Toc54"/>
      <w:bookmarkEnd w:id="155"/>
      <w:r>
        <w:rPr>
          <w:rtl w:val="true"/>
        </w:rPr>
        <w:t>مظاهر التوحید فی الربوبیة</w:t>
      </w:r>
      <w:bookmarkEnd w:id="1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للتوحید فی الربوبیة نطاقاً واسعاً شاملاً لجمیع المظاهر الکونیة و الحقائق الوجودیة فلا مدبِّر فی صفحة الوجود، بالذات علی وجه </w:t>
      </w:r>
    </w:p>
    <w:p>
      <w:pPr>
        <w:pStyle w:val="BookText"/>
        <w:rPr/>
      </w:pPr>
      <w:r>
        <w:rPr>
          <w:rFonts w:ascii="IRNazanin" w:hAnsi="IRNazanin" w:eastAsia="IRNazanin"/>
          <w:color w:val="111111"/>
          <w:sz w:val="28"/>
          <w:sz w:val="28"/>
          <w:szCs w:val="28"/>
          <w:rtl w:val="true"/>
          <w:lang w:bidi="fa-IR"/>
        </w:rPr>
        <w:t>الاستقلال، سوی اللّه تعالی فهو ربّ العالمین لا ربّ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فی ختام هذا البحث أن نشیر إلی ثلاثة أقسام لها أهمیّة خاصّة فی حیاة الإنسان الاجتماعیة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الحاکمیة</w:t>
      </w:r>
    </w:p>
    <w:p>
      <w:pPr>
        <w:pStyle w:val="BookText"/>
        <w:rPr/>
      </w:pPr>
      <w:r>
        <w:rPr>
          <w:rFonts w:ascii="IRNazanin" w:hAnsi="IRNazanin" w:eastAsia="IRNazanin"/>
          <w:color w:val="111111"/>
          <w:sz w:val="28"/>
          <w:sz w:val="28"/>
          <w:szCs w:val="28"/>
          <w:rtl w:val="true"/>
          <w:lang w:bidi="fa-IR"/>
        </w:rPr>
        <w:t>الحاکم هو الّذی له تسلّط علی النفوس و الأموال، و التصرّف فی شئون المجتمع بالأمر و النهی، و العزل و النصب، و التحدید و التوسیع و نحو ذلک، و من المعلوم أنّ هذا یحتاج إلی ولایة له بالنسبة إلی المسلّط علیه، و لو لا ذلک لعدّ التصرّف عدوانیاً،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الولایة علی الغیر متفرّع علی کون الوالی مالکا للمولّیٰ علیه أو مدبّر أموره فی الحیاة، و بما أن لا مالکیة لأحد علی غیره إلّا للّه تعالی و لا مدبِّر سواه فإنّه الخالق الموجد للجمیع و المدبّر للکون بأجمعه، فلا ولایة لأحد علی أحد بالذات سوی اللّه تعالی، فحقّ الولایة منحصر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أَوْلِیٰاءَ فَاللّٰهُ هُوَ الْوَلِیُّ</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یَقُصُّ الْحَقَّ وَ هُوَ خَیْرُ الْفٰاصِلِینَ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الحکومة و الحاکم البشری فی المجتمع </w:t>
      </w:r>
    </w:p>
    <w:p>
      <w:pPr>
        <w:pStyle w:val="BookText"/>
        <w:rPr/>
      </w:pPr>
      <w:r>
        <w:rPr>
          <w:rFonts w:ascii="IRNazanin" w:hAnsi="IRNazanin" w:eastAsia="IRNazanin"/>
          <w:color w:val="111111"/>
          <w:sz w:val="28"/>
          <w:sz w:val="28"/>
          <w:szCs w:val="28"/>
          <w:rtl w:val="true"/>
          <w:lang w:bidi="fa-IR"/>
        </w:rPr>
        <w:t>أمر ضروری کما أشار إلیه الإمام علی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أمیر برّ أو فاجر</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من المعلوم أنّ ممارسة الإمرة و تجسید الحکومة فی الخارج لیس من شأنه سبحانه، بل هو شأن من یماثل المحکوم علیه فی النوع و یشافهه و یقابله مقابلة الإنسان للانسان، و علی ذلک، فوجه الجمع بین حصر الحاکمیة فی اللّه سبحانه و لزوم کون الحاکم و الأمیر بشراً کالمحکوم علیه، هو لزوم کون من یمثّل مقام الإمرة مأذوناً من جانبه سبحانه لإدارة الأمور و التصرّف فی النفوس و الأموال، و أن تکون ولایته مستمدّة من ولایته و منبعثة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فالحکومات القائمة فی المجتمعات یجب أن تکون مشروعیتها مستمدّة من ولایته سبحانه و حکمه بوجه من الوجوه، و إذا کانت علاقتها منقطعة غیر موصولة به سبحانه فهی حکومات طاغوتیة لا مشروعیّة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الطّاعة</w:t>
      </w:r>
    </w:p>
    <w:p>
      <w:pPr>
        <w:pStyle w:val="BookText"/>
        <w:rPr/>
      </w:pPr>
      <w:r>
        <w:rPr>
          <w:rFonts w:ascii="IRNazanin" w:hAnsi="IRNazanin" w:eastAsia="IRNazanin"/>
          <w:color w:val="111111"/>
          <w:sz w:val="28"/>
          <w:sz w:val="28"/>
          <w:szCs w:val="28"/>
          <w:rtl w:val="true"/>
          <w:lang w:bidi="fa-IR"/>
        </w:rPr>
        <w:t>لا شکّ أنّ من شئون الحاکم و الولی، لزوم إطاعته علی المحکوم و المولّی علیه، فإنّ الحکومة من غیر لزوم إطاعة الحاکم تصبح لغواً، و قد تقدّم أنّ الحاکم بالذات لیس إلّا اللّه 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فلیس هناک مطاع بالذات إلّا هو تعالی و أمّا غیره </w:t>
      </w:r>
    </w:p>
    <w:p>
      <w:pPr>
        <w:pStyle w:val="BookText"/>
        <w:rPr/>
      </w:pPr>
      <w:r>
        <w:rPr>
          <w:rFonts w:ascii="IRNazanin" w:hAnsi="IRNazanin" w:eastAsia="IRNazanin"/>
          <w:color w:val="111111"/>
          <w:sz w:val="28"/>
          <w:sz w:val="28"/>
          <w:szCs w:val="28"/>
          <w:rtl w:val="true"/>
          <w:lang w:bidi="fa-IR"/>
        </w:rPr>
        <w:t>تعالی، فبما أنّه لیس له ولایة و لا حکومة علی أحد إلّا بإذنه تعالی و باستناد حکومته إلی حکومته سبحانه، فلیس له حقّ الطّاعة علی أحد إلّا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التشریع</w:t>
      </w:r>
    </w:p>
    <w:p>
      <w:pPr>
        <w:pStyle w:val="BookText"/>
        <w:rPr/>
      </w:pPr>
      <w:r>
        <w:rPr>
          <w:rFonts w:ascii="IRNazanin" w:hAnsi="IRNazanin" w:eastAsia="IRNazanin"/>
          <w:color w:val="111111"/>
          <w:sz w:val="28"/>
          <w:sz w:val="28"/>
          <w:szCs w:val="28"/>
          <w:rtl w:val="true"/>
          <w:lang w:bidi="fa-IR"/>
        </w:rPr>
        <w:t>إنّ الربوبیة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تکوینیّة و تشریعیّة و دلائل التوحید فی الربوبیة التکوینیة تثبت التوحید فی الربوبیّة التشریعیة أیضاً، فإنّ التقنین و التشریع نوع من التدبیر، یدبّر به أمر الإنسان و المجتمع البشری، کما أنّه نوع من الحکومة و الولایة علی الأموال و النفوس، فبما أنّ التدبیر و الحکومة منحصرتان فی اللّه تعالی، فکذلک لیس لأحد حقّ التقنین و التشریع إلّا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الفقهاء و المجتهدون فلیسوا بمشرّعین، بل هم متخصّصون فی معرفة تشریعه سبحانه، و وظیفتهم الکشف عن الأحکام بعد الرجوع إلی مصادرها و جعلها فی متناول الناس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تعورف فی القرون الأخیرة من إقامة مجالس النوّاب أو الشوری فی البلاد الإسلامیة، فلیست لها وظیفة سوی التخطیط لإعطاء </w:t>
      </w:r>
    </w:p>
    <w:p>
      <w:pPr>
        <w:pStyle w:val="BookText"/>
        <w:rPr/>
      </w:pPr>
      <w:r>
        <w:rPr>
          <w:rFonts w:ascii="IRNazanin" w:hAnsi="IRNazanin" w:eastAsia="IRNazanin"/>
          <w:color w:val="111111"/>
          <w:sz w:val="28"/>
          <w:sz w:val="28"/>
          <w:szCs w:val="28"/>
          <w:rtl w:val="true"/>
          <w:lang w:bidi="fa-IR"/>
        </w:rPr>
        <w:t>البرنامج للمسئولین فی الحکومات فی ضوء القوانین الإلهیّة لتنفیذها، و التخطیط غیر التشریع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یعدّ کل تقنین لا یطابق الحکم و التشریع الإلهی کفراً و ظلماً و فسقاً، قال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2866_38009"/>
      <w:bookmarkStart w:id="158" w:name="pg2866_38009"/>
      <w:bookmarkEnd w:id="158"/>
    </w:p>
    <w:p>
      <w:pPr>
        <w:pStyle w:val="Heading3"/>
        <w:numPr>
          <w:ilvl w:val="2"/>
          <w:numId w:val="1"/>
        </w:numPr>
        <w:rPr/>
      </w:pPr>
      <w:bookmarkStart w:id="159" w:name="pg2866_38009"/>
      <w:bookmarkStart w:id="160" w:name="__RefHeading___Toc2819480_1395250215"/>
      <w:bookmarkStart w:id="161" w:name="_Toc55"/>
      <w:bookmarkEnd w:id="159"/>
      <w:bookmarkEnd w:id="160"/>
      <w:r>
        <w:rPr>
          <w:rtl w:val="true"/>
        </w:rPr>
        <w:t>الفصل الخامس</w:t>
      </w:r>
      <w:r>
        <w:rPr>
          <w:rtl w:val="true"/>
        </w:rPr>
        <w:t>:</w:t>
      </w:r>
      <w:r>
        <w:rPr>
          <w:rtl w:val="true"/>
        </w:rPr>
        <w:t>التوحید فی العبادة</w:t>
      </w:r>
      <w:bookmarkEnd w:id="161"/>
    </w:p>
    <w:p>
      <w:pPr>
        <w:pStyle w:val="Heading4"/>
        <w:numPr>
          <w:ilvl w:val="3"/>
          <w:numId w:val="1"/>
        </w:numPr>
        <w:rPr/>
      </w:pPr>
      <w:bookmarkStart w:id="162" w:name="__RefHeading___Toc2819482_1395250215"/>
      <w:bookmarkStart w:id="163" w:name="_Toc56"/>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التوحید فی العبادة هو الهدف و الغایة الأسنی من بعث الأنبیاء و المرسلین،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ناهیک فی أهمیّة ذلک أنّ الإسلام قرّره شعاراً للمسلمین یؤکّدون علیه فی صلواتهم الواجبة و المندوبة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مکافحة النبیّ صلی الله علیه و آله بل و سائر الانبیاء للوثنیین تترکّز علی هذه النقطة غالباً کما هو ظاهر لمن راجع القرآن الکریم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تجد مسلماً ینکر هذا الأصل أو یشکّ فیه و إنّما الکلام فی حقیقة العبادة و مصادیقها، فتری أنّ أتباع الوهّابیّة یرمون غیرهم بالشّرک فی العبادة </w:t>
      </w:r>
      <w:bookmarkStart w:id="164" w:name="pg2866_38010"/>
    </w:p>
    <w:p>
      <w:pPr>
        <w:pStyle w:val="BookText"/>
        <w:rPr/>
      </w:pPr>
      <w:bookmarkEnd w:id="164"/>
      <w:r>
        <w:rPr>
          <w:rFonts w:ascii="IRNazanin" w:hAnsi="IRNazanin" w:eastAsia="IRNazanin"/>
          <w:color w:val="111111"/>
          <w:sz w:val="28"/>
          <w:sz w:val="28"/>
          <w:szCs w:val="28"/>
          <w:rtl w:val="true"/>
          <w:lang w:bidi="fa-IR"/>
        </w:rPr>
        <w:t>بالتبرّک بآثار الأنبیاء و التوسّل بهم إلی اللّه سبحانه و نحو ذلک، فتمییز العبادة عن غیرها هی المشکلة الوحیدة فی هذا المجال، فیجب قبل کلّ شیء دراسة حقیقة العبادة علی ضوء العقل و الکتاب و السنّة فنقول</w:t>
      </w:r>
      <w:r>
        <w:rPr>
          <w:rFonts w:eastAsia="IRNazanin" w:cs="IRNazanin"/>
          <w:color w:val="111111"/>
          <w:sz w:val="28"/>
          <w:szCs w:val="28"/>
          <w:rtl w:val="true"/>
          <w:lang w:bidi="fa-IR"/>
        </w:rPr>
        <w:t>:</w:t>
      </w:r>
    </w:p>
    <w:p>
      <w:pPr>
        <w:pStyle w:val="Heading4"/>
        <w:numPr>
          <w:ilvl w:val="3"/>
          <w:numId w:val="1"/>
        </w:numPr>
        <w:rPr/>
      </w:pPr>
      <w:bookmarkStart w:id="165" w:name="__RefHeading___Toc2819484_1395250215"/>
      <w:bookmarkStart w:id="166" w:name="_Toc57"/>
      <w:bookmarkEnd w:id="165"/>
      <w:r>
        <w:rPr>
          <w:rtl w:val="true"/>
        </w:rPr>
        <w:t>ما هی حقیقة العبادة؟</w:t>
      </w:r>
      <w:bookmarkEnd w:id="166"/>
    </w:p>
    <w:p>
      <w:pPr>
        <w:pStyle w:val="BookText"/>
        <w:rPr/>
      </w:pPr>
      <w:r>
        <w:rPr>
          <w:rFonts w:ascii="IRNazanin" w:hAnsi="IRNazanin" w:eastAsia="IRNazanin"/>
          <w:color w:val="111111"/>
          <w:sz w:val="28"/>
          <w:sz w:val="28"/>
          <w:szCs w:val="28"/>
          <w:rtl w:val="true"/>
          <w:lang w:bidi="fa-IR"/>
        </w:rPr>
        <w:t>العبادة فی اللّغة بمعنی الخضوع و التذلّل و قیل إنها غایة الخضوع و التذلّل</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هذا المعنی لیس هو المقصود من العبادة المختصّة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الکریم أمر الإنسان بالتذلّل لوالدیه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الخضوع و التذلّل عبادة لمن یتذلّل له لکان أمره تعالی بذلک أمراً باتّخاذ الشریک له تعالی فی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أنّه سبحانه أمر الملائکة بالسجود لآدم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السجود نهایة التذلّل و الخضوع للمسجود له، فهل تری أنّ اللّه سبحانه یأمر الملائکة بالشرک فی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إخوة یوسف و والدیه سجدوا جمیعاً لیوسف بعد استوائه علی عرش الملک و السلطنة، کما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لیس معنی العبادة الّتی تختصّ باللّه سبحانه و لا تجوز لغیره تعالی هو الخضوع و التذلّل، أو نهایة الخضوع، فما هی حقیقة العبادة؟</w:t>
      </w:r>
    </w:p>
    <w:p>
      <w:pPr>
        <w:pStyle w:val="BookText"/>
        <w:rPr/>
      </w:pPr>
      <w:r>
        <w:rPr>
          <w:rFonts w:ascii="IRNazanin" w:hAnsi="IRNazanin" w:eastAsia="IRNazanin"/>
          <w:color w:val="111111"/>
          <w:sz w:val="28"/>
          <w:sz w:val="28"/>
          <w:szCs w:val="28"/>
          <w:rtl w:val="true"/>
          <w:lang w:bidi="fa-IR"/>
        </w:rPr>
        <w:t xml:space="preserve">حقیقة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یستفاد من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و التذلّل، لفظاً أو عملاً مع الاعتقاد بأنَّ المخضوع له خالق و ربّ و مالک و هی من شئون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أنّ القرآن فی سورة الفاتحة قبل تخصیص العبادة باللّه تعالی، یوصفه بأنّه ربّ العالمین، و مالک یوم الدین، و أنّه هو الرحمن الرحیم، و مثله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 فَاعْبُدُوهُ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فالخضوع للّه تعالی إنّما یکون عبادة له لأنّه هو الخالق و الرب و هو المالک و الإله و اختصاص هذه النعوت باللّه تعالی یستلزم اختصاص العبادة 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أیَّ خضوع ینبع من الاعتقاد بانّ المخضوع له إله العالم أو ربّه أو فوِّض إلیه تدبیر العالم کلّه أو بعضه، یکون الخضوع بأدنیٰ مراتبه عبادة و یکون صاحبه مشرکاً فی العبادة إذا أتی به لغیر اللّه، و یقابل ذلک </w:t>
      </w:r>
    </w:p>
    <w:p>
      <w:pPr>
        <w:pStyle w:val="BookText"/>
        <w:rPr/>
      </w:pPr>
      <w:r>
        <w:rPr>
          <w:rFonts w:ascii="IRNazanin" w:hAnsi="IRNazanin" w:eastAsia="IRNazanin"/>
          <w:color w:val="111111"/>
          <w:sz w:val="28"/>
          <w:sz w:val="28"/>
          <w:szCs w:val="28"/>
          <w:rtl w:val="true"/>
          <w:lang w:bidi="fa-IR"/>
        </w:rPr>
        <w:t xml:space="preserve">الخضوع غیر النابع من هذا الاعتقاد، فخضوع أحد أمام موجود و تکریمه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مبالغاً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ینبع من الاعتقاد بأُلوهیته، لا یکون شرکاً و لا عبادة لهذا الموجود، و إن کان من الممکن أن یکون حراماً، مثل سجود العاشق للمعشوقة، أو المرأة لزوجها، فإنّه و إن کان حراماً فی الشریعة الإسلامیة لکنّه لیس عبادة بل حرام لوجه آخر، و لعلَّ الوجه فی حرمته هو أنّ السجود حیث أنّه وسیلة عامّة للعبادة عند جمیع الأقوام و الملل، صار بحیث لا یراد منه إلّا العبادة، لذلک لم یسمح الإسلام بأن یستفاد منها حتّی فی الموارد الّتی لا تکون عبادة، و التحریم إنّما هو من خصائص الشریعة الإسلامیة، إذ لم یکن حراماً قبله، و إلّا لما سجد یعقوب و أبناؤه لیوسف علیه السلام و یقول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أَبَوَیْهِ عَلَی الْعَرْشِ وَ خَرُّوا لَهُ سُجَّداً</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السجود جائزاً فی شریعة آدم علیه السلام للمخلوقین، و یشبه أن یکون قد کان باقیاً إلی زمان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السجود لغیر اللّه علی وجه التکرمة و التحیّة منسوخ بما روت عائشة و جابر و أنس انّ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ینبغی لبشر أن یسجد لبشر، و لو صلح لبشر أن یسجد لبشر لأمرت المرأة أن تسجد لزوجها من عظم حقِّه علیها</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ذکرناه فی حقیقة العبادة المختصة باللّه تعالی و أنّها لیست إلّا خضوعاً خاصاً نابعاً عن الاعتقاد بألوهیة المخضوع له و أنّ له شأن الربوبیّة و الخالقیة أشار الشیخ محمد عبده بقوله</w:t>
      </w:r>
      <w:r>
        <w:rPr>
          <w:rFonts w:eastAsia="IRNazanin" w:cs="IRNazanin"/>
          <w:color w:val="111111"/>
          <w:sz w:val="28"/>
          <w:szCs w:val="28"/>
          <w:rtl w:val="true"/>
          <w:lang w:bidi="fa-IR"/>
        </w:rPr>
        <w:t xml:space="preserve">: </w:t>
      </w:r>
      <w:bookmarkStart w:id="167" w:name="pg2866_38014"/>
    </w:p>
    <w:p>
      <w:pPr>
        <w:pStyle w:val="BookText"/>
        <w:rPr/>
      </w:pPr>
      <w:bookmarkEnd w:id="167"/>
      <w:r>
        <w:rPr>
          <w:rFonts w:ascii="IRNazanin" w:hAnsi="IRNazanin" w:eastAsia="IRNazanin"/>
          <w:color w:val="111111"/>
          <w:sz w:val="28"/>
          <w:sz w:val="28"/>
          <w:szCs w:val="28"/>
          <w:rtl w:val="true"/>
          <w:lang w:bidi="fa-IR"/>
        </w:rPr>
        <w:t>تدلّ الأسالیب الصحیحة و الاستعمال العربی الصراح علی أنّ العبادة ضرب من الخضوع بالغ حد النهایة ناشٍ عن استشعار القلب عظمة للمعبود لا یعرف منشأها، و اعتقاده بسلطة لا یدرک کنهها و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قصاری ما تعرفه منها أنها محیطة به و لکنّها فوق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ینتهی إلی أقصی الذّل لملک من الملوک لا یقال إنّه عبده، و إن قبّل موطئ أقدامه، ما دام سبب الذلّ و الخضوع معروفاً و هو الخوف من ظلمه المعهود، أو الرجاء بکرمه المحدود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68" w:name="__RefHeading___Toc2819486_1395250215"/>
      <w:bookmarkStart w:id="169" w:name="_Toc58"/>
      <w:bookmarkEnd w:id="168"/>
      <w:r>
        <w:rPr>
          <w:rtl w:val="true"/>
        </w:rPr>
        <w:t>نتائج البحث</w:t>
      </w:r>
      <w:bookmarkEnd w:id="1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 لا یکون تقبیل ید النبی أو الإمام أو المعلّم أو الوالدین، أو تقبیل القرآن أو الکتب الدینیة، أو أضرحة الأولیاء، و ما یتعلّق بهم من آثار، إلّا تعظیماً و تکریماً، لا عبادة، و بذلک یتّضح أنّ کثیراً من الموضوعات الّتی تعرّفها فرقة الوهّابیة عبادة لغیر اللّه و شرکاً به، لیس صحیحا علی إطلاقه، و إنّما هو شرک و عبادة إذا کان المخضوع له معنوناً بالأُلوهیة و أنّه فوّض إلیه الخلق و التدبیر و الإحیاء و الإماتة و الرزق و غیر ذلک من شئون الإلهیة المطلقة، أو الاعتقاد بأنّ فی أیدیهم مصیر العباد فی حیاتهم الدنیویة و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بداعی تکریم أولیاء اللّه تعالی کان مستحسناً عقلاً و شرعاً، لأنّه وسیلة لإبراز المحبّة و المودّة للصالحین من عباد اللّه تعالی و فیه رضاه سبحانه بالضّرورة</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2866_38016"/>
      <w:bookmarkStart w:id="171" w:name="pg2866_38016"/>
      <w:bookmarkEnd w:id="171"/>
    </w:p>
    <w:p>
      <w:pPr>
        <w:pStyle w:val="Heading2"/>
        <w:numPr>
          <w:ilvl w:val="1"/>
          <w:numId w:val="1"/>
        </w:numPr>
        <w:rPr/>
      </w:pPr>
      <w:bookmarkStart w:id="172" w:name="pg2866_38016"/>
      <w:bookmarkStart w:id="173" w:name="__RefHeading___Toc2819488_1395250215"/>
      <w:bookmarkStart w:id="174" w:name="_Toc59"/>
      <w:bookmarkEnd w:id="172"/>
      <w:bookmarkEnd w:id="173"/>
      <w:r>
        <w:rPr>
          <w:rtl w:val="true"/>
        </w:rPr>
        <w:t>الباب الثالث فی صفاته تعالی</w:t>
      </w:r>
      <w:bookmarkEnd w:id="174"/>
    </w:p>
    <w:p>
      <w:pPr>
        <w:pStyle w:val="Heading3"/>
        <w:numPr>
          <w:ilvl w:val="2"/>
          <w:numId w:val="1"/>
        </w:numPr>
        <w:rPr/>
      </w:pPr>
      <w:bookmarkStart w:id="175" w:name="__RefHeading___Toc2819490_1395250215"/>
      <w:bookmarkStart w:id="176" w:name="_Toc60"/>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و فیه عشرة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الصفات عند المتکلمین؛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معرفة صفاته تعالی؛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 تعالی؛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قدرته سبحانه؛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حیاته تعالی؛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ارادته سبحانه؛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تعالی؛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الخبریة؛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السلبیة؛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الرؤیة البصریة</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2866_38018"/>
      <w:bookmarkStart w:id="178" w:name="pg2866_38018"/>
      <w:bookmarkEnd w:id="178"/>
    </w:p>
    <w:p>
      <w:pPr>
        <w:pStyle w:val="Heading3"/>
        <w:numPr>
          <w:ilvl w:val="2"/>
          <w:numId w:val="1"/>
        </w:numPr>
        <w:rPr/>
      </w:pPr>
      <w:bookmarkStart w:id="179" w:name="pg2866_38018"/>
      <w:bookmarkStart w:id="180" w:name="__RefHeading___Toc2819492_1395250215"/>
      <w:bookmarkStart w:id="181" w:name="_Toc61"/>
      <w:bookmarkEnd w:id="179"/>
      <w:bookmarkEnd w:id="180"/>
      <w:r>
        <w:rPr>
          <w:rtl w:val="true"/>
        </w:rPr>
        <w:t>الفصل الأوّل</w:t>
      </w:r>
      <w:r>
        <w:rPr>
          <w:rtl w:val="true"/>
        </w:rPr>
        <w:t>:</w:t>
      </w:r>
      <w:r>
        <w:rPr>
          <w:rtl w:val="true"/>
        </w:rPr>
        <w:t>تقسیمات الصفات عند المتکلّمین</w:t>
      </w:r>
      <w:bookmarkEnd w:id="181"/>
    </w:p>
    <w:p>
      <w:pPr>
        <w:pStyle w:val="Heading4"/>
        <w:numPr>
          <w:ilvl w:val="3"/>
          <w:numId w:val="1"/>
        </w:numPr>
        <w:rPr/>
      </w:pPr>
      <w:bookmarkStart w:id="182" w:name="__RefHeading___Toc2819494_1395250215"/>
      <w:bookmarkStart w:id="183" w:name="_Toc62"/>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قد ذکروا لصفاته تعالی تقسیمات و هی</w:t>
      </w:r>
      <w:r>
        <w:rPr>
          <w:rFonts w:eastAsia="IRNazanin" w:cs="IRNazanin"/>
          <w:color w:val="111111"/>
          <w:sz w:val="28"/>
          <w:szCs w:val="28"/>
          <w:rtl w:val="true"/>
          <w:lang w:bidi="fa-IR"/>
        </w:rPr>
        <w:t>:</w:t>
      </w:r>
    </w:p>
    <w:p>
      <w:pPr>
        <w:pStyle w:val="Heading4"/>
        <w:numPr>
          <w:ilvl w:val="3"/>
          <w:numId w:val="1"/>
        </w:numPr>
        <w:rPr/>
      </w:pPr>
      <w:bookmarkStart w:id="184" w:name="__RefHeading___Toc2819496_1395250215"/>
      <w:bookmarkStart w:id="185" w:name="_Toc63"/>
      <w:bookmarkEnd w:id="184"/>
      <w:r>
        <w:rPr/>
        <w:t>1</w:t>
      </w:r>
      <w:r>
        <w:rPr>
          <w:rtl w:val="true"/>
        </w:rPr>
        <w:t xml:space="preserve">. </w:t>
      </w:r>
      <w:r>
        <w:rPr>
          <w:rtl w:val="true"/>
        </w:rPr>
        <w:t>الصفات الجمالیة و الجلالیة</w:t>
      </w:r>
      <w:bookmarkEnd w:id="185"/>
    </w:p>
    <w:p>
      <w:pPr>
        <w:pStyle w:val="BookText"/>
        <w:rPr/>
      </w:pPr>
      <w:r>
        <w:rPr>
          <w:rFonts w:ascii="IRNazanin" w:hAnsi="IRNazanin" w:eastAsia="IRNazanin"/>
          <w:color w:val="111111"/>
          <w:sz w:val="28"/>
          <w:sz w:val="28"/>
          <w:szCs w:val="28"/>
          <w:rtl w:val="true"/>
          <w:lang w:bidi="fa-IR"/>
        </w:rPr>
        <w:t xml:space="preserve">إذا کانت الصفة مثبتة لجمال و مشیرة إلی واقعیة فی ذاته تعالی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کانت الصفة هادفة إلی نفی نقص و حاجة عنه سبحانه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و القدرة و الحیاة من الصفات الثبوتیة المشیرة إلی وجود کمال و واقعیة فی الذات الإلهیة و لکن نفی الجسمانیة و التحیّز و الحرکة و التغیّر من الصفات السلبیة الهادفة إلی سلب ما هو نقص عن ساحته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هذین الاصطلاحین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قریبان ممّا ورد فی الکتاب العزیز، قال سبحانه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86" w:name="pg2866_38019"/>
    </w:p>
    <w:p>
      <w:pPr>
        <w:pStyle w:val="BookText"/>
        <w:rPr/>
      </w:pPr>
      <w:bookmarkEnd w:id="186"/>
      <w:r>
        <w:rPr>
          <w:rFonts w:ascii="IRNazanin" w:hAnsi="IRNazanin" w:eastAsia="IRNazanin"/>
          <w:color w:val="111111"/>
          <w:sz w:val="28"/>
          <w:sz w:val="28"/>
          <w:szCs w:val="28"/>
          <w:rtl w:val="true"/>
          <w:lang w:bidi="fa-IR"/>
        </w:rPr>
        <w:t>فصفة الجلال ما جلّ ذاته عن مشابهة الغیر، و صفة الإکرام ما تکرّمت ذاته بها و تجمّلت، فیوصف بالکمال و ینزّه بالجلال</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87" w:name="__RefHeading___Toc2819498_1395250215"/>
      <w:bookmarkStart w:id="188" w:name="_Toc64"/>
      <w:bookmarkEnd w:id="187"/>
      <w:r>
        <w:rPr/>
        <w:t>2</w:t>
      </w:r>
      <w:r>
        <w:rPr>
          <w:rtl w:val="true"/>
        </w:rPr>
        <w:t xml:space="preserve">. </w:t>
      </w:r>
      <w:r>
        <w:rPr>
          <w:rtl w:val="true"/>
        </w:rPr>
        <w:t>صفات الذات و صفات الفعل</w:t>
      </w:r>
      <w:bookmarkEnd w:id="188"/>
    </w:p>
    <w:p>
      <w:pPr>
        <w:pStyle w:val="BookText"/>
        <w:rPr/>
      </w:pPr>
      <w:r>
        <w:rPr>
          <w:rFonts w:ascii="IRNazanin" w:hAnsi="IRNazanin" w:eastAsia="IRNazanin"/>
          <w:color w:val="111111"/>
          <w:sz w:val="28"/>
          <w:sz w:val="28"/>
          <w:szCs w:val="28"/>
          <w:rtl w:val="true"/>
          <w:lang w:bidi="fa-IR"/>
        </w:rPr>
        <w:t>قسَّم المتکلّمون صفاته سبحانه إلی صفة الذات و صفة الفعل،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وصف الذات به، فرض نفس الذات فحسب، کالقدرة و الحیاة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توصیف الذات به علی فرض فعله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فصفات الفعل هی المنتزعة من مقام الفعل، بمعنی أنّ الذات توصف بهذه الصفات عند ملاحظتها مع الفعل، و ذلک کالخلق و الرزق و نظائرهما من الصفات الفعلیة الزائدة علی الذات بحکم انتزاعها من مقام الفعل</w:t>
      </w:r>
      <w:r>
        <w:rPr>
          <w:rFonts w:eastAsia="IRNazanin" w:cs="IRNazanin"/>
          <w:color w:val="111111"/>
          <w:sz w:val="28"/>
          <w:szCs w:val="28"/>
          <w:rtl w:val="true"/>
          <w:lang w:bidi="fa-IR"/>
        </w:rPr>
        <w:t>.</w:t>
      </w:r>
    </w:p>
    <w:p>
      <w:pPr>
        <w:pStyle w:val="Heading4"/>
        <w:numPr>
          <w:ilvl w:val="3"/>
          <w:numId w:val="1"/>
        </w:numPr>
        <w:rPr/>
      </w:pPr>
      <w:bookmarkStart w:id="189" w:name="__RefHeading___Toc2819500_1395250215"/>
      <w:bookmarkStart w:id="190" w:name="_Toc65"/>
      <w:bookmarkEnd w:id="189"/>
      <w:r>
        <w:rPr/>
        <w:t>3</w:t>
      </w:r>
      <w:r>
        <w:rPr>
          <w:rtl w:val="true"/>
        </w:rPr>
        <w:t xml:space="preserve">. </w:t>
      </w:r>
      <w:r>
        <w:rPr>
          <w:rtl w:val="true"/>
        </w:rPr>
        <w:t>الحقیقیّة و الإضافیّة</w:t>
      </w:r>
      <w:bookmarkEnd w:id="1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للصّفات تقسیماً آخر و هو تقسیماً إلی الحقیقیّة و الاضافیة و المراد من الاولی ما تتّصف به الذات حقیقة، و هی إمّا حقیقیة ذات إضافة کالعلم و القدرة، إمّا حقیقیة محضة کالحیاة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الإضافیة هی الصفات الانتزاعیة کالعالمیّة و القادریة و الخالقیة و الرازقیة و العلیّة</w:t>
      </w:r>
      <w:r>
        <w:rPr>
          <w:rFonts w:eastAsia="IRNazanin" w:cs="IRNazanin"/>
          <w:color w:val="111111"/>
          <w:sz w:val="28"/>
          <w:szCs w:val="28"/>
          <w:rtl w:val="true"/>
          <w:lang w:bidi="fa-IR"/>
        </w:rPr>
        <w:t xml:space="preserve">. </w:t>
      </w:r>
      <w:bookmarkStart w:id="191" w:name="pg2866_38021"/>
    </w:p>
    <w:p>
      <w:pPr>
        <w:pStyle w:val="Heading4"/>
        <w:numPr>
          <w:ilvl w:val="3"/>
          <w:numId w:val="1"/>
        </w:numPr>
        <w:rPr/>
      </w:pPr>
      <w:bookmarkStart w:id="192" w:name="__RefHeading___Toc2819502_1395250215"/>
      <w:bookmarkStart w:id="193" w:name="_Toc66"/>
      <w:bookmarkEnd w:id="191"/>
      <w:bookmarkEnd w:id="192"/>
      <w:r>
        <w:rPr/>
        <w:t>4</w:t>
      </w:r>
      <w:r>
        <w:rPr>
          <w:rtl w:val="true"/>
        </w:rPr>
        <w:t xml:space="preserve">. </w:t>
      </w:r>
      <w:r>
        <w:rPr>
          <w:rtl w:val="true"/>
        </w:rPr>
        <w:t>الذاتیة و الخبریّة</w:t>
      </w:r>
      <w:bookmarkEnd w:id="1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بعض المتکلمین صفاته سبحانه إلی ذاتیة و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الأولی أوصافه المعروفة من العلم و القدرة و الحیاة، و المراد من الثانیة ما ورد توصیفه تعالی بها فی الخبر الإلهی من الکتاب و السنّة و لو لا ذلک لما وصف اللّه تعالی بها بمقتضی حکم العقل و ذلک ککونه سبحانه مستویاً علی العرش و کونه ذا وجه، و یدین، و أعین، إلی غیر ذلک من الألفاظ الواردة فی القرآن أو الحدیث الّتی لو أجریت علی اللّه سبحانه بمعانیها المتبادرة عند العرف لزم التجسیم و التشبیه</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2866_38023"/>
      <w:bookmarkStart w:id="195" w:name="pg2866_38023"/>
      <w:bookmarkEnd w:id="195"/>
    </w:p>
    <w:p>
      <w:pPr>
        <w:pStyle w:val="Heading3"/>
        <w:numPr>
          <w:ilvl w:val="2"/>
          <w:numId w:val="1"/>
        </w:numPr>
        <w:rPr/>
      </w:pPr>
      <w:bookmarkStart w:id="196" w:name="pg2866_38023"/>
      <w:bookmarkStart w:id="197" w:name="__RefHeading___Toc2819504_1395250215"/>
      <w:bookmarkStart w:id="198" w:name="_Toc67"/>
      <w:bookmarkEnd w:id="196"/>
      <w:bookmarkEnd w:id="197"/>
      <w:r>
        <w:rPr>
          <w:rtl w:val="true"/>
        </w:rPr>
        <w:t>الفصل الثانی</w:t>
      </w:r>
      <w:r>
        <w:rPr>
          <w:rtl w:val="true"/>
        </w:rPr>
        <w:t>:</w:t>
      </w:r>
      <w:r>
        <w:rPr>
          <w:rtl w:val="true"/>
        </w:rPr>
        <w:t>طرق معرفة صفاته تعالی</w:t>
      </w:r>
      <w:bookmarkEnd w:id="198"/>
    </w:p>
    <w:p>
      <w:pPr>
        <w:pStyle w:val="Heading4"/>
        <w:numPr>
          <w:ilvl w:val="3"/>
          <w:numId w:val="1"/>
        </w:numPr>
        <w:rPr/>
      </w:pPr>
      <w:bookmarkStart w:id="199" w:name="__RefHeading___Toc2819506_1395250215"/>
      <w:bookmarkStart w:id="200" w:name="_Toc68"/>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الطرق الصحیحة إلی معرفة صفات اللّه تعالی ثلاثة</w:t>
      </w:r>
      <w:r>
        <w:rPr>
          <w:rFonts w:eastAsia="IRNazanin" w:cs="IRNazanin"/>
          <w:color w:val="111111"/>
          <w:sz w:val="28"/>
          <w:szCs w:val="28"/>
          <w:rtl w:val="true"/>
          <w:lang w:bidi="fa-IR"/>
        </w:rPr>
        <w:t>:</w:t>
      </w:r>
    </w:p>
    <w:p>
      <w:pPr>
        <w:pStyle w:val="Heading4"/>
        <w:numPr>
          <w:ilvl w:val="3"/>
          <w:numId w:val="1"/>
        </w:numPr>
        <w:rPr/>
      </w:pPr>
      <w:bookmarkStart w:id="201" w:name="__RefHeading___Toc2819508_1395250215"/>
      <w:bookmarkStart w:id="202" w:name="_Toc69"/>
      <w:bookmarkEnd w:id="201"/>
      <w:r>
        <w:rPr>
          <w:rtl w:val="true"/>
        </w:rPr>
        <w:t>الأوّل</w:t>
      </w:r>
      <w:r>
        <w:rPr>
          <w:rtl w:val="true"/>
        </w:rPr>
        <w:t xml:space="preserve">: </w:t>
      </w:r>
      <w:r>
        <w:rPr>
          <w:rtl w:val="true"/>
        </w:rPr>
        <w:t>الطریق العقلی</w:t>
      </w:r>
      <w:bookmarkEnd w:id="202"/>
    </w:p>
    <w:p>
      <w:pPr>
        <w:pStyle w:val="BookText"/>
        <w:rPr/>
      </w:pPr>
      <w:r>
        <w:rPr>
          <w:rFonts w:ascii="IRNazanin" w:hAnsi="IRNazanin" w:eastAsia="IRNazanin"/>
          <w:color w:val="111111"/>
          <w:sz w:val="28"/>
          <w:sz w:val="28"/>
          <w:szCs w:val="28"/>
          <w:rtl w:val="true"/>
          <w:lang w:bidi="fa-IR"/>
        </w:rPr>
        <w:t>للطریق العقلی إلی التعرّف علی صفاته تعالی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العقلی الصرف و یکفی لذلک إثبات أنّه تعالی واجب الوجود بالذات، فیستدلّ بطریق اللمّ جمیع صفاته الجمالیة و الجلالیة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سلک المتکلم الإسلامی الشهیر نصیر الدین الطوسی هذا السبیل للبرهنة علی جملة من الصفات الجلالیة و الجمالیة حیث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الوجود یدلُّ علی سرمدیته، و نفی الزائد، و الشریک، و المثل، و الترکیب بمعانیه، و الضدّ، و التحیّز، و الحلول، و الاتّحاد، و الجهة، و حلول الحوادث فیه، و الحاجة، و الألم مطلقاً، و اللّذة المزاجیة، و المعانی، و الاحوال، و الصفات الزائدة و الرؤیة و علی ثبوت الجود، و الملک، و التمام، و الحقیّة، </w:t>
      </w:r>
    </w:p>
    <w:p>
      <w:pPr>
        <w:pStyle w:val="BookText"/>
        <w:rPr/>
      </w:pPr>
      <w:r>
        <w:rPr>
          <w:rFonts w:ascii="Amiri" w:hAnsi="Amiri" w:eastAsia="Amiri" w:cs="Amiri"/>
          <w:color w:val="111111"/>
          <w:sz w:val="28"/>
          <w:sz w:val="28"/>
          <w:szCs w:val="28"/>
          <w:rtl w:val="true"/>
          <w:lang w:bidi="ar-SA"/>
        </w:rPr>
        <w:t>و الخیریة، و الحکمة، و التّجبُّر، و القهر، و القیّومیّة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الکون المحیط بنا، و ما فیه من بدیع النظام، فیکشف بطریق الإنّ عن علم واسع و قدرة مطلقة عارفة بجمیع الخصوصیات الکامنة فیه، و کلّ القوانین الّتی تسود الکائنات، فمن خلال هذا الطریق، أی مطالعة الکون، یمکن للإنسان أن یهتدی إلی قسم کبیر من الصفات الجمالیة لمبدع الکون و خالقه و قد أمر الکتاب العزیز بسلوک هذا الطریق،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203" w:name="pg2866_38025"/>
    </w:p>
    <w:p>
      <w:pPr>
        <w:pStyle w:val="Heading4"/>
        <w:numPr>
          <w:ilvl w:val="3"/>
          <w:numId w:val="1"/>
        </w:numPr>
        <w:rPr/>
      </w:pPr>
      <w:bookmarkStart w:id="204" w:name="__RefHeading___Toc2819510_1395250215"/>
      <w:bookmarkStart w:id="205" w:name="_Toc70"/>
      <w:bookmarkEnd w:id="203"/>
      <w:bookmarkEnd w:id="204"/>
      <w:r>
        <w:rPr>
          <w:rtl w:val="true"/>
        </w:rPr>
        <w:t>الثانی</w:t>
      </w:r>
      <w:r>
        <w:rPr>
          <w:rtl w:val="true"/>
        </w:rPr>
        <w:t xml:space="preserve">: </w:t>
      </w:r>
      <w:r>
        <w:rPr>
          <w:rtl w:val="true"/>
        </w:rPr>
        <w:t>طریق الوحی الإلهی</w:t>
      </w:r>
      <w:bookmarkEnd w:id="205"/>
    </w:p>
    <w:p>
      <w:pPr>
        <w:pStyle w:val="BookText"/>
        <w:rPr/>
      </w:pPr>
      <w:r>
        <w:rPr>
          <w:rFonts w:ascii="IRNazanin" w:hAnsi="IRNazanin" w:eastAsia="IRNazanin"/>
          <w:color w:val="111111"/>
          <w:sz w:val="28"/>
          <w:sz w:val="28"/>
          <w:szCs w:val="28"/>
          <w:rtl w:val="true"/>
          <w:lang w:bidi="fa-IR"/>
        </w:rPr>
        <w:t>الطریق الثانی لمعرفة صفات اللّه تعالی الوحی الإلهی إلی انبیاء اللّه تعالی و ما روی عن الهداة الإلهیین المعصومین علیهم السلام و ذلک بعد ما ثبت وجوده سبحانه و قسم من صفاته، و وقفنا علی أنّ الأنبیاء مبعوثون من جانب اللّه و صادقون فی أقوالهم و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باختصار، بفضل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خطأ فیه و لا زلل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نقف علی ما فی المبدأ الأعلی من نعوت و شئون، فمن ذلک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القرآنیة و الأحادیث المرویة عن النبیّ صلی الله علیه و آله و عترته المعصومین علیهم السلام بطرق معتبرة</w:t>
      </w:r>
      <w:r>
        <w:rPr>
          <w:rFonts w:eastAsia="IRNazanin" w:cs="IRNazanin"/>
          <w:color w:val="111111"/>
          <w:sz w:val="28"/>
          <w:szCs w:val="28"/>
          <w:rtl w:val="true"/>
          <w:lang w:bidi="fa-IR"/>
        </w:rPr>
        <w:t>.</w:t>
      </w:r>
    </w:p>
    <w:p>
      <w:pPr>
        <w:pStyle w:val="Heading4"/>
        <w:numPr>
          <w:ilvl w:val="3"/>
          <w:numId w:val="1"/>
        </w:numPr>
        <w:rPr/>
      </w:pPr>
      <w:bookmarkStart w:id="206" w:name="__RefHeading___Toc2819512_1395250215"/>
      <w:bookmarkStart w:id="207" w:name="_Toc71"/>
      <w:bookmarkEnd w:id="206"/>
      <w:r>
        <w:rPr>
          <w:rtl w:val="true"/>
        </w:rPr>
        <w:t>الثالث</w:t>
      </w:r>
      <w:r>
        <w:rPr>
          <w:rtl w:val="true"/>
        </w:rPr>
        <w:t xml:space="preserve">: </w:t>
      </w:r>
      <w:r>
        <w:rPr>
          <w:rtl w:val="true"/>
        </w:rPr>
        <w:t>طریق الکشف و الشهود</w:t>
      </w:r>
      <w:bookmarkEnd w:id="2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ثلّة قلیلة یشاهدون بعیون القلوب ما لا یدرک بالأبصار، فیرون جماله و جلاله و صفاته و أفعاله بإدراک قلبی، یدرک لأصحابه و لا یوصف </w:t>
      </w:r>
    </w:p>
    <w:p>
      <w:pPr>
        <w:pStyle w:val="BookText"/>
        <w:rPr/>
      </w:pPr>
      <w:r>
        <w:rPr>
          <w:rFonts w:ascii="IRNazanin" w:hAnsi="IRNazanin" w:eastAsia="IRNazanin"/>
          <w:color w:val="111111"/>
          <w:sz w:val="28"/>
          <w:sz w:val="28"/>
          <w:szCs w:val="28"/>
          <w:rtl w:val="true"/>
          <w:lang w:bidi="fa-IR"/>
        </w:rPr>
        <w:t>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الفتوحات الباطنیة من المکاشفات أو المشاهدات الروحیة و الإلقاءات فی الروع غیر مسدودة، بنصّ الکتاب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یجعل فی قلوبکم نورا تفرّقون به بین الحقّ و الباطل، و تمیّزون به بین الصحیح و الزائف، لا بالبرهنة و الاستدلال بل بالشهود و المکاشفة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النور هو ما یمشی المؤمن فی ضوئه طیلة حیاته فی معاشه و معاده، فی دینه و دنیاه</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الآیات الظاهرة فی أنّ المؤمن یصل إلی معارف </w:t>
      </w:r>
    </w:p>
    <w:p>
      <w:pPr>
        <w:pStyle w:val="BookText"/>
        <w:rPr/>
      </w:pPr>
      <w:r>
        <w:rPr>
          <w:rFonts w:ascii="IRNazanin" w:hAnsi="IRNazanin" w:eastAsia="IRNazanin"/>
          <w:color w:val="111111"/>
          <w:sz w:val="28"/>
          <w:sz w:val="28"/>
          <w:szCs w:val="28"/>
          <w:rtl w:val="true"/>
          <w:lang w:bidi="fa-IR"/>
        </w:rPr>
        <w:t>و حقائق فی ضوء المجاهدة و التقوی، إلی أن یقدر علی رؤیة الجحیم فی هذه الدنیا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لیس کلُّ من رمی، أصاب الغرض، و لیست الحقائق رَمیَّة للنِّبال، و إنّما یصل إلیها الأمثل فالأمثل، فلا یحظی بما ذکرناه من المکاشفات الغیبیة و الفتوحات الباطنیة إلّا النزر القلیل ممّن خلَّص روحه و صفّا قلبه</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2866_38030"/>
      <w:bookmarkStart w:id="209" w:name="pg2866_38030"/>
      <w:bookmarkEnd w:id="209"/>
    </w:p>
    <w:p>
      <w:pPr>
        <w:pStyle w:val="Heading3"/>
        <w:numPr>
          <w:ilvl w:val="2"/>
          <w:numId w:val="1"/>
        </w:numPr>
        <w:rPr/>
      </w:pPr>
      <w:bookmarkStart w:id="210" w:name="pg2866_38030"/>
      <w:bookmarkStart w:id="211" w:name="__RefHeading___Toc2819514_1395250215"/>
      <w:bookmarkStart w:id="212" w:name="_Toc72"/>
      <w:bookmarkEnd w:id="210"/>
      <w:bookmarkEnd w:id="211"/>
      <w:r>
        <w:rPr>
          <w:rtl w:val="true"/>
        </w:rPr>
        <w:t>الفصل الثالث</w:t>
      </w:r>
      <w:r>
        <w:rPr>
          <w:rtl w:val="true"/>
        </w:rPr>
        <w:t>:</w:t>
      </w:r>
      <w:r>
        <w:rPr>
          <w:rtl w:val="true"/>
        </w:rPr>
        <w:t>علمه تعالی</w:t>
      </w:r>
      <w:bookmarkEnd w:id="212"/>
    </w:p>
    <w:p>
      <w:pPr>
        <w:pStyle w:val="Heading4"/>
        <w:numPr>
          <w:ilvl w:val="3"/>
          <w:numId w:val="1"/>
        </w:numPr>
        <w:rPr/>
      </w:pPr>
      <w:bookmarkStart w:id="213" w:name="__RefHeading___Toc2819516_1395250215"/>
      <w:bookmarkStart w:id="214" w:name="_Toc73"/>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لا خلاف بین الإلهیین فی أنّ العلم من صفاته تعالی و أنّ العالم و العلیم من أسمائه سبحانه، لکنَّهم اختلفوا فی کیفیة علمه تعالی بذاته و بغیره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البحث عن مراتب علمه تعالیه و کیفیته یجب أن نبحث عن حقیقة العلم فنقول</w:t>
      </w:r>
      <w:r>
        <w:rPr>
          <w:rFonts w:eastAsia="IRNazanin" w:cs="IRNazanin"/>
          <w:color w:val="111111"/>
          <w:sz w:val="28"/>
          <w:szCs w:val="28"/>
          <w:rtl w:val="true"/>
          <w:lang w:bidi="fa-IR"/>
        </w:rPr>
        <w:t>:</w:t>
      </w:r>
    </w:p>
    <w:p>
      <w:pPr>
        <w:pStyle w:val="Heading4"/>
        <w:numPr>
          <w:ilvl w:val="3"/>
          <w:numId w:val="1"/>
        </w:numPr>
        <w:rPr/>
      </w:pPr>
      <w:bookmarkStart w:id="215" w:name="__RefHeading___Toc2819518_1395250215"/>
      <w:bookmarkStart w:id="216" w:name="_Toc74"/>
      <w:bookmarkEnd w:id="215"/>
      <w:r>
        <w:rPr>
          <w:rtl w:val="true"/>
        </w:rPr>
        <w:t>ما هو العلم؟</w:t>
      </w:r>
      <w:bookmarkEnd w:id="216"/>
    </w:p>
    <w:p>
      <w:pPr>
        <w:pStyle w:val="Heading5"/>
        <w:numPr>
          <w:ilvl w:val="4"/>
          <w:numId w:val="1"/>
        </w:numPr>
        <w:rPr/>
      </w:pPr>
      <w:bookmarkStart w:id="217" w:name="__RefHeading___Toc2819520_1395250215"/>
      <w:bookmarkStart w:id="218" w:name="_Toc75"/>
      <w:bookmarkEnd w:id="217"/>
      <w:r>
        <w:rPr>
          <w:rtl w:val="true"/>
        </w:rPr>
        <w:t>اشارة</w:t>
      </w:r>
      <w:bookmarkEnd w:id="2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العلم بأنّه صورة حاصلة من الشیء فی الذهن، و هذا التعریف لا یشمل إلّا العلم الحصولی، مع أنّ هناک قسما آخر للعلم و هو العلم الحضوری، و الفرق بین القسمین أنّ فی العلم الحصولی ما هو حاضر عند العالم و حاصل له هی الصورة المنتزعة من الشیء و هذه الصورة الذهنیة وسیلة وحیدة لدرک الخارج و إحساسه و لأجل ذلک أصبح الشیء الخارجی معلوماً بالعرض و الصورة الذهنیة معلومة بالذات، و أمّا العلم الحضوری فهو عبارة عن حضور المدرَک من دون توسط أیّ شیء و ذلک کعلم الإنسان بنفسه</w:t>
      </w:r>
      <w:r>
        <w:rPr>
          <w:rFonts w:eastAsia="IRNazanin" w:cs="IRNazanin"/>
          <w:color w:val="111111"/>
          <w:sz w:val="28"/>
          <w:szCs w:val="28"/>
          <w:rtl w:val="true"/>
          <w:lang w:bidi="fa-IR"/>
        </w:rPr>
        <w:t xml:space="preserve">. </w:t>
      </w:r>
      <w:bookmarkStart w:id="219" w:name="pg2866_38031"/>
    </w:p>
    <w:p>
      <w:pPr>
        <w:pStyle w:val="BookText"/>
        <w:rPr/>
      </w:pPr>
      <w:bookmarkEnd w:id="219"/>
      <w:r>
        <w:rPr>
          <w:rFonts w:ascii="IRNazanin" w:hAnsi="IRNazanin" w:eastAsia="IRNazanin"/>
          <w:color w:val="111111"/>
          <w:sz w:val="28"/>
          <w:sz w:val="28"/>
          <w:szCs w:val="28"/>
          <w:rtl w:val="true"/>
          <w:lang w:bidi="fa-IR"/>
        </w:rPr>
        <w:t>علی ضوء ما ذکرناه من تقسیم العلم إلی الحصولی و الحضوری یصحّ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علی وجه الإطلاق عبارة عن حضور المعلوم لدی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یشمل العلم بکلا قسمیه، غیر إنّ الحاضر فی الأوّل هو الصورة الذهنیة دون الواقعیة الخارجیة، و فی الثانی نفس واقعیة المعلوم من دون وسیط بینها و بین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حقیقة العلم، فاعلم أنّ الإلهیّین أجمعوا علی أنّ العلم من صفات اللّه الذاتیة الکمالیة، و أنّ العالم من أسمائه الحسنی، و هذا لم یختلف فیه اثنان علی إجماله، و لکن مع ذلک اختلفوا فی حدود علمه تعالی و کیفیته علی أقوال، یلزمنا البحث عنها لتحقیق الحال فی هذا المجال، فنقول</w:t>
      </w:r>
      <w:r>
        <w:rPr>
          <w:rFonts w:eastAsia="IRNazanin" w:cs="IRNazanin"/>
          <w:color w:val="111111"/>
          <w:sz w:val="28"/>
          <w:szCs w:val="28"/>
          <w:rtl w:val="true"/>
          <w:lang w:bidi="fa-IR"/>
        </w:rPr>
        <w:t>:</w:t>
      </w:r>
    </w:p>
    <w:p>
      <w:pPr>
        <w:pStyle w:val="Heading5"/>
        <w:numPr>
          <w:ilvl w:val="4"/>
          <w:numId w:val="1"/>
        </w:numPr>
        <w:rPr/>
      </w:pPr>
      <w:bookmarkStart w:id="220" w:name="__RefHeading___Toc2819522_1395250215"/>
      <w:bookmarkStart w:id="221" w:name="_Toc76"/>
      <w:bookmarkEnd w:id="220"/>
      <w:r>
        <w:rPr/>
        <w:t>1</w:t>
      </w:r>
      <w:r>
        <w:rPr>
          <w:rtl w:val="true"/>
        </w:rPr>
        <w:t xml:space="preserve">. </w:t>
      </w:r>
      <w:r>
        <w:rPr>
          <w:rtl w:val="true"/>
        </w:rPr>
        <w:t>علمه سبحانه بذاته</w:t>
      </w:r>
      <w:bookmarkEnd w:id="221"/>
    </w:p>
    <w:p>
      <w:pPr>
        <w:pStyle w:val="BookText"/>
        <w:rPr/>
      </w:pPr>
      <w:r>
        <w:rPr>
          <w:rFonts w:ascii="IRNazanin" w:hAnsi="IRNazanin" w:eastAsia="IRNazanin"/>
          <w:color w:val="111111"/>
          <w:sz w:val="28"/>
          <w:sz w:val="28"/>
          <w:szCs w:val="28"/>
          <w:rtl w:val="true"/>
          <w:lang w:bidi="fa-IR"/>
        </w:rPr>
        <w:t>قد ذکروا لإثبات علمه تعالی بذاته وجوهاً من البراهین نکتفی بذکر وجهین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مفیض الکمال لیس فاقدا 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سبحانه خلق الإنسان العالم بذاته علما حضوریا، فمعطی هذا الکمال یجب أن یکون واجداً له علی الوجه الأتمّ و الأکمل، لأنّ فاقد الکمال لا یعطیه، و نحن و إن لم نحط و لن نحیط بخصوصیة حضور ذاته لدی ذاته، </w:t>
      </w:r>
    </w:p>
    <w:p>
      <w:pPr>
        <w:pStyle w:val="BookText"/>
        <w:rPr/>
      </w:pPr>
      <w:r>
        <w:rPr>
          <w:rFonts w:ascii="IRNazanin" w:hAnsi="IRNazanin" w:eastAsia="IRNazanin"/>
          <w:color w:val="111111"/>
          <w:sz w:val="28"/>
          <w:sz w:val="28"/>
          <w:szCs w:val="28"/>
          <w:rtl w:val="true"/>
          <w:lang w:bidi="fa-IR"/>
        </w:rPr>
        <w:t>غیر إنّا نرمز إلی هذا العلم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ذاته لدی ذاته و علمه بها من دون وساطة شیء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التجرّد عن المادة ملاک الحضور</w:t>
      </w:r>
    </w:p>
    <w:p>
      <w:pPr>
        <w:pStyle w:val="BookText"/>
        <w:rPr/>
      </w:pPr>
      <w:r>
        <w:rPr>
          <w:rFonts w:ascii="IRNazanin" w:hAnsi="IRNazanin" w:eastAsia="IRNazanin"/>
          <w:color w:val="111111"/>
          <w:sz w:val="28"/>
          <w:sz w:val="28"/>
          <w:szCs w:val="28"/>
          <w:rtl w:val="true"/>
          <w:lang w:bidi="fa-IR"/>
        </w:rPr>
        <w:t>ملاک الحضور و الشهود العلمی لیس إلّا تجرّد الوجود عن المادّة، فإنّ الموجود المادّی بما أنّه موجود کمّی ذو أبعاض و أجزاء لیس لها وجود جمعی، و یغیب بعض أجزائه عن البعض الآخر، مضافاً إلی أنّه فی تحوّل و تغیّر دائمی، فلا یصحّ للموجود المادّی من حیث إنّه مادّی أن یعلم بذاته، لعدم تحقّق ملاک العلم الّذی هو حضور شیء لدی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الموجود منزّهاً من المادّة و الجزئیة و التبعّض، کانت ذاته حاضرة لدیها حضورا کاملاً و بذلک نشاهد حضور ذواتنا عند ذواتنا، فلو فرضنا موجوداً علی مستوٍ عالٍ من التجرد و البساطة عاریا عن کلّ عوامل الغیبة الّتی هی من خصائص الکائن المادّی، کانت ذاته حاضرة لدیه، و هذا معنی علمه سبحانه بذاته أی حضور ذاته لدی ذاته بأتمّ وجه لتنزّهه عن المادیّة و الترکّب و التفرّق کما تقدّم برهان بساطته عند البحث عن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الإجابة عن إشکال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استشکل علی علمه تعالی بذاته بأنّ لازم العلم بشیء المغایرة و الاثنینیة بین العالم و المعلوم، فعلمه تعالی بذاته یستلزم مغایرة و اثنینیة فی ذاته سبحانه و هو محال</w:t>
      </w:r>
      <w:r>
        <w:rPr>
          <w:rFonts w:eastAsia="IRNazanin" w:cs="IRNazanin"/>
          <w:color w:val="111111"/>
          <w:sz w:val="28"/>
          <w:szCs w:val="28"/>
          <w:rtl w:val="true"/>
          <w:lang w:bidi="fa-IR"/>
        </w:rPr>
        <w:t xml:space="preserve">. </w:t>
      </w:r>
      <w:bookmarkStart w:id="222" w:name="pg2866_38033"/>
    </w:p>
    <w:p>
      <w:pPr>
        <w:pStyle w:val="BookText"/>
        <w:rPr/>
      </w:pPr>
      <w:bookmarkEnd w:id="222"/>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المغایرة الاعتباریة تکفی لانتزاع عناوین العلم و المعلوم و العالم من ذات واحدة، و لیس التغایر الحقیقی من خواصّ العلم حتی یستشکل فی علم الذات بنفس ذاته بتوحّد العالم و المعلوم، بل الملاک کلّه هو الحضور، و هذا حاصل فی الموجود المجرّد کما تقدّم</w:t>
      </w:r>
      <w:r>
        <w:rPr>
          <w:rFonts w:eastAsia="IRNazanin" w:cs="IRNazanin"/>
          <w:color w:val="111111"/>
          <w:sz w:val="28"/>
          <w:szCs w:val="28"/>
          <w:rtl w:val="true"/>
          <w:lang w:bidi="fa-IR"/>
        </w:rPr>
        <w:t>.</w:t>
      </w:r>
    </w:p>
    <w:p>
      <w:pPr>
        <w:pStyle w:val="Heading5"/>
        <w:numPr>
          <w:ilvl w:val="4"/>
          <w:numId w:val="1"/>
        </w:numPr>
        <w:rPr/>
      </w:pPr>
      <w:bookmarkStart w:id="223" w:name="__RefHeading___Toc2819524_1395250215"/>
      <w:bookmarkStart w:id="224" w:name="_Toc77"/>
      <w:bookmarkEnd w:id="223"/>
      <w:r>
        <w:rPr/>
        <w:t>2</w:t>
      </w:r>
      <w:r>
        <w:rPr>
          <w:rtl w:val="true"/>
        </w:rPr>
        <w:t xml:space="preserve">. </w:t>
      </w:r>
      <w:r>
        <w:rPr>
          <w:rtl w:val="true"/>
        </w:rPr>
        <w:t>علمه سبحانه بالأشیاء قبل إیجادها</w:t>
      </w:r>
      <w:bookmarkEnd w:id="224"/>
    </w:p>
    <w:p>
      <w:pPr>
        <w:pStyle w:val="BookText"/>
        <w:rPr/>
      </w:pPr>
      <w:r>
        <w:rPr>
          <w:rFonts w:ascii="IRNazanin" w:hAnsi="IRNazanin" w:eastAsia="IRNazanin"/>
          <w:color w:val="111111"/>
          <w:sz w:val="28"/>
          <w:sz w:val="28"/>
          <w:szCs w:val="28"/>
          <w:rtl w:val="true"/>
          <w:lang w:bidi="fa-IR"/>
        </w:rPr>
        <w:t>إنّ علمه سبحانه بالأشیاء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قبل الإیجاد أی علمه بالأشیاء فی مقام ذاته سبحانه، و علم بعد الإیجاد أی علمه بالأشیاء فی مقام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نستدلّ علی القسم الأوّل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بالسّبب علم بالمسبَّب</w:t>
      </w:r>
    </w:p>
    <w:p>
      <w:pPr>
        <w:pStyle w:val="BookText"/>
        <w:rPr/>
      </w:pPr>
      <w:r>
        <w:rPr>
          <w:rFonts w:ascii="IRNazanin" w:hAnsi="IRNazanin" w:eastAsia="IRNazanin"/>
          <w:color w:val="111111"/>
          <w:sz w:val="28"/>
          <w:sz w:val="28"/>
          <w:szCs w:val="28"/>
          <w:rtl w:val="true"/>
          <w:lang w:bidi="fa-IR"/>
        </w:rPr>
        <w:t>إنّ العلم بالسّبب و العلّة بما هو سبب و علّة، علم بالمسبّب، و المراد من العلم بالسبب و العلّة، العلم بالحیثیة الّتی صارت مبدأ لوجود المعلول و حدوثه، و لتوضیح هذه القاعدة نمثّل بمثالین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المنجّم العارف بالقوانین الفلکیّة و المحاسبات الکونیّة یقف علی أنّ الخسوف و الکسوف أو ما شاکل ذلک یتحقّق فی وقت أو وضع خاص، و لیس علمه بهذه الطوارئ ، إلّا من جهة علمه بالعلّة من حیث هی علّة لکذا و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الطبیب العارف بحالات النبض و أنواعه و أحوال القلب و أوضاعه یقدر علی التنبّؤ بما سیصیب المریض فی مستقبل أیّامه و لیس هذا العلم إلّا من جهة علمه بالعلّة من حیث هی علّة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کیفیة حصول العلم بالمعلول قبل إیجاده من العلم بالعلّة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بأجمعه معلول لوجوده سبحانه، و ذاته تعالی علّة له، و قد تقدّم انَّ ذاته سبحانه عالم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بالذات علم بالحیثیّة الّتی صدر منها الکون بأجمعه، و العلم بتلک الحیثیّة یلازم العلم بالمعلول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کانت علّة للأشیاء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بالعلّة یستلزم العلم بمعلولها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فتعقّلها من هذه الجهة لا بدّ أن یکون علی ترتیب صدورها واحداً بعد واحد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إتقان الصنع یدلّ علی علم الصانع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المصنوع من جهة الترتیب الّذی فی أجزائه و من جهة موافقة جمیع الأجزاء للغرض المقصود من ذلک المصنوع، یدلّ علی أنّه لم یحدث عن فاعل غیر عالم بتلک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بما انّه مخلوق للّه سبحانه یدلّ ما فیه من بدیع الخلق و دقیق الترکیب علی أنّ خالقه عالم بما خلق، علیم بما صنع، فالخصوصیات المکنونة فی المخلوق ترشدنا إلی صفات صانعه و قد أشار القرآن الکریم إلی هذا الدلیل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25" w:name="pg2866_38036"/>
    </w:p>
    <w:p>
      <w:pPr>
        <w:pStyle w:val="BookText"/>
        <w:rPr/>
      </w:pPr>
      <w:bookmarkEnd w:id="225"/>
      <w:r>
        <w:rPr>
          <w:rFonts w:ascii="IRNazanin" w:hAnsi="IRNazanin" w:eastAsia="IRNazanin"/>
          <w:color w:val="111111"/>
          <w:sz w:val="28"/>
          <w:sz w:val="28"/>
          <w:szCs w:val="28"/>
          <w:rtl w:val="true"/>
          <w:lang w:bidi="fa-IR"/>
        </w:rPr>
        <w:t xml:space="preserve">و قال الإمام علی بن موسی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خلق الخلق بقدرته، أتقن ما خلق بحکمته، و وضع کلّ شیء منه موضعه بعلمه</w:t>
      </w:r>
      <w:r>
        <w:rPr>
          <w:rFonts w:eastAsia="IRNazanin" w:cs="IRNazanin"/>
          <w:color w:val="111111"/>
          <w:sz w:val="28"/>
          <w:szCs w:val="28"/>
          <w:rtl w:val="true"/>
          <w:lang w:bidi="fa-IR"/>
        </w:rPr>
        <w:t xml:space="preserve">». </w:t>
      </w:r>
      <w:r>
        <w:rPr>
          <w:rStyle w:val="FootnoteAnchor"/>
          <w:rtl w:val="true"/>
        </w:rPr>
        <w:footnoteReference w:id="110"/>
      </w:r>
    </w:p>
    <w:p>
      <w:pPr>
        <w:pStyle w:val="Heading5"/>
        <w:numPr>
          <w:ilvl w:val="4"/>
          <w:numId w:val="1"/>
        </w:numPr>
        <w:rPr/>
      </w:pPr>
      <w:bookmarkStart w:id="226" w:name="__RefHeading___Toc2819526_1395250215"/>
      <w:bookmarkStart w:id="227" w:name="_Toc78"/>
      <w:bookmarkEnd w:id="226"/>
      <w:r>
        <w:rPr/>
        <w:t>3</w:t>
      </w:r>
      <w:r>
        <w:rPr>
          <w:rtl w:val="true"/>
        </w:rPr>
        <w:t xml:space="preserve">. </w:t>
      </w:r>
      <w:r>
        <w:rPr>
          <w:rtl w:val="true"/>
        </w:rPr>
        <w:t>علمه سبحانه بالأشیاء بعد إیجادها</w:t>
      </w:r>
      <w:bookmarkEnd w:id="227"/>
    </w:p>
    <w:p>
      <w:pPr>
        <w:pStyle w:val="BookText"/>
        <w:rPr/>
      </w:pPr>
      <w:r>
        <w:rPr>
          <w:rFonts w:ascii="IRNazanin" w:hAnsi="IRNazanin" w:eastAsia="IRNazanin"/>
          <w:color w:val="111111"/>
          <w:sz w:val="28"/>
          <w:sz w:val="28"/>
          <w:szCs w:val="28"/>
          <w:rtl w:val="true"/>
          <w:lang w:bidi="fa-IR"/>
        </w:rPr>
        <w:t>إنّ کلّ ممکن، معلول فی تحقّقه للّه سبحانه، و لیس للمعلولیة معنی سوی تعلّق وجود المعلول بعلّته و قیامه بها قیاماً کقیام المعنی الحرفی بالمعنی الاسمی، فکما أنّ المعنی الحرفی بکلّ شئونه قائم بالمعنی الاسمی فهکذا المعلول قائم بعلّته المفیضة لوجوده، و ما هذا شأنه لا یکون خارجا عن وجود علّته، إذ الخروج عن حیطته یلازم الاستقلال و هو لا یجتمع مع کونه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 الوقوع فی حیطته، و عدم الخروج عنها، کون الأشیاء کلّها حاضرة لدی ذاته و الحضور هو العلم، لما عرفت من أنّ العلم عبارة عن حضور المعلوم لدی العالم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یترتّب علی ذلک أنّ العالم کما هو فعله، فکذلک علمه سبحانه، و علی سبیل التقریب لاحظ الصور الذهنیة الّتی تخلقها النفس فی وعاء الذهن، فهی فعل النفس و فی نفس الوقت علمها، و لا تحتاج النفس فی العلم بتلک الصور إلی صور ثانیة، و کما أنّ النفس محیطة بتلک الصور و هی قائمة بفاعلها و خالقها، فهکذا العالم دقیقه و جلیله مخلوق للّه سبحانه قائم به و هو </w:t>
      </w:r>
      <w:bookmarkStart w:id="228" w:name="pg2866_38037"/>
    </w:p>
    <w:p>
      <w:pPr>
        <w:pStyle w:val="BookText"/>
        <w:rPr/>
      </w:pPr>
      <w:bookmarkEnd w:id="228"/>
      <w:r>
        <w:rPr>
          <w:rFonts w:ascii="IRNazanin" w:hAnsi="IRNazanin" w:eastAsia="IRNazanin"/>
          <w:color w:val="111111"/>
          <w:sz w:val="28"/>
          <w:sz w:val="28"/>
          <w:szCs w:val="28"/>
          <w:rtl w:val="true"/>
          <w:lang w:bidi="fa-IR"/>
        </w:rPr>
        <w:t>محیط به، فعلم اللّه و فعله مفهومان مختلفان، و لکنّهما متصادقان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بما تعرّفت أنّ علمه بأفعاله بعد إیجادها حضوری، کما أنّ علمه سبحانه بذاته و بأفعاله قبل إیجادها حضوریّ، فإنّ المناط فی کون العلم حضوریاً هو حصول نفس المعلوم و حضوره لدی العالم لا حضور صورته و ماهیته، و هذا المناط متحقّق فی علمه تعالی بذاته و بأفعاله مطلقاً</w:t>
      </w:r>
      <w:r>
        <w:rPr>
          <w:rFonts w:eastAsia="IRNazanin" w:cs="IRNazanin"/>
          <w:color w:val="111111"/>
          <w:sz w:val="28"/>
          <w:szCs w:val="28"/>
          <w:rtl w:val="true"/>
          <w:lang w:bidi="fa-IR"/>
        </w:rPr>
        <w:t>.</w:t>
      </w:r>
    </w:p>
    <w:p>
      <w:pPr>
        <w:pStyle w:val="Heading4"/>
        <w:numPr>
          <w:ilvl w:val="3"/>
          <w:numId w:val="1"/>
        </w:numPr>
        <w:rPr/>
      </w:pPr>
      <w:bookmarkStart w:id="229" w:name="__RefHeading___Toc2819528_1395250215"/>
      <w:bookmarkStart w:id="230" w:name="_Toc79"/>
      <w:bookmarkEnd w:id="229"/>
      <w:r>
        <w:rPr>
          <w:rtl w:val="true"/>
        </w:rPr>
        <w:t>علمه تعالی بالجزئیات</w:t>
      </w:r>
      <w:bookmarkEnd w:id="230"/>
    </w:p>
    <w:p>
      <w:pPr>
        <w:pStyle w:val="BookText"/>
        <w:rPr/>
      </w:pPr>
      <w:r>
        <w:rPr>
          <w:rFonts w:ascii="IRNazanin" w:hAnsi="IRNazanin" w:eastAsia="IRNazanin"/>
          <w:color w:val="111111"/>
          <w:sz w:val="28"/>
          <w:sz w:val="28"/>
          <w:szCs w:val="28"/>
          <w:rtl w:val="true"/>
          <w:lang w:bidi="fa-IR"/>
        </w:rPr>
        <w:t>و الإمعان فیما ذکرنا حول الموجودات الإمکانیة یوضح لزوم علمه سبحانه بالجزئیات وضوحاً کاملاً، و ذلک لما تقدّم أنّ نفس وجود کلّ شیء عین معلومیته للّه تعالی و لا فرق فی مناط هذا الحکم بین المجرّد و المادّی، و الکلّی و الجزئی، فکما أنّ الموجود الثابت معلوم له تعالی بثباته، کذلک الموجود المتغیّر معلوم للّه سبحانه بتغیّره و تبدّله فالإفاضة التدریجیّة، و الحضور بوصف التدرّج لدیه سبحانه یلازم علمه تبارک و تعالی بالجزئیات الخارجیّة</w:t>
      </w:r>
      <w:r>
        <w:rPr>
          <w:rFonts w:eastAsia="IRNazanin" w:cs="IRNazanin"/>
          <w:color w:val="111111"/>
          <w:sz w:val="28"/>
          <w:szCs w:val="28"/>
          <w:rtl w:val="true"/>
          <w:lang w:bidi="fa-IR"/>
        </w:rPr>
        <w:t>.</w:t>
      </w:r>
    </w:p>
    <w:p>
      <w:pPr>
        <w:pStyle w:val="Heading4"/>
        <w:numPr>
          <w:ilvl w:val="3"/>
          <w:numId w:val="1"/>
        </w:numPr>
        <w:rPr/>
      </w:pPr>
      <w:bookmarkStart w:id="231" w:name="__RefHeading___Toc2819530_1395250215"/>
      <w:bookmarkStart w:id="232" w:name="_Toc80"/>
      <w:bookmarkEnd w:id="231"/>
      <w:r>
        <w:rPr>
          <w:rtl w:val="true"/>
        </w:rPr>
        <w:t>شبهات المنکرین</w:t>
      </w:r>
      <w:bookmarkEnd w:id="2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برهان علمه سبحانه بالجزئیات، و بقی الکلام فی تحلیل الشبهات الّتی أُثیرت فی هذا المجال، و إلیک بیانها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بالجزئیات یلازم التغیّر فی علمه تعالی</w:t>
      </w:r>
    </w:p>
    <w:p>
      <w:pPr>
        <w:pStyle w:val="BookText"/>
        <w:rPr/>
      </w:pPr>
      <w:r>
        <w:rPr>
          <w:rFonts w:ascii="IRNazanin" w:hAnsi="IRNazanin" w:eastAsia="IRNazanin"/>
          <w:color w:val="111111"/>
          <w:sz w:val="28"/>
          <w:sz w:val="28"/>
          <w:szCs w:val="28"/>
          <w:rtl w:val="true"/>
          <w:lang w:bidi="fa-IR"/>
        </w:rPr>
        <w:t>قالوا لو علم سبحانه ما یجری فی الکون من الجزئیات لزم تغیّر علمه بتغیّر المعلوم و إلّا لانتفت المطابقة، و علی هذا فهو سبحانه إنّما یعلم الجزئیات من حیث هی ماهیات معقولة لا بما هی جزئیة 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الشبهة قائمة علی فرض کون علمه سبحانه بالأشیاء علماً حصولیاً علی طریق الصور المرتسمة القائمة بذاته سبحانه، و عند ذلک یکون التغیّر فی المعلوم ملازما لتغیّر الصور القائمة به سبحانه و یلزم علی ذلک کون ذاته محلاً للتغیّر و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علمه تعالی بالموجودات حضوری بمعنی أنّ الأشیاء بهویّاتها الخارجیة و حقائقها العینیة حاضرة لدیه سبحانه، فلا مانع من القول بطروء التغیّر علی علمه سبحانه إثر طروء التغیّر علی الموجودات العینیة، فإنّ التغیّر الممتنع علی علمه إنّما هو العلم الموصوف بالعلم الذاتی، و أمّا العلم الفعلی أی العلم فی مقام الفعل، فلا مانع من تغیّره کتغیّر فعله، فإنّ العلم فی مقام الفعل لا یعدو عن کون نفس الفعل علمه لا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إدراک الجزئیات یحتاج إلی آلة</w:t>
      </w:r>
    </w:p>
    <w:p>
      <w:pPr>
        <w:pStyle w:val="BookText"/>
        <w:rPr/>
      </w:pPr>
      <w:r>
        <w:rPr>
          <w:rFonts w:ascii="IRNazanin" w:hAnsi="IRNazanin" w:eastAsia="IRNazanin"/>
          <w:color w:val="111111"/>
          <w:sz w:val="28"/>
          <w:sz w:val="28"/>
          <w:szCs w:val="28"/>
          <w:rtl w:val="true"/>
          <w:lang w:bidi="fa-IR"/>
        </w:rPr>
        <w:t>إنّ إدراک الجزئیات یحتاج إلی أدوات مادّیة و آلات جسمانیة، و هو سبحانه منزّه عن الجسم و لوازمه الجسمانیة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هذه الشبهة واضح، فإنّ العلم بالجزئیات عن طریق </w:t>
      </w:r>
      <w:bookmarkStart w:id="233" w:name="pg2866_38039"/>
    </w:p>
    <w:p>
      <w:pPr>
        <w:pStyle w:val="BookText"/>
        <w:rPr/>
      </w:pPr>
      <w:bookmarkEnd w:id="233"/>
      <w:r>
        <w:rPr>
          <w:rFonts w:ascii="IRNazanin" w:hAnsi="IRNazanin" w:eastAsia="IRNazanin"/>
          <w:color w:val="111111"/>
          <w:sz w:val="28"/>
          <w:sz w:val="28"/>
          <w:szCs w:val="28"/>
          <w:rtl w:val="true"/>
          <w:lang w:bidi="fa-IR"/>
        </w:rPr>
        <w:t>الأدوات المادّیة إنّما هو شأن من لم یحط الأشیاء إحاطة قیّومیّة، و لم تکن الأشیاء قائمة به حاضرة لدیه، کالإنسان فی علمه الحصولی بالجزئیات الخارجیة، فإنّ علمه بها لمّا کان عن طریق انتزاع الصور بوسیلة الأدوات الحسیّة کان إدراک الجزئیات متوقّفاً علی تلک الأدوات، و أمّا الواجب عزّ اسمه فلمّا کان علمه عن طریق إحاطته بالأشیاء و قیامها به قیاماً حقیقیاً فلا یتوقّف علمه بها علی الأدوات و إعمالها</w:t>
      </w:r>
      <w:r>
        <w:rPr>
          <w:rFonts w:eastAsia="IRNazanin" w:cs="IRNazanin"/>
          <w:color w:val="111111"/>
          <w:sz w:val="28"/>
          <w:szCs w:val="28"/>
          <w:rtl w:val="true"/>
          <w:lang w:bidi="fa-IR"/>
        </w:rPr>
        <w:t>.</w:t>
      </w:r>
    </w:p>
    <w:p>
      <w:pPr>
        <w:pStyle w:val="Heading4"/>
        <w:numPr>
          <w:ilvl w:val="3"/>
          <w:numId w:val="1"/>
        </w:numPr>
        <w:rPr/>
      </w:pPr>
      <w:bookmarkStart w:id="234" w:name="__RefHeading___Toc2819532_1395250215"/>
      <w:bookmarkStart w:id="235" w:name="_Toc81"/>
      <w:bookmarkEnd w:id="234"/>
      <w:r>
        <w:rPr>
          <w:rtl w:val="true"/>
        </w:rPr>
        <w:t>تکملة</w:t>
      </w:r>
      <w:bookmarkEnd w:id="235"/>
    </w:p>
    <w:p>
      <w:pPr>
        <w:pStyle w:val="BookText"/>
        <w:rPr/>
      </w:pPr>
      <w:r>
        <w:rPr>
          <w:rFonts w:ascii="IRNazanin" w:hAnsi="IRNazanin" w:eastAsia="IRNazanin"/>
          <w:color w:val="111111"/>
          <w:sz w:val="28"/>
          <w:sz w:val="28"/>
          <w:szCs w:val="28"/>
          <w:rtl w:val="true"/>
          <w:lang w:bidi="fa-IR"/>
        </w:rPr>
        <w:t xml:space="preserve">قد ورد فی الشریعة الإسلامیة الحقّة توصیفه تعالی بالسمع و البصر و عدّ السمیع و البصیر من أسمائه سبحانه </w:t>
      </w:r>
      <w:r>
        <w:rPr>
          <w:rStyle w:val="FootnoteAnchor"/>
          <w:rtl w:val="true"/>
        </w:rPr>
        <w:footnoteReference w:id="111"/>
      </w:r>
      <w:r>
        <w:rPr>
          <w:rFonts w:ascii="IRNazanin" w:hAnsi="IRNazanin" w:eastAsia="IRNazanin"/>
          <w:color w:val="111111"/>
          <w:sz w:val="28"/>
          <w:sz w:val="28"/>
          <w:szCs w:val="28"/>
          <w:rtl w:val="true"/>
          <w:lang w:bidi="fa-IR"/>
        </w:rPr>
        <w:t>و الحقّ أنّ سمعه و بصره تعالی لیسا و صفین یغایران وصف العلم، إنمّا المغایرة بلحاظ المفهوم لا من حیث الحقیقة و المصداق، فقد عرفت أنّ جمیع العوالم الإمکانیة حاضرة لدیه سبحانه، فالأشیاء علی الاطلاق، و المسموعات، و المبصرات خصوصاً، أفعاله سبحانه، و فی الوقت نفسه 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الملاک المتقدّم و إن کان موجوداً فی المشمومات و المذوقات و الملموسات، فإنّها أیضاً حاضرة لدیه سبحانه کالمسموعات و المبصرات، لکن لمّا کان إطلاق هذه الاسماء ملازما للمادّة و الإحساس فی أذهان الناس، لم یصحّ إطلاق اللامس و الذائق و الشامّ علیه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الغایات الّتی یرشد إلیها الذکر الحکیم فی مقام التوصیف </w:t>
      </w:r>
    </w:p>
    <w:p>
      <w:pPr>
        <w:pStyle w:val="BookText"/>
        <w:rPr/>
      </w:pPr>
      <w:r>
        <w:rPr>
          <w:rFonts w:ascii="IRNazanin" w:hAnsi="IRNazanin" w:eastAsia="IRNazanin"/>
          <w:color w:val="111111"/>
          <w:sz w:val="28"/>
          <w:sz w:val="28"/>
          <w:szCs w:val="28"/>
          <w:rtl w:val="true"/>
          <w:lang w:bidi="fa-IR"/>
        </w:rPr>
        <w:t>بالسمیع و البصیر هو إیقاف الإنسان علی أنّ ربّه سمیع یسمع ما یتلفّظه من کلام، بصیر یری کلّ عمل یصدر منه فیحاسبه یوماً حسب ما سمعه و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المتکلمین قد عدّ الإدراک من صفاته تعالی و المدرِک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أسمائه، تبعاً لقوله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شکّ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بحکم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لکن الکلام فی أنّ الإدراک هل هو وصف وراء العلم بالکلیات و الجزئیات؟ أو هو یعادل العلم و یرادفه؟ أو هو علم خاص؟ و الأقرب هو الأخیر و هو العلم بالموجودات الجزئیة العینیة، فإدراکه سبحانه هو شهود الأشیاء الخارجیة و وقوفه علیه وقوفاً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یَکْفِ بِرَبِّکَ أَنَّهُ عَلیٰ کُلِّ شَیْءٍ شَهِیدٌ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236" w:name="pg2866_38041"/>
    </w:p>
    <w:p>
      <w:pPr>
        <w:pStyle w:val="Heading3"/>
        <w:numPr>
          <w:ilvl w:val="2"/>
          <w:numId w:val="1"/>
        </w:numPr>
        <w:rPr/>
      </w:pPr>
      <w:bookmarkStart w:id="237" w:name="__RefHeading___Toc2819534_1395250215"/>
      <w:bookmarkStart w:id="238" w:name="_Toc82"/>
      <w:bookmarkEnd w:id="236"/>
      <w:bookmarkEnd w:id="237"/>
      <w:r>
        <w:rPr>
          <w:rtl w:val="true"/>
        </w:rPr>
        <w:t>الفصل الرابع</w:t>
      </w:r>
      <w:r>
        <w:rPr>
          <w:rtl w:val="true"/>
        </w:rPr>
        <w:t>:</w:t>
      </w:r>
      <w:r>
        <w:rPr>
          <w:rtl w:val="true"/>
        </w:rPr>
        <w:t>قدرته تعالی</w:t>
      </w:r>
      <w:bookmarkEnd w:id="238"/>
    </w:p>
    <w:p>
      <w:pPr>
        <w:pStyle w:val="Heading4"/>
        <w:numPr>
          <w:ilvl w:val="3"/>
          <w:numId w:val="1"/>
        </w:numPr>
        <w:rPr/>
      </w:pPr>
      <w:bookmarkStart w:id="239" w:name="__RefHeading___Toc2819536_1395250215"/>
      <w:bookmarkStart w:id="240" w:name="_Toc83"/>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اتّفق الإلهیّون علی أنّ القدرة من صفاته الذاتیة الکمالیة کالعلم، و لأجل ذلک یعدّ القادر و القدیر من أسمائه سبحانه، لکنّهم اختلفوا فی حقیقة قدرته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تعریف القدرة أوّلاً و بیان المعنی المناسب لساحته تعالی من القدرة ثانیاً</w:t>
      </w:r>
      <w:r>
        <w:rPr>
          <w:rFonts w:eastAsia="IRNazanin" w:cs="IRNazanin"/>
          <w:color w:val="111111"/>
          <w:sz w:val="28"/>
          <w:szCs w:val="28"/>
          <w:rtl w:val="true"/>
          <w:lang w:bidi="fa-IR"/>
        </w:rPr>
        <w:t>.</w:t>
      </w:r>
    </w:p>
    <w:p>
      <w:pPr>
        <w:pStyle w:val="Heading4"/>
        <w:numPr>
          <w:ilvl w:val="3"/>
          <w:numId w:val="1"/>
        </w:numPr>
        <w:rPr/>
      </w:pPr>
      <w:bookmarkStart w:id="241" w:name="__RefHeading___Toc2819538_1395250215"/>
      <w:bookmarkStart w:id="242" w:name="_Toc84"/>
      <w:bookmarkEnd w:id="241"/>
      <w:r>
        <w:rPr>
          <w:rtl w:val="true"/>
        </w:rPr>
        <w:t>تعریف القدرة</w:t>
      </w:r>
      <w:bookmarkEnd w:id="242"/>
    </w:p>
    <w:p>
      <w:pPr>
        <w:pStyle w:val="BookText"/>
        <w:rPr/>
      </w:pPr>
      <w:r>
        <w:rPr>
          <w:rFonts w:ascii="IRNazanin" w:hAnsi="IRNazanin" w:eastAsia="IRNazanin"/>
          <w:color w:val="111111"/>
          <w:sz w:val="28"/>
          <w:sz w:val="28"/>
          <w:szCs w:val="28"/>
          <w:rtl w:val="true"/>
          <w:lang w:bidi="fa-IR"/>
        </w:rPr>
        <w:t>إنّ هناک تعریفین للقدرة مشهورین</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عبارة عن صحّة الفعل و الترک، و المراد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فالقادر هو الّذی یصحّ أن یفعل و أن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عبارة عن صدور الفعل بالمشیّة و الاختیار، فالقادر من إن شاء فعل و إن لم یشأ لم یفعل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علی التعریف الأوّل بأنّ الإمکان المأخوذ فی التعریف، إمّا إمکان ماهوی یقع وصفاً للماهیة، أو إمکان استعدادی یقع وصفاً للمادّة؛ </w:t>
      </w:r>
      <w:bookmarkStart w:id="243" w:name="pg2866_38042"/>
    </w:p>
    <w:p>
      <w:pPr>
        <w:pStyle w:val="BookText"/>
        <w:rPr/>
      </w:pPr>
      <w:bookmarkEnd w:id="243"/>
      <w:r>
        <w:rPr>
          <w:rFonts w:ascii="IRNazanin" w:hAnsi="IRNazanin" w:eastAsia="IRNazanin"/>
          <w:color w:val="111111"/>
          <w:sz w:val="28"/>
          <w:sz w:val="28"/>
          <w:szCs w:val="28"/>
          <w:rtl w:val="true"/>
          <w:lang w:bidi="fa-IR"/>
        </w:rPr>
        <w:t>و علی کلا التقدیرین لا یصحّ أخذه فی تعریف قدرته سبحانه، لأنّ اللّه تعالی منزّه عن الماهیة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المشیّة فی التعریف الثانی هو الاختیار الذاتی له سبحانه، فهو تعالی یفعل باختیاره الذاتی و یترک کذلک، أی لیس فعله و ترکه لازماً علیه، لعدم وجود قدرة غالبة تضطرّه علی الفعل أو الترک</w:t>
      </w:r>
      <w:r>
        <w:rPr>
          <w:rFonts w:eastAsia="IRNazanin" w:cs="IRNazanin"/>
          <w:color w:val="111111"/>
          <w:sz w:val="28"/>
          <w:szCs w:val="28"/>
          <w:rtl w:val="true"/>
          <w:lang w:bidi="fa-IR"/>
        </w:rPr>
        <w:t>.</w:t>
      </w:r>
    </w:p>
    <w:p>
      <w:pPr>
        <w:pStyle w:val="Heading4"/>
        <w:numPr>
          <w:ilvl w:val="3"/>
          <w:numId w:val="1"/>
        </w:numPr>
        <w:rPr/>
      </w:pPr>
      <w:bookmarkStart w:id="244" w:name="__RefHeading___Toc2819540_1395250215"/>
      <w:bookmarkStart w:id="245" w:name="_Toc85"/>
      <w:bookmarkEnd w:id="244"/>
      <w:r>
        <w:rPr>
          <w:rtl w:val="true"/>
        </w:rPr>
        <w:t>برهان قدرته تعالی</w:t>
      </w:r>
      <w:bookmarkEnd w:id="245"/>
    </w:p>
    <w:p>
      <w:pPr>
        <w:pStyle w:val="BookText"/>
        <w:rPr/>
      </w:pPr>
      <w:r>
        <w:rPr>
          <w:rFonts w:ascii="IRNazanin" w:hAnsi="IRNazanin" w:eastAsia="IRNazanin"/>
          <w:color w:val="111111"/>
          <w:sz w:val="28"/>
          <w:sz w:val="28"/>
          <w:szCs w:val="28"/>
          <w:rtl w:val="true"/>
          <w:lang w:bidi="fa-IR"/>
        </w:rPr>
        <w:t>إذا کان الفعل متَّسماً بالإحکام و الإتقان، و الجمال و البهاء یدلّ ذلک علی علم الفاعل بتلک الجهات و قدرته علی إیجاد مثل ذلک الصنع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نری أنّه سبحانه عند ما یصف روائع أفعاله و بدائع صنعه فی آیات الذکر الحکیم، یختمها بذکر علمه تعالی و قدرته،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فالإحکام و الإتقان فی الفعل آیتا العلم و علامتا القدرة، و إنّا نری فی کلمات الإمام علی علیه السلام أنّه یستند فی البرهنة علی قدرته تعالی بروعة فعله و جمال صنعه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أرانا من ملکوت قدرته و عجائب ما نطقت به آثار حکمته</w:t>
      </w:r>
      <w:r>
        <w:rPr>
          <w:rFonts w:eastAsia="IRNazanin" w:cs="IRNazanin"/>
          <w:color w:val="111111"/>
          <w:sz w:val="28"/>
          <w:szCs w:val="28"/>
          <w:rtl w:val="true"/>
          <w:lang w:bidi="fa-IR"/>
        </w:rPr>
        <w:t xml:space="preserve">». </w:t>
      </w:r>
      <w:r>
        <w:rPr>
          <w:rStyle w:val="FootnoteAnchor"/>
          <w:rtl w:val="true"/>
        </w:rPr>
        <w:footnoteReference w:id="116"/>
      </w:r>
      <w:bookmarkStart w:id="246" w:name="pg2866_38044"/>
    </w:p>
    <w:p>
      <w:pPr>
        <w:pStyle w:val="BookText"/>
        <w:rPr/>
      </w:pPr>
      <w:bookmarkEnd w:id="246"/>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اقام من شواهد البیّنات علی لطیف صنعته و عظیم قدرته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 من الأشیاء أودها، و نهج حدودها، و لائم بقدرته بین متضادّها</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247" w:name="__RefHeading___Toc2819542_1395250215"/>
      <w:bookmarkStart w:id="248" w:name="_Toc86"/>
      <w:bookmarkEnd w:id="247"/>
      <w:r>
        <w:rPr>
          <w:rtl w:val="true"/>
        </w:rPr>
        <w:t>سعة قدرته تعالی</w:t>
      </w:r>
      <w:bookmarkEnd w:id="248"/>
    </w:p>
    <w:p>
      <w:pPr>
        <w:pStyle w:val="BookText"/>
        <w:rPr/>
      </w:pPr>
      <w:r>
        <w:rPr>
          <w:rFonts w:ascii="IRNazanin" w:hAnsi="IRNazanin" w:eastAsia="IRNazanin"/>
          <w:color w:val="111111"/>
          <w:sz w:val="28"/>
          <w:sz w:val="28"/>
          <w:szCs w:val="28"/>
          <w:rtl w:val="true"/>
          <w:lang w:bidi="fa-IR"/>
        </w:rPr>
        <w:t xml:space="preserve">إنّ الفطرة البشریة تقضی بأنّ الکمال المطلق الّذی ینجذب إلیه الإنسان قادر علی کلّ شیء ممکن، و لا یتبادر إلی الأذهان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تشکیک المشکّکین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لقدرته حدوداً، أو أنّه قادر علی شیء دون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له سواء علماً و قدرةً و سلطاناً و ملکاً و إحاطةً</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العقل الفلسفی یؤیّد هذا القضاء الفطری، لأنّ وجوده سبحانه غیر محدود و لا متناه، و ما هو غیر متناه فی الوجود، غیر متناه فی الکمال و الجمال، لأنّ منبع الکمال هو الوجود، فعدم التناهی فی جانب الوجود یلازم عدمه فی جانب الکمال، و أیّ کمال أبهیٰ من القدرة، فهی غیر متناهیة تبعاً لعدم تناهی وجوده و کماله و النصوص الدینیة أیضاً دالّة علی سعة قدرته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 کُلِّ شَیْءٍ قَدِیراً</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 کُلِّ شَیْءٍ مُقْتَدِراً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صرّح بعمومیة قدرته تعالی فی الأحادیث المرویّة عن أئمة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شبهات فی المقام</w:t>
      </w:r>
    </w:p>
    <w:p>
      <w:pPr>
        <w:pStyle w:val="BookText"/>
        <w:rPr/>
      </w:pPr>
      <w:r>
        <w:rPr>
          <w:rFonts w:ascii="IRNazanin" w:hAnsi="IRNazanin" w:eastAsia="IRNazanin"/>
          <w:color w:val="111111"/>
          <w:sz w:val="28"/>
          <w:sz w:val="28"/>
          <w:szCs w:val="28"/>
          <w:rtl w:val="true"/>
          <w:lang w:bidi="fa-IR"/>
        </w:rPr>
        <w:t>إنّ هناک شبهات، أوردت علی القول بعمومیة قدرته تعالی ربما یعسر دفعها علی الطالب، یجب أن نذکرها و نبیّن وجه الدفع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هو سبحانه قادر علی خلق مثله؟ فلو أجیب بالإیجاب لزم افتراض الشریک له سبحانه، و لو أجیب بالنفی ثبت ضیق قدرته و عدم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ذلک بأنّه ممتنع فلا یصل الکلام إلی تعلّق القدرة به أو عدمه، و الوجه فی امتناعه هو لزوم اجتماع النقیضین،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شیء واحد واجباً بالذات و ممکناً کذلک، فإنّ ذلک المثل بما أنّه مخلوق، یکون ممکناً و بما انّه مثل له تعالی، فهو واجب بالذات، و هو محال بالضرورة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هو قادر علی أن یجعل العالم الفسیح فی البیضة من دون أن یصغر حجم العالم أو تکبر البیضة؟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کسابقه، فإنّ جعل الشیء الکبیر فی الظرف الصغیر أمر ممتنع فی حدّ ذاته، إذ البداهة تحکم بأنّ الظرف یجب أن یکون مساویا للمظروف، فجعل الشیء الکبیر فی الظرف الصغیر یستلزم کون ذلک </w:t>
      </w:r>
    </w:p>
    <w:p>
      <w:pPr>
        <w:pStyle w:val="BookText"/>
        <w:rPr/>
      </w:pPr>
      <w:r>
        <w:rPr>
          <w:rFonts w:ascii="IRNazanin" w:hAnsi="IRNazanin" w:eastAsia="IRNazanin"/>
          <w:color w:val="111111"/>
          <w:sz w:val="28"/>
          <w:sz w:val="28"/>
          <w:szCs w:val="28"/>
          <w:rtl w:val="true"/>
          <w:lang w:bidi="fa-IR"/>
        </w:rPr>
        <w:t xml:space="preserve">الظرف مساویا للمظروف لما یقتضیه قانون مساواة الظرف و المظروف، و أن یکون أصغر منه غیر مساوٍ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هو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 و إنّما یبحث عن عمومیة القدرة و عدمها بعد فرض کون الشیء ممکناً فی ذاته، و إلی هذا أشار الإمام علی علیه السلام فی الجواب عن نفس السؤال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لا ینسب إلی العجز، و الّذی سألتنی لا یکون</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یمکنه سبحانه أن یوجد شیئاً لا یقدر علی إفنائه، فإن أُجیب بالإیجاب لزم عدم سعة قدرته حیث لا یقدر علی إفنائه و إن أجیب بالسلب لزم أیضا عدم عموم قدرته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المذکور بما أنّه ممکن فهو قابل للفناء، و بما أنّه مقیّد بعدم إمکان إفنائه فهو واجب غیر ممکن، فتصبح القضیة کون شیء واحد ممکناً و واجباً، قابلاً للفناء و غیر قابل له، و هو محال، فالفرض المذکور مستلزم للمحال، و المستلزم للمحال محال، و هو خارج عن موضوع بحث عمومیّة القدرة، کما تقدّم</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2866_38048"/>
      <w:bookmarkStart w:id="250" w:name="pg2866_38048"/>
      <w:bookmarkEnd w:id="250"/>
    </w:p>
    <w:p>
      <w:pPr>
        <w:pStyle w:val="Heading3"/>
        <w:numPr>
          <w:ilvl w:val="2"/>
          <w:numId w:val="1"/>
        </w:numPr>
        <w:rPr/>
      </w:pPr>
      <w:bookmarkStart w:id="251" w:name="pg2866_38048"/>
      <w:bookmarkStart w:id="252" w:name="__RefHeading___Toc2819544_1395250215"/>
      <w:bookmarkStart w:id="253" w:name="_Toc87"/>
      <w:bookmarkEnd w:id="251"/>
      <w:bookmarkEnd w:id="252"/>
      <w:r>
        <w:rPr>
          <w:rtl w:val="true"/>
        </w:rPr>
        <w:t>الفصل الخامس</w:t>
      </w:r>
      <w:r>
        <w:rPr>
          <w:rtl w:val="true"/>
        </w:rPr>
        <w:t>:</w:t>
      </w:r>
      <w:r>
        <w:rPr>
          <w:rtl w:val="true"/>
        </w:rPr>
        <w:t>حیاته تعالی</w:t>
      </w:r>
      <w:bookmarkEnd w:id="253"/>
    </w:p>
    <w:p>
      <w:pPr>
        <w:pStyle w:val="Heading4"/>
        <w:numPr>
          <w:ilvl w:val="3"/>
          <w:numId w:val="1"/>
        </w:numPr>
        <w:rPr/>
      </w:pPr>
      <w:bookmarkStart w:id="254" w:name="__RefHeading___Toc2819546_1395250215"/>
      <w:bookmarkStart w:id="255" w:name="_Toc88"/>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اتّفق الإلهیون علی أنّ الحیاة من صفاته تعالی، و أنّ الحیّ من أسمائه الحسنی، و لکن إجراء هذا الاسم علیه سبحانه یتوقّف علی فهم معنی الحیاة و کیفیة إجرائها علی اللّه تعالی، فنقول</w:t>
      </w:r>
      <w:r>
        <w:rPr>
          <w:rFonts w:eastAsia="IRNazanin" w:cs="IRNazanin"/>
          <w:color w:val="111111"/>
          <w:sz w:val="28"/>
          <w:szCs w:val="28"/>
          <w:rtl w:val="true"/>
          <w:lang w:bidi="fa-IR"/>
        </w:rPr>
        <w:t>:</w:t>
      </w:r>
    </w:p>
    <w:p>
      <w:pPr>
        <w:pStyle w:val="Heading4"/>
        <w:numPr>
          <w:ilvl w:val="3"/>
          <w:numId w:val="1"/>
        </w:numPr>
        <w:rPr/>
      </w:pPr>
      <w:bookmarkStart w:id="256" w:name="__RefHeading___Toc2819548_1395250215"/>
      <w:bookmarkStart w:id="257" w:name="_Toc89"/>
      <w:bookmarkEnd w:id="256"/>
      <w:r>
        <w:rPr>
          <w:rtl w:val="true"/>
        </w:rPr>
        <w:t>حقیقة الحیاة</w:t>
      </w:r>
      <w:bookmarkEnd w:id="257"/>
    </w:p>
    <w:p>
      <w:pPr>
        <w:pStyle w:val="BookText"/>
        <w:rPr/>
      </w:pPr>
      <w:r>
        <w:rPr>
          <w:rFonts w:ascii="IRNazanin" w:hAnsi="IRNazanin" w:eastAsia="IRNazanin"/>
          <w:color w:val="111111"/>
          <w:sz w:val="28"/>
          <w:sz w:val="28"/>
          <w:szCs w:val="28"/>
          <w:rtl w:val="true"/>
          <w:lang w:bidi="fa-IR"/>
        </w:rPr>
        <w:t xml:space="preserve">إنّ الحیاة المادّیة فی الحیوان 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بأمرین،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الفعّالیّة و الدرّاکیّة، فالخصائص الأربع </w:t>
      </w:r>
      <w:r>
        <w:rPr>
          <w:rStyle w:val="FootnoteAnchor"/>
          <w:rtl w:val="true"/>
        </w:rPr>
        <w:footnoteReference w:id="123"/>
      </w:r>
      <w:r>
        <w:rPr>
          <w:rFonts w:ascii="IRNazanin" w:hAnsi="IRNazanin" w:eastAsia="IRNazanin"/>
          <w:color w:val="111111"/>
          <w:sz w:val="28"/>
          <w:sz w:val="28"/>
          <w:szCs w:val="28"/>
          <w:rtl w:val="true"/>
          <w:lang w:bidi="fa-IR"/>
        </w:rPr>
        <w:t xml:space="preserve">الّتی ذکرها علماء الطبیعة راجعة إلی الفعل و الانفعال، و التأثیر و التأثّر و نرمز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نرمز إلی الحسّ و الإدراک المتسالم علی وجودهما فی انواع الحیوان، و قد یقال بوجودهما فی النبات ایضاً،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 هو الدرّاک و الفعّال، کما هو المصطلح عند الفلاسفة الإلهیین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فملاک الحیاة الطبیعیّة هو الفعل و الدرک، و هو محفوظ فی جمیع المراتب لکن بتطویر و تکامل،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النواقص و الشوائب الملازمة </w:t>
      </w:r>
      <w:bookmarkStart w:id="258" w:name="pg2866_38049"/>
    </w:p>
    <w:p>
      <w:pPr>
        <w:pStyle w:val="BookText"/>
        <w:rPr/>
      </w:pPr>
      <w:bookmarkEnd w:id="258"/>
      <w:r>
        <w:rPr>
          <w:rFonts w:ascii="IRNazanin" w:hAnsi="IRNazanin" w:eastAsia="IRNazanin"/>
          <w:color w:val="111111"/>
          <w:sz w:val="28"/>
          <w:sz w:val="28"/>
          <w:szCs w:val="28"/>
          <w:rtl w:val="true"/>
          <w:lang w:bidi="fa-IR"/>
        </w:rPr>
        <w:t xml:space="preserve">للمرتبة النازلة عن المرتبة العالیة، فالفعل المترقّب من الحیاة العقلیة فی الإنسان لا یقاس بفعل الخلایا النباتیة و الحیوانیة، کما أنّ درک الإنسان للمسائل الکلیة أعلی و أکمل من حسّ النبات و شعور الحیوان و مع هذا البون الشاسع بین الحیاتین، تجد أنّا نصف الکلّ بالحیاة بمعنی واحد و لیس ذاک المعنی الواحد إلّا کون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w:t>
      </w:r>
    </w:p>
    <w:p>
      <w:pPr>
        <w:pStyle w:val="Heading4"/>
        <w:numPr>
          <w:ilvl w:val="3"/>
          <w:numId w:val="1"/>
        </w:numPr>
        <w:rPr/>
      </w:pPr>
      <w:bookmarkStart w:id="259" w:name="__RefHeading___Toc2819550_1395250215"/>
      <w:bookmarkStart w:id="260" w:name="_Toc90"/>
      <w:bookmarkEnd w:id="259"/>
      <w:r>
        <w:rPr>
          <w:rtl w:val="true"/>
        </w:rPr>
        <w:t>معنی حیاته تعالی</w:t>
      </w:r>
      <w:bookmarkEnd w:id="260"/>
    </w:p>
    <w:p>
      <w:pPr>
        <w:pStyle w:val="BookText"/>
        <w:rPr/>
      </w:pPr>
      <w:r>
        <w:rPr>
          <w:rFonts w:ascii="IRNazanin" w:hAnsi="IRNazanin" w:eastAsia="IRNazanin"/>
          <w:color w:val="111111"/>
          <w:sz w:val="28"/>
          <w:sz w:val="28"/>
          <w:szCs w:val="28"/>
          <w:rtl w:val="true"/>
          <w:lang w:bidi="fa-IR"/>
        </w:rPr>
        <w:t xml:space="preserve">فإذا صحّ إطلاق الحیاة بمعنی واحد علی تلک الدرجات المتفاوتة فلیصحّ علی الموجودات الحیّة العِلویّة لکن بنحو متکامل، فاللّه سبحانه حیّ بالمعنی الّذی تفیده تلک الکلمة، لکن حیاة مناسبة لمقامه الأسنیٰ، بحذف النواقص و الأخذ بالزّبدة و اللّب، فهو تعالی حیّ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کفعّالیّة الممکنات و درّاکیّتها</w:t>
      </w:r>
      <w:r>
        <w:rPr>
          <w:rFonts w:eastAsia="IRNazanin" w:cs="IRNazanin"/>
          <w:color w:val="111111"/>
          <w:sz w:val="28"/>
          <w:szCs w:val="28"/>
          <w:rtl w:val="true"/>
          <w:lang w:bidi="fa-IR"/>
        </w:rPr>
        <w:t>.</w:t>
      </w:r>
    </w:p>
    <w:p>
      <w:pPr>
        <w:pStyle w:val="Heading4"/>
        <w:numPr>
          <w:ilvl w:val="3"/>
          <w:numId w:val="1"/>
        </w:numPr>
        <w:rPr/>
      </w:pPr>
      <w:bookmarkStart w:id="261" w:name="__RefHeading___Toc2819552_1395250215"/>
      <w:bookmarkStart w:id="262" w:name="_Toc91"/>
      <w:bookmarkEnd w:id="261"/>
      <w:r>
        <w:rPr>
          <w:rtl w:val="true"/>
        </w:rPr>
        <w:t>دلائل حیاته تعالی</w:t>
      </w:r>
      <w:bookmarkEnd w:id="262"/>
    </w:p>
    <w:p>
      <w:pPr>
        <w:pStyle w:val="BookText"/>
        <w:rPr/>
      </w:pPr>
      <w:r>
        <w:rPr>
          <w:rFonts w:ascii="IRNazanin" w:hAnsi="IRNazanin" w:eastAsia="IRNazanin"/>
          <w:color w:val="111111"/>
          <w:sz w:val="28"/>
          <w:sz w:val="28"/>
          <w:szCs w:val="28"/>
          <w:rtl w:val="true"/>
          <w:lang w:bidi="fa-IR"/>
        </w:rPr>
        <w:t>قد ثبت بالبرهان أنّه سبحانه عالم و قادر، و قد تقدّم البحث فیه، و قد بیّنّا أنّ حقیقة الحیاة فی الدرجات العِلویة، لا تخرج عن کون المتّصف بها درّاکاً و فعّالاً، و لا شکّ أنّ للّه تعالی أتمّ مراتب الدرک و الفعل، لأنّ له أکمل مراتب العلم و القدرة، ففعله النابع عن علمه و قدرته أکمل مراتب الفعل فهو حیّ بأعلی مراتب الحیاة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انّه سبحانه خلق موجودات حیّة، مدرکة فاعلة، فمن المستحیل أن یکون معطی الکمال فاقداً له</w:t>
      </w:r>
      <w:r>
        <w:rPr>
          <w:rFonts w:eastAsia="IRNazanin" w:cs="IRNazanin"/>
          <w:color w:val="111111"/>
          <w:sz w:val="28"/>
          <w:szCs w:val="28"/>
          <w:rtl w:val="true"/>
          <w:lang w:bidi="fa-IR"/>
        </w:rPr>
        <w:t xml:space="preserve">. </w:t>
      </w:r>
      <w:bookmarkStart w:id="263" w:name="pg2866_38051"/>
    </w:p>
    <w:p>
      <w:pPr>
        <w:pStyle w:val="Heading4"/>
        <w:numPr>
          <w:ilvl w:val="3"/>
          <w:numId w:val="1"/>
        </w:numPr>
        <w:rPr/>
      </w:pPr>
      <w:bookmarkStart w:id="264" w:name="__RefHeading___Toc2819554_1395250215"/>
      <w:bookmarkStart w:id="265" w:name="_Toc92"/>
      <w:bookmarkEnd w:id="263"/>
      <w:bookmarkEnd w:id="264"/>
      <w:r>
        <w:rPr>
          <w:rtl w:val="true"/>
        </w:rPr>
        <w:t>تذییل</w:t>
      </w:r>
      <w:bookmarkEnd w:id="265"/>
    </w:p>
    <w:p>
      <w:pPr>
        <w:pStyle w:val="BookText"/>
        <w:rPr/>
      </w:pPr>
      <w:r>
        <w:rPr>
          <w:rFonts w:ascii="IRNazanin" w:hAnsi="IRNazanin" w:eastAsia="IRNazanin"/>
          <w:color w:val="111111"/>
          <w:sz w:val="28"/>
          <w:sz w:val="28"/>
          <w:szCs w:val="28"/>
          <w:rtl w:val="true"/>
          <w:lang w:bidi="fa-IR"/>
        </w:rPr>
        <w:t>عُدَّ من صفاته الثبوتیة الذاتیة، الأزلیة و الأبدیة و السرمدیّة و القدم و البقاء، و علیه فهو سبحانه قدیم أزلیّ، باق أبدیّ، و موجود سرمدیّ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علیه الأوّلان لأجل أنّه المصاحب لمجموع الأزمنة المحقّقة أو المقدَّرة فی الماضی، کما اطلق علیه الآخران لأجل انّه الموجود المستمرّ الوجود فی الأزمنة الآتیة محقّقة کانت أو مقدَّرة، و یطلق علیه السرمدیّة بمعنی الموجود المجامع لجمیع الأزمنة السابقة و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علیه المتکلّمون فی تفسیر هذه الأسماء و الصفات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یناسب شأن الموجود الزمانی الّذی یصاحب الأزمنة المحقّقة أو المقدَّرة، و الماضیة أو اللاحقة، و اللّه سبحانه منزّه عن الزمان و المصاحبة له، بل هو خالق للزمان سابقه و لاحقه، فهو فوق الزمان و المکان، لا یحیطه زمان و لا یحویه مکان، و علی ذلک فالصحیح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الإمکانی ما یکون وجوده غیر نابع من ذاته، مسبوقاً بالعدم فی ذاته و لا یمتنع طروء العدم علیه، و یقابله واجب الوجود بالذات و هو ما یکون وجوده نابعا من ذاته، و یمتنع علیه طروء العدم و لا یلابسه أبداً، و مثل ذلک لا یسبق وجوده العدم، فیکون قدیماً أزلیّاً، کما یمتنع أن یطرأ علیه العدم، فیکون أبدیاً باقیاً، و بملاحظة ذینک الأمرین،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مسبوقیة وجوده بالعدم و امتناع طروء العدم علیه، یتصف بالسّرمدیّة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سرمدیّ</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2866_38053"/>
      <w:bookmarkStart w:id="267" w:name="pg2866_38053"/>
      <w:bookmarkEnd w:id="267"/>
    </w:p>
    <w:p>
      <w:pPr>
        <w:pStyle w:val="Heading3"/>
        <w:numPr>
          <w:ilvl w:val="2"/>
          <w:numId w:val="1"/>
        </w:numPr>
        <w:rPr/>
      </w:pPr>
      <w:bookmarkStart w:id="268" w:name="pg2866_38053"/>
      <w:bookmarkStart w:id="269" w:name="__RefHeading___Toc2819556_1395250215"/>
      <w:bookmarkStart w:id="270" w:name="_Toc93"/>
      <w:bookmarkEnd w:id="268"/>
      <w:bookmarkEnd w:id="269"/>
      <w:r>
        <w:rPr>
          <w:rtl w:val="true"/>
        </w:rPr>
        <w:t>الفصل السادس</w:t>
      </w:r>
      <w:r>
        <w:rPr>
          <w:rtl w:val="true"/>
        </w:rPr>
        <w:t>:</w:t>
      </w:r>
      <w:r>
        <w:rPr>
          <w:rtl w:val="true"/>
        </w:rPr>
        <w:t>إرادته تعالی</w:t>
      </w:r>
      <w:bookmarkEnd w:id="270"/>
    </w:p>
    <w:p>
      <w:pPr>
        <w:pStyle w:val="Heading4"/>
        <w:numPr>
          <w:ilvl w:val="3"/>
          <w:numId w:val="1"/>
        </w:numPr>
        <w:rPr/>
      </w:pPr>
      <w:bookmarkStart w:id="271" w:name="__RefHeading___Toc2819558_1395250215"/>
      <w:bookmarkStart w:id="272" w:name="_Toc94"/>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إنّ الإرادة من صفاته سبحانه، و المرید من أسمائه، و لم یشکّ فی ذلک أحد من الإلهیین أبداً، و إنّما اختلفوا فی حقیقتها، و أنّها هل تکون من صفات الذات أو من صفات الفعل؟</w:t>
      </w:r>
    </w:p>
    <w:p>
      <w:pPr>
        <w:pStyle w:val="Heading4"/>
        <w:numPr>
          <w:ilvl w:val="3"/>
          <w:numId w:val="1"/>
        </w:numPr>
        <w:rPr/>
      </w:pPr>
      <w:bookmarkStart w:id="273" w:name="__RefHeading___Toc2819560_1395250215"/>
      <w:bookmarkStart w:id="274" w:name="_Toc95"/>
      <w:bookmarkEnd w:id="273"/>
      <w:r>
        <w:rPr>
          <w:rtl w:val="true"/>
        </w:rPr>
        <w:t>حقیقة إرادته تعالی</w:t>
      </w:r>
      <w:bookmarkEnd w:id="2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الإرادة فی الإنسان بأیّ معنی فسّرت، ظاهرة تظهر فی لوح النفس تدریجیّة، و من المعلوم أنّ الإرادة بهذا المعنی لا یمکن توصیفه سبحانه بها، لأنّه یستلزم کونه موجوداً مادیّاً یطرأ علیه التغیّر و التبدّل من الفقدان إلی الوجدان، و ما هذا شأنه لا یلیق بساحة البارئ ، و لأجل ذلک اختلفت کلمة الإلهیین فی تفسیر ارادته تعالی، فالمشهور عند الحکماء و المتکلمین </w:t>
      </w:r>
      <w:r>
        <w:rPr>
          <w:rStyle w:val="FootnoteAnchor"/>
          <w:rtl w:val="true"/>
        </w:rPr>
        <w:footnoteReference w:id="124"/>
      </w:r>
      <w:r>
        <w:rPr>
          <w:rFonts w:ascii="IRNazanin" w:hAnsi="IRNazanin" w:eastAsia="IRNazanin"/>
          <w:color w:val="111111"/>
          <w:sz w:val="28"/>
          <w:sz w:val="28"/>
          <w:szCs w:val="28"/>
          <w:rtl w:val="true"/>
          <w:lang w:bidi="fa-IR"/>
        </w:rPr>
        <w:t>أنّ ارادة اللّه سبحانه هی علمه تعالی بأنّ الفعل علی نظام الخیر و الأحسن أو علمه بأن الفعل ذو مصلحة عائدة إلی غیره تعالی و علی هذا تکون الإرادة من الصفات الذاتیة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کونه مریداً أنّه سبحانه یعقل ذاته و یعقل نظام الخیر الموجود فی الکل من ذاته و أنّه کیف یکون</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قال ابو إسحاق النوبختی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یرید أی یعلم المصلحة فی فعل فیدعوه علمه إلی إیجاده</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مفاهیم الصفات و معانیها متغایرة و عینیتها فی حقّه تعالی راجعة إلی واقعیتها و مصداقها و علی هذا تفسیر الإرادة بالعلم، یرجع إلی إنکار حقیقة الإرادة فیه سبحانه، و لأجل عدم صحّة هذا التفسیر نری أنّ أئمة اهل البیت علیهم السلام ینکرون تفسیرها بالعلم، قال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 مشیئته مختلفان أو متفقان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لیس هو المشیئة، أ لا تری أنّک تقول سأفعل کذا إن شاء اللّه، و لا تقول سأفعل کذا إنْ علم اللّه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الإرادة من الصفات الذاتیة و تجری علیه سبحانه مجرّدة من شوائب النقص و سمات الإمکان، فالمراد من توصیفه بالإرادة کونه فاعلاً مختاراً فی مقابل کونه فاعلاً مضطرّاً، لا إثبات الإرادة له بنعت کونها طارئة </w:t>
      </w:r>
      <w:bookmarkStart w:id="275" w:name="pg2866_38055"/>
    </w:p>
    <w:p>
      <w:pPr>
        <w:pStyle w:val="BookText"/>
        <w:rPr/>
      </w:pPr>
      <w:bookmarkEnd w:id="275"/>
      <w:r>
        <w:rPr>
          <w:rFonts w:ascii="IRNazanin" w:hAnsi="IRNazanin" w:eastAsia="IRNazanin"/>
          <w:color w:val="111111"/>
          <w:sz w:val="28"/>
          <w:sz w:val="28"/>
          <w:szCs w:val="28"/>
          <w:rtl w:val="true"/>
          <w:lang w:bidi="fa-IR"/>
        </w:rPr>
        <w:t>زائلة عند حدوث المراد، أو کون الفاعل خارجاً بها من القوّة إلی الفعل، لأنّها لا تعدّ من صفات الکمال مقیّدة بهذه الخصائص، بل کمالها فی کون صاحبها مختاراً، مالکاً لفعله آخذاً بزمام عمله، فإذا کان هذا کمال الإرادة فاللّه سبحانه واجد له علی النحو الأکمل، إذ هو الفاعل المختار غیر المقهور فی سلطانه، و لیس هذا بمعنی إرجاع الإرادة إلی وصف سلبی و هو کونه غیر مقهور و لا مستکره، بل هی وصف وجودی هو نفس ذاته، و التعبیر عنه بوصف سلبی لا یجعله أمراً سلبیاً کتفسیر العلم بعدم الجهل، و القدرة بعدم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 تسمیة هذا الاختیار الذاتی بالإرادة، فالإرادة من صفات ذاته تعالی و إلّا وجب القول بکونها من صفات الفعل</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276" w:name="__RefHeading___Toc2819562_1395250215"/>
      <w:bookmarkStart w:id="277" w:name="_Toc96"/>
      <w:bookmarkEnd w:id="276"/>
      <w:r>
        <w:rPr>
          <w:rtl w:val="true"/>
        </w:rPr>
        <w:t>الإرادة فی روایات اهل البیت علیهم السلام</w:t>
      </w:r>
      <w:bookmarkEnd w:id="2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الروایات المأثورة عن أئمّة أهل البیت علیهم السلام أنّ مشیئته و إرادته من صفات فعله، کالرازقیة و الخالقیة، و إلیک نبذاً من هذه الروایات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عاصم بن حمید،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لا یکون إلّا لمراد معه، لم یزل اللّه عالماً قادراً ثمّ أراد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و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 من الخلق الضمیر، و ما یبدو لهم بعد ذلک من الفعل، و أمّا من اللّه تعالی فإرادته إحداثه لا غیر ذلک، لأنّه لا یروّی و لا یهمّ و لا یتفکّر، و هذه الصفات منفیّة عنه، و هی صفات الخلق، فإرادة اللّه الفعل لا غیر ذلک، یقول له کن فیکون بلا لفظ، و لا نطق بلسان، و لا همّة، و لا تفکّر، و لا کیف لذلک، کما انّه لا کیف له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المشیئة محدثة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أنّ الروایة الأُولی تنفی الأزلیّة عن الإرادة، فلا تکون من صفاته الذاتیة الّتی هی عین ذاته تعالی، کما أنّ الروایة الثالثة صرّحت علی أنّ المشیئة محدثة، فلا تکون من صفاته الذاتیة و قد صرّحت الروایة الثانیة علی أنّ إرادته تعالی عین إحداثه تعالی و إیجاده فهی عین فعله، و لکنّ الروایات لا تنفی کون الإرادة بالمعنی الّذی فسّرناها به،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w:t>
      </w:r>
    </w:p>
    <w:p>
      <w:pPr>
        <w:pStyle w:val="BookText"/>
        <w:rPr/>
      </w:pPr>
      <w:r>
        <w:rPr>
          <w:rFonts w:ascii="IRNazanin" w:hAnsi="IRNazanin" w:eastAsia="IRNazanin"/>
          <w:color w:val="111111"/>
          <w:sz w:val="28"/>
          <w:sz w:val="28"/>
          <w:szCs w:val="28"/>
          <w:rtl w:val="true"/>
          <w:lang w:bidi="fa-IR"/>
        </w:rPr>
        <w:t>الذاتی من صفات ذاته، بل الّذی نفته، هی الإرادة بالمعنی الموجود فی الإنسان، لأنّ إثبات هذه الإرادة للّه تعالی یستلزم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المراد أو حدوث المرید، کما ورد فی الروایة الأولی؛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طروء التغیّر و التدریج علی ذاته سبحانه، کما ورد فی الروایة الثانیة</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2866_38060"/>
      <w:bookmarkStart w:id="279" w:name="pg2866_38060"/>
      <w:bookmarkEnd w:id="279"/>
    </w:p>
    <w:p>
      <w:pPr>
        <w:pStyle w:val="Heading3"/>
        <w:numPr>
          <w:ilvl w:val="2"/>
          <w:numId w:val="1"/>
        </w:numPr>
        <w:rPr/>
      </w:pPr>
      <w:bookmarkStart w:id="280" w:name="pg2866_38060"/>
      <w:bookmarkStart w:id="281" w:name="__RefHeading___Toc2819564_1395250215"/>
      <w:bookmarkStart w:id="282" w:name="_Toc97"/>
      <w:bookmarkEnd w:id="280"/>
      <w:bookmarkEnd w:id="281"/>
      <w:r>
        <w:rPr>
          <w:rtl w:val="true"/>
        </w:rPr>
        <w:t>الفصل السابع</w:t>
      </w:r>
      <w:r>
        <w:rPr>
          <w:rtl w:val="true"/>
        </w:rPr>
        <w:t>:</w:t>
      </w:r>
      <w:r>
        <w:rPr>
          <w:rtl w:val="true"/>
        </w:rPr>
        <w:t>کلامه تعالی</w:t>
      </w:r>
      <w:bookmarkEnd w:id="282"/>
    </w:p>
    <w:p>
      <w:pPr>
        <w:pStyle w:val="Heading4"/>
        <w:numPr>
          <w:ilvl w:val="3"/>
          <w:numId w:val="1"/>
        </w:numPr>
        <w:rPr/>
      </w:pPr>
      <w:bookmarkStart w:id="283" w:name="__RefHeading___Toc2819566_1395250215"/>
      <w:bookmarkStart w:id="284" w:name="_Toc98"/>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أجمع المسلمون تبعاً للکتاب و السنّة علی کونه سبحانه متکلّماً، و لکنّهم اختلفوا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حقیقة کلامه تعالی؛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حدوثه و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شغلت هذه المسألة بال العلماء و المفکّرین الاسلامیّین فی عصر العباسیین، و حدثت بسببه مشاجرات بل صدامات دامیة مذکورة فی التاریخ تفصیلاً، و عرّفت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فیلزمنا البحث و التحلیل حول ذینک الأمرین علی ضوء القرآن و النقل المعتبر فنقول</w:t>
      </w:r>
      <w:r>
        <w:rPr>
          <w:rFonts w:eastAsia="IRNazanin" w:cs="IRNazanin"/>
          <w:color w:val="111111"/>
          <w:sz w:val="28"/>
          <w:szCs w:val="28"/>
          <w:rtl w:val="true"/>
          <w:lang w:bidi="fa-IR"/>
        </w:rPr>
        <w:t>:</w:t>
      </w:r>
    </w:p>
    <w:p>
      <w:pPr>
        <w:pStyle w:val="Heading4"/>
        <w:numPr>
          <w:ilvl w:val="3"/>
          <w:numId w:val="1"/>
        </w:numPr>
        <w:rPr/>
      </w:pPr>
      <w:bookmarkStart w:id="285" w:name="__RefHeading___Toc2819568_1395250215"/>
      <w:bookmarkStart w:id="286" w:name="_Toc99"/>
      <w:bookmarkEnd w:id="285"/>
      <w:r>
        <w:rPr>
          <w:rtl w:val="true"/>
        </w:rPr>
        <w:t>الأقوال فی تفسیر کلامه تعالی</w:t>
      </w:r>
      <w:bookmarkEnd w:id="286"/>
    </w:p>
    <w:p>
      <w:pPr>
        <w:pStyle w:val="BookText"/>
        <w:rPr/>
      </w:pPr>
      <w:r>
        <w:rPr>
          <w:rFonts w:ascii="IRNazanin" w:hAnsi="IRNazanin" w:eastAsia="IRNazanin"/>
          <w:color w:val="111111"/>
          <w:sz w:val="28"/>
          <w:sz w:val="28"/>
          <w:szCs w:val="28"/>
          <w:rtl w:val="true"/>
          <w:lang w:bidi="fa-IR"/>
        </w:rPr>
        <w:t>الأقوال الّتی ذکرها المتکلّمون و الفلاسفة فی هذا المجال،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العدلیة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کلامه تعالی عبارة عن أصوات و حروف</w:t>
      </w:r>
    </w:p>
    <w:p>
      <w:pPr>
        <w:pStyle w:val="BookText"/>
        <w:rPr/>
      </w:pPr>
      <w:r>
        <w:rPr>
          <w:rFonts w:ascii="IRNazanin" w:hAnsi="IRNazanin" w:eastAsia="IRNazanin"/>
          <w:color w:val="111111"/>
          <w:sz w:val="28"/>
          <w:sz w:val="28"/>
          <w:szCs w:val="28"/>
          <w:rtl w:val="true"/>
          <w:lang w:bidi="fa-IR"/>
        </w:rPr>
        <w:t>غیر قائمة باللّه تعالی قیاماً حلولیّاً أو عروضیّاً، بل یخلقها فی غیره کاللوح المحفوظ أو جبرائیل أو النبیّ أو غیر ذلک فکما یکون اللّه تعالی منعماً بنعمة یوجده فی غیره، فهکذا یکون متکلّماً بإیجاد الکلام فی غیره و لیس من شرط الفاعل أن یحلّ علیه فعل</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هذا المعنی من الکلام یسمّی بالکلام اللفظی و هو من صفات فعله تعالی؛ حادث بحدوث 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مؤلّف المواقف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الأشاعرة معترفون بالکلام اللفظی و بأنّه حادث، و لکنّهم یدّعون معنی آخر وراءه و یسمّونه بالکلام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القوشجی فی تفسیر الکلام النفسی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یورد صیغة أمر أو نهی أو نداء أو إخبار أو استخبار أو غیر ذلک یجد فی نفسه معانی یعبّر عنها بالألفاظ الّتی نسمّیها بالکلام الحسّی، فالمعنی الّذی یجده فی نفسه و یدور فی خلده، لا یختلف باختلاف العبارات بحسب الاوضاع و الاصطلاحات و یقصد المتکلم حصوله فی نفس السامع لیجری علی موجبه، هو الّذی نسمّیه الکلام النفسی</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هذا المعنی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صفات ذاته تعالی و قدیم بقدم الذات، و لکنّه لیس امراً وراء العلم التصوّری أو التصدیقی، فلا یثبت کلاماً ذاتیاً بالمعنی الحقیقی للکلام، و أمّا تسمیة العلم بالکلام علی سبیل المجاز فهی خارج عن موضوع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الحکماء إلی أنّ لکلامه سبحانه مفهوماً أوسع من الکلام اللفظی، بل کلامه تعالی مساوق لفعله سبحانه فکلّ موجود کما هو فعله و مخلوقه، کذلک کلام له تعالی و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المقصود من الکلام اللفظی لیس إلّا إبراز ما هو موجود فی نفس المتکلّم و مستور عن المخاطب و السامع، فالکلام لیس إلّا لفظاً دالاّ علی المعنی الّذی تصوّره المتکلّم و أراد إیجاده فی ذهن السامع، فحقیقة الکلام هی الدلالة و الحکایة، و لا شکّ أنّ الفعل یدلّ علی وجود فاعله و علی خصوصیاته الوجودیة، و لیس الفرق بین دلالة اللفظ علی المعنی و دلالة الفعل علی الفاعل، إلّا أنّ دلالة الأوّل وضعی اعتباریّ، و دلالة الثانی تکوینی عقلی، و الدلالة التکوینیّة العقلیّة أقوی من الدلالة اللفظیة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فکلّ فعل من المتکلّم أفاد نفس الأثر الّذی یفیده الکلام، من إبراز ما یکتنفه الفاعل فی سریرته من المعانی و الحقائق، یصحّ تسمیته کلاماً من باب التوسّع و التطویر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نظریة الحکماء فی تفسیر کلامه تعالی مطابق لإطلاقات الکلام </w:t>
      </w:r>
    </w:p>
    <w:p>
      <w:pPr>
        <w:pStyle w:val="BookText"/>
        <w:rPr/>
      </w:pPr>
      <w:r>
        <w:rPr>
          <w:rFonts w:ascii="IRNazanin" w:hAnsi="IRNazanin" w:eastAsia="IRNazanin"/>
          <w:color w:val="111111"/>
          <w:sz w:val="28"/>
          <w:sz w:val="28"/>
          <w:szCs w:val="28"/>
          <w:rtl w:val="true"/>
          <w:lang w:bidi="fa-IR"/>
        </w:rPr>
        <w:t>الإلهی فی الکتاب و السنّة، فالقرآن یصف المسیح علیه السلام بأنّه کلمة اللّه الّتی ألقاها إلی مریم العذراء،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قد فسّر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بفعله الّذی ینشئه و یمثّله،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لمن أراد کونه کن فیکون، لا بصوت یقرع، و لا بنداء یسمع، و إنّما کلامه سبحانه فعل منه أنشأه 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w:t>
      </w:r>
      <w:r>
        <w:rPr>
          <w:rStyle w:val="FootnoteAnchor"/>
          <w:rtl w:val="true"/>
        </w:rPr>
        <w:footnoteReference w:id="134"/>
      </w:r>
      <w:r>
        <w:rPr>
          <w:rFonts w:ascii="IRNazanin" w:hAnsi="IRNazanin" w:eastAsia="IRNazanin"/>
          <w:color w:val="111111"/>
          <w:sz w:val="28"/>
          <w:sz w:val="28"/>
          <w:szCs w:val="28"/>
          <w:rtl w:val="true"/>
          <w:lang w:bidi="fa-IR"/>
        </w:rPr>
        <w:t>أنّ الصواب من الآراء المتقدّمة هو نظریّة الحکماء، و أمّا نظریة العدلیة من المتکلّمین فهی غیر منطبقة علی جمیع مصادیق کلامه سبحانه و إنّما هو قسم قلیل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نظریة الأشاعرة فلیس له أثر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فالعدلیة أصابوا فی جهة و أخطئوا فی جهة اخری، أصابوا فی جعلهم کلامه تعالی من صفات افعاله سبحانه و أخطئوا فی حصره فی الکلام اللفظی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الأشاعرة أخطئوا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حصر الکلام الفعلی بالکلام اللفظی، و فی ادّعاء قسم آخر من کلام سمّوه بالکلام النفسی و جعلوه وصفاً ذاتیاً له تعالی</w:t>
      </w:r>
      <w:r>
        <w:rPr>
          <w:rFonts w:eastAsia="IRNazanin" w:cs="IRNazanin"/>
          <w:color w:val="111111"/>
          <w:sz w:val="28"/>
          <w:szCs w:val="28"/>
          <w:rtl w:val="true"/>
          <w:lang w:bidi="fa-IR"/>
        </w:rPr>
        <w:t xml:space="preserve">. </w:t>
      </w:r>
      <w:bookmarkStart w:id="287" w:name="pg2866_38064"/>
    </w:p>
    <w:p>
      <w:pPr>
        <w:pStyle w:val="Heading4"/>
        <w:numPr>
          <w:ilvl w:val="3"/>
          <w:numId w:val="1"/>
        </w:numPr>
        <w:rPr/>
      </w:pPr>
      <w:bookmarkStart w:id="288" w:name="__RefHeading___Toc2819570_1395250215"/>
      <w:bookmarkStart w:id="289" w:name="_Toc100"/>
      <w:bookmarkEnd w:id="287"/>
      <w:bookmarkEnd w:id="288"/>
      <w:r>
        <w:rPr>
          <w:rtl w:val="true"/>
        </w:rPr>
        <w:t>کلامه سبحانه حادث أو قدیم؟</w:t>
      </w:r>
      <w:bookmarkEnd w:id="289"/>
    </w:p>
    <w:p>
      <w:pPr>
        <w:pStyle w:val="BookText"/>
        <w:rPr/>
      </w:pPr>
      <w:r>
        <w:rPr>
          <w:rFonts w:ascii="IRNazanin" w:hAnsi="IRNazanin" w:eastAsia="IRNazanin"/>
          <w:color w:val="111111"/>
          <w:sz w:val="28"/>
          <w:sz w:val="28"/>
          <w:szCs w:val="28"/>
          <w:rtl w:val="true"/>
          <w:lang w:bidi="fa-IR"/>
        </w:rPr>
        <w:t>اختلفوا فی حدوث کلامه تعالی أو قدمه علی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القدم</w:t>
      </w:r>
    </w:p>
    <w:p>
      <w:pPr>
        <w:pStyle w:val="BookText"/>
        <w:rPr/>
      </w:pPr>
      <w:r>
        <w:rPr>
          <w:rFonts w:ascii="IRNazanin" w:hAnsi="IRNazanin" w:eastAsia="IRNazanin"/>
          <w:color w:val="111111"/>
          <w:sz w:val="28"/>
          <w:sz w:val="28"/>
          <w:szCs w:val="28"/>
          <w:rtl w:val="true"/>
          <w:lang w:bidi="fa-IR"/>
        </w:rPr>
        <w:t xml:space="preserve">أوّل من أکّد القول بعدم حدوث القرآن و عدم کون کلامه تعالی مخلوقاً و أصرّ علیه، أهل الحدیث، و فی مقدّمتهم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الّذی أخذ یروّج فکرة عدم خلق القرآن و یدافع عنها بحماس، متحمّلاً فی سبیلها من المشاقّ ما هو مسطور فی زبر التاریخ، و إلیک نصّ نظریته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کلام اللّه لیس بمخلوق، فمن زعم انّ القرآن مخلوق فهو جهمی کافر، و من زعم انّ القرآن کلام اللّه عزّ و جلّ و وقف و لم یقل مخلوق و لا غیر مخلوق، فهو اخبث من الأوّل</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الحدوث</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تبنَّت المعتزلة القول بخلق القرآن و انبروا یدافعون عنه بشتّی الوسائل، و لمّا کانت الخلافة العباسیة فی عصر المأمون و من بعده إلی زمن الواثق باللّه، تؤیّد حرکة الاعتزال و آراءها، استعان المعتزلة من هذا الغطاء، </w:t>
      </w:r>
    </w:p>
    <w:p>
      <w:pPr>
        <w:pStyle w:val="BookText"/>
        <w:rPr/>
      </w:pPr>
      <w:r>
        <w:rPr>
          <w:rFonts w:ascii="IRNazanin" w:hAnsi="IRNazanin" w:eastAsia="IRNazanin"/>
          <w:color w:val="111111"/>
          <w:sz w:val="28"/>
          <w:sz w:val="28"/>
          <w:szCs w:val="28"/>
          <w:rtl w:val="true"/>
          <w:lang w:bidi="fa-IR"/>
        </w:rPr>
        <w:t>و قاموا باختبار علماء الأمصار الإسلامیة فی هذه المسألة، و کانت نتیجة هذا الامتحان أن أجاب جمیع الفقهاء فی ذلک العصر بنظریة الخلق، و لم یمتنع الا نفر قلیل علی رأسهم أحمد بن حنبل، و إلیک ما ذکره القاضی عبد الجبّار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مذهبنا فی ذلک أنّ القرآن کلام اللّه تعالی و وحیه، و هو مخلوق محدث، أنزله اللّه علی نبیّه لیکون علَماً و دالّاً علی نبوّته، و جعله دلالة لنا علی الأحکام لنرجع إلیه فی الحلال و الحرام، و استوجب منّا بذلک الحمد و الشکر و التحمید و التقدیس، و إذاً هو الّذی نسمعه الیوم و نتلوه و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نقرؤه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من جهة اللّه تعالی فهو مضاف إلیه علی الحقیقة کما یضاف ما ننشده الیوم من قصیدة امرئ القیس إلیه علی الحقیقة و إن لم یکن امرؤ القیس محدثاً لها الآن</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هذه النظریّة هی المقبول عند الشیعة الإمامیة</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القدم و الحدوث</w:t>
      </w:r>
    </w:p>
    <w:p>
      <w:pPr>
        <w:pStyle w:val="BookText"/>
        <w:rPr/>
      </w:pPr>
      <w:r>
        <w:rPr>
          <w:rFonts w:ascii="IRNazanin" w:hAnsi="IRNazanin" w:eastAsia="IRNazanin"/>
          <w:color w:val="111111"/>
          <w:sz w:val="28"/>
          <w:sz w:val="28"/>
          <w:szCs w:val="28"/>
          <w:rtl w:val="true"/>
          <w:lang w:bidi="fa-IR"/>
        </w:rPr>
        <w:t>أوّل ما أعلنه الشیخ الأشعری فی هذا المجال هو القول بعدم کون القرآن مخلوقاً حیث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کلام اللّه غیر مخلوق، و انّ من قال بخلق القرآن فهو کافر</w:t>
      </w:r>
      <w:r>
        <w:rPr>
          <w:rFonts w:eastAsia="IRNazanin" w:cs="IRNazanin"/>
          <w:color w:val="111111"/>
          <w:sz w:val="28"/>
          <w:szCs w:val="28"/>
          <w:rtl w:val="true"/>
          <w:lang w:bidi="fa-IR"/>
        </w:rPr>
        <w:t xml:space="preserve">. </w:t>
      </w:r>
      <w:r>
        <w:rPr>
          <w:rStyle w:val="FootnoteAnchor"/>
          <w:rtl w:val="true"/>
        </w:rPr>
        <w:footnoteReference w:id="138"/>
      </w:r>
      <w:bookmarkStart w:id="290" w:name="pg2866_38067"/>
    </w:p>
    <w:p>
      <w:pPr>
        <w:pStyle w:val="BookText"/>
        <w:rPr/>
      </w:pPr>
      <w:bookmarkEnd w:id="290"/>
      <w:r>
        <w:rPr>
          <w:rFonts w:ascii="IRNazanin" w:hAnsi="IRNazanin" w:eastAsia="IRNazanin"/>
          <w:color w:val="111111"/>
          <w:sz w:val="28"/>
          <w:sz w:val="28"/>
          <w:szCs w:val="28"/>
          <w:rtl w:val="true"/>
          <w:lang w:bidi="fa-IR"/>
        </w:rPr>
        <w:t>و لکنّه رأی القول بأنّ قدم القرآن المقروء و الملفوظ شیء لا یقبله العقل السلیم، فجاء بنظریة جدیدة أصلح بها القول بعدم خلق القرآن و التجأ إلی أنّ المراد من کلام اللّه تعالی لیس القرآن المقروء بل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أنّه لا دلیل من العقل و الوحی علی الکلام النفسی</w:t>
      </w:r>
      <w:r>
        <w:rPr>
          <w:rFonts w:eastAsia="IRNazanin" w:cs="IRNazanin"/>
          <w:color w:val="111111"/>
          <w:sz w:val="28"/>
          <w:szCs w:val="28"/>
          <w:rtl w:val="true"/>
          <w:lang w:bidi="fa-IR"/>
        </w:rPr>
        <w:t>.</w:t>
      </w:r>
    </w:p>
    <w:p>
      <w:pPr>
        <w:pStyle w:val="Heading4"/>
        <w:numPr>
          <w:ilvl w:val="3"/>
          <w:numId w:val="1"/>
        </w:numPr>
        <w:rPr/>
      </w:pPr>
      <w:bookmarkStart w:id="291" w:name="__RefHeading___Toc2819572_1395250215"/>
      <w:bookmarkStart w:id="292" w:name="_Toc101"/>
      <w:bookmarkEnd w:id="291"/>
      <w:r>
        <w:rPr>
          <w:rtl w:val="true"/>
        </w:rPr>
        <w:t>دلالة القرآن علی حدوث کلامه تعالی</w:t>
      </w:r>
      <w:bookmarkEnd w:id="292"/>
    </w:p>
    <w:p>
      <w:pPr>
        <w:pStyle w:val="BookText"/>
        <w:rPr/>
      </w:pPr>
      <w:r>
        <w:rPr>
          <w:rFonts w:ascii="Amiri" w:hAnsi="Amiri" w:eastAsia="Amiri" w:cs="Amiri"/>
          <w:color w:val="111111"/>
          <w:sz w:val="28"/>
          <w:sz w:val="28"/>
          <w:szCs w:val="28"/>
          <w:rtl w:val="true"/>
          <w:lang w:bidi="ar-SA"/>
        </w:rPr>
        <w:t xml:space="preserve">صرّح القرآن الکریم علی حدوث کلامه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ذِکْرٍ مِنْ رَبِّهِمْ مُحْدَثٍ إِلاَّ اسْتَمَعُوهُ وَ هُمْ یَلْعَبُونَ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 نفسه لقوله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الجدید و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کونه جدیداً أنّه أتاهم بعد الإنجیل، کما أنّ الإنجیل جدید، لأنّه أتاهم بعد التوراة، و کذلک بعض سور القرآن و آیاته ذکر جدید أتاهم بعد بعض</w:t>
      </w:r>
      <w:r>
        <w:rPr>
          <w:rFonts w:eastAsia="IRNazanin" w:cs="IRNazanin"/>
          <w:color w:val="111111"/>
          <w:sz w:val="28"/>
          <w:szCs w:val="28"/>
          <w:rtl w:val="true"/>
          <w:lang w:bidi="fa-IR"/>
        </w:rPr>
        <w:t xml:space="preserve">. </w:t>
      </w:r>
      <w:bookmarkStart w:id="293" w:name="pg2866_38068"/>
    </w:p>
    <w:p>
      <w:pPr>
        <w:pStyle w:val="Heading4"/>
        <w:numPr>
          <w:ilvl w:val="3"/>
          <w:numId w:val="1"/>
        </w:numPr>
        <w:rPr/>
      </w:pPr>
      <w:bookmarkStart w:id="294" w:name="__RefHeading___Toc2819574_1395250215"/>
      <w:bookmarkStart w:id="295" w:name="_Toc102"/>
      <w:bookmarkEnd w:id="293"/>
      <w:bookmarkEnd w:id="294"/>
      <w:r>
        <w:rPr>
          <w:rtl w:val="true"/>
        </w:rPr>
        <w:t>موقف أهل البیت علیهم السلام</w:t>
      </w:r>
      <w:bookmarkEnd w:id="295"/>
    </w:p>
    <w:p>
      <w:pPr>
        <w:pStyle w:val="BookText"/>
        <w:rPr/>
      </w:pPr>
      <w:r>
        <w:rPr>
          <w:rFonts w:ascii="IRNazanin" w:hAnsi="IRNazanin" w:eastAsia="IRNazanin"/>
          <w:color w:val="111111"/>
          <w:sz w:val="28"/>
          <w:sz w:val="28"/>
          <w:szCs w:val="28"/>
          <w:rtl w:val="true"/>
          <w:lang w:bidi="fa-IR"/>
        </w:rPr>
        <w:t>إنّ تاریخ البحث و ما جری علی الفریقین من المحن، یشهد بأنّ التشدّد فیه لم یکن لإحقاق الحقّ و إزاحة الشکوک بل استغلّت کلّ طائفة تلک المسألة للتنکیل بخصومها، فلأجل ذلک أنّ أئمّة أهل البیت علیهم السلام منعوا أصحابهم من الخوض فی تلک المسألة، فقد سأل الریّان بن الصلت الإمام الرضا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القرآن؟ فقال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لا تتجاوزوه، و لا تطلبوا الهدی فی غیره فتضلّوا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نری أنّ الامام علیه السلام یبتعد عن الخوض فی هذه المسألة لما رأی من أنّ الخوض فیها لیس لصالح الإسلام، و أنّ الاکتفاء بأنّه کلام اللّه أحسم لمادّة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علیهم السلام عند ما أحسّوا بسلامة الموقف، أدلوا برأیهم فی الموضوع، و صرّحوا بأنّ الخالق هو اللّه سبحانه و غیره مخلوق، و القرآن لیس نفسه سبحانه و إلّا یلزم اتحاد المنزِل و المنزَل، فهو غیره، فیکون لا محالة مخلوقاً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محمد بن عیسی بن عبید الیقطینی أنّه کتب علی بن محمد بن علی بن موسی الرضا علیه السلام إلی بعض شیعته ببغداد،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الخالق إلّا اللّه عزّ و جلّ و ما سواه مخلوق، و القرآن کلام اللّه لا تجعل له اسماً من عندک فتکون من الضالّین</w:t>
      </w:r>
      <w:r>
        <w:rPr>
          <w:rFonts w:eastAsia="IRNazanin" w:cs="IRNazanin"/>
          <w:color w:val="111111"/>
          <w:sz w:val="28"/>
          <w:szCs w:val="28"/>
          <w:rtl w:val="true"/>
          <w:lang w:bidi="fa-IR"/>
        </w:rPr>
        <w:t xml:space="preserve">». </w:t>
      </w:r>
      <w:r>
        <w:rPr>
          <w:rStyle w:val="FootnoteAnchor"/>
          <w:rtl w:val="true"/>
        </w:rPr>
        <w:footnoteReference w:id="143"/>
      </w:r>
      <w:bookmarkStart w:id="296" w:name="pg2866_38069"/>
    </w:p>
    <w:p>
      <w:pPr>
        <w:pStyle w:val="Heading4"/>
        <w:numPr>
          <w:ilvl w:val="3"/>
          <w:numId w:val="1"/>
        </w:numPr>
        <w:rPr/>
      </w:pPr>
      <w:bookmarkStart w:id="297" w:name="__RefHeading___Toc2819576_1395250215"/>
      <w:bookmarkStart w:id="298" w:name="_Toc103"/>
      <w:bookmarkEnd w:id="296"/>
      <w:bookmarkEnd w:id="297"/>
      <w:r>
        <w:rPr>
          <w:rtl w:val="true"/>
        </w:rPr>
        <w:t>تکملة</w:t>
      </w:r>
      <w:bookmarkEnd w:id="298"/>
    </w:p>
    <w:p>
      <w:pPr>
        <w:pStyle w:val="BookText"/>
        <w:rPr/>
      </w:pPr>
      <w:r>
        <w:rPr>
          <w:rFonts w:ascii="IRNazanin" w:hAnsi="IRNazanin" w:eastAsia="IRNazanin"/>
          <w:color w:val="111111"/>
          <w:sz w:val="28"/>
          <w:sz w:val="28"/>
          <w:szCs w:val="28"/>
          <w:rtl w:val="true"/>
          <w:lang w:bidi="fa-IR"/>
        </w:rPr>
        <w:t>اتّفق المسلمون و الإلهیّون علی أنّ الصدق من صفاته تعالی و أنّه سبحانه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صدقه تعالی کون کلامه منزّهاً عن شوب الکذب، و لمّا کان المختار عندنا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الصفات الفعلیة یکون الصدق فی الکلام مثله و هو واضح</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علی صدقة بأنّ الکذب قبیح عقلاً، و هو سبحانه منزّه عمّا یعدّ العقل من القبائح، و البرهان مبنیّ علی قاعدة التحسین و التقبیح العقلیین، و هی من القواعد الأساسیة فی کلام العدلیة</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2866_38071"/>
      <w:bookmarkStart w:id="300" w:name="pg2866_38071"/>
      <w:bookmarkEnd w:id="300"/>
    </w:p>
    <w:p>
      <w:pPr>
        <w:pStyle w:val="Heading3"/>
        <w:numPr>
          <w:ilvl w:val="2"/>
          <w:numId w:val="1"/>
        </w:numPr>
        <w:rPr/>
      </w:pPr>
      <w:bookmarkStart w:id="301" w:name="pg2866_38071"/>
      <w:bookmarkStart w:id="302" w:name="__RefHeading___Toc2819578_1395250215"/>
      <w:bookmarkStart w:id="303" w:name="_Toc104"/>
      <w:bookmarkEnd w:id="301"/>
      <w:bookmarkEnd w:id="302"/>
      <w:r>
        <w:rPr>
          <w:rtl w:val="true"/>
        </w:rPr>
        <w:t>الفصل الثامن</w:t>
      </w:r>
      <w:r>
        <w:rPr>
          <w:rtl w:val="true"/>
        </w:rPr>
        <w:t>:</w:t>
      </w:r>
      <w:r>
        <w:rPr>
          <w:rtl w:val="true"/>
        </w:rPr>
        <w:t>الصفات الخبریّة</w:t>
      </w:r>
      <w:bookmarkEnd w:id="303"/>
    </w:p>
    <w:p>
      <w:pPr>
        <w:pStyle w:val="Heading4"/>
        <w:numPr>
          <w:ilvl w:val="3"/>
          <w:numId w:val="1"/>
        </w:numPr>
        <w:rPr/>
      </w:pPr>
      <w:bookmarkStart w:id="304" w:name="__RefHeading___Toc2819580_1395250215"/>
      <w:bookmarkStart w:id="305" w:name="_Toc105"/>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قسّم بعض المتکلّمین صفاته سبحانه إلی ذاتیّة و خبریّة، و المراد من الأُولیٰ أوصافه المعروفة من العلم و القدرة و الحیاة، و المراد من الثانیة ما أثبتته ظواهر الآیات و الأحادیث له سبحانه من العلوّ و الوجه و الیدین إلی غیر ذلک، و قد اختلفت آراء المتکلّمین فی تفسیر هذا القسم من الصفات إلی أقوال</w:t>
      </w:r>
      <w:r>
        <w:rPr>
          <w:rFonts w:eastAsia="IRNazanin" w:cs="IRNazanin"/>
          <w:color w:val="111111"/>
          <w:sz w:val="28"/>
          <w:szCs w:val="28"/>
          <w:rtl w:val="true"/>
          <w:lang w:bidi="fa-IR"/>
        </w:rPr>
        <w:t>:</w:t>
      </w:r>
    </w:p>
    <w:p>
      <w:pPr>
        <w:pStyle w:val="Heading4"/>
        <w:numPr>
          <w:ilvl w:val="3"/>
          <w:numId w:val="1"/>
        </w:numPr>
        <w:rPr/>
      </w:pPr>
      <w:bookmarkStart w:id="306" w:name="__RefHeading___Toc2819582_1395250215"/>
      <w:bookmarkStart w:id="307" w:name="_Toc106"/>
      <w:bookmarkEnd w:id="306"/>
      <w:r>
        <w:rPr>
          <w:rtl w:val="true"/>
        </w:rPr>
        <w:t>الأوّل</w:t>
      </w:r>
      <w:r>
        <w:rPr>
          <w:rtl w:val="true"/>
        </w:rPr>
        <w:t xml:space="preserve">: </w:t>
      </w:r>
      <w:r>
        <w:rPr>
          <w:rtl w:val="true"/>
        </w:rPr>
        <w:t>الإثبات مع التکییف و التشبیه</w:t>
      </w:r>
      <w:bookmarkEnd w:id="307"/>
    </w:p>
    <w:p>
      <w:pPr>
        <w:pStyle w:val="BookText"/>
        <w:rPr/>
      </w:pPr>
      <w:r>
        <w:rPr>
          <w:rFonts w:ascii="IRNazanin" w:hAnsi="IRNazanin" w:eastAsia="IRNazanin"/>
          <w:color w:val="111111"/>
          <w:sz w:val="28"/>
          <w:sz w:val="28"/>
          <w:szCs w:val="28"/>
          <w:rtl w:val="true"/>
          <w:lang w:bidi="fa-IR"/>
        </w:rPr>
        <w:t>زعمت المجسِّمة و المشبِّهة أنّ للّه سبحانه عینین و یدین مثل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مشبِّهة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أجازوا علی ربِّهم الملامسة و المصافحة و أنّ المسلمین المخلصین یعانقونه سبحانه فی الدنیا و الآخرة، إذا بلغوا فی الریاضة و الاجتهاد إلی حدّ الإخلاص</w:t>
      </w:r>
      <w:r>
        <w:rPr>
          <w:rFonts w:eastAsia="IRNazanin" w:cs="IRNazanin"/>
          <w:color w:val="111111"/>
          <w:sz w:val="28"/>
          <w:szCs w:val="28"/>
          <w:rtl w:val="true"/>
          <w:lang w:bidi="fa-IR"/>
        </w:rPr>
        <w:t xml:space="preserve">. </w:t>
      </w:r>
      <w:r>
        <w:rPr>
          <w:rStyle w:val="FootnoteAnchor"/>
          <w:rtl w:val="true"/>
        </w:rPr>
        <w:footnoteReference w:id="144"/>
      </w:r>
      <w:bookmarkStart w:id="308" w:name="pg2866_38072"/>
    </w:p>
    <w:p>
      <w:pPr>
        <w:pStyle w:val="BookText"/>
        <w:rPr/>
      </w:pPr>
      <w:bookmarkEnd w:id="308"/>
      <w:r>
        <w:rPr>
          <w:rFonts w:ascii="IRNazanin" w:hAnsi="IRNazanin" w:eastAsia="IRNazanin"/>
          <w:color w:val="111111"/>
          <w:sz w:val="28"/>
          <w:sz w:val="28"/>
          <w:szCs w:val="28"/>
          <w:rtl w:val="true"/>
          <w:lang w:bidi="fa-IR"/>
        </w:rPr>
        <w:t>و بما أنّ التشبیه و التجسیم باطل بالعقل و النقل فلا ریب فی بطلان هذه النظریّة</w:t>
      </w:r>
      <w:r>
        <w:rPr>
          <w:rFonts w:eastAsia="IRNazanin" w:cs="IRNazanin"/>
          <w:color w:val="111111"/>
          <w:sz w:val="28"/>
          <w:szCs w:val="28"/>
          <w:rtl w:val="true"/>
          <w:lang w:bidi="fa-IR"/>
        </w:rPr>
        <w:t>.</w:t>
      </w:r>
    </w:p>
    <w:p>
      <w:pPr>
        <w:pStyle w:val="Heading4"/>
        <w:numPr>
          <w:ilvl w:val="3"/>
          <w:numId w:val="1"/>
        </w:numPr>
        <w:rPr/>
      </w:pPr>
      <w:bookmarkStart w:id="309" w:name="__RefHeading___Toc2819584_1395250215"/>
      <w:bookmarkStart w:id="310" w:name="_Toc107"/>
      <w:bookmarkEnd w:id="309"/>
      <w:r>
        <w:rPr>
          <w:rtl w:val="true"/>
        </w:rPr>
        <w:t>الثانی</w:t>
      </w:r>
      <w:r>
        <w:rPr>
          <w:rtl w:val="true"/>
        </w:rPr>
        <w:t xml:space="preserve">: </w:t>
      </w:r>
      <w:r>
        <w:rPr>
          <w:rtl w:val="true"/>
        </w:rPr>
        <w:t>الإثبات بلا تکییف و لا تشبیه</w:t>
      </w:r>
      <w:bookmarkEnd w:id="310"/>
    </w:p>
    <w:p>
      <w:pPr>
        <w:pStyle w:val="BookText"/>
        <w:rPr/>
      </w:pPr>
      <w:r>
        <w:rPr>
          <w:rFonts w:ascii="IRNazanin" w:hAnsi="IRNazanin" w:eastAsia="IRNazanin"/>
          <w:color w:val="111111"/>
          <w:sz w:val="28"/>
          <w:sz w:val="28"/>
          <w:szCs w:val="28"/>
          <w:rtl w:val="true"/>
          <w:lang w:bidi="fa-IR"/>
        </w:rPr>
        <w:t>إنّ الشیخ الأشعری و من تبعه یجرون هذه الصفات علی اللّه سبحانه بالمعنی المتبادر منها فی العرف، لکن لأجل الفرار عن التشبیه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تشبیه و لا تکییف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الأشعری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سبحانه وجهاً بلا کیف،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له یدین بلا کیف،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بِیَدَیَّ</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قد نقلت هذه النظریّة عن أبی حنیفة و الشافعی و ابن کثیر</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حاصل هذه النظریّة أنّ له سبحانه هذه الحقائق لکن لا کالموجودة فی البشر، فله ید و عین، لا کأیدینا و أعیننا و بذلک توفقوا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حسب زعمهم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 بین ظواهر النصوص و مقتضی التنزیه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للّه یداً لا کأیدینا، أو وجهاً لا کوجوهنا، و هکذا سائر الصفات الخبریة أشبه بالألغاز، فاستعمالها فی المعانی الحقیقیة و إثبات معانیها علی اللّه سبحانه بلا کیفیّة أشبه بکون حیوان أسداً حقیقة و لکن بلا </w:t>
      </w:r>
    </w:p>
    <w:p>
      <w:pPr>
        <w:pStyle w:val="BookText"/>
        <w:rPr/>
      </w:pPr>
      <w:r>
        <w:rPr>
          <w:rFonts w:ascii="IRNazanin" w:hAnsi="IRNazanin" w:eastAsia="IRNazanin"/>
          <w:color w:val="111111"/>
          <w:sz w:val="28"/>
          <w:sz w:val="28"/>
          <w:szCs w:val="28"/>
          <w:rtl w:val="true"/>
          <w:lang w:bidi="fa-IR"/>
        </w:rPr>
        <w:t>ذنب و لا مخلب و لا ناب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إبراز العقیدة الإسلامیّة بصورة الإبهام و الألغاز کما فی هذه النظریّة کإبرازها بصورة التشبیه و التجسیم المأثور من الیهودیة و النصرانیة کما فی النظریّة الأُولی، لا یجتمع مع موقف الاسلام و القرآن فی عرض العقائد علی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خالف هذه النظریّة أبو حامد الغزالی، و حاصل ما ذکره فی نقدها أنّ هذه الألفاظ الّتی تجری فی العبارات القرآنیة و الأحادیث النبویّة لها معان ظاهرة و هی الحسّیة الّتی نراها، و هی محالة علی اللّه تعالی، و معان أخری مجازیة مشهورة یعرفها العربی من غیر تأویل و لا محاولة تفسیر، فإذا سمع الید فی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خمّر آدم بیده، و إنّ قلب المؤمن بین إصبعین من أصابع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یعلم أنّ هذه الألفاظ تطلق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الوضع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عنصر مرکب من لحم و عظم و عصب، و قد یستعار هذا اللفظ،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لمعنی آخر لیس هذا المعنی بجسم اصلاً،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البلدة فی ید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مفهوم و إن کان الامیر مقطوع الید، فعلی العامّی و غیر العامّی أن یتحقّق قطعاً و یقیناً أنّ الرسول صلی الله علیه و آله لم یرد بذلک جسماً، و أنّ ذلک فی حق اللّه محال، فإن خطر بباله أنّ اللّه جسم مرکّب من أعضاء فهو عابد صنم، فإنّ کلّ جسم مخلوق و عبادة المخلوق کفر و عبادة الصنم کانت کفراً لأنّه مخلوق</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المخالفین لهذه النظریّة أبو زهرة المعاصر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قولهم بأنّ </w:t>
      </w:r>
      <w:bookmarkStart w:id="311" w:name="pg2866_38075"/>
    </w:p>
    <w:p>
      <w:pPr>
        <w:pStyle w:val="BookText"/>
        <w:rPr/>
      </w:pPr>
      <w:bookmarkEnd w:id="311"/>
      <w:r>
        <w:rPr>
          <w:rFonts w:ascii="IRNazanin" w:hAnsi="IRNazanin" w:eastAsia="IRNazanin"/>
          <w:color w:val="111111"/>
          <w:sz w:val="28"/>
          <w:sz w:val="28"/>
          <w:szCs w:val="28"/>
          <w:rtl w:val="true"/>
          <w:lang w:bidi="fa-IR"/>
        </w:rPr>
        <w:t>للّه یداً و لکن لا نعرفها و للّه نزولا لکن لیس کنزولنا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هذه إحالات علی مجهولات، لا نفهم مؤدّاها و لا غایاتها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2819586_1395250215"/>
      <w:bookmarkStart w:id="313" w:name="_Toc108"/>
      <w:bookmarkEnd w:id="312"/>
      <w:r>
        <w:rPr>
          <w:rtl w:val="true"/>
        </w:rPr>
        <w:t>الثالث</w:t>
      </w:r>
      <w:r>
        <w:rPr>
          <w:rtl w:val="true"/>
        </w:rPr>
        <w:t xml:space="preserve">: </w:t>
      </w:r>
      <w:r>
        <w:rPr>
          <w:rtl w:val="true"/>
        </w:rPr>
        <w:t>التفویض</w:t>
      </w:r>
      <w:bookmarkEnd w:id="313"/>
    </w:p>
    <w:p>
      <w:pPr>
        <w:pStyle w:val="BookText"/>
        <w:rPr/>
      </w:pPr>
      <w:r>
        <w:rPr>
          <w:rFonts w:ascii="IRNazanin" w:hAnsi="IRNazanin" w:eastAsia="IRNazanin"/>
          <w:color w:val="111111"/>
          <w:sz w:val="28"/>
          <w:sz w:val="28"/>
          <w:szCs w:val="28"/>
          <w:rtl w:val="true"/>
          <w:lang w:bidi="fa-IR"/>
        </w:rPr>
        <w:t>ذهب جمع من الأشاعرة و غیرهم إلی اجراء هذه الصفات علی اللّه سبحانه مع تفویض المراد منها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جماعة کثیرة من السلف یثبتون صفات خبریة مثل الیدین و الوجه و لا یؤوّلون ذلک، إلّا 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معنی اللفظ الوارد فیه،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بِیَدَیَّ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لسنا مکلّفین بمعرفة تفسیر هذه الآیات بل التکلیف قد ورد بالاعتقاد بأنّه لا شریک له و ذلک قد أثبتناه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إلیه جنح الرازی و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المتشابهات یجب القطع بأنّ مراد اللّه منها شیء غیر ظواهرها کما یجب تفویض معناها إلی اللّه تعالی و لا یجوز الخوض فی تفسیرها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314" w:name="pg2866_38076"/>
    </w:p>
    <w:p>
      <w:pPr>
        <w:pStyle w:val="BookText"/>
        <w:rPr/>
      </w:pPr>
      <w:bookmarkEnd w:id="31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لأهل التفویض عذراً واضحاً فی هذا المجال، فإنّهم یتصوّرون أنّ الآیات المشتملة علی الصفات الخبریّة من الآیات المتشابهة، و قد نهی سبحانه عن ابتغاء تأویلها و أمر عباده بالإیمان بها</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نعم یلاحظ علی مقالتهم هذه أنّ الآیات لیست من الآیات المتشابهة، فإنّ المفاد فیها غیر متشابهة </w:t>
      </w:r>
      <w:r>
        <w:rPr>
          <w:rStyle w:val="FootnoteAnchor"/>
          <w:rtl w:val="true"/>
        </w:rPr>
        <w:footnoteReference w:id="154"/>
      </w:r>
      <w:r>
        <w:rPr>
          <w:rFonts w:ascii="IRNazanin" w:hAnsi="IRNazanin" w:eastAsia="IRNazanin"/>
          <w:color w:val="111111"/>
          <w:sz w:val="28"/>
          <w:sz w:val="28"/>
          <w:szCs w:val="28"/>
          <w:rtl w:val="true"/>
          <w:lang w:bidi="fa-IR"/>
        </w:rPr>
        <w:t>إذا أمعن فیها الإنسان المتجرّد عن کلّ رأی سابق</w:t>
      </w:r>
      <w:r>
        <w:rPr>
          <w:rFonts w:eastAsia="IRNazanin" w:cs="IRNazanin"/>
          <w:color w:val="111111"/>
          <w:sz w:val="28"/>
          <w:szCs w:val="28"/>
          <w:rtl w:val="true"/>
          <w:lang w:bidi="fa-IR"/>
        </w:rPr>
        <w:t>.</w:t>
      </w:r>
    </w:p>
    <w:p>
      <w:pPr>
        <w:pStyle w:val="Heading4"/>
        <w:numPr>
          <w:ilvl w:val="3"/>
          <w:numId w:val="1"/>
        </w:numPr>
        <w:rPr/>
      </w:pPr>
      <w:bookmarkStart w:id="315" w:name="__RefHeading___Toc2819588_1395250215"/>
      <w:bookmarkStart w:id="316" w:name="_Toc109"/>
      <w:bookmarkEnd w:id="315"/>
      <w:r>
        <w:rPr>
          <w:rtl w:val="true"/>
        </w:rPr>
        <w:t>الرابع</w:t>
      </w:r>
      <w:r>
        <w:rPr>
          <w:rtl w:val="true"/>
        </w:rPr>
        <w:t xml:space="preserve">: </w:t>
      </w:r>
      <w:r>
        <w:rPr>
          <w:rtl w:val="true"/>
        </w:rPr>
        <w:t>التأویل</w:t>
      </w:r>
      <w:bookmarkEnd w:id="31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التأویل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إنّ العدلیّة من المتکلّمین هم المشهورون بهذه النظریّة حیث یفسّرون الید بالنعمة و القدرة، و الاستواء بالاستیلاء و إظهار القدرة و تبعهم فی ذلک جماعة من الأشاعرة و غیرهم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الحرفی و الظاهر الجملی، فإنّ الید مثلاً مفردة ظاهرة فی العضو الخاص، و لیست کذلک فیما إذا حفّت بها القرائن، فإنّ قول القائل فی مدح انسان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قابض </w:t>
      </w:r>
    </w:p>
    <w:p>
      <w:pPr>
        <w:pStyle w:val="BookText"/>
        <w:rPr/>
      </w:pP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فی الید العضویة الّتی أسمیناها بالمعنی الحرفی، بل ظاهر فی البذل و العطاء أو فی البخل و الإقتار و ربما یکون مقطوع الید، و حمل الجملة علی غیر ذلک المعنی، حمل علی غیر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یجب ملاحظة کلام المؤوِّلة، فان کانت تأویلهم علی غرار ما بیّنّاه فهؤلاء لیسوا بمؤوِّلة بل هم مقتفون لظاهر الکتاب و السنة، و لا یکون تفسیر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ضوء القرائن الموجودة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تأویلاً و إنما هو اتّباع للنصوص و الظواهر، و ان کان تأویلهم باختراع معان للآیات من دون أن تکون فی الآیات قرائن متصلة أو منفصلة دالّة علیها فلیس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خطراً من الإثبات المنتهی إمّا إلی التجسیم أو إلی التعقید و الإبهام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ضوء ما قرّرنا من الضابطة و المیزان، تقدر علی تفسیر ما ورد فی التنزیل من الوجه </w:t>
      </w:r>
      <w:r>
        <w:rPr>
          <w:rStyle w:val="FootnoteAnchor"/>
          <w:rtl w:val="true"/>
        </w:rPr>
        <w:footnoteReference w:id="156"/>
      </w:r>
      <w:r>
        <w:rPr>
          <w:rFonts w:ascii="IRNazanin" w:hAnsi="IRNazanin" w:eastAsia="IRNazanin"/>
          <w:color w:val="111111"/>
          <w:sz w:val="28"/>
          <w:sz w:val="28"/>
          <w:szCs w:val="28"/>
          <w:rtl w:val="true"/>
          <w:lang w:bidi="fa-IR"/>
        </w:rPr>
        <w:t xml:space="preserve">و العین </w:t>
      </w:r>
      <w:r>
        <w:rPr>
          <w:rStyle w:val="FootnoteAnchor"/>
          <w:rtl w:val="true"/>
        </w:rPr>
        <w:footnoteReference w:id="157"/>
      </w:r>
      <w:r>
        <w:rPr>
          <w:rFonts w:ascii="IRNazanin" w:hAnsi="IRNazanin" w:eastAsia="IRNazanin"/>
          <w:color w:val="111111"/>
          <w:sz w:val="28"/>
          <w:sz w:val="28"/>
          <w:szCs w:val="28"/>
          <w:rtl w:val="true"/>
          <w:lang w:bidi="fa-IR"/>
        </w:rPr>
        <w:t xml:space="preserve">و الجنب </w:t>
      </w:r>
      <w:r>
        <w:rPr>
          <w:rStyle w:val="FootnoteAnchor"/>
          <w:rtl w:val="true"/>
        </w:rPr>
        <w:footnoteReference w:id="158"/>
      </w:r>
      <w:r>
        <w:rPr>
          <w:rFonts w:ascii="IRNazanin" w:hAnsi="IRNazanin" w:eastAsia="IRNazanin"/>
          <w:color w:val="111111"/>
          <w:sz w:val="28"/>
          <w:sz w:val="28"/>
          <w:szCs w:val="28"/>
          <w:rtl w:val="true"/>
          <w:lang w:bidi="fa-IR"/>
        </w:rPr>
        <w:t xml:space="preserve">و الإتیان </w:t>
      </w:r>
      <w:r>
        <w:rPr>
          <w:rStyle w:val="FootnoteAnchor"/>
          <w:rtl w:val="true"/>
        </w:rPr>
        <w:footnoteReference w:id="159"/>
      </w:r>
      <w:r>
        <w:rPr>
          <w:rFonts w:ascii="IRNazanin" w:hAnsi="IRNazanin" w:eastAsia="IRNazanin"/>
          <w:color w:val="111111"/>
          <w:sz w:val="28"/>
          <w:sz w:val="28"/>
          <w:szCs w:val="28"/>
          <w:rtl w:val="true"/>
          <w:lang w:bidi="fa-IR"/>
        </w:rPr>
        <w:t xml:space="preserve">و الفوقیة </w:t>
      </w:r>
      <w:r>
        <w:rPr>
          <w:rStyle w:val="FootnoteAnchor"/>
          <w:rtl w:val="true"/>
        </w:rPr>
        <w:footnoteReference w:id="160"/>
      </w:r>
      <w:r>
        <w:rPr>
          <w:rFonts w:ascii="IRNazanin" w:hAnsi="IRNazanin" w:eastAsia="IRNazanin"/>
          <w:color w:val="111111"/>
          <w:sz w:val="28"/>
          <w:sz w:val="28"/>
          <w:szCs w:val="28"/>
          <w:rtl w:val="true"/>
          <w:lang w:bidi="fa-IR"/>
        </w:rPr>
        <w:t xml:space="preserve">و العرش </w:t>
      </w:r>
      <w:r>
        <w:rPr>
          <w:rStyle w:val="FootnoteAnchor"/>
          <w:rtl w:val="true"/>
        </w:rPr>
        <w:footnoteReference w:id="161"/>
      </w:r>
      <w:r>
        <w:rPr>
          <w:rFonts w:ascii="IRNazanin" w:hAnsi="IRNazanin" w:eastAsia="IRNazanin"/>
          <w:color w:val="111111"/>
          <w:sz w:val="28"/>
          <w:sz w:val="28"/>
          <w:szCs w:val="28"/>
          <w:rtl w:val="true"/>
          <w:lang w:bidi="fa-IR"/>
        </w:rPr>
        <w:t xml:space="preserve">و الاستواء </w:t>
      </w:r>
      <w:r>
        <w:rPr>
          <w:rStyle w:val="FootnoteAnchor"/>
          <w:rtl w:val="true"/>
        </w:rPr>
        <w:footnoteReference w:id="162"/>
      </w:r>
      <w:r>
        <w:rPr>
          <w:rFonts w:ascii="IRNazanin" w:hAnsi="IRNazanin" w:eastAsia="IRNazanin"/>
          <w:color w:val="111111"/>
          <w:sz w:val="28"/>
          <w:sz w:val="28"/>
          <w:szCs w:val="28"/>
          <w:rtl w:val="true"/>
          <w:lang w:bidi="fa-IR"/>
        </w:rPr>
        <w:t>و ما یشابهها، من دون أن تمسّ کرامة التنزیه، و من دون أن تخرج عن ظواهر الآیات بالتأویلات الباردة غیر الصحیحة</w:t>
      </w:r>
      <w:r>
        <w:rPr>
          <w:rFonts w:eastAsia="IRNazanin" w:cs="IRNazanin"/>
          <w:color w:val="111111"/>
          <w:sz w:val="28"/>
          <w:szCs w:val="28"/>
          <w:rtl w:val="true"/>
          <w:lang w:bidi="fa-IR"/>
        </w:rPr>
        <w:t xml:space="preserve">. </w:t>
      </w:r>
      <w:bookmarkStart w:id="317" w:name="pg2866_38078"/>
    </w:p>
    <w:p>
      <w:pPr>
        <w:pStyle w:val="Heading3"/>
        <w:numPr>
          <w:ilvl w:val="2"/>
          <w:numId w:val="1"/>
        </w:numPr>
        <w:rPr/>
      </w:pPr>
      <w:bookmarkStart w:id="318" w:name="__RefHeading___Toc2819590_1395250215"/>
      <w:bookmarkStart w:id="319" w:name="_Toc110"/>
      <w:bookmarkEnd w:id="317"/>
      <w:bookmarkEnd w:id="318"/>
      <w:r>
        <w:rPr>
          <w:rtl w:val="true"/>
        </w:rPr>
        <w:t>الفصل التاسع</w:t>
      </w:r>
      <w:r>
        <w:rPr>
          <w:rtl w:val="true"/>
        </w:rPr>
        <w:t>:</w:t>
      </w:r>
      <w:r>
        <w:rPr>
          <w:rtl w:val="true"/>
        </w:rPr>
        <w:t>الصفات السلبیّة</w:t>
      </w:r>
      <w:bookmarkEnd w:id="319"/>
    </w:p>
    <w:p>
      <w:pPr>
        <w:pStyle w:val="Heading4"/>
        <w:numPr>
          <w:ilvl w:val="3"/>
          <w:numId w:val="1"/>
        </w:numPr>
        <w:rPr/>
      </w:pPr>
      <w:bookmarkStart w:id="320" w:name="__RefHeading___Toc2819592_1395250215"/>
      <w:bookmarkStart w:id="321" w:name="_Toc111"/>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الصفة السلبیّة ما تفید معنی سلبیاً، لکنّ اللّه تعالی لا یجوز سلب کمال من الکمالات عنه لکونه مبدأ کل کمال، فصفاته السلبیة ما دلّ علی سلب النقص و الحاجة، کمن لیس بجاهل، و لیس بعاجز، و لمّا کان معنی النقص و الحاجة فی معنی سلب الکمال کانت الصفة السلبیة المفیدة لسلب النقص، راجعة إلی سلب واحد و هو سلب النقص و الاحتیاج و لقد أجاد الحکیم السبزواری فی المقام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السَّلْبیُّ سَلْبُ السَّلْبِ جٰا فی سَلْبِ الاحتیاجِ کُلاً أُدْرِجٰا </w:t>
      </w:r>
      <w:r>
        <w:rPr>
          <w:rStyle w:val="FootnoteAnchor"/>
          <w:rtl w:val="true"/>
        </w:rPr>
        <w:footnoteReference w:id="1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ظهرت فی مجال صفاته السلبیة عقائد و آراء سخیفة کالحلول و الجهة و الرؤیة و غیر ذلک، فدعا ذلک المتکلّمین أن یبحثوا عن هذه الصفات السلبیة فی مسفوراتهم الکلامیة، و الأصل الکافل لإبطال جمیع تلک المذاهب و الآراء وجوب الوجود بالذات، فإنّ الجمیع مستلزم للترکیب و الجسمیة و هما آیتا الفقر و الحاجة المنافیة لوجوب الوجود </w:t>
      </w:r>
      <w:bookmarkStart w:id="322" w:name="pg2866_38079"/>
    </w:p>
    <w:p>
      <w:pPr>
        <w:pStyle w:val="BookText"/>
        <w:rPr/>
      </w:pPr>
      <w:bookmarkEnd w:id="322"/>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حول بعض هذه الصفات، کنفی الشریک و الترکیب و الصفات الزائدة علی الذات فی مباحث التوحید، و نبحث الآن عن غیرها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w:t>
      </w:r>
      <w:r>
        <w:rPr>
          <w:rFonts w:eastAsia="IRNazanin" w:cs="IRNazanin"/>
          <w:color w:val="111111"/>
          <w:sz w:val="28"/>
          <w:szCs w:val="28"/>
          <w:rtl w:val="true"/>
          <w:lang w:bidi="fa-IR"/>
        </w:rPr>
        <w:t>:</w:t>
      </w:r>
    </w:p>
    <w:p>
      <w:pPr>
        <w:pStyle w:val="Heading4"/>
        <w:numPr>
          <w:ilvl w:val="3"/>
          <w:numId w:val="1"/>
        </w:numPr>
        <w:rPr/>
      </w:pPr>
      <w:bookmarkStart w:id="323" w:name="__RefHeading___Toc2819594_1395250215"/>
      <w:bookmarkStart w:id="324" w:name="_Toc112"/>
      <w:bookmarkEnd w:id="323"/>
      <w:r>
        <w:rPr/>
        <w:t>1</w:t>
      </w:r>
      <w:r>
        <w:rPr>
          <w:rtl w:val="true"/>
        </w:rPr>
        <w:t xml:space="preserve">. </w:t>
      </w:r>
      <w:r>
        <w:rPr>
          <w:rtl w:val="true"/>
        </w:rPr>
        <w:t>لیس بجسم</w:t>
      </w:r>
      <w:bookmarkEnd w:id="324"/>
    </w:p>
    <w:p>
      <w:pPr>
        <w:pStyle w:val="BookText"/>
        <w:rPr/>
      </w:pP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نعرف له من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یشتمل علی الأبعاد الثلاثة من الطول و العرض و العمق، و هو ملازم للترکیب، و المرکّب محتاج إلی أجزائه و المحتاج لا یکون واجب الوجود بالذات</w:t>
      </w:r>
      <w:r>
        <w:rPr>
          <w:rFonts w:eastAsia="IRNazanin" w:cs="IRNazanin"/>
          <w:color w:val="111111"/>
          <w:sz w:val="28"/>
          <w:szCs w:val="28"/>
          <w:rtl w:val="true"/>
          <w:lang w:bidi="fa-IR"/>
        </w:rPr>
        <w:t>.</w:t>
      </w:r>
    </w:p>
    <w:p>
      <w:pPr>
        <w:pStyle w:val="Heading4"/>
        <w:numPr>
          <w:ilvl w:val="3"/>
          <w:numId w:val="1"/>
        </w:numPr>
        <w:rPr/>
      </w:pPr>
      <w:bookmarkStart w:id="325" w:name="__RefHeading___Toc2819596_1395250215"/>
      <w:bookmarkStart w:id="326" w:name="_Toc113"/>
      <w:bookmarkEnd w:id="325"/>
      <w:r>
        <w:rPr/>
        <w:t>2</w:t>
      </w:r>
      <w:r>
        <w:rPr>
          <w:rtl w:val="true"/>
        </w:rPr>
        <w:t xml:space="preserve">. </w:t>
      </w:r>
      <w:r>
        <w:rPr>
          <w:rtl w:val="true"/>
        </w:rPr>
        <w:t>لیس فی جهة</w:t>
      </w:r>
      <w:bookmarkEnd w:id="3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فی جهة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محلّ</w:t>
      </w:r>
    </w:p>
    <w:p>
      <w:pPr>
        <w:pStyle w:val="BookText"/>
        <w:rPr/>
      </w:pPr>
      <w:r>
        <w:rPr>
          <w:rFonts w:ascii="IRNazanin" w:hAnsi="IRNazanin" w:eastAsia="IRNazanin"/>
          <w:color w:val="111111"/>
          <w:sz w:val="28"/>
          <w:sz w:val="28"/>
          <w:szCs w:val="28"/>
          <w:rtl w:val="true"/>
          <w:lang w:bidi="fa-IR"/>
        </w:rPr>
        <w:t>و قد تبیّن استغناؤه عنهما ممّا ذکرنا من الدلیل علی نفی الجسمیة، فإنّ الواقع فی جهة أو محلّ لا یکون إلّا جسماً أو جسمانیاً</w:t>
      </w:r>
      <w:r>
        <w:rPr>
          <w:rFonts w:eastAsia="IRNazanin" w:cs="IRNazanin"/>
          <w:color w:val="111111"/>
          <w:sz w:val="28"/>
          <w:szCs w:val="28"/>
          <w:rtl w:val="true"/>
          <w:lang w:bidi="fa-IR"/>
        </w:rPr>
        <w:t>.</w:t>
      </w:r>
    </w:p>
    <w:p>
      <w:pPr>
        <w:pStyle w:val="Heading4"/>
        <w:numPr>
          <w:ilvl w:val="3"/>
          <w:numId w:val="1"/>
        </w:numPr>
        <w:rPr/>
      </w:pPr>
      <w:bookmarkStart w:id="327" w:name="__RefHeading___Toc2819598_1395250215"/>
      <w:bookmarkStart w:id="328" w:name="_Toc114"/>
      <w:bookmarkEnd w:id="327"/>
      <w:r>
        <w:rPr/>
        <w:t>3</w:t>
      </w:r>
      <w:r>
        <w:rPr>
          <w:rtl w:val="true"/>
        </w:rPr>
        <w:t xml:space="preserve">. </w:t>
      </w:r>
      <w:r>
        <w:rPr>
          <w:rtl w:val="true"/>
        </w:rPr>
        <w:t>لیس حالاً فی شیء</w:t>
      </w:r>
      <w:bookmarkEnd w:id="3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المعقول من الحلول قیام موجود بموجود آخر علی سبیل التبعیّة، و هذا المعنی لا یصحّ فی حقّه سبحانه لاستلزامه الحاجة و قیامه فی الغیر</w:t>
      </w:r>
      <w:r>
        <w:rPr>
          <w:rFonts w:eastAsia="IRNazanin" w:cs="IRNazanin"/>
          <w:color w:val="111111"/>
          <w:sz w:val="28"/>
          <w:szCs w:val="28"/>
          <w:rtl w:val="true"/>
          <w:lang w:bidi="fa-IR"/>
        </w:rPr>
        <w:t xml:space="preserve">. </w:t>
      </w:r>
      <w:bookmarkStart w:id="329" w:name="pg2866_38080"/>
    </w:p>
    <w:p>
      <w:pPr>
        <w:pStyle w:val="Heading4"/>
        <w:numPr>
          <w:ilvl w:val="3"/>
          <w:numId w:val="1"/>
        </w:numPr>
        <w:rPr/>
      </w:pPr>
      <w:bookmarkStart w:id="330" w:name="__RefHeading___Toc2819600_1395250215"/>
      <w:bookmarkStart w:id="331" w:name="_Toc115"/>
      <w:bookmarkEnd w:id="329"/>
      <w:bookmarkEnd w:id="330"/>
      <w:r>
        <w:rPr/>
        <w:t>4</w:t>
      </w:r>
      <w:r>
        <w:rPr>
          <w:rtl w:val="true"/>
        </w:rPr>
        <w:t xml:space="preserve">. </w:t>
      </w:r>
      <w:r>
        <w:rPr>
          <w:rtl w:val="true"/>
        </w:rPr>
        <w:t>لیس متّحداً مع غیره</w:t>
      </w:r>
      <w:bookmarkEnd w:id="331"/>
    </w:p>
    <w:p>
      <w:pPr>
        <w:pStyle w:val="BookText"/>
        <w:rPr/>
      </w:pPr>
      <w:r>
        <w:rPr>
          <w:rFonts w:ascii="IRNazanin" w:hAnsi="IRNazanin" w:eastAsia="IRNazanin"/>
          <w:color w:val="111111"/>
          <w:sz w:val="28"/>
          <w:sz w:val="28"/>
          <w:szCs w:val="28"/>
          <w:rtl w:val="true"/>
          <w:lang w:bidi="fa-IR"/>
        </w:rPr>
        <w:t>حقیقة الاتّحاد عبارة عن صیرورة الشیئین المتغایرین شیئاً واحداً، و هو مستحیل فی حقّه تعالی مضافاً إلی استحالته فی ذاته، فإنّ ذلک الغیر بحکم انحصار واجب الوجود فی واحد، ممکن، فبعد الاتحاد إمّا أن یکونا موجودین فلا اتحاد، أو یکون واحد منهما موجوداً و الآخر معدوماً، و المعدوم إمّا هو الممکن، فیلزم الخلف و عدم الاتحاد، أو الواجب فیلزم انعدام الواجب و هو محال</w:t>
      </w:r>
      <w:r>
        <w:rPr>
          <w:rFonts w:eastAsia="IRNazanin" w:cs="IRNazanin"/>
          <w:color w:val="111111"/>
          <w:sz w:val="28"/>
          <w:szCs w:val="28"/>
          <w:rtl w:val="true"/>
          <w:lang w:bidi="fa-IR"/>
        </w:rPr>
        <w:t>.</w:t>
      </w:r>
    </w:p>
    <w:p>
      <w:pPr>
        <w:pStyle w:val="Heading4"/>
        <w:numPr>
          <w:ilvl w:val="3"/>
          <w:numId w:val="1"/>
        </w:numPr>
        <w:rPr/>
      </w:pPr>
      <w:bookmarkStart w:id="332" w:name="__RefHeading___Toc2819602_1395250215"/>
      <w:bookmarkStart w:id="333" w:name="_Toc116"/>
      <w:bookmarkEnd w:id="332"/>
      <w:r>
        <w:rPr/>
        <w:t>5</w:t>
      </w:r>
      <w:r>
        <w:rPr>
          <w:rtl w:val="true"/>
        </w:rPr>
        <w:t xml:space="preserve">. </w:t>
      </w:r>
      <w:r>
        <w:rPr>
          <w:rtl w:val="true"/>
        </w:rPr>
        <w:t>لیس محلّاً للحوادث</w:t>
      </w:r>
      <w:bookmarkEnd w:id="333"/>
    </w:p>
    <w:p>
      <w:pPr>
        <w:pStyle w:val="BookText"/>
        <w:rPr/>
      </w:pPr>
      <w:r>
        <w:rPr>
          <w:rFonts w:ascii="IRNazanin" w:hAnsi="IRNazanin" w:eastAsia="IRNazanin"/>
          <w:color w:val="111111"/>
          <w:sz w:val="28"/>
          <w:sz w:val="28"/>
          <w:szCs w:val="28"/>
          <w:rtl w:val="true"/>
          <w:lang w:bidi="fa-IR"/>
        </w:rPr>
        <w:t>و الدلیل علی ذلک أنّه لو قام بذاته شیء من الحوادث للزم تغیّره، و اللازم باطل، فالملزوم مثله، 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التغیّر عبارة عن الانتقال من حالة إلی أُخریٰ، فعلی تقدیر حدوث ذلک الأمر القائم بذاته، یحصل فی ذاته شیء لم یکن من قبل، فیحصل الانتقال من حالة إلی أُخریٰ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بطلان اللازم، فلأنّ التغیّر نتیجة وجود استعداد فی المادّة الّتی تخرج تحت شرائط خاصّة من القوّة إلی الفعل، فلو صحّ علی الواجب کونه محلّاً للحوادث، لصحّ أن یحمل وجوده استعداداً للخروج من القوّة إلی الفعلیة، و هذا من شئون الأُمور المادّیة، و هو سبحانه أجلّ من أن یکون مادّة أو مادیّاً</w:t>
      </w:r>
      <w:r>
        <w:rPr>
          <w:rFonts w:eastAsia="IRNazanin" w:cs="IRNazanin"/>
          <w:color w:val="111111"/>
          <w:sz w:val="28"/>
          <w:szCs w:val="28"/>
          <w:rtl w:val="true"/>
          <w:lang w:bidi="fa-IR"/>
        </w:rPr>
        <w:t xml:space="preserve">. </w:t>
      </w:r>
      <w:bookmarkStart w:id="334" w:name="pg2866_38082"/>
    </w:p>
    <w:p>
      <w:pPr>
        <w:pStyle w:val="Heading4"/>
        <w:numPr>
          <w:ilvl w:val="3"/>
          <w:numId w:val="1"/>
        </w:numPr>
        <w:rPr/>
      </w:pPr>
      <w:bookmarkStart w:id="335" w:name="__RefHeading___Toc2819604_1395250215"/>
      <w:bookmarkStart w:id="336" w:name="_Toc117"/>
      <w:bookmarkEnd w:id="334"/>
      <w:bookmarkEnd w:id="335"/>
      <w:r>
        <w:rPr/>
        <w:t>6</w:t>
      </w:r>
      <w:r>
        <w:rPr>
          <w:rtl w:val="true"/>
        </w:rPr>
        <w:t xml:space="preserve">. </w:t>
      </w:r>
      <w:r>
        <w:rPr>
          <w:rtl w:val="true"/>
        </w:rPr>
        <w:t>لا تقوم اللَّذة و الألم بذاته</w:t>
      </w:r>
      <w:bookmarkEnd w:id="336"/>
    </w:p>
    <w:p>
      <w:pPr>
        <w:pStyle w:val="BookText"/>
        <w:rPr/>
      </w:pPr>
      <w:r>
        <w:rPr>
          <w:rFonts w:ascii="IRNazanin" w:hAnsi="IRNazanin" w:eastAsia="IRNazanin"/>
          <w:color w:val="111111"/>
          <w:sz w:val="28"/>
          <w:sz w:val="28"/>
          <w:szCs w:val="28"/>
          <w:rtl w:val="true"/>
          <w:lang w:bidi="fa-IR"/>
        </w:rPr>
        <w:t>قد یطلق الألم و اللّذة و یراد بهما الألم و اللّذة المزاجیان، و الاتصاف بهما یستلزم الجسمیّة و المادّة و هو تعالی منزّه عنهما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یطلقان و یراد بهما العقلیان، أعنی إدراک القوّة العقلیة ما یلائمها أو ینافیها، و بما أنّه لا منافی فی عالم الوجود لذاته تعالی لأنّ الموجودات أفاعیله و مخلوقاته، و بین الفعل و فاعله کمال الملائمة الوجودیة، فلا یتصوّر ألمٌ عقلی 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اللَّذة العقلیة فأثبتها للّه تعالی بعضهم قائلین بأنّ واجب الوجود فی غایة الجمال و الکمال و البهاء، فإذا عقل ذاته فقد عقل أتمّ الموجودات و أکملها، فیکون أعظم مدرِک لأجلّ مدرَک بأتم 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منع بعضهم عن توصیفه سبحانه باللَّذة العقلیة أیضاً لعدم الإذن الشرعی بذلک، و ممّن جوز الاتصاف باللّذة العقلیة من متکلّمی الإمامیّة، مؤلّف الیاقوت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المؤثّر مبتهج بالذات لأنّ علمه بکماله الأعظم یوجب له ذلک، فکیف لا و الواحد منّا یلتذُّ بکماله النقصانی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ظاهر کلام المحقق الطوسی فی تجرید الاعتقاد، حیث نفی الألم </w:t>
      </w:r>
    </w:p>
    <w:p>
      <w:pPr>
        <w:pStyle w:val="BookText"/>
        <w:rPr/>
      </w:pPr>
      <w:r>
        <w:rPr>
          <w:rFonts w:ascii="Amiri" w:hAnsi="Amiri" w:eastAsia="Amiri" w:cs="Amiri"/>
          <w:color w:val="111111"/>
          <w:sz w:val="28"/>
          <w:sz w:val="28"/>
          <w:szCs w:val="28"/>
          <w:rtl w:val="true"/>
          <w:lang w:bidi="ar-SA"/>
        </w:rPr>
        <w:t xml:space="preserve">مطلقاً و قیّد اللَّذة المنفیة بالمزاجیة </w:t>
      </w:r>
      <w:r>
        <w:rPr>
          <w:rStyle w:val="FootnoteAnchor"/>
          <w:rtl w:val="true"/>
        </w:rPr>
        <w:footnoteReference w:id="165"/>
      </w:r>
      <w:r>
        <w:rPr>
          <w:rFonts w:ascii="IRNazanin" w:hAnsi="IRNazanin" w:eastAsia="IRNazanin"/>
          <w:color w:val="111111"/>
          <w:sz w:val="28"/>
          <w:sz w:val="28"/>
          <w:szCs w:val="28"/>
          <w:rtl w:val="true"/>
          <w:lang w:bidi="fa-IR"/>
        </w:rPr>
        <w:t>، و من المانعین له المحقّق البحرانی حیث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المسلمون علی عدم إطلاق هذین اللفظین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الفلاسفة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فسروا اللَّذة بأنّها إدراک الملائم أطلقوا علیه لفظ اللَّذة و عنوا بها علمه بکمال ذاته، فلا نزاع معهم إذن فی المعنی، إذ لکلّ أحد أن یفسِّر لفظه بما شاء، لکنّا ننازع فی إطلاق هذا اللفظ علیه لعدم الإذن الشرعی</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2866_38085"/>
      <w:bookmarkStart w:id="338" w:name="pg2866_38085"/>
      <w:bookmarkEnd w:id="338"/>
    </w:p>
    <w:p>
      <w:pPr>
        <w:pStyle w:val="Heading3"/>
        <w:numPr>
          <w:ilvl w:val="2"/>
          <w:numId w:val="1"/>
        </w:numPr>
        <w:rPr/>
      </w:pPr>
      <w:bookmarkStart w:id="339" w:name="pg2866_38085"/>
      <w:bookmarkStart w:id="340" w:name="__RefHeading___Toc2819606_1395250215"/>
      <w:bookmarkStart w:id="341" w:name="_Toc118"/>
      <w:bookmarkEnd w:id="339"/>
      <w:bookmarkEnd w:id="340"/>
      <w:r>
        <w:rPr>
          <w:rtl w:val="true"/>
        </w:rPr>
        <w:t>الفصل العاشر</w:t>
      </w:r>
      <w:r>
        <w:rPr>
          <w:rtl w:val="true"/>
        </w:rPr>
        <w:t>:</w:t>
      </w:r>
      <w:r>
        <w:rPr>
          <w:rtl w:val="true"/>
        </w:rPr>
        <w:t>انّه تعالی لیس بمرئیّ</w:t>
      </w:r>
      <w:bookmarkEnd w:id="341"/>
    </w:p>
    <w:p>
      <w:pPr>
        <w:pStyle w:val="Heading4"/>
        <w:numPr>
          <w:ilvl w:val="3"/>
          <w:numId w:val="1"/>
        </w:numPr>
        <w:rPr/>
      </w:pPr>
      <w:bookmarkStart w:id="342" w:name="__RefHeading___Toc2819608_1395250215"/>
      <w:bookmarkStart w:id="343" w:name="_Toc119"/>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 xml:space="preserve">اتّفقت العدلیّة علی أنّه تعالی لا یُری بالأبصار لا فی الدنیا و لا فی الآخرة، و أمّا غیرهم فالکرامیّة و المجسِّمة الّذین یصفون اللّه سبحانه بالجسمیّة و یثبتون له الجهة، جوَّزوا رؤیته بلا إشکال فی الدارین، و أهل الحدیث و الأشاعرة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تحاشیهم عن إثبات الجسمیّة و الجهة 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برؤیته یوم القیامة و إنّ المؤمنین یرونه کما یری القمر لیلة البدر، و تحقیق الکلام فی هذا المجال رهن دراسة تحلیلیة حول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محلّ النزاع؛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امتناع الرؤیة؛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القائلین بالجواز</w:t>
      </w:r>
      <w:r>
        <w:rPr>
          <w:rFonts w:eastAsia="IRNazanin" w:cs="IRNazanin"/>
          <w:color w:val="111111"/>
          <w:sz w:val="28"/>
          <w:szCs w:val="28"/>
          <w:rtl w:val="true"/>
          <w:lang w:bidi="fa-IR"/>
        </w:rPr>
        <w:t>.</w:t>
      </w:r>
    </w:p>
    <w:p>
      <w:pPr>
        <w:pStyle w:val="Heading4"/>
        <w:numPr>
          <w:ilvl w:val="3"/>
          <w:numId w:val="1"/>
        </w:numPr>
        <w:rPr/>
      </w:pPr>
      <w:bookmarkStart w:id="344" w:name="__RefHeading___Toc2819610_1395250215"/>
      <w:bookmarkStart w:id="345" w:name="_Toc120"/>
      <w:bookmarkEnd w:id="344"/>
      <w:r>
        <w:rPr>
          <w:rtl w:val="true"/>
        </w:rPr>
        <w:t>ما هو موضوع النزاع؟</w:t>
      </w:r>
      <w:bookmarkEnd w:id="34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الرؤیة الّتی تکون فی محلّ الاستحالة و المنع عند العدلیة هی الرؤیة البصریّة بمعناها الحقیقی، لا ما یعبّر عنه بالرؤیة القلبیة کما ورد فی روایات أهل البیت علیهم السلام و الشهود العلمی التام فی مصطلح العرفاء، و هذا المعنی من </w:t>
      </w:r>
    </w:p>
    <w:p>
      <w:pPr>
        <w:pStyle w:val="BookText"/>
        <w:rPr/>
      </w:pPr>
      <w:r>
        <w:rPr>
          <w:rFonts w:ascii="IRNazanin" w:hAnsi="IRNazanin" w:eastAsia="IRNazanin"/>
          <w:color w:val="111111"/>
          <w:sz w:val="28"/>
          <w:sz w:val="28"/>
          <w:szCs w:val="28"/>
          <w:rtl w:val="true"/>
          <w:lang w:bidi="fa-IR"/>
        </w:rPr>
        <w:t>الرؤیة هو الظاهر من کلام الشیخ الأشعری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ندین بأنّ اللّه تعالی یری فی الآخرة بالأبصار کما یری القمر لیلة البدر، یراه المؤمنون کما جاءت الروایات عن رسول اللّه صلی الله علیه و آله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قلتم إنّ رؤیة اللّه بالابصار جائزة من باب القیاس؟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ذلک لأنّ ما لا یجوز أن یوصف به اللّه تعالی و یستحیل علیه، لا یلزم فی القول بجواز الرؤیة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المتأخرین منهم لمّا رأوا أنّ القول بجواز الرؤیة بالابصار یستحیل فی حقّه تعالی، حاولوا تصحیح مقولتهم بوجوه مختلفة، فقال الامام الرازی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الشروع فی الدلالة لا بدّ من تلخیص محلّ النزاع، فإنّ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بالرؤیة الکشف التامّ، فذلک ممّا لا نزاع فی ثبوته، و إن أردت بها الحالة الّتی نجدها من أنفسنا عند إبصارنا الأجسام فذلک ممّا لا نزاع فی انتقائه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الجواب أنّا إذا علمنا الشیء حال ما لم نره، ثمّ رأیناه، فإنّا ندرک تفرقة بین الحالین، و تلک التفرقة لا تعود إلی ارتسام الشبح فی </w:t>
      </w:r>
      <w:bookmarkStart w:id="346" w:name="pg2866_38087"/>
    </w:p>
    <w:p>
      <w:pPr>
        <w:pStyle w:val="BookText"/>
        <w:rPr/>
      </w:pPr>
      <w:bookmarkEnd w:id="346"/>
      <w:r>
        <w:rPr>
          <w:rFonts w:ascii="IRNazanin" w:hAnsi="IRNazanin" w:eastAsia="IRNazanin"/>
          <w:color w:val="111111"/>
          <w:sz w:val="28"/>
          <w:sz w:val="28"/>
          <w:szCs w:val="28"/>
          <w:rtl w:val="true"/>
          <w:lang w:bidi="fa-IR"/>
        </w:rPr>
        <w:t>العین و لا إلی خروج الشعاع منها، بل هی عائدة إلی حالة أُخری مسمّاة بالرؤیة، فندّعی أنّ تعلّق هذه الصفة بذات اللّه تعالی جائز</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لخّصه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الحالة الحاصلة عند ارتسام الشبح فی العین أو خروج الشعاع منها، المغایرة للحالة الحاصلة عند العلم، یمکن أن تحصل مع عدم الارتسام و خروج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الحالة المذکورة إمّا تکون رؤیة بصریّة بالحقیقة، فذلک محال فی حقّه تعالی کما اعترف به الرازی ایضا، و إمّا لا تکون کذلک و إنّما هی مشترکة مع الرؤیة البصریة فی النتیجة،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 فهی راجعة إلی الکشف التام و الرؤیة القلبیة و لا نزاع فیها، قال المحقّق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یحتاج فی إثبات کون تلک الحالة غیر الکشف التام إلی دلیل</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347" w:name="__RefHeading___Toc2819612_1395250215"/>
      <w:bookmarkStart w:id="348" w:name="_Toc121"/>
      <w:bookmarkEnd w:id="347"/>
      <w:r>
        <w:rPr>
          <w:rtl w:val="true"/>
        </w:rPr>
        <w:t>أدلّة امتناع رؤیته تعالی</w:t>
      </w:r>
      <w:bookmarkEnd w:id="348"/>
    </w:p>
    <w:p>
      <w:pPr>
        <w:pStyle w:val="BookText"/>
        <w:rPr/>
      </w:pPr>
      <w:r>
        <w:rPr>
          <w:rFonts w:ascii="IRNazanin" w:hAnsi="IRNazanin" w:eastAsia="IRNazanin"/>
          <w:color w:val="111111"/>
          <w:sz w:val="28"/>
          <w:sz w:val="28"/>
          <w:szCs w:val="28"/>
          <w:rtl w:val="true"/>
          <w:lang w:bidi="fa-IR"/>
        </w:rPr>
        <w:t>یدلّ علی امتناع الرؤیة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الرؤیة إنّما تصحّ لمن کان مقابلاً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 حکم المقابل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کالصورة فی المرآة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المقابلة و ما فی حکمها إنّما تتحقّق فی الأشیاء ذوات الجهة، و اللّه منزّه عنها فلا یکون مرئیاً، و إلیه أشار مؤلّف الیاقوت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رؤیته، لاستحالة الجهة علیه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الرؤیة لا تتحقق إلّا بانعکاس الأشعَّة من المرئی إلی أجهزة العین، و هو یستلزم أن یکون سبحانه جسماً ذا أبعاد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الرؤیة بأجهزة العین نوع إشارة إلیه بالحدقة، و هی إشارة حسّیة لا تتحقق إلّا بمشار إلیه حسّی واقع فی جهة، و اللّه تعالی منزّه عن الجسمانیة و الجهة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الرؤیة إمّا أن تقع علی الذات کلِّها أو علی بعضها، فعلی الأوّل یلزم أن یکون المرئی محدوداً متناهیاً، و علی الثانی یلزم أن یکون مرکّباً ذا أجزاء و أبعاض و الجمیع مستحیل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القائلین بالجواز</w:t>
      </w:r>
    </w:p>
    <w:p>
      <w:pPr>
        <w:pStyle w:val="BookText"/>
        <w:rPr/>
      </w:pPr>
      <w:r>
        <w:rPr>
          <w:rFonts w:ascii="IRNazanin" w:hAnsi="IRNazanin" w:eastAsia="IRNazanin"/>
          <w:color w:val="111111"/>
          <w:sz w:val="28"/>
          <w:sz w:val="28"/>
          <w:szCs w:val="28"/>
          <w:rtl w:val="true"/>
          <w:lang w:bidi="fa-IR"/>
        </w:rPr>
        <w:t>إنّ للقائلین بجواز رؤیته تعالی أدلّة عقلیة و نقلیة، فمن أدلّتهم العقلیة ما ذکره الأشعری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جواز الرؤیة إثبات حدث، لأنّ المرئی لم یکن مرئیا لأنّه محدث، و لو کان مرئیاً لذلک للزمه أن یری کلّ محدث و ذلک باطل عنده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الحدوث لیس شرطاً کافیاً للرؤیة حتّی تلزم رؤیة کلّ محدث، بل هو شرط لازم یتوقّف علی انضمام سائر الشروط الّتی أشرنا إلیها و بما أنّ بعضها غیر متوفّر فی الموجودات المجرّدة المحدثة، لا تقع علیها الرؤیة</w:t>
      </w:r>
      <w:r>
        <w:rPr>
          <w:rFonts w:eastAsia="IRNazanin" w:cs="IRNazanin"/>
          <w:color w:val="111111"/>
          <w:sz w:val="28"/>
          <w:szCs w:val="28"/>
          <w:rtl w:val="true"/>
          <w:lang w:bidi="fa-IR"/>
        </w:rPr>
        <w:t xml:space="preserve">. </w:t>
      </w:r>
      <w:bookmarkStart w:id="349" w:name="pg2866_38089"/>
    </w:p>
    <w:p>
      <w:pPr>
        <w:pStyle w:val="BookText"/>
        <w:rPr/>
      </w:pPr>
      <w:bookmarkEnd w:id="349"/>
      <w:r>
        <w:rPr>
          <w:rFonts w:ascii="IRNazanin" w:hAnsi="IRNazanin" w:eastAsia="IRNazanin"/>
          <w:color w:val="111111"/>
          <w:sz w:val="28"/>
          <w:sz w:val="28"/>
          <w:szCs w:val="28"/>
          <w:rtl w:val="true"/>
          <w:lang w:bidi="fa-IR"/>
        </w:rPr>
        <w:t>و هناک دلیل عقلی استدلّ به مشایخ الأشاعرة فی العصور المتأخرة، و حاصله أنّ ملاک الرؤیة و المصحّح لها أمر مشترک بین الواجب و الممکن و هو الوجود،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الرؤیة مشترکة بین الجوهر و العرض، و لا بدّ للرؤیة المشترکة من علّة واحدة، و هی إمّا الوجود أو الحدوث، و الحدوث لا یصلح للعلّیّة لأنّه أمر عدمی، فتعیّن الوجود، فینتج أنّ صحّة الرؤیة مشترکة بین الواجب و الممکن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الدلیل ضعیف جدّاً و من هنا لم یتمّ عند المفکّرین من الأشاعرة أیضاً، إذ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المشترکة للرؤیة فی الجوهر و العرض لیست هی الوجود بما هو وجود، بل الوجود المقیّد بعدّة قیود، و هی کونه ممکناً، مادّیّاً، یقع فی إطار شرائط خاصّة یستحیل فی حقّه تعالی، و لو کان الوجود هو الملاک التام لصحّة الرؤیة للزم صحّة رؤیة الأفکار و العقائد، و الروحیات و النفسانیات کالقدرة و الإرادة و غیر ذلک من الأُمور الروحیة الوجودیة الّتی لا تقع فی محل الرؤیة</w:t>
      </w:r>
      <w:r>
        <w:rPr>
          <w:rFonts w:eastAsia="IRNazanin" w:cs="IRNazanin"/>
          <w:color w:val="111111"/>
          <w:sz w:val="28"/>
          <w:szCs w:val="28"/>
          <w:rtl w:val="true"/>
          <w:lang w:bidi="fa-IR"/>
        </w:rPr>
        <w:t>.</w:t>
      </w:r>
    </w:p>
    <w:p>
      <w:pPr>
        <w:pStyle w:val="Heading4"/>
        <w:numPr>
          <w:ilvl w:val="3"/>
          <w:numId w:val="1"/>
        </w:numPr>
        <w:rPr/>
      </w:pPr>
      <w:bookmarkStart w:id="350" w:name="__RefHeading___Toc2819614_1395250215"/>
      <w:bookmarkStart w:id="351" w:name="_Toc122"/>
      <w:bookmarkEnd w:id="350"/>
      <w:r>
        <w:rPr>
          <w:rtl w:val="true"/>
        </w:rPr>
        <w:t>استدلال المجوّزین بالکتاب العزیز</w:t>
      </w:r>
      <w:bookmarkEnd w:id="3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القائلون بالجواز بآیات من الکتاب العزیز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توضیح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فی اللّغة جاء بمعنی الانتظار و یستعمل بغیر صلة، و جاء بمعنی التفکّر و یستعمل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بمعنی الرأفة و یستعمل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بمعنی الرؤیة و یستعمل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الآیة موصول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حمله علی الرؤیة</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المتعدّی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یجیء بمعنی الرؤیة، کذلک یجیء کنایة عن التوقّع و الانتظار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ناظرات یوم بدر إلی الرحمن یأتی بالفلاح</w:t>
      </w:r>
    </w:p>
    <w:p>
      <w:pPr>
        <w:pStyle w:val="BookText"/>
        <w:rPr/>
      </w:pPr>
      <w:r>
        <w:rPr>
          <w:rFonts w:ascii="IRNazanin" w:hAnsi="IRNazanin" w:eastAsia="IRNazanin"/>
          <w:color w:val="111111"/>
          <w:sz w:val="28"/>
          <w:sz w:val="28"/>
          <w:szCs w:val="28"/>
          <w:rtl w:val="true"/>
          <w:lang w:bidi="fa-IR"/>
        </w:rPr>
        <w:t>و کقول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إلیک لما وعدت لناظر نظر الفقیر إلی الغنی الموسر</w:t>
      </w:r>
    </w:p>
    <w:p>
      <w:pPr>
        <w:pStyle w:val="BookText"/>
        <w:rPr/>
      </w:pPr>
      <w:r>
        <w:rPr>
          <w:rFonts w:ascii="IRNazanin" w:hAnsi="IRNazanin" w:eastAsia="IRNazanin"/>
          <w:color w:val="111111"/>
          <w:sz w:val="28"/>
          <w:sz w:val="28"/>
          <w:szCs w:val="28"/>
          <w:rtl w:val="true"/>
          <w:lang w:bidi="fa-IR"/>
        </w:rPr>
        <w:t>و قد شاع فی المحاورات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ینظر إلی ید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أنّه رجل معدم محتاج یتوقّع عطاء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الآیتین بمقارنتهما بالآیتین الواقعتین فی تلوهما یهدینا إلی أنّ المراد من النظر فی الآیة، هو التوقّع و الانتظار، لا الرؤیة، و إلیک تنظیم الآیات حسب المقابلة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یقابلها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بٰاسِرَةٌ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یقابلها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یُفْعَلَ بِهٰا فٰاقِرَةٌ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فالفقرتان الأولیتان تصفان الناس یوم القیامة و أنّهم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مطیعة و هم ذات وجوه ناضرة، و طائفة عاصیة و هم ذات وجوه باسرة، ثمّ ذکر لکلّ منهما وصفاً آخر، فللأُولی أنّهم ناظرة إلی ربّها، و للثانیة أنّهم یظنّون أن یفعل بهم فاقرة، أی یتوقّعون أن ینزل علیهم عذاب یکسر فقارهم و یقصم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فالمقابلة بین الفقرة الثالثة و الرابعة تشهد علی المراد من الفقرة الثالثة الّتی مضادّة للرابعة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 الفقرة الرابعة ظاهرة فی أنّ المراد توقُّع العصاة العذاب الفاقر، یکون المراد من الفقرة الثالثة توقع الرحمة و الکرم من اللّه تعالی، لا رؤیته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حکایة عن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الرؤیة لو لم تکن جائزة لکان سؤال موسی جهلاً أو عبثاً</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التدبّر فی مجموع ما ورد من الآیات فی القصّة یدلّنا علی أنّ موسی علیه السلام ما کان طلب الرؤیة إلّا لتبکیت قومه عند ما طلبوا منه أن یسأل الرؤیة لنفسه، حتی تحلّ رؤیته للّه مکان رؤیتهم، و ذلک بعد ما سألوه أن یریهم اللّه جهرة لکی یؤمنوا بأنّ اللّه کلّمه، فأخذتهم الصاعقة، فطلب </w:t>
      </w:r>
    </w:p>
    <w:p>
      <w:pPr>
        <w:pStyle w:val="BookText"/>
        <w:rPr/>
      </w:pPr>
      <w:r>
        <w:rPr>
          <w:rFonts w:ascii="IRNazanin" w:hAnsi="IRNazanin" w:eastAsia="IRNazanin"/>
          <w:color w:val="111111"/>
          <w:sz w:val="28"/>
          <w:sz w:val="28"/>
          <w:szCs w:val="28"/>
          <w:rtl w:val="true"/>
          <w:lang w:bidi="fa-IR"/>
        </w:rPr>
        <w:t>الکلیم منه سبحانه أن یحییهم اللّه تعالی، حتی یدفع اعتراض قومه عن نفسه إذا رجع الیهم، فلربما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 تکن صادقاً فی قولک إنّ اللّه یکلّمک، ذهبت بهم فقتلتهم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 ذلک أحیاهم اللّه و بعثهم معه، و إلیک الآیات الواردة فی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یَسْئَلُکَ أَهْلُ الْکِتٰابِ أَنْ تُنَزِّلَ عَلَیْهِمْ کِتٰاباً مِنَ السَّمٰاءِ فَقَدْ سَأَلُوا مُوسیٰ أَکْبَرَ مِنْ ذٰلِکَ فَقٰالُوا أَرِنَا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مُوسیٰ قَوْمَهُ سَبْعِینَ رَجُلاً لِمِیقٰاتِنٰا فَلَمّٰا أَخَذَتْهُمُ الرَّجْفَةُ قٰالَ رَبِّ لَوْ شِئْتَ أَهْلَکْتَهُمْ مِنْ قَبْلُ وَ إِیّٰایَ أَ تُهْلِکُنٰا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مُوسیٰ لِمِیقٰاتِنٰا وَ کَلَّمَهُ رَبُّهُ قٰالَ رَبِّ أَرِنِی أَنْظُرْ إِلَیْکَ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فالآیتان الأُولی و الثانیة تدلّان علی أنّ أهل الکتاب طلبوا من موسی أن یسأل من اللّه تعالی أن یریهم ذاته، فاستحقّوا بسؤالهم هذا العذاب و الدمار فأخذتهم الصاعقة، و الآیة الثالثة تدلّ علی أنّ الّذین اختارهم موسی لمیقات </w:t>
      </w:r>
    </w:p>
    <w:p>
      <w:pPr>
        <w:pStyle w:val="BookText"/>
        <w:rPr/>
      </w:pPr>
      <w:r>
        <w:rPr>
          <w:rFonts w:ascii="IRNazanin" w:hAnsi="IRNazanin" w:eastAsia="IRNazanin"/>
          <w:color w:val="111111"/>
          <w:sz w:val="28"/>
          <w:sz w:val="28"/>
          <w:szCs w:val="28"/>
          <w:rtl w:val="true"/>
          <w:lang w:bidi="fa-IR"/>
        </w:rPr>
        <w:t xml:space="preserve">ربّه أخذتهم الرجفة، و لم تأخذهم إلّا بما فعلوه من السفاهة، و الظاهر أنّ المراد منها هو سؤال الرؤیة المذکور فی الآیتین المتقدّمتین، و المقصود من الرجفة، هی رجفة الصاعقة، کما عبّر عن هلاکة قوم صالح تارة بالرّجفة </w:t>
      </w:r>
      <w:r>
        <w:rPr>
          <w:rStyle w:val="FootnoteAnchor"/>
          <w:rtl w:val="true"/>
        </w:rPr>
        <w:footnoteReference w:id="179"/>
      </w:r>
      <w:r>
        <w:rPr>
          <w:rFonts w:ascii="Amiri" w:hAnsi="Amiri" w:eastAsia="Amiri" w:cs="Amiri"/>
          <w:color w:val="111111"/>
          <w:sz w:val="28"/>
          <w:sz w:val="28"/>
          <w:szCs w:val="28"/>
          <w:rtl w:val="true"/>
          <w:lang w:bidi="ar-SA"/>
        </w:rPr>
        <w:t>و أُخری بالصّاعقة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بما أنّه لم یکن لموسی مع قومه إلّا میقات واحد، کان المیقات فی الآیة الثالثة نفس المیقات الوارد فی الآیة الرابعة، ففی هذا المیقات وقع السؤالان، غیر إنّ سؤال الرؤیة عن جانب القوم کان قبل سؤال موسی الرؤیة لنفسه، و القوم سألوا الرؤیة حقیقة و موسی سألها تبکیتاً لقومه و إسکاتاً لهم، یدلّ علی ذلک أنّه لم یوجّه إلی الکلیم من جانبه سبحانه أیّ لوم و عتاب أو مؤاخذة و عذاب بل اکتفی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أجاب موسی عند سؤال الرؤیة لنفسه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انْظُرْ إِلَی الْجَبَلِ فَإِنِ اسْتَقَرَّ مَکٰانَهُ فَسَوْفَ تَرٰانِی</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تعالی علّق الرؤیة علی استقرار الجبل و هو ممکن و المعلّق علی الممکن ممکن، فالرؤیة ممکنة</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المعلَّق علیه لیس هو إمکان الاستقرار، بل وجوده </w:t>
      </w:r>
      <w:bookmarkStart w:id="352" w:name="pg2866_38095"/>
    </w:p>
    <w:p>
      <w:pPr>
        <w:pStyle w:val="BookText"/>
        <w:rPr/>
      </w:pPr>
      <w:bookmarkEnd w:id="352"/>
      <w:r>
        <w:rPr>
          <w:rFonts w:ascii="IRNazanin" w:hAnsi="IRNazanin" w:eastAsia="IRNazanin"/>
          <w:color w:val="111111"/>
          <w:sz w:val="28"/>
          <w:sz w:val="28"/>
          <w:szCs w:val="28"/>
          <w:rtl w:val="true"/>
          <w:lang w:bidi="fa-IR"/>
        </w:rPr>
        <w:t>و تحقّقه بعد تجلّیه تعالی علی الجبل، و المفروض انّه لم یستقرّ بعد التجلّی،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تَجَلّٰی رَبُّهُ لِلْجَبَلِ جَعَلَهُ دَکًّا وَ خَرَّ مُوسیٰ صَعِقاً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أضف إلی ذلک أنّ المذکور فی الآیة هو استقرار الجبل فی حال النظر إلیه بعد تجلّیه تعالی علیه، و من المعلوم استحالة استقراره فی تلک الحالة، و إلیه اشار المحقّق الطوسی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تعلیق الرؤیة باستقرار المتحرّک لا یدلّ علی الإمکان</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353" w:name="__RefHeading___Toc2819616_1395250215"/>
      <w:bookmarkStart w:id="354" w:name="_Toc123"/>
      <w:bookmarkEnd w:id="353"/>
      <w:r>
        <w:rPr>
          <w:rtl w:val="true"/>
        </w:rPr>
        <w:t>الرؤیة فی روایات اهل البیت علیهم السلام</w:t>
      </w:r>
      <w:bookmarkEnd w:id="354"/>
    </w:p>
    <w:p>
      <w:pPr>
        <w:pStyle w:val="BookText"/>
        <w:rPr/>
      </w:pPr>
      <w:r>
        <w:rPr>
          <w:rFonts w:ascii="IRNazanin" w:hAnsi="IRNazanin" w:eastAsia="IRNazanin"/>
          <w:color w:val="111111"/>
          <w:sz w:val="28"/>
          <w:sz w:val="28"/>
          <w:szCs w:val="28"/>
          <w:rtl w:val="true"/>
          <w:lang w:bidi="fa-IR"/>
        </w:rPr>
        <w:t>إنّ المراجع إلی خطب الإمام علی علیه السلام فی التوحید و ما أُثر عن أئمة العترة الطاهرة علیهم السلام یقف علی أنّ مذهبهم فی ذلک امتناع الرؤیة، فعلی من أراد الوقوف علی کلمات الإمام علی علیه السلام أن یراجع نهج البلاغة، و علی کلمات سائر أئمة اهل البیت علیهم السلام أن یراجع الکافی لثقة الإسلام الکلینی و التوحید للشیخ الصدوق</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علیهم السلام رغم تأکیدهم علی إبطال الرؤیة الحسّیة البصریّة صرّحوا علی إمکان الرؤیة القلبیّة، فهذا هو الإمام علی علیه السلام حینما سأله ذعلب الیمانی </w:t>
      </w:r>
    </w:p>
    <w:p>
      <w:pPr>
        <w:pStyle w:val="BookText"/>
        <w:rPr/>
      </w:pPr>
      <w:r>
        <w:rPr>
          <w:rFonts w:ascii="IRNazanin" w:hAnsi="IRNazanin" w:eastAsia="IRNazanin"/>
          <w:color w:val="111111"/>
          <w:sz w:val="28"/>
          <w:sz w:val="28"/>
          <w:szCs w:val="28"/>
          <w:rtl w:val="true"/>
          <w:lang w:bidi="fa-IR"/>
        </w:rPr>
        <w:t xml:space="preserve">هل رأیت ربّک یا أمیر المؤمنین؟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فأعبد ما لا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تراه؟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و لکن تدرکه القلوب بحقائق الإیمان</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هکذا أجاب علیه السلام سؤال حبر من الیهود حینما سأله بنفس ذلک السؤال</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روی الصدوق بسنده عن عبد اللّه بن سنان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جعفر علیه السلام فدخل علیه رجل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أی شیء تعبد؟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تراه العیون بمشاهدة العیان و لکن رأته القلوب بحقائق الإیمان</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الروایات، و أمّا البحث عن حقیقة تلک الرؤیة القلبیة الّتی هی غیر الرؤیة البصریّة الحسّیة، فلیطلب من مظانّه</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2866_38099"/>
      <w:bookmarkStart w:id="356" w:name="pg2866_38099"/>
      <w:bookmarkEnd w:id="356"/>
    </w:p>
    <w:p>
      <w:pPr>
        <w:pStyle w:val="Heading2"/>
        <w:numPr>
          <w:ilvl w:val="1"/>
          <w:numId w:val="1"/>
        </w:numPr>
        <w:rPr/>
      </w:pPr>
      <w:bookmarkStart w:id="357" w:name="pg2866_38099"/>
      <w:bookmarkStart w:id="358" w:name="__RefHeading___Toc2819618_1395250215"/>
      <w:bookmarkStart w:id="359" w:name="_Toc124"/>
      <w:bookmarkEnd w:id="357"/>
      <w:bookmarkEnd w:id="358"/>
      <w:r>
        <w:rPr>
          <w:rtl w:val="true"/>
        </w:rPr>
        <w:t>الباب الرابع</w:t>
      </w:r>
      <w:r>
        <w:rPr>
          <w:rtl w:val="true"/>
        </w:rPr>
        <w:t>:</w:t>
      </w:r>
      <w:r>
        <w:rPr>
          <w:rtl w:val="true"/>
        </w:rPr>
        <w:t>فی مباحث العدل و الحکمة</w:t>
      </w:r>
      <w:bookmarkEnd w:id="359"/>
    </w:p>
    <w:p>
      <w:pPr>
        <w:pStyle w:val="Heading3"/>
        <w:numPr>
          <w:ilvl w:val="2"/>
          <w:numId w:val="1"/>
        </w:numPr>
        <w:rPr/>
      </w:pPr>
      <w:bookmarkStart w:id="360" w:name="__RefHeading___Toc2819620_1395250215"/>
      <w:bookmarkStart w:id="361" w:name="_Toc125"/>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و فیه اثنا عشر فصلاً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العدل و الحکمة و دلائلهما؛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التحسین و التقبیح العقلیّان؛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أفعال اللّه سبحانه معلّلة بالغایات؛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المصائب و الشرور و حکمته تعالی؛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التکلیف بما لا یطاق قبیح؛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اللطف عند المتکلّمین؛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الجبر و الکسب؛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التفویض؛</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بین الأمرین؛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و ردود؛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 القدر؛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البداء</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2866_38101"/>
      <w:bookmarkStart w:id="363" w:name="pg2866_38101"/>
      <w:bookmarkEnd w:id="363"/>
    </w:p>
    <w:p>
      <w:pPr>
        <w:pStyle w:val="Heading3"/>
        <w:numPr>
          <w:ilvl w:val="2"/>
          <w:numId w:val="1"/>
        </w:numPr>
        <w:rPr/>
      </w:pPr>
      <w:bookmarkStart w:id="364" w:name="pg2866_38101"/>
      <w:bookmarkStart w:id="365" w:name="__RefHeading___Toc2819622_1395250215"/>
      <w:bookmarkStart w:id="366" w:name="_Toc126"/>
      <w:bookmarkEnd w:id="364"/>
      <w:bookmarkEnd w:id="365"/>
      <w:r>
        <w:rPr>
          <w:rtl w:val="true"/>
        </w:rPr>
        <w:t>الفصل الأوّل</w:t>
      </w:r>
      <w:r>
        <w:rPr>
          <w:rtl w:val="true"/>
        </w:rPr>
        <w:t>:</w:t>
      </w:r>
      <w:r>
        <w:rPr>
          <w:rtl w:val="true"/>
        </w:rPr>
        <w:t>تعریف الحکمة و العدل و دلائلهما</w:t>
      </w:r>
      <w:r>
        <w:rPr>
          <w:rtl w:val="true"/>
        </w:rPr>
        <w:t>:</w:t>
      </w:r>
      <w:r>
        <w:rPr>
          <w:rtl w:val="true"/>
        </w:rPr>
        <w:t>تعریف الحکمة</w:t>
      </w:r>
      <w:bookmarkEnd w:id="366"/>
    </w:p>
    <w:p>
      <w:pPr>
        <w:pStyle w:val="Heading4"/>
        <w:numPr>
          <w:ilvl w:val="3"/>
          <w:numId w:val="1"/>
        </w:numPr>
        <w:rPr/>
      </w:pPr>
      <w:bookmarkStart w:id="367" w:name="__RefHeading___Toc2819624_1395250215"/>
      <w:bookmarkStart w:id="368" w:name="_Toc127"/>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أصل الحکمة الحکم و هو المنع، قال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الحاء و الکاف و المیم اصل واحد و هو المنع و اوّل ذلک الحکم و هو المنع من الظّلم و سمّیت حکمة الدابّة لأنّها تمنعها،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الدابّة و أحکمتها،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السّفیه و أحکمته، إذا أخذت علی یدیه و الحکمة هذا قیاسها، لأنّها تمنع من الجهل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فلاناً تحکیماً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عمّا یرید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قد أطلقت الحکمة علی العدل، و العلم و الحلم، و النبوّة و ما یمنع من الجهل، و کل کلام موافق للحقّ، و وضع الشیء فی موضعه و صواب الأمر و سداده</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الراغب الأصفهانی الحکمة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الحقّ بالعلم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فالحکمة من اللّه تعالی معرفة الأشیاء و إیجادها علی غایة الإحکام، و من الإنسان معرفة الموجودات و فعل الخیرات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ثمّ إنّ الحکمة فی اصطلاح المتکلّمین قد تکون وصفاً للعلم و قد تکون وصفاً للفعل، و یفسّر الأوّل بأفضل العلم و أکمله، و یفسّر الثانی بإتقان الفعل و تنزّهه عمّا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الرازی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الحکیم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فعیل بمعنی مفعل کألیم بمعنی 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الإحکام فی حقّ اللّه تعالی فی خلق الأشیاء هو إتقان التدبیر فیها، و حسن التقدیر لها،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لیس المراد الحسن الرائق فی المنظر و إنما المراد منه حسن التدبیر فی وضع کلّ شیء موضعه بحسب المصلحة، و هو 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عبارة عن معرفة أفضل المعلومات بأفضل العلوم، فالحکیم بمعنی العلیم</w:t>
      </w:r>
      <w:r>
        <w:rPr>
          <w:rFonts w:eastAsia="IRNazanin" w:cs="IRNazanin"/>
          <w:color w:val="111111"/>
          <w:sz w:val="28"/>
          <w:szCs w:val="28"/>
          <w:rtl w:val="true"/>
          <w:lang w:bidi="fa-IR"/>
        </w:rPr>
        <w:t xml:space="preserve">. </w:t>
      </w:r>
      <w:bookmarkStart w:id="369" w:name="pg2866_38104"/>
    </w:p>
    <w:p>
      <w:pPr>
        <w:pStyle w:val="BookText"/>
        <w:rPr/>
      </w:pPr>
      <w:bookmarkEnd w:id="369"/>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عبارة عن کونه مقدّساً عن فعل ما لا ینبغی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إما وصف للعلم و إمّا وصف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هو الحکمة العلمیة، و الثانی الحکمة العملیة أو الفعلیة، و الحکمة العلمیة راجعة إلی علمه تعالی بذاته و بفعله و هی من الصفات الثبوتیة الذاتیة، و قد تقدّم الکلام فیها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یراد بالبحث فی هذا الباب الحکمة الفعلیة بمعنییه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 فی خلق العالم و تدبیره و تنزّه أفعاله تعالی عمّا لا ینبغی من الجهالة و السفاهة</w:t>
      </w:r>
      <w:r>
        <w:rPr>
          <w:rFonts w:eastAsia="IRNazanin" w:cs="IRNazanin"/>
          <w:color w:val="111111"/>
          <w:sz w:val="28"/>
          <w:szCs w:val="28"/>
          <w:rtl w:val="true"/>
          <w:lang w:bidi="fa-IR"/>
        </w:rPr>
        <w:t>.</w:t>
      </w:r>
    </w:p>
    <w:p>
      <w:pPr>
        <w:pStyle w:val="Heading4"/>
        <w:numPr>
          <w:ilvl w:val="3"/>
          <w:numId w:val="1"/>
        </w:numPr>
        <w:rPr/>
      </w:pPr>
      <w:bookmarkStart w:id="370" w:name="__RefHeading___Toc2819626_1395250215"/>
      <w:bookmarkStart w:id="371" w:name="_Toc128"/>
      <w:bookmarkEnd w:id="370"/>
      <w:r>
        <w:rPr>
          <w:rtl w:val="true"/>
        </w:rPr>
        <w:t>تعریف العدل</w:t>
      </w:r>
      <w:r>
        <w:rPr>
          <w:rtl w:val="true"/>
        </w:rPr>
        <w:t>:</w:t>
      </w:r>
      <w:bookmarkEnd w:id="371"/>
    </w:p>
    <w:p>
      <w:pPr>
        <w:pStyle w:val="BookText"/>
        <w:rPr/>
      </w:pPr>
      <w:r>
        <w:rPr>
          <w:rFonts w:ascii="IRNazanin" w:hAnsi="IRNazanin" w:eastAsia="IRNazanin"/>
          <w:color w:val="111111"/>
          <w:sz w:val="28"/>
          <w:sz w:val="28"/>
          <w:szCs w:val="28"/>
          <w:rtl w:val="true"/>
          <w:lang w:bidi="fa-IR"/>
        </w:rPr>
        <w:t xml:space="preserve">للعدل فی معاجم اللّغة إطلاقات أو معانٍ کالقصد فی الأمور، و التعادل و التساوی، و الاستواء و الاستقامة، و التوسط بین طرفی الإفراط و التفریط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الجامع بینها هو وضع کل شیء فی موضعه المناسب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الإمام علی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موضعها</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شیء وضعاً خاصّاً یقتضیه إمّا بحکم العقل، أو بنصّ الوحی و باعتبار المصالح الکلیة و الجزئیة فی نظام الکون، فالعدل هو رعایة ذلک الوضع و عدم الانحراف إلی جانب الإفراط و التفریط</w:t>
      </w:r>
      <w:r>
        <w:rPr>
          <w:rFonts w:eastAsia="IRNazanin" w:cs="IRNazanin"/>
          <w:color w:val="111111"/>
          <w:sz w:val="28"/>
          <w:szCs w:val="28"/>
          <w:rtl w:val="true"/>
          <w:lang w:bidi="fa-IR"/>
        </w:rPr>
        <w:t xml:space="preserve">. </w:t>
      </w:r>
      <w:bookmarkStart w:id="372" w:name="pg2866_38105"/>
    </w:p>
    <w:p>
      <w:pPr>
        <w:pStyle w:val="BookText"/>
        <w:rPr/>
      </w:pPr>
      <w:bookmarkEnd w:id="372"/>
      <w:r>
        <w:rPr>
          <w:rFonts w:ascii="IRNazanin" w:hAnsi="IRNazanin" w:eastAsia="IRNazanin"/>
          <w:color w:val="111111"/>
          <w:sz w:val="28"/>
          <w:sz w:val="28"/>
          <w:szCs w:val="28"/>
          <w:rtl w:val="true"/>
          <w:lang w:bidi="fa-IR"/>
        </w:rPr>
        <w:t>نعم موضع کل شیء بحسبه، ففی نظام الطبیعة بوجه، و فی المجتمع البشری بوجه آخر، و بلحاظ اختلاف موارده تحصل له أقسام لیس هنا مقام بیانها، إلّا أنّ موارد العدل بالنسبة إلی اللّه تعالی یجمعها أقسام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إعطاؤه تعالی کلّ موجود ما یستحقه و یلیق به من الوجود، فلا یهمل قابلیة، و لا یعطّل استعداداً فی مجال الإفاضة و الإیجاد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تعالی لا یهمل تکلیفاً فیه کمال الإنسان و سعادته، و به قوام حیاته المادیّة و المعنویة، و الدنیویة و الاخرویة، کما انّه لا یکلّف نفساً فوق طاقتها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 الجزائی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تعالی لا یساوی بین المصلح و المفسد، و المؤمن و الکافر فی مقام الجزاء بل یجزی کلَّ إنسان بما کسب، فیجزی المحسن بالإحسان و الثواب، و المسیء بالعقاب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تعالی لا یعاقب عبداً علی مخالفة التکالیف إلّا بعد البیان و الإبلاغ</w:t>
      </w:r>
      <w:r>
        <w:rPr>
          <w:rFonts w:eastAsia="IRNazanin" w:cs="IRNazanin"/>
          <w:color w:val="111111"/>
          <w:sz w:val="28"/>
          <w:szCs w:val="28"/>
          <w:rtl w:val="true"/>
          <w:lang w:bidi="fa-IR"/>
        </w:rPr>
        <w:t>.</w:t>
      </w:r>
    </w:p>
    <w:p>
      <w:pPr>
        <w:pStyle w:val="Heading4"/>
        <w:numPr>
          <w:ilvl w:val="3"/>
          <w:numId w:val="1"/>
        </w:numPr>
        <w:rPr/>
      </w:pPr>
      <w:bookmarkStart w:id="373" w:name="__RefHeading___Toc2819628_1395250215"/>
      <w:bookmarkStart w:id="374" w:name="_Toc129"/>
      <w:bookmarkEnd w:id="373"/>
      <w:r>
        <w:rPr>
          <w:rtl w:val="true"/>
        </w:rPr>
        <w:t>الملازمة بین الحکمة و العدل</w:t>
      </w:r>
      <w:bookmarkEnd w:id="374"/>
    </w:p>
    <w:p>
      <w:pPr>
        <w:pStyle w:val="BookText"/>
        <w:rPr/>
      </w:pPr>
      <w:r>
        <w:rPr>
          <w:rFonts w:ascii="IRNazanin" w:hAnsi="IRNazanin" w:eastAsia="IRNazanin"/>
          <w:color w:val="111111"/>
          <w:sz w:val="28"/>
          <w:sz w:val="28"/>
          <w:szCs w:val="28"/>
          <w:rtl w:val="true"/>
          <w:lang w:bidi="fa-IR"/>
        </w:rPr>
        <w:t>إنّ الحکمة الفعلیة و العدل متلازمان، فإنّ لازم إتقان الفعل و إحکامه کونه واقعاً فی موضعه اللائق به، کما أنّ لازم کون الفعل واقعا فی موضعه المناسب کونه محکماً و متقناً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نری أنّ المتکلّمین یردفون العدل بالحکمة فی أبحاثهم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الجبّار المعتزلی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إذا وصفنا القدیم تعالی بأنّه عدل حکیم، فالمراد به أنّه لا </w:t>
      </w:r>
      <w:bookmarkStart w:id="375" w:name="pg2866_38106"/>
    </w:p>
    <w:p>
      <w:pPr>
        <w:pStyle w:val="BookText"/>
        <w:rPr/>
      </w:pPr>
      <w:bookmarkEnd w:id="375"/>
      <w:r>
        <w:rPr>
          <w:rFonts w:ascii="IRNazanin" w:hAnsi="IRNazanin" w:eastAsia="IRNazanin"/>
          <w:color w:val="111111"/>
          <w:sz w:val="28"/>
          <w:sz w:val="28"/>
          <w:szCs w:val="28"/>
          <w:rtl w:val="true"/>
          <w:lang w:bidi="fa-IR"/>
        </w:rPr>
        <w:t>یفعل القبیح أو لا یختاره و لا یخلّ بما هو واجب علیه، و أنّ أفعاله کلّها حسنة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قال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الحکیم هو الّذی لا یفعل قبیحا و لا یخلّ بواجب</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قال سدید الدین الحمصی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العدل، کلام فی أفعاله تعالی، و أنّها کلّها حسنة، و تنزیهه عن القبائح و عن الإخلال بالواجب فی حکمته</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376" w:name="__RefHeading___Toc2819630_1395250215"/>
      <w:bookmarkStart w:id="377" w:name="_Toc130"/>
      <w:bookmarkEnd w:id="376"/>
      <w:r>
        <w:rPr>
          <w:rtl w:val="true"/>
        </w:rPr>
        <w:t>دلائل عدله تعالی و حکمته</w:t>
      </w:r>
      <w:bookmarkEnd w:id="377"/>
    </w:p>
    <w:p>
      <w:pPr>
        <w:pStyle w:val="BookText"/>
        <w:rPr/>
      </w:pPr>
      <w:r>
        <w:rPr>
          <w:rFonts w:ascii="IRNazanin" w:hAnsi="IRNazanin" w:eastAsia="IRNazanin"/>
          <w:color w:val="111111"/>
          <w:sz w:val="28"/>
          <w:sz w:val="28"/>
          <w:szCs w:val="28"/>
          <w:rtl w:val="true"/>
          <w:lang w:bidi="fa-IR"/>
        </w:rPr>
        <w:t>إنّ العدل و الحکمة من الأوصاف الکمالیة، و اللّه تعالی بما أنّه واجب الوجود بالذات واجد جمیع الکمالات الوجودیة، و منزّه عن کلّ نقص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 الوجود تعالی، یعلم من ذاته کلّ شیء من الأشیاء بعلله و أسبابه، و یفعل النظام الأتم لغایة حقیقته یلزمه، فهو حکیم فی علمه و فعله، فهو الحکیم المطلق</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انتفاء القبح عن أفعاله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القبح فی الفعل کالظلم، و العبث و نحو ذلک، إمّا ناشئ عن جهل الفاعل بجهات الحسن و الإتقان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 ناشئ عن حاجته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عالم بکلّ شیء کما أنّه غنیّ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المحقق الطوسی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استغناؤه و علمه یدلاّن علی انتفاء القبح عن أفعاله تعالی</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نصوص الکتاب و السنّة فی عدله تعالی و حکمته متضافرة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حال من اسم اللّه تعالی مؤکّدة، و إمّا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قیامه بالقسط إمّا مطلق یشمل جمیع مراتب 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التکوین و التشریع 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یختص بالقسط التکوینی کما اختاره بعضهم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 فَلاٰ تُظْلَمُ نَفْسٌ شَیْئاً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هذا ناظر إلی عدله تعالی فی مقام الحساب و الجزاء</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یدلّ علی عدله تعالی فی التشریع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أن لا تتّهمه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فسّره الإمام الصادق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العدل فإن لا تنسب إلی خالقک ما لامک علیه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قال أمیر المؤمنین علیه السلام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أرانا من ملکوت قدرته و عجائب ما نطقت به آثار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البدائع الّتی أحدثتها آثار صنعته و أعلام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خلق فأحکم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بدایا خلائق أحکم صنعها</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2866_38111"/>
      <w:bookmarkStart w:id="379" w:name="pg2866_38111"/>
      <w:bookmarkEnd w:id="379"/>
    </w:p>
    <w:p>
      <w:pPr>
        <w:pStyle w:val="Heading3"/>
        <w:numPr>
          <w:ilvl w:val="2"/>
          <w:numId w:val="1"/>
        </w:numPr>
        <w:rPr/>
      </w:pPr>
      <w:bookmarkStart w:id="380" w:name="pg2866_38111"/>
      <w:bookmarkStart w:id="381" w:name="__RefHeading___Toc2819632_1395250215"/>
      <w:bookmarkStart w:id="382" w:name="_Toc131"/>
      <w:bookmarkEnd w:id="380"/>
      <w:bookmarkEnd w:id="381"/>
      <w:r>
        <w:rPr>
          <w:rtl w:val="true"/>
        </w:rPr>
        <w:t>الفصل الثانی</w:t>
      </w:r>
      <w:r>
        <w:rPr>
          <w:rtl w:val="true"/>
        </w:rPr>
        <w:t>:</w:t>
      </w:r>
      <w:r>
        <w:rPr>
          <w:rtl w:val="true"/>
        </w:rPr>
        <w:t>التحسین و التقبیح العقلیان</w:t>
      </w:r>
      <w:bookmarkEnd w:id="382"/>
    </w:p>
    <w:p>
      <w:pPr>
        <w:pStyle w:val="Heading4"/>
        <w:numPr>
          <w:ilvl w:val="3"/>
          <w:numId w:val="1"/>
        </w:numPr>
        <w:rPr/>
      </w:pPr>
      <w:bookmarkStart w:id="383" w:name="__RefHeading___Toc2819634_1395250215"/>
      <w:bookmarkStart w:id="384" w:name="_Toc132"/>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قد تقدّم أنّ العدل الحکیم هو الّذی لا یفعل القبیح و لا یُخلُّ بالحسن، و التصدیق بثبوت هذه الصفة للباری تعالی مبنیٌّ علی القول بالتحسین و التقبیح العقلیین، فإنّ مفاد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أفعالاً یدرک العقل کونها حسنة أو قبیحة، و یدرک أنّ الغنیّ بالذّات منزّه عن الاتصاف بالقبیح و فعل ما لا ینبغی، و من هنا یلزمنا البحث عن تلک المسألة علی ضوء العقل و الکتاب العزیز فنقول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العدلیة إلی أنّ هناک أفعالاً یدرک العقل من صمیم ذاته و من دون استعانة من الشرع أنّها حسنة و أفعالاً أخری یدرک أنّها قبیحة کذلک؛ و 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للعقل فی حسن الأشیاء و قبحها، فلا حسن إلّا ما حسّنه الشارع و لا قبیح إلّا ما قبّحه؛ و النزاع بین الفریقین دائر بین الإیجاب الجزئی و السلب الکلّی، فالعدلیة یقولون بالأوّل و الأشاعرة بالثانی</w:t>
      </w:r>
      <w:r>
        <w:rPr>
          <w:rFonts w:eastAsia="IRNazanin" w:cs="IRNazanin"/>
          <w:color w:val="111111"/>
          <w:sz w:val="28"/>
          <w:szCs w:val="28"/>
          <w:rtl w:val="true"/>
          <w:lang w:bidi="fa-IR"/>
        </w:rPr>
        <w:t xml:space="preserve">. </w:t>
      </w:r>
      <w:bookmarkStart w:id="385" w:name="pg2866_38112"/>
    </w:p>
    <w:p>
      <w:pPr>
        <w:pStyle w:val="Heading4"/>
        <w:numPr>
          <w:ilvl w:val="3"/>
          <w:numId w:val="1"/>
        </w:numPr>
        <w:rPr/>
      </w:pPr>
      <w:bookmarkStart w:id="386" w:name="__RefHeading___Toc2819636_1395250215"/>
      <w:bookmarkStart w:id="387" w:name="_Toc133"/>
      <w:bookmarkEnd w:id="385"/>
      <w:bookmarkEnd w:id="386"/>
      <w:r>
        <w:rPr>
          <w:rtl w:val="true"/>
        </w:rPr>
        <w:t>ملاکات الحسن و القبح</w:t>
      </w:r>
      <w:bookmarkEnd w:id="387"/>
    </w:p>
    <w:p>
      <w:pPr>
        <w:pStyle w:val="BookText"/>
        <w:rPr/>
      </w:pPr>
      <w:r>
        <w:rPr>
          <w:rFonts w:ascii="IRNazanin" w:hAnsi="IRNazanin" w:eastAsia="IRNazanin"/>
          <w:color w:val="111111"/>
          <w:sz w:val="28"/>
          <w:sz w:val="28"/>
          <w:szCs w:val="28"/>
          <w:rtl w:val="true"/>
          <w:lang w:bidi="fa-IR"/>
        </w:rPr>
        <w:t>لا شکّ أنّ للحسن و القبح معنی واحداً، و إنّما الکلام فی ملاک کون الشیء حسناً أو قبیحاً، و هو یختلف بإختلاف الموارد، فقد ذکر للحَسَن و القبیح ملاکات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ملائمة الطبع و منافرته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فالمشهد الجمیل بما أنّه یلائم الطبع حسن، کما أنّ المشهد المخوف بما أنّه منافر للطبع قبیح، و مثله الطعام اللّذیذ و الصوت الناعم، فإنّهما حسنان، کما أنّ الدواء المرّ و نهیق الحمار قبیحان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موافقة الغرض و المصلحة و مخالفتهما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و المصلحة إمّا شخصیان و إمّا نوعیان، فقتل عدوّ الإنسان یعدّ حسناً عنده لأنّه موافق لغرضه، و لکنّه قبیح لأصدقاء المقتول و أهله، لمخالفته لأغراضهم و مصالحهم الشخصیة، هذا فی المجال الشخصی، و أمّا فی المجال النوعی، فإنّ العدل بما أنّه حافظ لنظام المجتمع و مصالح النوع فهو حسن و بما أنّ الظلم هادم للنظام و مخالف لمصلحة النوع فهو 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الشیء کمالاً للنفس أو نقصاناً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 الجهل، فالأوّل زین لها و الثانی شین، و مثلهما الشجاعة و الجبن، و غیرهما من کمالات النفس و نقائصها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یوجب مدح الفاعل و ذمّه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بملاحظة الفعل من حیث إنّه مناسب لکمال وجودی للموجود العاقل المختار أو نقصان له، </w:t>
      </w:r>
      <w:bookmarkStart w:id="388" w:name="pg2866_38114"/>
    </w:p>
    <w:p>
      <w:pPr>
        <w:pStyle w:val="BookText"/>
        <w:rPr/>
      </w:pPr>
      <w:bookmarkEnd w:id="388"/>
      <w:r>
        <w:rPr>
          <w:rFonts w:ascii="IRNazanin" w:hAnsi="IRNazanin" w:eastAsia="IRNazanin"/>
          <w:color w:val="111111"/>
          <w:sz w:val="28"/>
          <w:sz w:val="28"/>
          <w:szCs w:val="28"/>
          <w:rtl w:val="true"/>
          <w:lang w:bidi="fa-IR"/>
        </w:rPr>
        <w:t>فیستقلّ العقل بحسنه و وجوب فعله، أو قبحه و وجوب ترکه و هذا کما إذا لاحظ العقل جزاء الإحسان بالإحسان، فیحکم بحسنه و جزاء الإحسان بالإساءة فیحکم بقبحه، فالعقل فی حکمه هذا لا یلاحظ سوی أنّ بعض الأفعال کمال للموجود الحیّ المختار و بعضها الآخر نقص له، فیحکم بحسن الأوّل و قبح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محلّ النزاع</w:t>
      </w:r>
    </w:p>
    <w:p>
      <w:pPr>
        <w:pStyle w:val="BookText"/>
        <w:rPr/>
      </w:pPr>
      <w:r>
        <w:rPr>
          <w:rFonts w:ascii="IRNazanin" w:hAnsi="IRNazanin" w:eastAsia="IRNazanin"/>
          <w:color w:val="111111"/>
          <w:sz w:val="28"/>
          <w:sz w:val="28"/>
          <w:szCs w:val="28"/>
          <w:rtl w:val="true"/>
          <w:lang w:bidi="fa-IR"/>
        </w:rPr>
        <w:t>لا نزاع فی الحسن و القبح بالملاک الأوّل و الثالث، و هو واضح، و کذلک فی الحسن و القبح بملاک الغرض و المصلحة الشخصیین، و أمّا الغرض و المصلحة النوعیان فإنّ کثیراً من الباحثین عن التحسین و التقبیح العقلیین یعلّلون حسن العدل و الإحسان، و قبح الظلم و العدوان، باشتمال الأوّل علی مصلحة عامّة و الثانی علی مفسدة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الملاک فی الحقیقة من مصادیق الملاک الرابع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یکون مدح الفاعل علی فعل و ذمّه علی فعل لغایة المصالح و المفاسد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الإتیان بالفعل و ترکه بهذه الغایة یعدّ کمالاً و نقصاناً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الأخیر هو محلّ النزاع بین المثبتین و النافین</w:t>
      </w:r>
      <w:r>
        <w:rPr>
          <w:rFonts w:eastAsia="IRNazanin" w:cs="IRNazanin"/>
          <w:color w:val="111111"/>
          <w:sz w:val="28"/>
          <w:szCs w:val="28"/>
          <w:rtl w:val="true"/>
          <w:lang w:bidi="fa-IR"/>
        </w:rPr>
        <w:t>.</w:t>
      </w:r>
    </w:p>
    <w:p>
      <w:pPr>
        <w:pStyle w:val="Heading4"/>
        <w:numPr>
          <w:ilvl w:val="3"/>
          <w:numId w:val="1"/>
        </w:numPr>
        <w:rPr/>
      </w:pPr>
      <w:bookmarkStart w:id="389" w:name="__RefHeading___Toc2819638_1395250215"/>
      <w:bookmarkStart w:id="390" w:name="_Toc134"/>
      <w:bookmarkEnd w:id="389"/>
      <w:r>
        <w:rPr>
          <w:rtl w:val="true"/>
        </w:rPr>
        <w:t>دلائل المثبتین و النافین</w:t>
      </w:r>
      <w:bookmarkEnd w:id="39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القائلون بالتحسین و التقبیح العقلیین بوجوه عدیدة نکتفی بذکر وجهین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أشار إلیه المحقّق الطوسی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لانتفائهما مطلقاً لو ثبتا شرعاً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القبح لو کانا بحکم العقل، بحیث کان العقل مستقلاً فی إدراک حسن الصدق و قبح الکذب فلا اشکال فی أنّ ما أخبر الشارع عن حسنه حسن، و ما أخبر عن قبحه قبیح، لحکم العقل بأنّ الکذب قبیح و الشارع منزّه عن ارتکاب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یستقلّ العقل بذلک، فلو أخبر الشارع بحسن فعل أو قبحه فلا یمکن لنا الجزم بکونه صادقاً فی کلامه حتی نعتقد بمضمون أخباره و نستکشف منه حسن الفعل أو قبحه، و ذلک لاحتمال عدم صدق الشارع فی أخباره، فإنّ الکذب حسب الفرض لم یثبت قبحه بعدُ و إثبات قبح الکذب بإخبار الشارع عن قبحه مستلزم للدور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ذکره العلاّمة الحلّی بقوله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الحسن و القبح باعتبار السمع لا غیر لما قبح من اللّه تعالی شیء </w:t>
      </w:r>
      <w:r>
        <w:rPr>
          <w:rStyle w:val="FootnoteAnchor"/>
          <w:rtl w:val="true"/>
        </w:rPr>
        <w:footnoteReference w:id="212"/>
      </w:r>
      <w:r>
        <w:rPr>
          <w:rFonts w:ascii="IRNazanin" w:hAnsi="IRNazanin" w:eastAsia="IRNazanin"/>
          <w:color w:val="111111"/>
          <w:sz w:val="28"/>
          <w:sz w:val="28"/>
          <w:szCs w:val="28"/>
          <w:rtl w:val="true"/>
          <w:lang w:bidi="fa-IR"/>
        </w:rPr>
        <w:t xml:space="preserve">و لو کان کذلک لما قبح منه تعالی إظهار المعجزات علی ید الکاذبین، و تجویز ذلک یسدّ باب معرفة النبوّة، فإنّ أیّ نبیّ أظهر المعجزة عقیب إدّعاء النبوّة لا یمکن تصدیقه مع تجویز إظهار المعجزة علی ید الکاذب فی دعوی النبوّة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العجب أنّ الفضل بن روزبهان الأشعری حاول الإجابة عن هذا الدلیل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إظهار المعجزة علی ید الکذّابین لیس لکونه قبیحاً عقلاً بل لعدم جریان عادة اللّه الجاری مجری المحال العادی بذلک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 ذلک لا ینسدّ باب معرفة النبوة لأنّ العلم العادی حاکم باستحالة هذا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أین وقف علی تلک العادة و أنّ اللّه لا یجری الإعجاز علی ید الکاذب؟ و لو کان التصدیق متوقّفاً علی إحرازها لزم أن یکون المکذّبون بنبوّة نوح أو من قبله و من بعده معذورین فی إنکارهم لنبوّة الأنبیاء، إذ لم تثبت عندهم تلک العادة، لأنّ العلم بها إنّما یحصل من تکرّر رؤیة المعجزة علی ید الصادقین دون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النافین</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العلم بحسن الإحسان و قبح العدوان ضروریاً لما وقع التفاوت بینه و بین العلم بأنّ الواحد نصف الاثنین، لکنّ التالی باطل بالوجدان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علیه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التفاوت فی الادراکات البدیهیة، </w:t>
      </w:r>
    </w:p>
    <w:p>
      <w:pPr>
        <w:pStyle w:val="BookText"/>
        <w:rPr/>
      </w:pPr>
      <w:r>
        <w:rPr>
          <w:rFonts w:ascii="IRNazanin" w:hAnsi="IRNazanin" w:eastAsia="IRNazanin"/>
          <w:color w:val="111111"/>
          <w:sz w:val="28"/>
          <w:sz w:val="28"/>
          <w:szCs w:val="28"/>
          <w:rtl w:val="true"/>
          <w:lang w:bidi="fa-IR"/>
        </w:rPr>
        <w:t>فالأوّلیات متقدمة علی المشاهدات و هی علی الفطریات و هکذا، فوجود التفاوت بین البدیهیات لا ینافی بداهتها، و إلیه أشار المحقق الطوسی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التفاوت فی العلوم لتفاوت التصور</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کون الحکم بحسن فعل أو قبحه بدیهیّاً لا یدلّ علی نفی کونه عقلیاً، فانّ نفی الأخصّ لا یدلّ علی نفی الأعم، فمن الجائز أن یکون العقل مستقلّاً بحسن فعل أو قبحه لکن بالتأمل و النظر، فعلی فرض قبول ما ادّعی من التفاوت لا یجدی المنکر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الحسن و القبح عقلیین لما اختلفا، أی لما حسن القبیح و لما قبح الحسن، و التالی باطل، فإنّ الکذب قد یحسن و الصدق قد یقبح، و ذلک فیما إذا تضمّن الکذب إنقاذ نبیّ من الهلاک و الصدق إهلاکه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الکذب قبیحاً لذاته لما کان واجباً و لا حسناً عند ما استفید به عصمة دم نبیّ عن ظالم یقصد قتله</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الکذب فی الصورة الأُولی و الصدق فی الصورة الثانیة علی حکمه من القبح و الحسن، إلّا أنّ ترک إنقاذ النبیّ أقبح من الکذب، و إنقاذه أحسن من الصدق، فیحکم العقل بترک الصدق و ارتکاب الکذب قضاءً لتقدیم الأرجح علی الراجح، فإنّ تقدیم الراجح علی الأرجح قبیح عند العقل</w:t>
      </w:r>
      <w:r>
        <w:rPr>
          <w:rFonts w:eastAsia="IRNazanin" w:cs="IRNazanin"/>
          <w:color w:val="111111"/>
          <w:sz w:val="28"/>
          <w:szCs w:val="28"/>
          <w:rtl w:val="true"/>
          <w:lang w:bidi="fa-IR"/>
        </w:rPr>
        <w:t xml:space="preserve">. </w:t>
      </w:r>
      <w:bookmarkStart w:id="391" w:name="pg2866_38118"/>
    </w:p>
    <w:p>
      <w:pPr>
        <w:pStyle w:val="BookText"/>
        <w:rPr/>
      </w:pPr>
      <w:bookmarkEnd w:id="391"/>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بالتحسین و التقبیح العقلیین دخالة فی شئون ربّ العالمین الّذی هو مالک کل شیء حتی العقل، فله أن یتصرّف فی ملکه کیف یشاء، و لازم القول بأنّ العقل حاکم بحسن بعض الأفعال و قبحه تحدید لملکه و قدرته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أنّ العقل لیس فارضاً علی اللّه تعالی شیئاً و إنّما هو کاشف عن القوانین السائدة علی أفعاله تعالی، فالعقل یطالع اوّلاً صفات اللّه الکمالیة کالغنی الذاتی، و العلم و القدرة الذاتیین، ثمّ یستنتج منها تنزّهه عن ارتکاب القبائح، و هذا کما أنّ العقل النظری یکشف عن القوانین السائدة علی نظام الکون و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فیما ذکرنا یظهر ضعف سائر ما استدلّ به القائلون بنفی التحسین و التقبیح العقلیین و لا نری حاجة فی ذکرها و بیان وجوه الخلل فیها</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392" w:name="__RefHeading___Toc2819640_1395250215"/>
      <w:bookmarkStart w:id="393" w:name="_Toc135"/>
      <w:bookmarkEnd w:id="392"/>
      <w:r>
        <w:rPr>
          <w:rtl w:val="true"/>
        </w:rPr>
        <w:t>التحسین و التقبیح فی الکتاب العزیز</w:t>
      </w:r>
      <w:bookmarkEnd w:id="393"/>
    </w:p>
    <w:p>
      <w:pPr>
        <w:pStyle w:val="BookText"/>
        <w:rPr/>
      </w:pPr>
      <w:r>
        <w:rPr>
          <w:rFonts w:ascii="IRNazanin" w:hAnsi="IRNazanin" w:eastAsia="IRNazanin"/>
          <w:color w:val="111111"/>
          <w:sz w:val="28"/>
          <w:sz w:val="28"/>
          <w:szCs w:val="28"/>
          <w:rtl w:val="true"/>
          <w:lang w:bidi="fa-IR"/>
        </w:rPr>
        <w:t>إنّ التدبُّر فی آیات الذّکر الحکیم یعطی أنّه یسلّم استقلال العقل بالتحسین و التقبیح خارج إطار الوحی ثمّ یأمر بالحسن و ینهی عن القبیح، و إلیک فیما یلی نماذج من الآیات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w:t>
      </w:r>
    </w:p>
    <w:p>
      <w:pPr>
        <w:pStyle w:val="BookText"/>
        <w:rPr/>
      </w:pPr>
      <w:r>
        <w:rPr>
          <w:rFonts w:ascii="Amiri" w:hAnsi="Amiri" w:eastAsia="Amiri" w:cs="Amiri"/>
          <w:color w:val="111111"/>
          <w:sz w:val="28"/>
          <w:sz w:val="28"/>
          <w:szCs w:val="28"/>
          <w:rtl w:val="true"/>
          <w:lang w:bidi="ar-SA"/>
        </w:rPr>
        <w:t>اَلْفَحْشٰاءِ وَ الْمُنْکَرِ وَ 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یَأْمُرُهُمْ بِالْمَعْرُوفِ وَ یَنْهٰاهُمْ عَنِ الْمُنْکَرِ</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فهذه الآیات تعرب بوضوح عن أنّ هناک أُموراً توصف بالعدل و الإحسان و المعروف و الفحشاء و المنکر و البغی قبل تعلّق الأمر و النهی بها، و أنّ الإنسان یجد اتّصاف بعض الأفعال بأحدها ناشئاً من صمیم ذاته و لیس عرفان الإنسان بها موقوفاً علی تعلّق الشرع، و إنّما دور الشرع هو تأکید إدراک العقل بالأمر بالحسن و النهی عن القبیح و بیان ما لا یستقلّ العقل فی إدراک حسنه و قبحه، و تدلّ علی ما تقدّم بأوضح دلالة الآیة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من الآیة أنّ المشرکین کانوا عارفین بقبح أفعالهم و أنّها من الفحشاء و لکنّهم حاولوا توجیه تلک الأفعال الشنیعة إمّا بکونها إبقاءً لسیرة آبائهم و هم کانوا یحسِّنون ذلک، و إمّا بکونها ممّا أمر بها اللّه سبحانه و لکنّ اللّه تعالی یخطّئهم فی ذلک و یقول إنّ اللّه لا یأمر بالفحشاء کما یخطّئهم فی اتّباعهم سیرة آبائهم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لَوْ کٰانَ آبٰاؤُهُمْ لاٰ یَعْقِلُونَ شَیْئاً وَ لاٰ یَهْتَدُونَ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الآیات تدلّ علی أنّه سبحانه اتّخذ وجدان الإنسان سنداً لقضائه فیما تستقلّ به عقلیته، فالإنسان یجد من تلقاء نفسه قبح التسویة عند الجزاء بین المفسد و المصلح و الفاجر و المؤمن و المسلم و المجرم، کما أنّه یدرک کذلک حسن جزاء الإحسان بالإحسان، و هذا الإدراک الفطری هو السند فی حکم العقل بوجوب یوم البعث و الحساب کی یفصل بین الفریقین و یجزی کلّ منهما بما یقتضیه العدل و الإحسان الإلهی</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2866_38123"/>
      <w:bookmarkStart w:id="395" w:name="pg2866_38123"/>
      <w:bookmarkEnd w:id="395"/>
    </w:p>
    <w:p>
      <w:pPr>
        <w:pStyle w:val="Heading3"/>
        <w:numPr>
          <w:ilvl w:val="2"/>
          <w:numId w:val="1"/>
        </w:numPr>
        <w:rPr/>
      </w:pPr>
      <w:bookmarkStart w:id="396" w:name="pg2866_38123"/>
      <w:bookmarkStart w:id="397" w:name="__RefHeading___Toc2819642_1395250215"/>
      <w:bookmarkStart w:id="398" w:name="_Toc136"/>
      <w:bookmarkEnd w:id="396"/>
      <w:bookmarkEnd w:id="397"/>
      <w:r>
        <w:rPr>
          <w:rtl w:val="true"/>
        </w:rPr>
        <w:t>الفصل الثالث</w:t>
      </w:r>
      <w:r>
        <w:rPr>
          <w:rtl w:val="true"/>
        </w:rPr>
        <w:t>:</w:t>
      </w:r>
      <w:r>
        <w:rPr>
          <w:rtl w:val="true"/>
        </w:rPr>
        <w:t>أفعال اللّه سبحانه معلَّلة بالغایات</w:t>
      </w:r>
      <w:bookmarkEnd w:id="398"/>
    </w:p>
    <w:p>
      <w:pPr>
        <w:pStyle w:val="Heading4"/>
        <w:numPr>
          <w:ilvl w:val="3"/>
          <w:numId w:val="1"/>
        </w:numPr>
        <w:rPr/>
      </w:pPr>
      <w:bookmarkStart w:id="399" w:name="__RefHeading___Toc2819644_1395250215"/>
      <w:bookmarkStart w:id="400" w:name="_Toc137"/>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من مظاهر عدله تعالی و حکمته تنزیه أفعاله سبحانه عن العبث و لزوم اقترانها بالغایات و الأغراض، و هذه المسألة من المسائل الّتی تشاجرت فیها العدلیة و الأشاعرة، فالأُولی علی الإیجاب و الثانیة علی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استدلّت العدلیة علی مدّعاهم بأنّ خلوَّ الفعل عن الغایة و الغرض یعدّ لغواً و عبثاً و هو من القبائح العقلیة، و اللّه تعالی منزَّه عن القبائح فلا بدّ أن تکون أفعاله مقترنة بأغراض و معلَّلة بغایات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فی هذا المجال، التحقیق حول دلائل الأشاعرة علی إنکار کون أفعاله تعالی معلّلة بالغایات، و أمّا دلیل نظریة العدلیة فهو واضح، لأنّ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فروع مسألة التحسین و التقبیح العقلیّین فنقول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استدلّت الأشاعرة علی مذهبهم بأنّه لو کان فعله لغرض لکان ناقصاً لذاته مستکملاً بتحصیل ذلک الغرض لأنّه لا یصلح غرضاً للفاعل الاّ ما هو أصلح له من عدمه و هو معنی الکمال</w:t>
      </w:r>
      <w:r>
        <w:rPr>
          <w:rFonts w:eastAsia="IRNazanin" w:cs="IRNazanin"/>
          <w:color w:val="111111"/>
          <w:sz w:val="28"/>
          <w:szCs w:val="28"/>
          <w:rtl w:val="true"/>
          <w:lang w:bidi="fa-IR"/>
        </w:rPr>
        <w:t xml:space="preserve">. </w:t>
      </w:r>
      <w:r>
        <w:rPr>
          <w:rStyle w:val="FootnoteAnchor"/>
          <w:rtl w:val="true"/>
        </w:rPr>
        <w:footnoteReference w:id="225"/>
      </w:r>
      <w:bookmarkStart w:id="401" w:name="pg2866_38124"/>
    </w:p>
    <w:p>
      <w:pPr>
        <w:pStyle w:val="BookText"/>
        <w:rPr/>
      </w:pPr>
      <w:bookmarkEnd w:id="401"/>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الأشاعرة خلطوا بین الغرض الراجع إلی الفاعل، و الغرض الراجع إلی فعله، فالاستکمال لازم فی الأوّل دون الثانی، و القائل بکون أفعاله معلّلة بالأغراض و الغایات و الدواعی و المصالح، إنّما یعنی بها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الغائیة فی أفعال الفواعل البشریة هی السّبب لخروج الفاعل عن کونه فاعلاً بالقوّة إلی کونه فاعلاً بالفعل، فهی متقدّمة علی الفعل صورة و ذهناً و مؤخّرة عنه وجوداً و تحقّقاً، و لا تتصوّر العلّة الغائیة بهذا المعنی فی ساحته تعالی، لغناه المطلق فی مقام الذات و الوصف و الفعل، فلا یحتاج فی الإیجاد إلی شیء وراء ذاته، و إلّا لکان ناقصاً فی مقام الفاعلیة مستکملاً بشیء وراء ذاته و هو لا یجتمع مع غناه المطلق، و لکن نفی العلّة الغائیة بهذا المعنی لا یستلزم أن لا یترتّب علی فعله مصالح و حِکَم ینتفع بها العباد و ینتظم بها النظام، و ذلک لأنّه سبحانه فاعل حکیم، و الفاعل الحکیم لا یختار من الأفعال الممکنة إلّا ما یناسب ذلک، و لا یصدر منه ما یضادّه و یخالفه</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402" w:name="__RefHeading___Toc2819646_1395250215"/>
      <w:bookmarkStart w:id="403" w:name="_Toc138"/>
      <w:bookmarkEnd w:id="402"/>
      <w:r>
        <w:rPr>
          <w:rtl w:val="true"/>
        </w:rPr>
        <w:t>القرآن و أفعاله سبحانه الحکیمة</w:t>
      </w:r>
      <w:bookmarkEnd w:id="4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غفلة الأشاعرة من النصوص الصریحة فی هذا المجال،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Style w:val="FootnoteAnchor"/>
          <w:rtl w:val="true"/>
        </w:rPr>
        <w:footnoteReference w:id="227"/>
      </w:r>
      <w:bookmarkStart w:id="404" w:name="pg2866_38126"/>
    </w:p>
    <w:p>
      <w:pPr>
        <w:pStyle w:val="BookText"/>
        <w:rPr/>
      </w:pPr>
      <w:bookmarkEnd w:id="404"/>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4"/>
        <w:numPr>
          <w:ilvl w:val="3"/>
          <w:numId w:val="1"/>
        </w:numPr>
        <w:rPr/>
      </w:pPr>
      <w:bookmarkStart w:id="405" w:name="__RefHeading___Toc2819648_1395250215"/>
      <w:bookmarkStart w:id="406" w:name="_Toc139"/>
      <w:bookmarkEnd w:id="405"/>
      <w:r>
        <w:rPr>
          <w:rtl w:val="true"/>
        </w:rPr>
        <w:t>مذهب الحکماء فی أفعاله تعالی</w:t>
      </w:r>
      <w:bookmarkEnd w:id="406"/>
    </w:p>
    <w:p>
      <w:pPr>
        <w:pStyle w:val="BookText"/>
        <w:rPr/>
      </w:pPr>
      <w:r>
        <w:rPr>
          <w:rFonts w:ascii="IRNazanin" w:hAnsi="IRNazanin" w:eastAsia="IRNazanin"/>
          <w:color w:val="111111"/>
          <w:sz w:val="28"/>
          <w:sz w:val="28"/>
          <w:szCs w:val="28"/>
          <w:rtl w:val="true"/>
          <w:lang w:bidi="fa-IR"/>
        </w:rPr>
        <w:t>ربّما یتوهّم اتّفاق رأی الحکماء مع الأشاعرة فی نفی الغایة و الغرض عن أفعاله تعالی، و لکنّه خطأ محض، قال صدر المتألهین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الحکماء ما نفوا الغایة و الغرض عن شیء من أفعاله مطلقاً، بل إنّما نفوا فی فعله المطلق </w:t>
      </w:r>
      <w:r>
        <w:rPr>
          <w:rStyle w:val="FootnoteAnchor"/>
          <w:rtl w:val="true"/>
        </w:rPr>
        <w:footnoteReference w:id="231"/>
      </w:r>
      <w:r>
        <w:rPr>
          <w:rFonts w:ascii="IRNazanin" w:hAnsi="IRNazanin" w:eastAsia="IRNazanin"/>
          <w:color w:val="111111"/>
          <w:sz w:val="28"/>
          <w:sz w:val="28"/>
          <w:szCs w:val="28"/>
          <w:rtl w:val="true"/>
          <w:lang w:bidi="fa-IR"/>
        </w:rPr>
        <w:t>و فی فعله الأوّل غرضاً زائداً علی ذاته تعالی، و أمّا ثوانی الأفعال و الأفعال المخصوصة و المقیّدة فأثبتوا لکلّ منها غایة مخصوصة کیف و کتبهم مشحونة بالبحث عن غایات الموجودات و منافعها</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2866_38128"/>
      <w:bookmarkStart w:id="408" w:name="pg2866_38128"/>
      <w:bookmarkEnd w:id="408"/>
    </w:p>
    <w:p>
      <w:pPr>
        <w:pStyle w:val="Heading3"/>
        <w:numPr>
          <w:ilvl w:val="2"/>
          <w:numId w:val="1"/>
        </w:numPr>
        <w:rPr/>
      </w:pPr>
      <w:bookmarkStart w:id="409" w:name="pg2866_38128"/>
      <w:bookmarkStart w:id="410" w:name="__RefHeading___Toc2819650_1395250215"/>
      <w:bookmarkStart w:id="411" w:name="_Toc140"/>
      <w:bookmarkEnd w:id="409"/>
      <w:bookmarkEnd w:id="410"/>
      <w:r>
        <w:rPr>
          <w:rtl w:val="true"/>
        </w:rPr>
        <w:t>الفصل الرابع</w:t>
      </w:r>
      <w:r>
        <w:rPr>
          <w:rtl w:val="true"/>
        </w:rPr>
        <w:t>:</w:t>
      </w:r>
      <w:r>
        <w:rPr>
          <w:rtl w:val="true"/>
        </w:rPr>
        <w:t>المصائب و الشرور و حکمته تعالی</w:t>
      </w:r>
      <w:bookmarkEnd w:id="411"/>
    </w:p>
    <w:p>
      <w:pPr>
        <w:pStyle w:val="Heading4"/>
        <w:numPr>
          <w:ilvl w:val="3"/>
          <w:numId w:val="1"/>
        </w:numPr>
        <w:rPr/>
      </w:pPr>
      <w:bookmarkStart w:id="412" w:name="__RefHeading___Toc2819652_1395250215"/>
      <w:bookmarkStart w:id="413" w:name="_Toc141"/>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إنّ اللّه سبحانه خلق السّماوات و الأرض و ما بینهما لمصلحة الإنسان و انتفاعه بها فی معیشته، مع انّ المصائب و البلایا تنافی هذه الغایة و تضادّها، و الفاعل الحکیم لا یصنع ما یضادّ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مقتضی رحمة اللّه الواسعة رفع المصائب و دفع الشرور الواقعة فی عالم الطبیعة کی لا تصعب المعیشة علی الإنسان و تکون له هنیئة مریئة بلا جزع و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الإجابة عن هذه الشبهة تبتنی علی بیان أُمور</w:t>
      </w:r>
      <w:r>
        <w:rPr>
          <w:rFonts w:eastAsia="IRNazanin" w:cs="IRNazanin"/>
          <w:color w:val="111111"/>
          <w:sz w:val="28"/>
          <w:szCs w:val="28"/>
          <w:rtl w:val="true"/>
          <w:lang w:bidi="fa-IR"/>
        </w:rPr>
        <w:t>:</w:t>
      </w:r>
    </w:p>
    <w:p>
      <w:pPr>
        <w:pStyle w:val="Heading4"/>
        <w:numPr>
          <w:ilvl w:val="3"/>
          <w:numId w:val="1"/>
        </w:numPr>
        <w:rPr/>
      </w:pPr>
      <w:bookmarkStart w:id="414" w:name="__RefHeading___Toc2819654_1395250215"/>
      <w:bookmarkStart w:id="415" w:name="_Toc142"/>
      <w:bookmarkEnd w:id="414"/>
      <w:r>
        <w:rPr>
          <w:rtl w:val="true"/>
        </w:rPr>
        <w:t>الأوّل</w:t>
      </w:r>
      <w:r>
        <w:rPr>
          <w:rtl w:val="true"/>
        </w:rPr>
        <w:t xml:space="preserve">: </w:t>
      </w:r>
      <w:r>
        <w:rPr>
          <w:rtl w:val="true"/>
        </w:rPr>
        <w:t>المصالح النوعیّة راجحة علی المصالح الفردیة</w:t>
      </w:r>
      <w:bookmarkEnd w:id="41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الحیاة الإنسانیة حیاة اجتماعیة، فهناک مصالح و منافع فردیة، و أخری نوعیة اجتماعیة، و العقل الصریح یرجّح المصالح النوعیة علی المنافع الفردیة، و علی هذا فما یتجلّی من الظواهر الطبیعیة لبعض الأفراد فی صورة المصیبة و الشرّ، هو فی عین الوقت تکون متضمّنة لمصلحة النوع و الاجتماع، فالحکم بأنّ هذه الظواهر شرور، تنافی مصلحة </w:t>
      </w:r>
      <w:bookmarkStart w:id="416" w:name="pg2866_38129"/>
    </w:p>
    <w:p>
      <w:pPr>
        <w:pStyle w:val="BookText"/>
        <w:rPr/>
      </w:pPr>
      <w:bookmarkEnd w:id="416"/>
      <w:r>
        <w:rPr>
          <w:rFonts w:ascii="IRNazanin" w:hAnsi="IRNazanin" w:eastAsia="IRNazanin"/>
          <w:color w:val="111111"/>
          <w:sz w:val="28"/>
          <w:sz w:val="28"/>
          <w:szCs w:val="28"/>
          <w:rtl w:val="true"/>
          <w:lang w:bidi="fa-IR"/>
        </w:rPr>
        <w:t>الإنسان، ینشأ من التفات الإنسان إلیها من منظار خاص و التجاهل عن غیر نفسه فی العالم، من غیر فرق بین من مضی فی غابر الزمان و من یعیش فی الحاضر فی مناطق العالم أو سوف یأتی و یعیش فیها</w:t>
      </w:r>
      <w:r>
        <w:rPr>
          <w:rFonts w:eastAsia="IRNazanin" w:cs="IRNazanin"/>
          <w:color w:val="111111"/>
          <w:sz w:val="28"/>
          <w:szCs w:val="28"/>
          <w:rtl w:val="true"/>
          <w:lang w:bidi="fa-IR"/>
        </w:rPr>
        <w:t>.</w:t>
      </w:r>
    </w:p>
    <w:p>
      <w:pPr>
        <w:pStyle w:val="Heading4"/>
        <w:numPr>
          <w:ilvl w:val="3"/>
          <w:numId w:val="1"/>
        </w:numPr>
        <w:rPr/>
      </w:pPr>
      <w:bookmarkStart w:id="417" w:name="__RefHeading___Toc2819656_1395250215"/>
      <w:bookmarkStart w:id="418" w:name="_Toc143"/>
      <w:bookmarkEnd w:id="417"/>
      <w:r>
        <w:rPr>
          <w:rtl w:val="true"/>
        </w:rPr>
        <w:t>الثانی</w:t>
      </w:r>
      <w:r>
        <w:rPr>
          <w:rtl w:val="true"/>
        </w:rPr>
        <w:t xml:space="preserve">: </w:t>
      </w:r>
      <w:r>
        <w:rPr>
          <w:rtl w:val="true"/>
        </w:rPr>
        <w:t>ضآلة علم الإنسان و محدودیته</w:t>
      </w:r>
      <w:bookmarkEnd w:id="418"/>
    </w:p>
    <w:p>
      <w:pPr>
        <w:pStyle w:val="BookText"/>
        <w:rPr/>
      </w:pPr>
      <w:r>
        <w:rPr>
          <w:rFonts w:ascii="Amiri" w:hAnsi="Amiri" w:eastAsia="Amiri" w:cs="Amiri"/>
          <w:color w:val="111111"/>
          <w:sz w:val="28"/>
          <w:sz w:val="28"/>
          <w:szCs w:val="28"/>
          <w:rtl w:val="true"/>
          <w:lang w:bidi="ar-SA"/>
        </w:rPr>
        <w:t>إنّ علم الإنسان المحدود هو الّذی یدفعه إلی أن یقضی فی الحوادث بتلک الأقضیة الشاذّة، و لو وقف علی علمه الضئیل و نسبة علمه إلی ما لا یعلمه لرجع القهقری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لأذعن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أشبه الإنسان فی حکمه بأنّ المصائب شرور محضة للإنسان لیس لها دور فی مصالحه بعابر سبیل یری جرّافة تحفر الأرض، أو تهدم بناء مثیرة الغبار و التراب فی الهواء، فیقضی من فوره بأنّه عمل ضارّ و شرّ، و هو لا یدری بأنّ ذلک یتمّ تمهیداً لبناء مستشفی کبیر یستقبل المرضی و یعالج المصابین و یهیّئ للمحتاجین إلی العلاج وسائل المعالجة و التمریض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علی تلک الأهداف النبیلة لقضی بغیر ما قضی، و لوصف ذلک التهدیم بأنّه خیر و أنّه لا ضیر فیما یحصل من ضوضاء الجرّافة و تصاعد الغبار</w:t>
      </w:r>
      <w:r>
        <w:rPr>
          <w:rFonts w:eastAsia="IRNazanin" w:cs="IRNazanin"/>
          <w:color w:val="111111"/>
          <w:sz w:val="28"/>
          <w:szCs w:val="28"/>
          <w:rtl w:val="true"/>
          <w:lang w:bidi="fa-IR"/>
        </w:rPr>
        <w:t xml:space="preserve">. </w:t>
      </w:r>
      <w:bookmarkStart w:id="419" w:name="pg2866_38131"/>
    </w:p>
    <w:p>
      <w:pPr>
        <w:pStyle w:val="Heading4"/>
        <w:numPr>
          <w:ilvl w:val="3"/>
          <w:numId w:val="1"/>
        </w:numPr>
        <w:rPr/>
      </w:pPr>
      <w:bookmarkStart w:id="420" w:name="__RefHeading___Toc2819658_1395250215"/>
      <w:bookmarkStart w:id="421" w:name="_Toc144"/>
      <w:bookmarkEnd w:id="419"/>
      <w:bookmarkEnd w:id="420"/>
      <w:r>
        <w:rPr>
          <w:rtl w:val="true"/>
        </w:rPr>
        <w:t>الثالث</w:t>
      </w:r>
      <w:r>
        <w:rPr>
          <w:rtl w:val="true"/>
        </w:rPr>
        <w:t xml:space="preserve">: </w:t>
      </w:r>
      <w:r>
        <w:rPr>
          <w:rtl w:val="true"/>
        </w:rPr>
        <w:t>الغفلة عن القیم الإنسانیة العلیا</w:t>
      </w:r>
      <w:bookmarkEnd w:id="421"/>
    </w:p>
    <w:p>
      <w:pPr>
        <w:pStyle w:val="BookText"/>
        <w:rPr/>
      </w:pPr>
      <w:r>
        <w:rPr>
          <w:rFonts w:ascii="IRNazanin" w:hAnsi="IRNazanin" w:eastAsia="IRNazanin"/>
          <w:color w:val="111111"/>
          <w:sz w:val="28"/>
          <w:sz w:val="28"/>
          <w:szCs w:val="28"/>
          <w:rtl w:val="true"/>
          <w:lang w:bidi="fa-IR"/>
        </w:rPr>
        <w:t>لیست الحیاة الإنسانیة حیاة مادیّة فقط، بل للإنسان حیاة روحیة معنویة، و لا شکّ أنّ الفلاح و السّعادة فی هذه الحیاة، هی الغایة القصویٰ من خلق الإنسان، و مفتاح الوصول إلی تلک الغایة هو العبادة و الخضوع للّه سبحانه، و علی هذا الأساس فالحوادث الّتی توجب اختلالاً ما فی بعض شئون الحیاة المادیّة ربما تکون عاملاً أساسیاً لاتّجاه الإنسان إلی اللّه سبحانه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أَنْ تَکْرَهُوا شَیْئاً وَ یَجْعَلَ اللّٰهُ فِیهِ خَیْراً کَثِیراً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کما سیوافیک بیان ذلک</w:t>
      </w:r>
      <w:r>
        <w:rPr>
          <w:rFonts w:eastAsia="IRNazanin" w:cs="IRNazanin"/>
          <w:color w:val="111111"/>
          <w:sz w:val="28"/>
          <w:szCs w:val="28"/>
          <w:rtl w:val="true"/>
          <w:lang w:bidi="fa-IR"/>
        </w:rPr>
        <w:t>.</w:t>
      </w:r>
    </w:p>
    <w:p>
      <w:pPr>
        <w:pStyle w:val="Heading4"/>
        <w:numPr>
          <w:ilvl w:val="3"/>
          <w:numId w:val="1"/>
        </w:numPr>
        <w:rPr/>
      </w:pPr>
      <w:bookmarkStart w:id="422" w:name="__RefHeading___Toc2819660_1395250215"/>
      <w:bookmarkStart w:id="423" w:name="_Toc145"/>
      <w:bookmarkEnd w:id="422"/>
      <w:r>
        <w:rPr>
          <w:rtl w:val="true"/>
        </w:rPr>
        <w:t>الرابع</w:t>
      </w:r>
      <w:r>
        <w:rPr>
          <w:rtl w:val="true"/>
        </w:rPr>
        <w:t xml:space="preserve">: </w:t>
      </w:r>
      <w:r>
        <w:rPr>
          <w:rtl w:val="true"/>
        </w:rPr>
        <w:t>المصائب ولیدة الذنوب و المعاصی</w:t>
      </w:r>
      <w:bookmarkEnd w:id="423"/>
    </w:p>
    <w:p>
      <w:pPr>
        <w:pStyle w:val="Heading5"/>
        <w:numPr>
          <w:ilvl w:val="4"/>
          <w:numId w:val="1"/>
        </w:numPr>
        <w:rPr/>
      </w:pPr>
      <w:bookmarkStart w:id="424" w:name="__RefHeading___Toc2819662_1395250215"/>
      <w:bookmarkStart w:id="425" w:name="_Toc146"/>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القرآن الکریم یعدّ الإنسان مسئولاً عن کثیر من الحوادث المؤلمة و الوقائع الموجعة فی عالم الکون،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237"/>
      </w:r>
      <w:bookmarkStart w:id="426" w:name="pg2866_38132"/>
    </w:p>
    <w:p>
      <w:pPr>
        <w:pStyle w:val="BookText"/>
        <w:rPr/>
      </w:pPr>
      <w:bookmarkEnd w:id="426"/>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إلی غیر ذلک من الآیات الدالّة علی أنّ لأعمال الإنسان دوراً واقعیاً فی البلایا و الشرور الطبیعیة و الاجتماعیة، و لکنّ الإنسان إذا أصابته مصیبة و کارثة یعجل من فوره، و بدل أن یرجع إلی نفسه و یتفحّص عن العوامل البشریة لتلک الحوادث و یقوم بإصلاح نفسه، یعدّها مخالفة لحکمة الصانع أو عدله و رحمته</w:t>
      </w:r>
      <w:r>
        <w:rPr>
          <w:rFonts w:eastAsia="IRNazanin" w:cs="IRNazanin"/>
          <w:color w:val="111111"/>
          <w:sz w:val="28"/>
          <w:szCs w:val="28"/>
          <w:rtl w:val="true"/>
          <w:lang w:bidi="fa-IR"/>
        </w:rPr>
        <w:t>.</w:t>
      </w:r>
    </w:p>
    <w:p>
      <w:pPr>
        <w:pStyle w:val="Heading5"/>
        <w:numPr>
          <w:ilvl w:val="4"/>
          <w:numId w:val="1"/>
        </w:numPr>
        <w:rPr/>
      </w:pPr>
      <w:bookmarkStart w:id="427" w:name="__RefHeading___Toc2819664_1395250215"/>
      <w:bookmarkStart w:id="428" w:name="_Toc147"/>
      <w:bookmarkEnd w:id="427"/>
      <w:r>
        <w:rPr>
          <w:rtl w:val="true"/>
        </w:rPr>
        <w:t>الفوائد التربویّة للمصائب</w:t>
      </w:r>
      <w:bookmarkEnd w:id="428"/>
    </w:p>
    <w:p>
      <w:pPr>
        <w:pStyle w:val="BookText"/>
        <w:rPr/>
      </w:pPr>
      <w:r>
        <w:rPr>
          <w:rFonts w:ascii="IRNazanin" w:hAnsi="IRNazanin" w:eastAsia="IRNazanin"/>
          <w:color w:val="111111"/>
          <w:sz w:val="28"/>
          <w:sz w:val="28"/>
          <w:szCs w:val="28"/>
          <w:rtl w:val="true"/>
          <w:lang w:bidi="fa-IR"/>
        </w:rPr>
        <w:t>إذا عرفت هذه الأُصول فلنرجع إلی تحلیل فوائد المصائب و الشرور، فنقول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المصائب وسیلة لتفجیر الطاقات</w:t>
      </w:r>
    </w:p>
    <w:p>
      <w:pPr>
        <w:pStyle w:val="BookText"/>
        <w:rPr/>
      </w:pPr>
      <w:r>
        <w:rPr>
          <w:rFonts w:ascii="IRNazanin" w:hAnsi="IRNazanin" w:eastAsia="IRNazanin"/>
          <w:color w:val="111111"/>
          <w:sz w:val="28"/>
          <w:sz w:val="28"/>
          <w:szCs w:val="28"/>
          <w:rtl w:val="true"/>
          <w:lang w:bidi="fa-IR"/>
        </w:rPr>
        <w:t>إنّ البلایا و المصائب خیر وسیلة لتفجیر الطاقات و تقدّم العلوم و رقی الحیاة البشریة، فإنّ الإنسان إذا لم یواجه المشاکل فی حیاته لا تنفتح طاقاته و لا تنمو، بل نموّها و خروجها من القوّة إلی الفعل رهن وقوع الإنسان فی مهبّ المصائب و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الحقیقة یشیر قوله تعالی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البلایا جرس إنذار و سبب للعودة إلی الحقّ</w:t>
      </w:r>
    </w:p>
    <w:p>
      <w:pPr>
        <w:pStyle w:val="BookText"/>
        <w:rPr/>
      </w:pPr>
      <w:r>
        <w:rPr>
          <w:rFonts w:ascii="IRNazanin" w:hAnsi="IRNazanin" w:eastAsia="IRNazanin"/>
          <w:color w:val="111111"/>
          <w:sz w:val="28"/>
          <w:sz w:val="28"/>
          <w:szCs w:val="28"/>
          <w:rtl w:val="true"/>
          <w:lang w:bidi="fa-IR"/>
        </w:rPr>
        <w:t>إنّ التمتع بالمواهب المادّیة و الاستغراق فی اللذائذ و الشهوات یوجب غفلة کبری عن القیم الأخلاقیة و کلّما ازداد الإنسان توغّلاً فی اللذائذ و النعم، ازداد ابتعاداً عن الجوانب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حقیقة یلمسها کلّ إنسان فی حیاته و حیاة غیره، و یقف علیها فی صفحات التاریخ، و نحن نجد فی الکتاب العزیز التصریح بصلة الطغیان بإحساس الغنی، إذ یقول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فإذاً لا بدّ لانتباه الإنسان من هذه الغفلة من هزّة و جرس إنذار یذکّره و یرجعه إلی الطریق الوسطی، و لیس هناک ما هو أنفع فی هذا المجال من بعض الحوادث الّتی تقطع نظام الحیاة الناعمة بشیء من المزعجات حتّی یدرک عجزه و یتنبّه من نوم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یعلّل القرآن الکریم بعض النوازل و المصائب بأنّها تنزل لأجل الذکری و الرجوع إلی اللّه،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أَخَذْنٰا آلَ فِرْعَوْنَ بِالسِّنِینَ وَ نَقْصٍ مِنَ الثَّمَرٰاتِ لَعَلَّهُمْ یَذَّکَّرُونَ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بَلَوْنٰاهُمْ بِالْحَسَنٰاتِ وَ السَّیِّئٰاتِ لَعَلَّهُمْ یَرْجِعُونَ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حکمة البلایا فی حیاة الأولیاء</w:t>
      </w:r>
    </w:p>
    <w:p>
      <w:pPr>
        <w:pStyle w:val="BookText"/>
        <w:rPr/>
      </w:pPr>
      <w:r>
        <w:rPr>
          <w:rFonts w:ascii="IRNazanin" w:hAnsi="IRNazanin" w:eastAsia="IRNazanin"/>
          <w:color w:val="111111"/>
          <w:sz w:val="28"/>
          <w:sz w:val="28"/>
          <w:szCs w:val="28"/>
          <w:rtl w:val="true"/>
          <w:lang w:bidi="fa-IR"/>
        </w:rPr>
        <w:t>یظهر من القرآن الکریم و الأحادیث المتضافرة أنّ البلایا و المحن ألطاف إلهیّة فی حیاة الأولیاء و الصالحین من عباد اللّه و شرط لوصولهم إلی المقامات العالیة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روی هشام بن سالم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الأنبیاء، ثمّ الّذین یلونهم، ثمّ الأمثل فالأمثل</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روی سلیمان بن خالد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لیکون للعبد منزلة عند اللّه فما ینالها إلّا بإحدی خصلتین، إمّا بذهاب ماله أو ببلیّة فی جسده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قد شکا عبد اللّه بن أبی یعفور إلی أبی عبد اللّه الصادق علیه السلام ممّا أصابته من الأوجاع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مسقاماً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لو یعلم المؤمن ما له من الأجر فی المصائب لتمنّی أنّه قرّض بالمقاریض</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حاصل المقال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المصائب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فردیة و نوعیة،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محدودة و مطلقة، و لأعمال الإنسان دور فی وقوع المصائب و البلایا، و هی جمیعاً موافقة للحکمة و غایة الخلقة، فإنّ الغرض من خلقة الإنسان وصوله إلی </w:t>
      </w:r>
    </w:p>
    <w:p>
      <w:pPr>
        <w:pStyle w:val="BookText"/>
        <w:rPr/>
      </w:pPr>
      <w:r>
        <w:rPr>
          <w:rFonts w:ascii="IRNazanin" w:hAnsi="IRNazanin" w:eastAsia="IRNazanin"/>
          <w:color w:val="111111"/>
          <w:sz w:val="28"/>
          <w:sz w:val="28"/>
          <w:szCs w:val="28"/>
          <w:rtl w:val="true"/>
          <w:lang w:bidi="fa-IR"/>
        </w:rPr>
        <w:t>الکمالات المعنویة الخالدة، و تلک المصائب جرس الإنذار للغافلین و کفّارة لذنوب المذنبین و أسباب الارتقاء و التعالی للصالحین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جانب الغرض الأُخروی، و أمّا فی ناحیة الحیاة الدنیویة فیجب إلفات النظر إلی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 منافع نوع البشر المتوطّنین فی نواحی العالم، بلا قصر النظر إلی منافع الفرد أو طائفة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 ما یتوصّل إلیه الإنسان عند مواجهته للمشاکل و الشدائد من الاختراعات و الاکتشافات الجدیدة المؤدّیة إلی صلاح الإنسان فی حیاته المادیة</w:t>
      </w:r>
      <w:r>
        <w:rPr>
          <w:rFonts w:eastAsia="IRNazanin" w:cs="IRNazanin"/>
          <w:color w:val="111111"/>
          <w:sz w:val="28"/>
          <w:szCs w:val="28"/>
          <w:rtl w:val="true"/>
          <w:lang w:bidi="fa-IR"/>
        </w:rPr>
        <w:t xml:space="preserve">. </w:t>
      </w:r>
      <w:bookmarkStart w:id="429" w:name="pg2866_38138"/>
    </w:p>
    <w:p>
      <w:pPr>
        <w:pStyle w:val="Heading3"/>
        <w:numPr>
          <w:ilvl w:val="2"/>
          <w:numId w:val="1"/>
        </w:numPr>
        <w:rPr/>
      </w:pPr>
      <w:bookmarkStart w:id="430" w:name="__RefHeading___Toc2819666_1395250215"/>
      <w:bookmarkStart w:id="431" w:name="_Toc148"/>
      <w:bookmarkEnd w:id="429"/>
      <w:bookmarkEnd w:id="430"/>
      <w:r>
        <w:rPr>
          <w:rtl w:val="true"/>
        </w:rPr>
        <w:t>الفصل الخامس</w:t>
      </w:r>
      <w:r>
        <w:rPr>
          <w:rtl w:val="true"/>
        </w:rPr>
        <w:t>:</w:t>
      </w:r>
      <w:r>
        <w:rPr>
          <w:rtl w:val="true"/>
        </w:rPr>
        <w:t>التکلیف بما لا یطاق قبیح</w:t>
      </w:r>
      <w:bookmarkEnd w:id="431"/>
    </w:p>
    <w:p>
      <w:pPr>
        <w:pStyle w:val="Heading4"/>
        <w:numPr>
          <w:ilvl w:val="3"/>
          <w:numId w:val="1"/>
        </w:numPr>
        <w:rPr/>
      </w:pPr>
      <w:bookmarkStart w:id="432" w:name="__RefHeading___Toc2819668_1395250215"/>
      <w:bookmarkStart w:id="433" w:name="_Toc149"/>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إنّ التکلیف بما هو خارج عن قدرة المکلّف ظلم، و قبح الظلم من البدیهیات الأوّلیة عند العقل العملی، فیستحیل علی الحکیم أن یکلّف العبد بما لا قدرة له علیه، من غیر فرق بین کون نفس الفعل المکلّف به ممکناً بالذات، و لکن کان خارجاً عن إطار قدرة المکلّف، کالطیران إلی السّماء بلا وسیلة، أو کان نفس الفعل بما هو هو محالاً، کدخول الجسم الکبیر فی الجسم الصغیر من دون أن یتوسّع الصغیر أو یتصغّر الکبیر، هذا هو قضاء العقل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القرآنیة أیضاً صریحة فی أنّه سبحانه لا یکلّف الإنسان إلّا وسعه، و قدر طاقته و لا یظلمه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xml:space="preserve">» . </w:t>
      </w:r>
      <w:r>
        <w:rPr>
          <w:rStyle w:val="FootnoteAnchor"/>
          <w:rtl w:val="true"/>
        </w:rPr>
        <w:footnoteReference w:id="251"/>
      </w:r>
      <w:bookmarkStart w:id="434" w:name="pg2866_38139"/>
    </w:p>
    <w:p>
      <w:pPr>
        <w:pStyle w:val="Heading4"/>
        <w:numPr>
          <w:ilvl w:val="3"/>
          <w:numId w:val="1"/>
        </w:numPr>
        <w:rPr/>
      </w:pPr>
      <w:bookmarkStart w:id="435" w:name="__RefHeading___Toc2819670_1395250215"/>
      <w:bookmarkStart w:id="436" w:name="_Toc150"/>
      <w:bookmarkEnd w:id="434"/>
      <w:bookmarkEnd w:id="435"/>
      <w:r>
        <w:rPr>
          <w:rtl w:val="true"/>
        </w:rPr>
        <w:t>الأشاعرة و تجویز التکلیف بما لا یطاق</w:t>
      </w:r>
      <w:bookmarkEnd w:id="436"/>
    </w:p>
    <w:p>
      <w:pPr>
        <w:pStyle w:val="BookText"/>
        <w:rPr/>
      </w:pPr>
      <w:r>
        <w:rPr>
          <w:rFonts w:ascii="IRNazanin" w:hAnsi="IRNazanin" w:eastAsia="IRNazanin"/>
          <w:color w:val="111111"/>
          <w:sz w:val="28"/>
          <w:sz w:val="28"/>
          <w:szCs w:val="28"/>
          <w:rtl w:val="true"/>
          <w:lang w:bidi="fa-IR"/>
        </w:rPr>
        <w:t>مع هذه البراهین المشرقة نری أنّ الأشاعرة جوّزوا التکلیف بما لا یطاق، و بذلک أظهروا العقیدة الإسلامیة، عقیدة مخالفة للوجدان و العقل السلیم، و من المأسوف علیه أنّ المستشرقین أخذوا عقائد الإسلام عن المتکلّمین الأشعریین، فإذا بهم یصفونها بکونها علی خلاف العقل و الفطرة لأنّهم یجوّزون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الأشاعرة استدلّوا بآیات تخیّلوا دلالتها علی ما یرتئونه، مع أنّها بمنأی عمّا یتبنّونه فی المقام، و أظهر ما استدلوا به آیتان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یَسْتَطِیعُونَ السَّمْعَ وَ مٰا کٰانُوا یُبْصِرُونَ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صریحة علی أنّ المفترین علی اللّه سبحانه فی الدّنیا، المنکرین للحقّ لم یکونوا مستطیعین من أن یسمعوا کلام اللّه و یصغوا إلی دعوة النبیّ إلی الحقّ مع أنّهم کانوا مکلّفین باستماع الحقّ و قبوله، فکلّفهم اللّه تعالی بما لا یطیقون علیه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استطاعتهم لیس بمعنی عدم وجودها فیهم ابتداءً، بل لأنّهم حرّموا أنفسهم من هذه النعم بالذنوب، فصارت الذنوب سبباً لکونهم غیر مستطیعین لسمع الحقّ و قبوله، و قد تواترت النصوص من </w:t>
      </w:r>
    </w:p>
    <w:p>
      <w:pPr>
        <w:pStyle w:val="BookText"/>
        <w:rPr/>
      </w:pPr>
      <w:r>
        <w:rPr>
          <w:rFonts w:ascii="IRNazanin" w:hAnsi="IRNazanin" w:eastAsia="IRNazanin"/>
          <w:color w:val="111111"/>
          <w:sz w:val="28"/>
          <w:sz w:val="28"/>
          <w:szCs w:val="28"/>
          <w:rtl w:val="true"/>
          <w:lang w:bidi="fa-IR"/>
        </w:rPr>
        <w:t>الآیات و الأحادیث علی أنّ العصیان و الطغیان یجعل القلوب عمیاء و الأسماع صمّاء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قال سبحانه حاکیاً عن المجرمین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اعترافهم بکونهم مذنبین یدلّ علی أنّهم کانوا قادرین علی ذلک، لأنّه لو لم یکونوا قادرین کان المناسب فی مقام الاعتذار أن 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قادرین علی أن نسمع أو نعقل فلا نعترف بالذنوب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الزمخشری فی تفسیر الآیة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أنّهم لفرط تصامّهم عن استماع الحقّ و کراهتهم له، کأنّهم لا یستطیعون السمع،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یقولون فی کلّ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لا استطیع أن أسمعه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 وَ یُدْعَوْنَ إِلَی السُّجُودِ فَلاٰ یَسْتَطِیعُونَ</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یدعوا الضالّین و الطاغین إلی السجود یوم </w:t>
      </w:r>
    </w:p>
    <w:p>
      <w:pPr>
        <w:pStyle w:val="BookText"/>
        <w:rPr/>
      </w:pPr>
      <w:r>
        <w:rPr>
          <w:rFonts w:ascii="IRNazanin" w:hAnsi="IRNazanin" w:eastAsia="IRNazanin"/>
          <w:color w:val="111111"/>
          <w:sz w:val="28"/>
          <w:sz w:val="28"/>
          <w:szCs w:val="28"/>
          <w:rtl w:val="true"/>
          <w:lang w:bidi="fa-IR"/>
        </w:rPr>
        <w:t>القیامة مع أنّهم لا یستطیعون الإجابة، و الإتیان بالسجود، فإذا جاز التکلیف بما لا یطاق علیه فی الآخرة، جاز ذلک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 القیامة دار الحساب و الجزاء، و لیس دار التکلیف و العمل، فدعوته تعالی فی ذلک الیوم لیس بداعی التکلیف و غایة العمل، بل المقصود توبیخ الطاغین و إیجاد الحسرة فیهم لترکهم السجود فی الدنیا مع کونهم مستطیعین علیه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نظیر الآیة قوله سبحانه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 وَ ادْعُوا شُهَدٰاءَکُمْ مِنْ دُونِ اللّٰهِ إِنْ کُنْتُمْ صٰادِقِینَ</w:t>
      </w:r>
      <w:r>
        <w:rPr>
          <w:rFonts w:eastAsia="Amiri" w:cs="Amiri" w:ascii="Amiri" w:hAnsi="Amiri"/>
          <w:color w:val="111111"/>
          <w:sz w:val="28"/>
          <w:szCs w:val="28"/>
          <w:rtl w:val="true"/>
          <w:lang w:bidi="ar-SA"/>
        </w:rPr>
        <w:t xml:space="preserve">» . </w:t>
      </w:r>
      <w:r>
        <w:rPr>
          <w:rStyle w:val="FootnoteAnchor"/>
          <w:rtl w:val="true"/>
        </w:rPr>
        <w:footnoteReference w:id="258"/>
      </w:r>
      <w:bookmarkStart w:id="437" w:name="pg2866_38143"/>
    </w:p>
    <w:p>
      <w:pPr>
        <w:pStyle w:val="Heading3"/>
        <w:numPr>
          <w:ilvl w:val="2"/>
          <w:numId w:val="1"/>
        </w:numPr>
        <w:rPr/>
      </w:pPr>
      <w:bookmarkStart w:id="438" w:name="__RefHeading___Toc2819672_1395250215"/>
      <w:bookmarkStart w:id="439" w:name="_Toc151"/>
      <w:bookmarkEnd w:id="437"/>
      <w:bookmarkEnd w:id="438"/>
      <w:r>
        <w:rPr>
          <w:rtl w:val="true"/>
        </w:rPr>
        <w:t>الفصل السادس</w:t>
      </w:r>
      <w:r>
        <w:rPr>
          <w:rtl w:val="true"/>
        </w:rPr>
        <w:t>:</w:t>
      </w:r>
      <w:r>
        <w:rPr>
          <w:rtl w:val="true"/>
        </w:rPr>
        <w:t>وجوب اللطف عند المتکلّمین</w:t>
      </w:r>
      <w:bookmarkEnd w:id="439"/>
    </w:p>
    <w:p>
      <w:pPr>
        <w:pStyle w:val="Heading4"/>
        <w:numPr>
          <w:ilvl w:val="3"/>
          <w:numId w:val="1"/>
        </w:numPr>
        <w:rPr/>
      </w:pPr>
      <w:bookmarkStart w:id="440" w:name="__RefHeading___Toc2819674_1395250215"/>
      <w:bookmarkStart w:id="441" w:name="_Toc152"/>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ممّا یترتب علی حکمته تعالی وجوب اللّطف علیه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اللّطف عند المتکلّمین عبارة عمّا یقرّب المکلّف إلی الطاعة، و یبعّده عن المعصیة، ثمّ إن اتّصل اللطف بوقوع التکلیف یسمّی لطفاً محصِّلاً، و إلّا یسمّی لطفاً مقرِّباً، قال السیّد المرتضی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اللطف ما دعا إلی فعل الطاعة، و ینقسم إلی ما یختار المکلّف عنده فعل الطاعة و لولاه لم یختره، و إلی ما یکون أقرب إلی اختیارها، و کلا القسمین یشمله کونه داعیاً</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442" w:name="__RefHeading___Toc2819676_1395250215"/>
      <w:bookmarkStart w:id="443" w:name="_Toc153"/>
      <w:bookmarkEnd w:id="442"/>
      <w:r>
        <w:rPr>
          <w:rtl w:val="true"/>
        </w:rPr>
        <w:t>برهان وجوب اللطف</w:t>
      </w:r>
      <w:bookmarkEnd w:id="44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استدلّوا علی وجوب اللطف علیه سبحانه بأنّ ترک اللطف یناقض غرضه تعالی من خلقه العباد و تکلیفهم، و هو قبیح لا یصدر من الحکیم، قال المحقّق البحرانی</w:t>
      </w:r>
      <w:r>
        <w:rPr>
          <w:rFonts w:eastAsia="IRNazanin" w:cs="IRNazanin"/>
          <w:color w:val="111111"/>
          <w:sz w:val="28"/>
          <w:szCs w:val="28"/>
          <w:rtl w:val="true"/>
          <w:lang w:bidi="fa-IR"/>
        </w:rPr>
        <w:t xml:space="preserve">: </w:t>
      </w:r>
      <w:bookmarkStart w:id="444" w:name="pg2866_38144"/>
    </w:p>
    <w:p>
      <w:pPr>
        <w:pStyle w:val="BookText"/>
        <w:rPr/>
      </w:pPr>
      <w:bookmarkEnd w:id="444"/>
      <w:r>
        <w:rPr>
          <w:rFonts w:ascii="IRNazanin" w:hAnsi="IRNazanin" w:eastAsia="IRNazanin"/>
          <w:color w:val="111111"/>
          <w:sz w:val="28"/>
          <w:sz w:val="28"/>
          <w:szCs w:val="28"/>
          <w:rtl w:val="true"/>
          <w:lang w:bidi="fa-IR"/>
        </w:rPr>
        <w:t>إنّه لو جاز الإخلال به فی الحکمة فبتقدیر أن لا یفعله الحکیم، کان مناقضاً لغرضه، لکن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أراد من المکلّف الطاعة، فإذا علم أنه لا یختار الطاعة، أو لا یکون أقرب إلیها إلّا عند فعل یفعله به لا مشقّة علیه فیه و لا غضاضة، وجب فی الحکمة أن یفعله، إذ لو أخلّ به لکشف ذلک عن عدم إرادته له، و جری ذلک مجری من أراد من غیره حضور طعامه و علم أو غلب ظنّه أنّه لا یحضر بدون رسول، فمتی لم یرسل عدَّ مناقضاً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یعدّون المناقضة للغرض سفهاً، و هو ضدّ الحکمة و نقص، و النقص علیه تعالی محال</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445" w:name="__RefHeading___Toc2819678_1395250215"/>
      <w:bookmarkStart w:id="446" w:name="_Toc154"/>
      <w:bookmarkEnd w:id="445"/>
      <w:r>
        <w:rPr>
          <w:rtl w:val="true"/>
        </w:rPr>
        <w:t>شروط اللطف</w:t>
      </w:r>
      <w:bookmarkEnd w:id="446"/>
    </w:p>
    <w:p>
      <w:pPr>
        <w:pStyle w:val="BookText"/>
        <w:rPr/>
      </w:pPr>
      <w:r>
        <w:rPr>
          <w:rFonts w:ascii="IRNazanin" w:hAnsi="IRNazanin" w:eastAsia="IRNazanin"/>
          <w:color w:val="111111"/>
          <w:sz w:val="28"/>
          <w:sz w:val="28"/>
          <w:szCs w:val="28"/>
          <w:rtl w:val="true"/>
          <w:lang w:bidi="fa-IR"/>
        </w:rPr>
        <w:t>إنّ القائلین بوجوب اللطف ذکروا له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حظّ فی التمکین و حصول القدرة، إذ العاجز غیر مکلّف فلا یتصوّر اللطف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یبلغ حدّ الإلجاء و لا یسلب عن المکلّف الاختیار، لئلّا ینافی الحکمة فی جعل التکلیف من ابتلاء العباد و امتحانهم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باعتبار الشرط الأخیر یتبیّن وهن ما استشکل علی وجوب اللطف بأنّه لو وجب اللطف علی اللّه تعالی لکان لا یوجد فی العالم عاص، لأنّه ما </w:t>
      </w:r>
      <w:bookmarkStart w:id="447" w:name="pg2866_38145"/>
    </w:p>
    <w:p>
      <w:pPr>
        <w:pStyle w:val="BookText"/>
        <w:rPr/>
      </w:pPr>
      <w:bookmarkEnd w:id="447"/>
      <w:r>
        <w:rPr>
          <w:rFonts w:ascii="IRNazanin" w:hAnsi="IRNazanin" w:eastAsia="IRNazanin"/>
          <w:color w:val="111111"/>
          <w:sz w:val="28"/>
          <w:sz w:val="28"/>
          <w:szCs w:val="28"/>
          <w:rtl w:val="true"/>
          <w:lang w:bidi="fa-IR"/>
        </w:rPr>
        <w:t>من مکلّف إلّا و فی مقدور اللّه تعالی من الألطاف ما لو فعله به لاختار عنده الواجب و اجتنب القبیح و ذلک لأنّ قدرة اللّه تعالی و إن کانت مطلقة فی نفسها، لکن إعمالها مقیّدة بما لا ینافی مقتضی حکمته تعالی من کون الإنسان مختاراً و مکلّفاً</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448" w:name="__RefHeading___Toc2819680_1395250215"/>
      <w:bookmarkStart w:id="449" w:name="_Toc155"/>
      <w:bookmarkEnd w:id="448"/>
      <w:r>
        <w:rPr>
          <w:rtl w:val="true"/>
        </w:rPr>
        <w:t>أقسام اللطف</w:t>
      </w:r>
      <w:bookmarkEnd w:id="4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اللّطف إمّا من فعل اللّه تعالی، و یجب فی حکمته فعله کالبعثة، و إلّا عدّ ترکه نقضاً لغرضه کما مرّ، أو من فعل المکلّف، و حینئذٍ فإمّا أن یکون لطفاً فی تکلیف نفسه، و یجب فی حکمته تعالی أن یعرِّفه إیّاه و یوجبه علیه، و ذلک کمتابعة الرسل و الاقتداء بهم، أو فی تکلیف غیره، و ذلک کتبلیغ الرسول الوحی، و یجب أن یشتمل علی مصلحة تعود إلی فاعله، إذ إیجابه علیه لمصلحة غیره مع خلوِّه عن مصلحة تعود إلیه ظلم و هو علیه تعالی محال</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2866_38148"/>
      <w:bookmarkStart w:id="451" w:name="pg2866_38148"/>
      <w:bookmarkEnd w:id="451"/>
    </w:p>
    <w:p>
      <w:pPr>
        <w:pStyle w:val="Heading3"/>
        <w:numPr>
          <w:ilvl w:val="2"/>
          <w:numId w:val="1"/>
        </w:numPr>
        <w:rPr/>
      </w:pPr>
      <w:bookmarkStart w:id="452" w:name="pg2866_38148"/>
      <w:bookmarkStart w:id="453" w:name="__RefHeading___Toc2819682_1395250215"/>
      <w:bookmarkStart w:id="454" w:name="_Toc156"/>
      <w:bookmarkEnd w:id="452"/>
      <w:bookmarkEnd w:id="453"/>
      <w:r>
        <w:rPr>
          <w:rtl w:val="true"/>
        </w:rPr>
        <w:t>الفصل السابع</w:t>
      </w:r>
      <w:r>
        <w:rPr>
          <w:rtl w:val="true"/>
        </w:rPr>
        <w:t>:</w:t>
      </w:r>
      <w:r>
        <w:rPr>
          <w:rtl w:val="true"/>
        </w:rPr>
        <w:t>الجبر و الکسب</w:t>
      </w:r>
      <w:bookmarkEnd w:id="454"/>
    </w:p>
    <w:p>
      <w:pPr>
        <w:pStyle w:val="Heading4"/>
        <w:numPr>
          <w:ilvl w:val="3"/>
          <w:numId w:val="1"/>
        </w:numPr>
        <w:rPr/>
      </w:pPr>
      <w:bookmarkStart w:id="455" w:name="__RefHeading___Toc2819684_1395250215"/>
      <w:bookmarkStart w:id="456" w:name="_Toc157"/>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من الأبحاث الکلامیة الهامّة، البحث عن کیفیة صدور أفعال العباد، و أنّهم مختارون فی أفعالهم أو مجبورون، مضطرّون علیها؟ و المسألة ذات صلة وثیقة بمسألة العدل الإلهی، فإنّ العقل البدیهی حاکم علی قبح تکلیف المجبور و مؤاخذته علیه، و أنّ اللّه سبحانه منزَّه عن کلّ فعل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المسألة من المسائل الفکریة الّتی یتطلّع کلّ إنسان إلی حلّها، سواء أقدر علیه أم لا، و لأجل هذه الخصیصة لا یمکن تحدید زمن تکوّنها فی البیئات البشریة، و مع ذلک فهی کانت مطروحة فی الفلسفة الإغریقیة، ثمّ انطرحت فی الأوساط الإسلامیة و بحث عنها المتکلّمون و الفلاسفة الإسلامیون، کما وقع البحث حولها فی المجتمعات الغربیة الحدیثة، و المذاهب و الآراء المطروحة فی هذا المجال فی الکلام الإسلامی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الجبر المحض؛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الکسب؛ </w:t>
      </w:r>
      <w:bookmarkStart w:id="457" w:name="pg2866_38149"/>
    </w:p>
    <w:p>
      <w:pPr>
        <w:pStyle w:val="BookText"/>
        <w:rPr/>
      </w:pPr>
      <w:bookmarkEnd w:id="4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التفویض؛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الأمر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فلنبحث عنها واحداً تلو الآخر</w:t>
      </w:r>
      <w:r>
        <w:rPr>
          <w:rFonts w:eastAsia="IRNazanin" w:cs="IRNazanin"/>
          <w:color w:val="111111"/>
          <w:sz w:val="28"/>
          <w:szCs w:val="28"/>
          <w:rtl w:val="true"/>
          <w:lang w:bidi="fa-IR"/>
        </w:rPr>
        <w:t>.</w:t>
      </w:r>
    </w:p>
    <w:p>
      <w:pPr>
        <w:pStyle w:val="Heading4"/>
        <w:numPr>
          <w:ilvl w:val="3"/>
          <w:numId w:val="1"/>
        </w:numPr>
        <w:rPr/>
      </w:pPr>
      <w:bookmarkStart w:id="458" w:name="__RefHeading___Toc2819686_1395250215"/>
      <w:bookmarkStart w:id="459" w:name="_Toc158"/>
      <w:bookmarkEnd w:id="458"/>
      <w:r>
        <w:rPr>
          <w:rtl w:val="true"/>
        </w:rPr>
        <w:t>أ الجبر المحض</w:t>
      </w:r>
      <w:bookmarkEnd w:id="459"/>
    </w:p>
    <w:p>
      <w:pPr>
        <w:pStyle w:val="BookText"/>
        <w:rPr/>
      </w:pPr>
      <w:r>
        <w:rPr>
          <w:rFonts w:ascii="IRNazanin" w:hAnsi="IRNazanin" w:eastAsia="IRNazanin"/>
          <w:color w:val="111111"/>
          <w:sz w:val="28"/>
          <w:sz w:val="28"/>
          <w:szCs w:val="28"/>
          <w:rtl w:val="true"/>
          <w:lang w:bidi="fa-IR"/>
        </w:rPr>
        <w:t xml:space="preserve">و هو المنسوب إلی جهم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جهم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فعل لأحد فی الحقیقة إلّا اللّه وحده، و أنّ الناس إنّما تنسب إلیهم أفعالهم علی المجاز،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تحرّکت الشجرة، و دار الفلک، و زالت الشمس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عرّفهم الشهرستانی بأنّهم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لا یقدر علی شیء و لا یوصف بالاستطاعة و إنّما هو مجبور فی أفعاله لا قدرة له و لا إرادة و لا اختیار، و إنّما یخلق اللّه تعالی الأفعال فیه علی حسب ما یخلق فی سائر الجمادات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الجبر فالتکلیف أیضاً کان جبراً</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بطلان هذا المذهب، إذ لو کان کذلک لبطل التکلیف و الوعد و الوعید و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لصار بعث الأنبیاء و إنزال الکتب و الشرائع السماویة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الکسب</w:t>
      </w:r>
    </w:p>
    <w:p>
      <w:pPr>
        <w:pStyle w:val="BookText"/>
        <w:rPr/>
      </w:pPr>
      <w:r>
        <w:rPr>
          <w:rFonts w:ascii="IRNazanin" w:hAnsi="IRNazanin" w:eastAsia="IRNazanin"/>
          <w:color w:val="111111"/>
          <w:sz w:val="28"/>
          <w:sz w:val="28"/>
          <w:szCs w:val="28"/>
          <w:rtl w:val="true"/>
          <w:lang w:bidi="fa-IR"/>
        </w:rPr>
        <w:t xml:space="preserve">قد انطرحت نظریة الکسب فی معترک الأبحاث الکلامیة قبل ظهور الشیخ الأشعری بأکثر من قرن، فهذه هی الطائفة الضراریة </w:t>
      </w:r>
      <w:r>
        <w:rPr>
          <w:rStyle w:val="FootnoteAnchor"/>
          <w:rtl w:val="true"/>
        </w:rPr>
        <w:footnoteReference w:id="265"/>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أفعال العباد مخلوقة للّه تعالی حقیقة و العبد مکتسبها</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تبعتهم فی ذلک الطائفة النجّاریة </w:t>
      </w:r>
      <w:r>
        <w:rPr>
          <w:rStyle w:val="FootnoteAnchor"/>
          <w:rtl w:val="true"/>
        </w:rPr>
        <w:footnoteReference w:id="267"/>
      </w:r>
      <w:r>
        <w:rPr>
          <w:rFonts w:ascii="IRNazanin" w:hAnsi="IRNazanin" w:eastAsia="IRNazanin"/>
          <w:color w:val="111111"/>
          <w:sz w:val="28"/>
          <w:sz w:val="28"/>
          <w:szCs w:val="28"/>
          <w:rtl w:val="true"/>
          <w:lang w:bidi="fa-IR"/>
        </w:rPr>
        <w:t>فعرّفهم الشهرستانی بأنّهم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الباری تعالی هو خالق أعمال العباد خیرها و شرّها، حسنها و قبیحها، و العبد مکتسب لها، و یثبتون تأثیراً للقدرة الحادثة، و یسمّون ذلک کسباً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مع ذلک فقد اشتهرت نسبة النظریّة إلی الأشاعرة و عدّت من ممیّزات منهجهم، و ما ذلک إلّا لأنّ الشیخ الأشعری و تلامذة مدرسته قاموا بتحکیم هذه النظریّة و تبیینها بالأدلّة العقلیة و النقلیة و قد اختلفت عبارات القوم فی تفسیرها، و مرجعها إلی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للقدرة المحدثة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تأثیر فی اکتساب الفعل لکن لا فی وجوده و حدوثه بل فی العناوین الطارئة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للقدرة المحدثة تأثیر فی الفعل سوی مقارنتها لتحقق الفعل من جانبه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فیما یلی نصوصهم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القاضی الباقلانی</w:t>
      </w:r>
    </w:p>
    <w:p>
      <w:pPr>
        <w:pStyle w:val="BookText"/>
        <w:rPr/>
      </w:pPr>
      <w:r>
        <w:rPr>
          <w:rFonts w:ascii="IRNazanin" w:hAnsi="IRNazanin" w:eastAsia="IRNazanin"/>
          <w:color w:val="111111"/>
          <w:sz w:val="28"/>
          <w:sz w:val="28"/>
          <w:szCs w:val="28"/>
          <w:rtl w:val="true"/>
          <w:lang w:bidi="fa-IR"/>
        </w:rPr>
        <w:t>إنّ للباقلانی تفسیراً لکسب الأشعری و هو یرجع إلی الوجه الأوّل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قد قام علی أنّ القدرة الحادثة لا تصلح للإیجاد، لکن لیست صفات الأفعال أو وجوهها و اعتباراتها تقتصر علی جهة الحدوث فقط، بل هاهنا وجوه أخری هی وراء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عدّة من الجهات و الاعتبارات، کالصلاة و الصیام و القیام و القعود،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یفرِّق فرقاً ضروریاً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یجوز أن تضاف إلی الباری جهة ما یضاف إلی العبد، فکذلک لا یجوز أن تضاف إلی العبد جهة ما یضاف إلی الباری تعالی</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استنتج أنّ الجهات الّتی لا یصحّ إسنادها إلی اللّه تعالی فهی </w:t>
      </w:r>
    </w:p>
    <w:p>
      <w:pPr>
        <w:pStyle w:val="BookText"/>
        <w:rPr/>
      </w:pPr>
      <w:r>
        <w:rPr>
          <w:rFonts w:ascii="IRNazanin" w:hAnsi="IRNazanin" w:eastAsia="IRNazanin"/>
          <w:color w:val="111111"/>
          <w:sz w:val="28"/>
          <w:sz w:val="28"/>
          <w:szCs w:val="28"/>
          <w:rtl w:val="true"/>
          <w:lang w:bidi="fa-IR"/>
        </w:rPr>
        <w:t>متعلّقة للقدرة الحادثة و مکتسبة للإنسان، و هی الّتی تکون ملاک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العناوین و الجهات لا تخلو من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تکون من الأُمور العدمیة، فعندئذٍ لا یکون للکسب واقعیة خارجیة، بل یکون أمراً ذهنیاً اعتباریاً خارجاً عن إطار الفعل و التأثیر، فکیف تؤثّر القدرة الحادثة فیه، حتی یعدّ کسباً للعبد، و یکون ملاکاً للثواب و العقاب؟</w:t>
      </w:r>
    </w:p>
    <w:p>
      <w:pPr>
        <w:pStyle w:val="BookText"/>
        <w:rPr/>
      </w:pPr>
      <w:r>
        <w:rPr>
          <w:rFonts w:ascii="IRNazanin" w:hAnsi="IRNazanin" w:eastAsia="IRNazanin"/>
          <w:color w:val="111111"/>
          <w:sz w:val="28"/>
          <w:sz w:val="28"/>
          <w:szCs w:val="28"/>
          <w:rtl w:val="true"/>
          <w:lang w:bidi="fa-IR"/>
        </w:rPr>
        <w:t xml:space="preserve">و إمّا تکون من الأُمور الوجودیة، فعندئذٍ تکون مخلوقة للّه سبحانه حسب الأصل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الغزالی و تفسیر الکسب</w:t>
      </w:r>
    </w:p>
    <w:p>
      <w:pPr>
        <w:pStyle w:val="BookText"/>
        <w:rPr/>
      </w:pPr>
      <w:r>
        <w:rPr>
          <w:rFonts w:ascii="IRNazanin" w:hAnsi="IRNazanin" w:eastAsia="IRNazanin"/>
          <w:color w:val="111111"/>
          <w:sz w:val="28"/>
          <w:sz w:val="28"/>
          <w:szCs w:val="28"/>
          <w:rtl w:val="true"/>
          <w:lang w:bidi="fa-IR"/>
        </w:rPr>
        <w:t>فسَّر الغزالی الکسب بما یرجع إلی الوجه الثانی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الحقّ إثبات القدرتین علی فعل واحد و القول بمقدور منسوب إلی قادرین، فلا یبقی إلّا استبعاد توارد القدرتین علی فعل واحد، و هذا إنّما یبعد إذا کان تعلّق القدرتین علی وجه واحد، فإن اختلفت القدرتان و اختلف وجه تعلّقهما فتوارد القدرتین المتعلّقتین علی شیء واحد غیر محال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ذکره فی تغایر وجه تعلّق القدرتین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تعلق قدرته سبحانه بفعل العبد، تعلّق تأثیری، و تعلّق قدرة العبد نفسه تعلّق تقارنی، و هذا القدر من التعلّق کاف فی إسناد الفعل إلیه و کونه کسباً له</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قد تبعه فی ذلک عدّة من مشایخهم المتأخرین کالتفتازانی و الجرجانی و القوشجی</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 العبد فی أفعاله علی هذا التفسیر لیس إلّا دور المقارنة، فعند حدوث القدرة و الإرادة فی العبد یقوم سبحانه بخلق الفعل، و من المعلوم أنّ تحقق الفعل من اللّه مقارناً لقدرة العبد، لا یصحّح نسبة الفعل فی تحقّقه إلیه، و معه کیف یتحمّل مسئولیته، إذا لم یکن لقدرة العبد تأثیر فی وقوعه؟</w:t>
      </w:r>
    </w:p>
    <w:p>
      <w:pPr>
        <w:pStyle w:val="BookText"/>
        <w:rPr/>
      </w:pPr>
      <w:r>
        <w:rPr>
          <w:rFonts w:ascii="IRNazanin" w:hAnsi="IRNazanin" w:eastAsia="IRNazanin"/>
          <w:color w:val="111111"/>
          <w:sz w:val="28"/>
          <w:sz w:val="28"/>
          <w:szCs w:val="28"/>
          <w:rtl w:val="true"/>
          <w:lang w:bidi="fa-IR"/>
        </w:rPr>
        <w:t>إنکار الکسب من محقّقی الأشاعرة</w:t>
      </w:r>
    </w:p>
    <w:p>
      <w:pPr>
        <w:pStyle w:val="BookText"/>
        <w:rPr/>
      </w:pPr>
      <w:r>
        <w:rPr>
          <w:rFonts w:ascii="IRNazanin" w:hAnsi="IRNazanin" w:eastAsia="IRNazanin"/>
          <w:color w:val="111111"/>
          <w:sz w:val="28"/>
          <w:sz w:val="28"/>
          <w:szCs w:val="28"/>
          <w:rtl w:val="true"/>
          <w:lang w:bidi="fa-IR"/>
        </w:rPr>
        <w:t>إنّ هناک رجالاً من الأشاعرة أدرکوا جفاف النظریّة و عدم کونها طریقاً صحیحاً لحلّ معضلة الجبر، فنقضوا ما أبرموه و أجهروا بالحقیقة، نخصّ بالذکر منهم رجالاً ثلاثة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الحرمین، فقد اعترف بنظام الأسباب و المسبّبات الکونیة أوّلاً، و انتهائها إلی اللّه سبحانه و أنّه خالق للأسباب و مسبباتها المستغنی علی </w:t>
      </w:r>
    </w:p>
    <w:p>
      <w:pPr>
        <w:pStyle w:val="BookText"/>
        <w:rPr/>
      </w:pPr>
      <w:r>
        <w:rPr>
          <w:rFonts w:ascii="IRNazanin" w:hAnsi="IRNazanin" w:eastAsia="IRNazanin"/>
          <w:color w:val="111111"/>
          <w:sz w:val="28"/>
          <w:sz w:val="28"/>
          <w:szCs w:val="28"/>
          <w:rtl w:val="true"/>
          <w:lang w:bidi="fa-IR"/>
        </w:rPr>
        <w:t>الإطلاق ثانیاً، و أنّ لقدرة العباد تأثیراً فی أفعالهم، و أنّ قدرتهم تنتهی إلی قدرته سبحانه ثالثاً</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الوهّاب الشعرانی، و هو من أقطاب الحدیث و الکلام فی القرن العاشر، فقد وافق إمام الحرمین فی هذا المجال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أنّه لا عمل للعبد فقد عاند، فإنّ القدرة الحادثة، إذا لم یکن لها أثر فوجودها و عدمها سواء، و من زعم أنّه مستبد بالعمل فقد أشرک، فلا بدّ أنّه مضطرّ علی الاختیار</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فقال فی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القائل بسلطة العبد علی جمیع أفعاله و استقلاله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غرور ظاهر و منهم من قال بالجبر و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الجبریة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به و تبرّأ 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هدم للشریعة و محو للتکالیف، و إبطال لحکم العقل البدیهی، و هو عماد الایمان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الاعتقاد بکسب العبد </w:t>
      </w:r>
      <w:r>
        <w:rPr>
          <w:rStyle w:val="FootnoteAnchor"/>
          <w:rtl w:val="true"/>
        </w:rPr>
        <w:footnoteReference w:id="274"/>
      </w:r>
      <w:r>
        <w:rPr>
          <w:rFonts w:ascii="IRNazanin" w:hAnsi="IRNazanin" w:eastAsia="IRNazanin"/>
          <w:color w:val="111111"/>
          <w:sz w:val="28"/>
          <w:sz w:val="28"/>
          <w:szCs w:val="28"/>
          <w:rtl w:val="true"/>
          <w:lang w:bidi="fa-IR"/>
        </w:rPr>
        <w:t xml:space="preserve">لأفعاله یؤدّی إلی الإشراک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الظلم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من لم یلتفت إلی معنی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الإشراک علی ما جاء به الکتاب و السنّة، فالإشراک اعتقاد أنّ لغیر اللّه أثراً فوق ما وهبه اللّه من الأسباب الظاهرة، و أنّ لشیء من الأشیاء سلطاناً علی ما خرج عن قدرة المخلوقین</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60" w:name="pg2866_38158"/>
    </w:p>
    <w:p>
      <w:pPr>
        <w:pStyle w:val="Heading3"/>
        <w:numPr>
          <w:ilvl w:val="2"/>
          <w:numId w:val="1"/>
        </w:numPr>
        <w:rPr/>
      </w:pPr>
      <w:bookmarkStart w:id="461" w:name="__RefHeading___Toc2819688_1395250215"/>
      <w:bookmarkStart w:id="462" w:name="_Toc159"/>
      <w:bookmarkEnd w:id="460"/>
      <w:bookmarkEnd w:id="461"/>
      <w:r>
        <w:rPr>
          <w:rtl w:val="true"/>
        </w:rPr>
        <w:t>الفصل الثامن</w:t>
      </w:r>
      <w:r>
        <w:rPr>
          <w:rtl w:val="true"/>
        </w:rPr>
        <w:t>:</w:t>
      </w:r>
      <w:r>
        <w:rPr>
          <w:rtl w:val="true"/>
        </w:rPr>
        <w:t>نظریّة التفویض</w:t>
      </w:r>
      <w:bookmarkEnd w:id="462"/>
    </w:p>
    <w:p>
      <w:pPr>
        <w:pStyle w:val="Heading4"/>
        <w:numPr>
          <w:ilvl w:val="3"/>
          <w:numId w:val="1"/>
        </w:numPr>
        <w:rPr/>
      </w:pPr>
      <w:bookmarkStart w:id="463" w:name="__RefHeading___Toc2819690_1395250215"/>
      <w:bookmarkStart w:id="464" w:name="_Toc160"/>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المنقول عن المعتزلة هو أنّ أفعال العباد مفوَّضة إلیهم و هم الفاعلون لها بما منحهم اللّه من القدرة، و لیس للّه سبحانه شأن فی أفعال عباده، قال القاضی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شیخنا أبو علی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أهل العدل علی أنّ أفعال العباد من تصرّفهم و قیامهم و قعودهم، حادثة من جهتهم، و أن اللّه عزّ و جلّ أقدرهم علی ذلک و لا فاعل لها و لا محدث سواهم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خلق الأفعال، و الغرض به، الکلام فی أنّ أفعال العباد غیر مخلوقة فیهم و أنّهم المُحدِثون لها</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دافع المعتزلة إلی القول بالتفویض هو الحفاظ علی العدل الإلهی، فلمّا کان العدل عندهم هو الأصل و الأساس فی سائر المباحث، </w:t>
      </w:r>
    </w:p>
    <w:p>
      <w:pPr>
        <w:pStyle w:val="BookText"/>
        <w:rPr/>
      </w:pPr>
      <w:r>
        <w:rPr>
          <w:rFonts w:ascii="IRNazanin" w:hAnsi="IRNazanin" w:eastAsia="IRNazanin"/>
          <w:color w:val="111111"/>
          <w:sz w:val="28"/>
          <w:sz w:val="28"/>
          <w:szCs w:val="28"/>
          <w:rtl w:val="true"/>
          <w:lang w:bidi="fa-IR"/>
        </w:rPr>
        <w:t>عمدوا إلی تطبیق مسألة أفعال العباد علیه، فوقعوا فی التفویض لاعتقادهم بأنّ القول بکون أفعال العباد مخلوقة للّه سبحانه ینافی عدله تعالی و حدّدوا بذلک خالقیته تعالی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أوقعهم فی هذا الخطأ فی الطریق،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خطؤهم فی تفسیر کیفیّة ارتباط الأفعال إلی الإنسان و إلیه تعالی، فزعموا أنّهما عرضیان، فأحدهما ینافی الآخر و یستحیل الجمع بینهما، و بما أنّهم کانوا بصدد تحکیم العدل الإلهی لجئوا إلی التفویض و نفی ارتباط الأفعال إلی اللّه تعالی؛ قال القاضی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قال إنّ اللّه سبحانه خالقها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محدثها، فقد عظم خطأه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لا استقلال له، لا فی وجوده، و لا فیما یتعلّق به من الأفعال و شئونه الوجودیة، فهو محتاج إلی إفاضة الوجود و القدرة إلیه من اللّه تعالی مدی حیاته،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التفکیک بین الإرادة و القضاء التکوینیین و التشریعیین، فالتکوینی منهما یعمّ الحسنات و السیّئات بلا تفاوت، و لکنّ التشریعی منهما لا یتعلّق إلّا بالحسنات،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یَأْمُرُ بِالْفَحْشٰاءِ</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رَبِّی بِالْقِسْطِ</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فالآیات النازلة فی تنزیهه تعالی عن الظلم و القبائح إمّا راجعة إلی أفعاله سبحانه، و مدلولها أنّه سبحانه منزّه عن فعل القبیح مطلقاً، و إمّا راجعة إلی أفعال العباد، و مدلولها أنّه تعالی لا یرضاها، و لا یأمر بها بل یکرهها و ینهی عنها، فالتفصیل بین حسنات أفعال العباد و قبائحها إنّما یتمّ بالنسبة إلی الإرادة و القضاء التشریعیین، لا التکوینیین، و هذا هو مذهب أئمّة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بأسناده عن الرضا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أبی طالب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علی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 فضائل،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الفرائض فبأمر اللّه تعالی و برضی اللّه و بقضائه و تقدیره و مشیّته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الفضائل فلیست بأمر اللّه، و لکن برضی اللّه و بقضاء اللّه و بقدر اللّه و بمشیّة اللّه و بعلم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المعاصی فلیست بأمر اللّه، و لکن بقضاء اللّه و بقدر اللّه و بمشیّة اللّه و بعلمه، ثمّ یعاقب علیها</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لهم الکفر و أراده؟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ذلک و رضیه؟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و أراد ما </w:t>
      </w:r>
      <w:bookmarkStart w:id="465" w:name="pg2866_38161"/>
    </w:p>
    <w:p>
      <w:pPr>
        <w:pStyle w:val="BookText"/>
        <w:rPr/>
      </w:pPr>
      <w:bookmarkEnd w:id="465"/>
      <w:r>
        <w:rPr>
          <w:rFonts w:ascii="IRNazanin" w:hAnsi="IRNazanin" w:eastAsia="IRNazanin"/>
          <w:color w:val="111111"/>
          <w:sz w:val="28"/>
          <w:sz w:val="28"/>
          <w:szCs w:val="28"/>
          <w:rtl w:val="true"/>
          <w:lang w:bidi="fa-IR"/>
        </w:rPr>
        <w:t>لم یحب و لم یرض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خرج إلینا</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إلی غیر ذلک من الروایات، و مفادها کما تری هو التفکیک بین الإرادة التکوینیة و التشریعیة،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الإلهی، فالمعاصی و إن لم تکن برضی من اللّه و لم یأمر بها، و لکنّها لا تقع إلّا بقضاء اللّه تعالی و قدره و علمه و مشیّته التکوینیة</w:t>
      </w:r>
      <w:r>
        <w:rPr>
          <w:rFonts w:eastAsia="IRNazanin" w:cs="IRNazanin"/>
          <w:color w:val="111111"/>
          <w:sz w:val="28"/>
          <w:szCs w:val="28"/>
          <w:rtl w:val="true"/>
          <w:lang w:bidi="fa-IR"/>
        </w:rPr>
        <w:t>.</w:t>
      </w:r>
    </w:p>
    <w:p>
      <w:pPr>
        <w:pStyle w:val="Heading4"/>
        <w:numPr>
          <w:ilvl w:val="3"/>
          <w:numId w:val="1"/>
        </w:numPr>
        <w:rPr/>
      </w:pPr>
      <w:bookmarkStart w:id="466" w:name="__RefHeading___Toc2819692_1395250215"/>
      <w:bookmarkStart w:id="467" w:name="_Toc161"/>
      <w:bookmarkEnd w:id="466"/>
      <w:r>
        <w:rPr>
          <w:rtl w:val="true"/>
        </w:rPr>
        <w:t>بطلان التفویض فی الکتاب و السنّة</w:t>
      </w:r>
      <w:bookmarkEnd w:id="467"/>
    </w:p>
    <w:p>
      <w:pPr>
        <w:pStyle w:val="BookText"/>
        <w:rPr/>
      </w:pPr>
      <w:r>
        <w:rPr>
          <w:rFonts w:ascii="IRNazanin" w:hAnsi="IRNazanin" w:eastAsia="IRNazanin"/>
          <w:color w:val="111111"/>
          <w:sz w:val="28"/>
          <w:sz w:val="28"/>
          <w:szCs w:val="28"/>
          <w:rtl w:val="true"/>
          <w:lang w:bidi="fa-IR"/>
        </w:rPr>
        <w:t>إنّ الذکر الحکیم یردّ التفویض بحماس و وضوح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بِضٰارِّینَ بِهِ مِنْ أَحَدٍ إِلاّٰ بِإِذْنِ اللّٰهِ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الآیات الّتی تقیّد فعل الإنسان بإذنه تعالی، و المراد منه الإذن التکوینی و مشیئته المطلقة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السنّة، فقد تضافرت الروایات علی نقد نظریة التفویض فیما أثر من أئمّة أهل البیت علیهم السلام و کان المعتزلة مدافعین عن تلک النظریّة فی عصرهم، مروّجین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نقول جبراً و لا تفویضاً</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تقول بالتفویض فإنّ اللّه عزّ و جلّ لم یفوّض الأمر إلی خلقه وهناً منه و ضعفاً، و لا أجبرهم علی معاصیه ظلماً</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مساکین القدریة، </w:t>
      </w:r>
      <w:r>
        <w:rPr>
          <w:rStyle w:val="FootnoteAnchor"/>
          <w:rtl w:val="true"/>
        </w:rPr>
        <w:footnoteReference w:id="290"/>
      </w:r>
      <w:r>
        <w:rPr>
          <w:rFonts w:ascii="IRNazanin" w:hAnsi="IRNazanin" w:eastAsia="IRNazanin"/>
          <w:color w:val="111111"/>
          <w:sz w:val="28"/>
          <w:sz w:val="28"/>
          <w:szCs w:val="28"/>
          <w:rtl w:val="true"/>
          <w:lang w:bidi="fa-IR"/>
        </w:rPr>
        <w:t>أرادوا أن یصفوا اللّه عزّ و جلّ بعدله فأخرجوه من قدرته و سلطانه</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2866_38165"/>
      <w:bookmarkStart w:id="469" w:name="pg2866_38165"/>
      <w:bookmarkEnd w:id="469"/>
    </w:p>
    <w:p>
      <w:pPr>
        <w:pStyle w:val="Heading3"/>
        <w:numPr>
          <w:ilvl w:val="2"/>
          <w:numId w:val="1"/>
        </w:numPr>
        <w:rPr/>
      </w:pPr>
      <w:bookmarkStart w:id="470" w:name="pg2866_38165"/>
      <w:bookmarkStart w:id="471" w:name="__RefHeading___Toc2819694_1395250215"/>
      <w:bookmarkStart w:id="472" w:name="_Toc162"/>
      <w:bookmarkEnd w:id="470"/>
      <w:bookmarkEnd w:id="471"/>
      <w:r>
        <w:rPr>
          <w:rtl w:val="true"/>
        </w:rPr>
        <w:t>الفصل التاسع</w:t>
      </w:r>
      <w:r>
        <w:rPr>
          <w:rtl w:val="true"/>
        </w:rPr>
        <w:t>:</w:t>
      </w:r>
      <w:r>
        <w:rPr>
          <w:rtl w:val="true"/>
        </w:rPr>
        <w:t>الأمر بین الأمرین</w:t>
      </w:r>
      <w:bookmarkEnd w:id="472"/>
    </w:p>
    <w:p>
      <w:pPr>
        <w:pStyle w:val="Heading4"/>
        <w:numPr>
          <w:ilvl w:val="3"/>
          <w:numId w:val="1"/>
        </w:numPr>
        <w:rPr/>
      </w:pPr>
      <w:bookmarkStart w:id="473" w:name="__RefHeading___Toc2819696_1395250215"/>
      <w:bookmarkStart w:id="474" w:name="_Toc163"/>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قد عرفت أنّ المجبّرة جنحوا إلی الجبر لأجل التحفّظ علی التوحید الأفعالی و حصر الخالقیة فی اللّه سبحانه، کما أنّ المفوّضة انحازوا إلی التفویض لغایة التحفّظ علی عدله سبحانه، و کلا الفریقین غفلا عن نظریة ثالثة یؤیّدها العقل و یدعمها الکتاب و السنّة، و فیها الحفاظ علی کلٍّ من أصلی التوحید و العدل، مع نزاهتها عن مضاعفات القولین، و هذا هو مذهب الأمر بین الأمرین الّذی أبدعته ائمّة اهل البیت علیهم السلام و هو مختار الحکماء الإسلامیین و الإمامیة من المتکلّمین، و تبیین هذه النظریّة رهن المعرفة بأصلین عقلیّین برهن علیهما فی الفلسفة الأُولی و هما</w:t>
      </w:r>
      <w:r>
        <w:rPr>
          <w:rFonts w:eastAsia="IRNazanin" w:cs="IRNazanin"/>
          <w:color w:val="111111"/>
          <w:sz w:val="28"/>
          <w:szCs w:val="28"/>
          <w:rtl w:val="true"/>
          <w:lang w:bidi="fa-IR"/>
        </w:rPr>
        <w:t>:</w:t>
      </w:r>
    </w:p>
    <w:p>
      <w:pPr>
        <w:pStyle w:val="Heading4"/>
        <w:numPr>
          <w:ilvl w:val="3"/>
          <w:numId w:val="1"/>
        </w:numPr>
        <w:rPr/>
      </w:pPr>
      <w:bookmarkStart w:id="475" w:name="__RefHeading___Toc2819698_1395250215"/>
      <w:bookmarkStart w:id="476" w:name="_Toc164"/>
      <w:bookmarkEnd w:id="475"/>
      <w:r>
        <w:rPr/>
        <w:t>1</w:t>
      </w:r>
      <w:r>
        <w:rPr>
          <w:rtl w:val="true"/>
        </w:rPr>
        <w:t xml:space="preserve">. </w:t>
      </w:r>
      <w:r>
        <w:rPr>
          <w:rtl w:val="true"/>
        </w:rPr>
        <w:t>وجود المعلول عین الربط بوجود علّته</w:t>
      </w:r>
      <w:bookmarkEnd w:id="47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قیام المعلول بالعلّة لیس من قبیل قیام العرض بموضوعه أو الجوهر بمحلّه، بل قیامه بها یرجع إلی معنی دقیق یشبه قیام المعنی الحرفی بالمعنی الاسمی فی المراحل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و الدلالة و التحقّق،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إلی الکوفة، فهناک معان اسمیّة هی السیر و البصرة </w:t>
      </w:r>
      <w:bookmarkStart w:id="477" w:name="pg2866_38166"/>
    </w:p>
    <w:p>
      <w:pPr>
        <w:pStyle w:val="BookText"/>
        <w:rPr/>
      </w:pPr>
      <w:bookmarkEnd w:id="477"/>
      <w:r>
        <w:rPr>
          <w:rFonts w:ascii="IRNazanin" w:hAnsi="IRNazanin" w:eastAsia="IRNazanin"/>
          <w:color w:val="111111"/>
          <w:sz w:val="28"/>
          <w:sz w:val="28"/>
          <w:szCs w:val="28"/>
          <w:rtl w:val="true"/>
          <w:lang w:bidi="fa-IR"/>
        </w:rPr>
        <w:t xml:space="preserve">و الکوفة، و معنی حرفی و هو کون السیر مبدوّاً من البصرة و منتهیاً إلی الکوفة، فالابتداء و الانتهاء المفهومان من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فاقدان للاستقلال فی مجال التصوّر، فلا یتصوّران مستقلّین و منفکّین عن تصوّر البصرة و الکوفة، و إلّا لعاد المعنی الحرفی معنی اسمیاً و لصار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خیر من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فاقدان للاستقلال فی مجال الدلالة فلا یدلاّن علی شیء إذا انفکّتا عن مدخولیهما، کما هما فاقدان للاستقلال فی مقام التحقّق و الوجود، فلیس للابتداء الحرفی وجود مستقل منفکّ عن متعلّقه، کما لیس للانتهاء الحرفی وجود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یتبیّن وزان الوجود الإمکانی الّذی به تتجلّی الأشیاء و تتحقّق الماهیات، فإنّ وزانه إلی الواجب لا یعدو عن وزان المعنی الحرفی إلی الاسمی، لأنّ توصیف الوجود بالإمکان لیس إلّا بمعنی قیام وجود الممکن و تعلّقه بعلّته الموجبة له، و لیس وصف الإمکان خارجاً عن هویّته و حقیقته، بل الفقر و الربط عین واقعیته، و إلّا فلو کان فی حاق الذات غنیّاً ثمّ عرض له الفقر یلزم الخلف</w:t>
      </w:r>
      <w:r>
        <w:rPr>
          <w:rFonts w:eastAsia="IRNazanin" w:cs="IRNazanin"/>
          <w:color w:val="111111"/>
          <w:sz w:val="28"/>
          <w:szCs w:val="28"/>
          <w:rtl w:val="true"/>
          <w:lang w:bidi="fa-IR"/>
        </w:rPr>
        <w:t>.</w:t>
      </w:r>
    </w:p>
    <w:p>
      <w:pPr>
        <w:pStyle w:val="Heading4"/>
        <w:numPr>
          <w:ilvl w:val="3"/>
          <w:numId w:val="1"/>
        </w:numPr>
        <w:rPr/>
      </w:pPr>
      <w:bookmarkStart w:id="478" w:name="__RefHeading___Toc2819700_1395250215"/>
      <w:bookmarkStart w:id="479" w:name="_Toc165"/>
      <w:bookmarkEnd w:id="478"/>
      <w:r>
        <w:rPr/>
        <w:t>2</w:t>
      </w:r>
      <w:r>
        <w:rPr>
          <w:rtl w:val="true"/>
        </w:rPr>
        <w:t xml:space="preserve">. </w:t>
      </w:r>
      <w:r>
        <w:rPr>
          <w:rtl w:val="true"/>
        </w:rPr>
        <w:t>وحدة حقیقة الوجود تلازم عمومیّة التأثیر</w:t>
      </w:r>
      <w:bookmarkEnd w:id="47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فی الفلسفة الأُولی أنّ سنخ الوجود الواجب و الوجود الممکن واحد یجمعهما قدر مشترک و هو الوجود و طرد العدم و ما یفید ذلک، و أنّ مفهوم الوجود یطلق علیهما بوضع واحد و بمعنی فارد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ضوء هذا الأصل، إذا کانت الحقیقة فی مرتبة من المراتب العالیة ذات أثر خاص، یجب أن یوجد ذلک الأثر فی المراتب النازلة، أخذاً بوحدة الحقیقة، نعم یکون الأثر من حیث الشدّة و الضعف، تابعاً لمنشئه من هذه الحیثیّة، فالوجود الواجب بما أنّه أقوی و أشدّ، یکون العلم و الدرک و الحیاة و التأثیر فیه مثله، و الوجود الإمکانی بما أنّ الوجود فیه أضعف یکون أثره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هذین الأصلین تقف علی النظریّة الوسطی فی المقام و أنّه لا یمکن تصویر فعل العبد مستقلّاً عن الواجب، غنیّاً عنه، غیر قائم به، قضاءً للأصل الأوّل، و بذلک یتّضح بطلان نظریة التفویض، کما أنّه لا یمکن إنکار دور العبد بل سائر العلل فی آثارها قضاءً للأصل الثانی، و بذلک یتبیّن بطلان نظریة الجبر فی الأفعال و نفی التأثیر عن القدرة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 مستند إلی الواجب من جهة و مستند إلی العبد من جهة أخری، فلیس الفعل فعله سبحانه فقط بحیث یکون منقطعاً عن العبد بتاتاً، و یکون دوره دور المحل و الظرف لظهور الفعل، کما أنّه لیس فعل العبد فقط حتی یکون منقطعاً عن الواجب، و فی هذه النظریّة جمال التوحید الأفعالی منزّهاً عن الجبر کما أنّ فیها محاسن العدل منزّهاً عن مغبّة الشرک و الثنویّة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 و تمثیل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إجمال النظریّة حسب ما تسوق إلیه البراهین الفلسفیة، و لإیضاحها نأتی بمثال و هو أنّه لو فرضنا شخصاً مرتعش الید فاقد القدرة، </w:t>
      </w:r>
    </w:p>
    <w:p>
      <w:pPr>
        <w:pStyle w:val="BookText"/>
        <w:rPr/>
      </w:pPr>
      <w:r>
        <w:rPr>
          <w:rFonts w:ascii="IRNazanin" w:hAnsi="IRNazanin" w:eastAsia="IRNazanin"/>
          <w:color w:val="111111"/>
          <w:sz w:val="28"/>
          <w:sz w:val="28"/>
          <w:szCs w:val="28"/>
          <w:rtl w:val="true"/>
          <w:lang w:bidi="fa-IR"/>
        </w:rPr>
        <w:t>فإذا ربط رجل بیده المرتعشة سیفاً قاطعاً و هو یعلم أن السّیف المشدود فی یده سیقع علی آخر و یهلکه، فإذا وقع السّیف و قتل، ینسب القتل إلی من ربط یده بالسّیف دون صاحب الید الّذی کان مسلوب القدرة فی حفظ یده، فهذا مثال لما یتبنّاه الجبری فی أفعال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 رجلاً أعطی سیفاً لمن یملک حرکة یده و تنفیذ إرادته فقتل هو به رجلاً، فالأمر علی العکس، فالقتل ینسب إلی المباشر دون من أعطی، و هذا مثال لما یعتقده التفویضی فی أفعال الإنسان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لو فرضنا شخصاً مشلول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مرتعشها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قادر علی الحرکة إلّا بإیصال رجل آخر التیّار الکهربائی إلیه لیبعث فی عضلاته قوّة و نشاطاً بحیث یکون رأس السلک الکهربائی بید الرجل بحیث لو رفع یده فی آنٍ انقطعت القوّة عن جسم هذا الشخص، فذهب باختیاره و قتل إنساناً به، و الرجل یعلم بما فعله، ففی مثل ذلک یستند الفعل إلی کلّ منهما، أمّا إلی المباشر فلأنّه قد فعل باختیاره و إعمال </w:t>
      </w:r>
      <w:bookmarkStart w:id="480" w:name="pg2866_38170"/>
    </w:p>
    <w:p>
      <w:pPr>
        <w:pStyle w:val="BookText"/>
        <w:rPr/>
      </w:pPr>
      <w:bookmarkEnd w:id="480"/>
      <w:r>
        <w:rPr>
          <w:rFonts w:ascii="IRNazanin" w:hAnsi="IRNazanin" w:eastAsia="IRNazanin"/>
          <w:color w:val="111111"/>
          <w:sz w:val="28"/>
          <w:sz w:val="28"/>
          <w:szCs w:val="28"/>
          <w:rtl w:val="true"/>
          <w:lang w:bidi="fa-IR"/>
        </w:rPr>
        <w:t>قدرته، و أمّا إلی الموصل، فلأنّه أقدره و أعطاه التمکّن حتّی فی حال الفعل و الاشتغال بالقتل، و کان متمکّناً من قطع القوّة عنه فی کلّ آنٍ شاء و أراد، و هذا مثال لنظریة الأمر بین الأمرین، فالإنسان فی کلّ حال یحتاج إلی إفاضة القوّة و الحیاة منه تعالی إلیه بحیث لو انقطع الفیض فی آنٍ واحد بطلت الحیاة و القدرة، فهو حین الفعل یفعل بقوّة مفاضة منه و حیاة کذلک من غیر فرق بین الحدوث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هذا التمثیل أنّ للفعل الصادر من العبد نسبتین واقعیتین، إحداهما نسبته إلی فاعله بالمباشرة باعتبار صدوره منه باختیاره و إعمال قدرته ، و ثانیهما نسبته إلی اللّه تعالی باعتبار أنّه معطی الحیاة و القدرة فی کلّ آنٍ و بصورة مستمرّة حتی فی آن اشتغاله بالعمل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2819702_1395250215"/>
      <w:bookmarkStart w:id="482" w:name="_Toc166"/>
      <w:bookmarkEnd w:id="481"/>
      <w:r>
        <w:rPr>
          <w:rtl w:val="true"/>
        </w:rPr>
        <w:t>الأمر بین الأمرین فی الکتاب و السنّة</w:t>
      </w:r>
      <w:bookmarkEnd w:id="482"/>
    </w:p>
    <w:p>
      <w:pPr>
        <w:pStyle w:val="BookText"/>
        <w:rPr/>
      </w:pPr>
      <w:r>
        <w:rPr>
          <w:rFonts w:ascii="IRNazanin" w:hAnsi="IRNazanin" w:eastAsia="IRNazanin"/>
          <w:color w:val="111111"/>
          <w:sz w:val="28"/>
          <w:sz w:val="28"/>
          <w:szCs w:val="28"/>
          <w:rtl w:val="true"/>
          <w:lang w:bidi="fa-IR"/>
        </w:rPr>
        <w:t>إذا کان معنی الأمر بین الأمرین هو وجود النسبتین و الإسنادین فی فعل العبد، نسبة إلی اللّه سبحانه، و نسبة إلی العبد، من دون أن تزاحم إحداهما الأخری، فإنّا نجد هاتین النسبتین فی آیات من الذکر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فتری أنّ القرآن الکریم ینسب الرمی إلی النبیّ، و فی الوقت نفسه یسلبه عنه و ینسبه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یُعَذِّبْهُمُ اللّٰهُ بِأَیْدِیکُمْ وَ یُخْزِهِمْ وَ یَنْصُرْکُمْ عَلَیْهِمْ وَ یَشْفِ صُدُورَ قَوْمٍ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الظاهر أنّ المراد من التعذیب هو القتل، لأنّ التعذیب الصادر من اللّه تعالی بأید من المؤمنین لیس إلّا ذاک، لا العذاب البرزخی و لا الأُخروی، </w:t>
      </w:r>
    </w:p>
    <w:p>
      <w:pPr>
        <w:pStyle w:val="BookText"/>
        <w:rPr/>
      </w:pPr>
      <w:r>
        <w:rPr>
          <w:rFonts w:ascii="IRNazanin" w:hAnsi="IRNazanin" w:eastAsia="IRNazanin"/>
          <w:color w:val="111111"/>
          <w:sz w:val="28"/>
          <w:sz w:val="28"/>
          <w:szCs w:val="28"/>
          <w:rtl w:val="true"/>
          <w:lang w:bidi="fa-IR"/>
        </w:rPr>
        <w:t>فإنّهما راجعان إلی اللّه سبحانه دون المؤمنین، و علی ذلک فقد نسب فعلاً واحداً إلی المؤمنین و إلی خالقهم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الکریم یذمّ الیهود بقساوة قلوبهم 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یصحّ الذم و اللوم إلّا أن یکونوا هم السّبب لعروض هذه الحالة علی قلوبهم، و فی الوقت نفسه یسند حدوث القساوة إلی اللّه تعالی 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 جَعَلْنٰا قُلُوبَهُمْ قٰاسِیَةً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تفصیل ذلک فی البحث عن التوحید فی الخالقیّة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یرجع إلی الکتاب الحکیم، و أمّا الروایات فنذکر النزر الیسیر ممّا جمعه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أرحم بخلقه من أن یجبر خلقه علی الذنوب، ثمّ یعذّبهم علیها و اللّه أعزّ من أن یرید أمراً فلا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 الجبر و القدر منزلة ثالثة؟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أوسع ممّا بین السماء و الأرض</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بإسناد صحیح عن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 یُطَع</w:t>
      </w:r>
    </w:p>
    <w:p>
      <w:pPr>
        <w:pStyle w:val="BookText"/>
        <w:rPr/>
      </w:pPr>
      <w:r>
        <w:rPr>
          <w:rFonts w:ascii="IRNazanin" w:hAnsi="IRNazanin" w:eastAsia="IRNazanin"/>
          <w:color w:val="111111"/>
          <w:sz w:val="28"/>
          <w:sz w:val="28"/>
          <w:szCs w:val="28"/>
          <w:rtl w:val="true"/>
          <w:lang w:bidi="fa-IR"/>
        </w:rPr>
        <w:t>بإکراه، و لم یُعصَ بغلبة، و لم یهمل العباد فی ملکه، و هو المالک لما ملّکهم، و القادر علی ما أقدرهم علیه، فإن ائتمر العباد بطاعته، لم یکن اللّه عنها صادّاً و لا منها مانعاً، و إن ائتمروا بمعصیته فشاء أن یحول بینهم و بین ذلک فعل، و إن لم یحل و فعلوه فلیس هو الّذی أدخلهم فیه</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المفضّل بن عمر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و لکن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بین أمرین؟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ذلک مثل رجل رأیته علی معصیة فنهیته فلم ینته، فترکته ففعل تلک المعصیة، فلیس حیث لم یقبل منک فترکته، أنت الّذی أمرته بالمعصیة</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للإمام الهادی علیه السلام رسالة مبسّطة فی الردِّ علی أهل الجبر و التفویض، و إثبات العدل و الأمر بین الأمرین نقلها علی بن شعبة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أحمد بن أبی طالب الطبرسی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ممّا جاء فیها فی بیان حقیقة الأمر بین الأمرین،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القول بین القولین لیس بجبر و لا تفویض، و بذلک أخبر أمیر المؤمنین صلوات اللّه علیه عبایة بن ربعی الاسدی حین سأله عن الاستطاعة الّتی بها یقوم و یقعد و یفعل، فقال له أمیر المؤمنین علیه السلام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عن الاستطاعة تملکها من دون اللّه أو مع اللّه؟ فسکت عبایة، فقال </w:t>
      </w:r>
    </w:p>
    <w:p>
      <w:pPr>
        <w:pStyle w:val="BookText"/>
        <w:rPr/>
      </w:pPr>
      <w:r>
        <w:rPr>
          <w:rFonts w:ascii="IRNazanin" w:hAnsi="IRNazanin" w:eastAsia="IRNazanin"/>
          <w:color w:val="111111"/>
          <w:sz w:val="28"/>
          <w:sz w:val="28"/>
          <w:szCs w:val="28"/>
          <w:rtl w:val="true"/>
          <w:lang w:bidi="fa-IR"/>
        </w:rPr>
        <w:t xml:space="preserve">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أقول؟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 إنّک تملکها باللّه الّذی یملّکها من دونک، فإن یملّکها إیّاک کان ذلک من عطائه، و إن یسلبکها کان ذلک من بلائه، هو المالک لما ملّکک، و القادر علی ما علیه أقدرک</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ممّن اعترف بالأمر بین الأمرین شیخ الأزهر فی وقته، محمّد عبده فی رسالته حول التوحید،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الشریعة بتقریر أمرین عظیمین، هما رکنا السعادة و قوام الأعمال البشریة،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یکسب بإرادته و قدرته ما هو وسیلة لسعادته،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قدرة اللّه هی مرجع لجمیع الکائنات و أن من آثارها ما یحول بین العبد و إنفاذ ما یریده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کلّفه سبحانه أن یرفع همّته إلی استمداد العون منه وحده بعد أن یکون قد أفرغ ما عنده من الجهد فی تصحیح الفکر و إجادة العمل، و هذا الّذی قرّرناه قد اهتدی إلیه سلف الأُمّة، و عوّل علیه من متأخّری أهل النظر إمام الحرمین الجوینی رحمه الله ، و إن أنکر علیه بعض من لم یفهمه</w:t>
      </w:r>
      <w:r>
        <w:rPr>
          <w:rFonts w:eastAsia="IRNazanin" w:cs="IRNazanin"/>
          <w:color w:val="111111"/>
          <w:sz w:val="28"/>
          <w:szCs w:val="28"/>
          <w:rtl w:val="true"/>
          <w:lang w:bidi="fa-IR"/>
        </w:rPr>
        <w:t xml:space="preserve">. </w:t>
      </w:r>
      <w:r>
        <w:rPr>
          <w:rStyle w:val="FootnoteAnchor"/>
          <w:rtl w:val="true"/>
        </w:rPr>
        <w:footnoteReference w:id="299"/>
      </w:r>
      <w:bookmarkStart w:id="483" w:name="pg2866_38175"/>
    </w:p>
    <w:p>
      <w:pPr>
        <w:pStyle w:val="Heading3"/>
        <w:numPr>
          <w:ilvl w:val="2"/>
          <w:numId w:val="1"/>
        </w:numPr>
        <w:rPr/>
      </w:pPr>
      <w:bookmarkStart w:id="484" w:name="__RefHeading___Toc2819704_1395250215"/>
      <w:bookmarkStart w:id="485" w:name="_Toc167"/>
      <w:bookmarkEnd w:id="483"/>
      <w:bookmarkEnd w:id="484"/>
      <w:r>
        <w:rPr>
          <w:rtl w:val="true"/>
        </w:rPr>
        <w:t>الفصل العاشر</w:t>
      </w:r>
      <w:r>
        <w:rPr>
          <w:rtl w:val="true"/>
        </w:rPr>
        <w:t>:</w:t>
      </w:r>
      <w:r>
        <w:rPr>
          <w:rtl w:val="true"/>
        </w:rPr>
        <w:t>شبهات و ردود</w:t>
      </w:r>
      <w:bookmarkEnd w:id="485"/>
    </w:p>
    <w:p>
      <w:pPr>
        <w:pStyle w:val="Heading4"/>
        <w:numPr>
          <w:ilvl w:val="3"/>
          <w:numId w:val="1"/>
        </w:numPr>
        <w:rPr/>
      </w:pPr>
      <w:bookmarkStart w:id="486" w:name="__RefHeading___Toc2819706_1395250215"/>
      <w:bookmarkStart w:id="487" w:name="_Toc168"/>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إلی هنا فرغنا عن دراسة المذاهب و الآراء فی مسألة الجبر و الاختیار، ثمّ إنّ هاهنا شبهات و شکوکاً یجب علینا دراستها و الإجابة عنها</w:t>
      </w:r>
      <w:r>
        <w:rPr>
          <w:rFonts w:eastAsia="IRNazanin" w:cs="IRNazanin"/>
          <w:color w:val="111111"/>
          <w:sz w:val="28"/>
          <w:szCs w:val="28"/>
          <w:rtl w:val="true"/>
          <w:lang w:bidi="fa-IR"/>
        </w:rPr>
        <w:t>:</w:t>
      </w:r>
    </w:p>
    <w:p>
      <w:pPr>
        <w:pStyle w:val="Heading4"/>
        <w:numPr>
          <w:ilvl w:val="3"/>
          <w:numId w:val="1"/>
        </w:numPr>
        <w:rPr/>
      </w:pPr>
      <w:bookmarkStart w:id="488" w:name="__RefHeading___Toc2819708_1395250215"/>
      <w:bookmarkStart w:id="489" w:name="_Toc169"/>
      <w:bookmarkEnd w:id="488"/>
      <w:r>
        <w:rPr/>
        <w:t>1</w:t>
      </w:r>
      <w:r>
        <w:rPr>
          <w:rtl w:val="true"/>
        </w:rPr>
        <w:t xml:space="preserve">. </w:t>
      </w:r>
      <w:r>
        <w:rPr>
          <w:rtl w:val="true"/>
        </w:rPr>
        <w:t>علم اللّه الأزلی</w:t>
      </w:r>
      <w:bookmarkEnd w:id="48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علم اللّه عدمه من أفعال العبد فهو ممتنع الصدور عن العبد و إلّا جاز انقلاب العلم جهلاً، و ما علم اللّه وجوده من أفعاله فهو واجب الصدور عن العبد، و إلا جاز ذلک الانقلاب و هو محال فی حقّه سبحانه، و ذلک یبطل اختیار العبد، إذ لا قدرة علی الواجب و الممتنع، و یبطل أیضاً التکلیف لابتنائه علی القدرة و الاختیار، فما لزم القائلین بمسألة خلق الاعمال فقد لزم غیرهم لأجل اعتقادهم بعلمه الأزلی المتعلّق بالأشیاء</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علمه الأزلی لم یتعلّق بصدور کلّ فعل عن فاعله علی وجه الإطلاق، بل تعلّق علمه بصدوره عنه حسب الخصوصیات </w:t>
      </w:r>
      <w:bookmarkStart w:id="490" w:name="pg2866_38176"/>
    </w:p>
    <w:p>
      <w:pPr>
        <w:pStyle w:val="BookText"/>
        <w:rPr/>
      </w:pPr>
      <w:bookmarkEnd w:id="490"/>
      <w:r>
        <w:rPr>
          <w:rFonts w:ascii="IRNazanin" w:hAnsi="IRNazanin" w:eastAsia="IRNazanin"/>
          <w:color w:val="111111"/>
          <w:sz w:val="28"/>
          <w:sz w:val="28"/>
          <w:szCs w:val="28"/>
          <w:rtl w:val="true"/>
          <w:lang w:bidi="fa-IR"/>
        </w:rPr>
        <w:t>الموجودة فیه و علی ضوء ذلک، تعلّق علمه الأزلی بصدور الحرارة من النّار علی وجه الجبر و الاضطرار، کما تعلّق علمه الأزلی بصدور الرعشة من المرتعش کذلک، و لکن تعلّق علمه سبحانه بصدور فعل الإنسان الاختیاری منه بقید الاختیار و الحرّیّة، و مثل هذا العلم یؤکّد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الأزلی متعلّق بکلّ شیء علی ما هو علیه، فهو متعلّق بالأفعال الاختیاریة بما هی اختیاریة، فیستحیل أن تنقلب غیر اختیاریة</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491" w:name="__RefHeading___Toc2819710_1395250215"/>
      <w:bookmarkStart w:id="492" w:name="_Toc170"/>
      <w:bookmarkEnd w:id="491"/>
      <w:r>
        <w:rPr/>
        <w:t>2</w:t>
      </w:r>
      <w:r>
        <w:rPr>
          <w:rtl w:val="true"/>
        </w:rPr>
        <w:t xml:space="preserve">. </w:t>
      </w:r>
      <w:r>
        <w:rPr>
          <w:rtl w:val="true"/>
        </w:rPr>
        <w:t>إرادة اللّه الأزلیة</w:t>
      </w:r>
      <w:bookmarkEnd w:id="49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أراد اللّه وجوده من أفعال العبد وقع قطعاً، و ما أراد اللّه عدمه منها لم یقع قطعاً، فلا قدرة له علی شیء منهما</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الاستدلال نفس الاستدلال السّابق لکن بتبدیل العلم بالإرادة، فیظهر الجواب عنه ممّا ذکرناه فی الجواب عن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تعلّقت الإرادة الإلهیة بالفعل الصادر من زید مثلاً لا مطلقاً، بل من حیث إنّه فعل اختیاری صادر من فاعل کذا، فی زمان کذا و مکان کذا، فإذن تأثیر الإرادة الإلهیة فی الفعل یوجب کون </w:t>
      </w:r>
      <w:bookmarkStart w:id="493" w:name="pg2866_38177"/>
    </w:p>
    <w:p>
      <w:pPr>
        <w:pStyle w:val="BookText"/>
        <w:rPr/>
      </w:pPr>
      <w:bookmarkEnd w:id="493"/>
      <w:r>
        <w:rPr>
          <w:rFonts w:ascii="IRNazanin" w:hAnsi="IRNazanin" w:eastAsia="IRNazanin"/>
          <w:color w:val="111111"/>
          <w:sz w:val="28"/>
          <w:sz w:val="28"/>
          <w:szCs w:val="28"/>
          <w:rtl w:val="true"/>
          <w:lang w:bidi="fa-IR"/>
        </w:rPr>
        <w:t>الفعل اختیاریاً و إلّا تخلّف متعلّق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فخطأ المجبرة فی عدم تمییزهم کیفیّة تعلّق الإرادة الإلهیة بالفعل</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494" w:name="__RefHeading___Toc2819712_1395250215"/>
      <w:bookmarkStart w:id="495" w:name="_Toc171"/>
      <w:bookmarkEnd w:id="494"/>
      <w:r>
        <w:rPr/>
        <w:t>3</w:t>
      </w:r>
      <w:r>
        <w:rPr>
          <w:rtl w:val="true"/>
        </w:rPr>
        <w:t xml:space="preserve">. </w:t>
      </w:r>
      <w:r>
        <w:rPr>
          <w:rtl w:val="true"/>
        </w:rPr>
        <w:t>لزوم الفعل مع المرجِّح الخارج عن الاختیار</w:t>
      </w:r>
      <w:bookmarkEnd w:id="49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لو کان موجداً لفعله بقدرته فلا بدّ من أن یتمکن من فعله و ترکه، و إلّا لم یکن قادراً علیه، إذ القادر من یتمکّن من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یتوقّف ترجیح فعله علی ترکه علی مرجّح، و إلّا لزم وقوع أحد الجائزین بلا مرجِّح و سبب و هو محال، و ذلک المرجِّح إن کان من العبد و باختیاره لزم التسلسل الباطل، لأنّا ننقل الکلام إلی صدور ذلک المرجِّح عن العبد فیتوقّف صدوره عنه إلی مرجِّح ثان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غیره و خارجاً عن اختیاره، فبما أنّه یجب وقوع الفعل عند تحقّق المرجِّح، و المفروض أنّ ذلک المرجِّح أیضاً خارج عن اختیاره، فیصبح الفعل الصادر عن العبد، ضروریّ الوقوع غیر اختیاری له</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الفعل الاختیاری من الإنسان یتوقّف علی مقدّمات و مبادئ من تصوّر الشیء و التصدیق بفائدته و الاشتیاق إلی تحصیله و غیر ذلک من المقدمات، و لکن هذه المقدمات لا تکفی فی تحقّق الفعل و صدوره منه إلّا بحصول الإرادة النفسانیة الّتی یندفع بها الإنسان نحو الفعل، و معها یکون الفعل واجب التحقّق و ترکه ممتنعاً</w:t>
      </w:r>
      <w:r>
        <w:rPr>
          <w:rFonts w:eastAsia="IRNazanin" w:cs="IRNazanin"/>
          <w:color w:val="111111"/>
          <w:sz w:val="28"/>
          <w:szCs w:val="28"/>
          <w:rtl w:val="true"/>
          <w:lang w:bidi="fa-IR"/>
        </w:rPr>
        <w:t xml:space="preserve">. </w:t>
      </w:r>
      <w:bookmarkStart w:id="496" w:name="pg2866_38179"/>
    </w:p>
    <w:p>
      <w:pPr>
        <w:pStyle w:val="BookText"/>
        <w:rPr/>
      </w:pPr>
      <w:bookmarkEnd w:id="496"/>
      <w:r>
        <w:rPr>
          <w:rFonts w:ascii="IRNazanin" w:hAnsi="IRNazanin" w:eastAsia="IRNazanin"/>
          <w:color w:val="111111"/>
          <w:sz w:val="28"/>
          <w:sz w:val="28"/>
          <w:szCs w:val="28"/>
          <w:rtl w:val="true"/>
          <w:lang w:bidi="fa-IR"/>
        </w:rPr>
        <w:t>و المرجّح لیس شیئاً وراء داعی الفاعل و إرادته و لیس مستنداً إلّا إلی نفس الإنسان و ذاته، فإنّها المبدأ لظهوره فی الضمیر، إنّما الکلام فی کونه فعلاً اختیاریاً للنفس أو لا؟ فمن جعل الملاک فی اختیاریة الأفعال کونها مسبوقة بالإرادة وقع فی المضیق فی جانب الإرادة، لأنّ کونها مسبوقةً بإرادة أُخریٰ یستلزم التسلسل فی الإرادات غیر المتناهیة،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المختار، من أنّ الملاک فی اختیاریّة الأفعال کونها فعلاً للفاعل الّذی یکون الاختیار عین هویّته و ینشأ من صمیم ذاته و لیس أمراً زائداً علی هویّته عارضاً علیها، فلا إشکال مطلقاً، و فاعلیة الإنسان بالنسبة إلی أفعاله الاختیاریة کذلک، فاللّه سبحانه خلق النفس الإنسانیة مختارةً، و علی هذا یستحیل أن یسلب عنها وصف الاختیار و یکون فاعلاً مضطرّاً کالفواعل الطبیعیّة</w:t>
      </w:r>
      <w:r>
        <w:rPr>
          <w:rFonts w:eastAsia="IRNazanin" w:cs="IRNazanin"/>
          <w:color w:val="111111"/>
          <w:sz w:val="28"/>
          <w:szCs w:val="28"/>
          <w:rtl w:val="true"/>
          <w:lang w:bidi="fa-IR"/>
        </w:rPr>
        <w:t>.</w:t>
      </w:r>
    </w:p>
    <w:p>
      <w:pPr>
        <w:pStyle w:val="Heading4"/>
        <w:numPr>
          <w:ilvl w:val="3"/>
          <w:numId w:val="1"/>
        </w:numPr>
        <w:rPr/>
      </w:pPr>
      <w:bookmarkStart w:id="497" w:name="__RefHeading___Toc2819714_1395250215"/>
      <w:bookmarkStart w:id="498" w:name="_Toc172"/>
      <w:bookmarkEnd w:id="497"/>
      <w:r>
        <w:rPr/>
        <w:t>4</w:t>
      </w:r>
      <w:r>
        <w:rPr>
          <w:rtl w:val="true"/>
        </w:rPr>
        <w:t xml:space="preserve">. </w:t>
      </w:r>
      <w:r>
        <w:rPr>
          <w:rtl w:val="true"/>
        </w:rPr>
        <w:t>التکلیف بمعرفة اللّه تکلیف بالمحال</w:t>
      </w:r>
      <w:bookmarkEnd w:id="498"/>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واقع بمعرفة اللّه تعالی إجماعاً، فإن کان التکلیف فی حال حصول المعرفة فهو تکلیف بتحصیل الحاصل، و هو محال، و إن کان حال عدمها فغیر العارف بالمکلّف و صفاته المحتاج إلیه فی صحّة التکلیف منه، غافل عن التکلیف و تکلیف الغافل تکلیف بالمحال</w:t>
      </w:r>
      <w:r>
        <w:rPr>
          <w:rFonts w:eastAsia="IRNazanin" w:cs="IRNazanin"/>
          <w:color w:val="111111"/>
          <w:sz w:val="28"/>
          <w:szCs w:val="28"/>
          <w:rtl w:val="true"/>
          <w:lang w:bidi="fa-IR"/>
        </w:rPr>
        <w:t xml:space="preserve">». </w:t>
      </w:r>
      <w:r>
        <w:rPr>
          <w:rStyle w:val="FootnoteAnchor"/>
          <w:rtl w:val="true"/>
        </w:rPr>
        <w:footnoteReference w:id="305"/>
      </w:r>
      <w:bookmarkStart w:id="499" w:name="pg2866_38180"/>
    </w:p>
    <w:p>
      <w:pPr>
        <w:pStyle w:val="BookText"/>
        <w:rPr/>
      </w:pPr>
      <w:bookmarkEnd w:id="499"/>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الشقّ الأوّل من الاستدلال و لکن لا بمعنی المعرفة التفصیلیة حتی یکون تحصیلاً للحاصل، بل المعرفة الإجمالیة الباعثة علی تحصیل التفصیلیة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بمعرفة اللّه تعالی تکلیف عقلی، یکفی فیه التوجّه الإجمالی إلی أنّ هناک منعماً یجب معرفته و معرفة أسمائه و صفاته شکراً لنعمائه، أو دفعاً للضرر المحتمل</w:t>
      </w:r>
      <w:r>
        <w:rPr>
          <w:rFonts w:eastAsia="IRNazanin" w:cs="IRNazanin"/>
          <w:color w:val="111111"/>
          <w:sz w:val="28"/>
          <w:szCs w:val="28"/>
          <w:rtl w:val="true"/>
          <w:lang w:bidi="fa-IR"/>
        </w:rPr>
        <w:t>.</w:t>
      </w:r>
    </w:p>
    <w:p>
      <w:pPr>
        <w:pStyle w:val="Heading4"/>
        <w:numPr>
          <w:ilvl w:val="3"/>
          <w:numId w:val="1"/>
        </w:numPr>
        <w:rPr/>
      </w:pPr>
      <w:bookmarkStart w:id="500" w:name="__RefHeading___Toc2819716_1395250215"/>
      <w:bookmarkStart w:id="501" w:name="_Toc173"/>
      <w:bookmarkEnd w:id="500"/>
      <w:r>
        <w:rPr/>
        <w:t>5</w:t>
      </w:r>
      <w:r>
        <w:rPr>
          <w:rtl w:val="true"/>
        </w:rPr>
        <w:t xml:space="preserve">. </w:t>
      </w:r>
      <w:r>
        <w:rPr>
          <w:rtl w:val="true"/>
        </w:rPr>
        <w:t>لا یوجد الشیء إلّا بالوجوب السابق علیه</w:t>
      </w:r>
      <w:bookmarkEnd w:id="501"/>
    </w:p>
    <w:p>
      <w:pPr>
        <w:pStyle w:val="BookText"/>
        <w:rPr/>
      </w:pPr>
      <w:r>
        <w:rPr>
          <w:rFonts w:ascii="IRNazanin" w:hAnsi="IRNazanin" w:eastAsia="IRNazanin"/>
          <w:color w:val="111111"/>
          <w:sz w:val="28"/>
          <w:sz w:val="28"/>
          <w:szCs w:val="28"/>
          <w:rtl w:val="true"/>
          <w:lang w:bidi="fa-IR"/>
        </w:rPr>
        <w:t>قد ثبت فی الفلسفة الأُولی أنّ الموجود الممکن ما لم یجب وجوده من جانب علّته لم یتعیّن وجوده و لم یوجد،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الممکن فی ذاته لا یقتضی الوجود و لا العدم، فلا مناص لخروجه من ذلک إلی مستوی الوجود من عامل خارجی یقتضی وجوده، ثمّ ما یقتضی وجوده إمّا أن یقتضی وجوبه أیضاً أو لا؟ فعلی الأوّل وجب وجوده، و علی الثانی، بما أنّ بقاءه علی العدم لا یکون ممتنعاً بعدُ، فیسأل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اتّصف بالوجود دون العدم؟ و هذا السؤال لا ینقطع إلّا بصیرورة وجود الممکن واجباً و بقائه علی العدم محالاً، 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الشیء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برهان القاعدة، و رتّب علیها القول بالجبر، لأنّ فعل العبد ممکن فلا یصدر منه إلّا بعد اتّصافه بالوجوب، و الوجوب ینافی الاختیار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لا تعطی أزید من أنّ المعلول إنّما یتحقّق بالإیجاب المتقدّم علی وجوده، و لکن هل الإیجاب المذکور جاء من </w:t>
      </w:r>
    </w:p>
    <w:p>
      <w:pPr>
        <w:pStyle w:val="BookText"/>
        <w:rPr/>
      </w:pPr>
      <w:r>
        <w:rPr>
          <w:rFonts w:ascii="IRNazanin" w:hAnsi="IRNazanin" w:eastAsia="IRNazanin"/>
          <w:color w:val="111111"/>
          <w:sz w:val="28"/>
          <w:sz w:val="28"/>
          <w:szCs w:val="28"/>
          <w:rtl w:val="true"/>
          <w:lang w:bidi="fa-IR"/>
        </w:rPr>
        <w:t>جانب الفاعل و العلّة أو من جانب غیره؟ فإن کان الفاعل مختاراً کان وجود الفعل و وجوبه المتقدّم علیه صادراً عنه بالاختیار، و إن کان الفاعل مضطرّاً کالفواعل الکونیة کانا صادرین عنه بالاضطرار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المذکور فی القاعدة و إن کان وصفاً متقدّماً علی الفعل، و لکنّه متأخّر عن الفاعل، فالمستفاد منه لیس إلّا کون الفعل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الفاعل فهو قد یکون أیضاً کذلک و قد یکون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أثبتنا کون الإنسان مختاراً فلا تنافیه القاعدة المذکورة قید شعرة</w:t>
      </w:r>
      <w:r>
        <w:rPr>
          <w:rFonts w:eastAsia="IRNazanin" w:cs="IRNazanin"/>
          <w:color w:val="111111"/>
          <w:sz w:val="28"/>
          <w:szCs w:val="28"/>
          <w:rtl w:val="true"/>
          <w:lang w:bidi="fa-IR"/>
        </w:rPr>
        <w:t xml:space="preserve">. </w:t>
      </w:r>
      <w:bookmarkStart w:id="502" w:name="pg2866_38182"/>
    </w:p>
    <w:p>
      <w:pPr>
        <w:pStyle w:val="Heading3"/>
        <w:numPr>
          <w:ilvl w:val="2"/>
          <w:numId w:val="1"/>
        </w:numPr>
        <w:rPr/>
      </w:pPr>
      <w:bookmarkStart w:id="503" w:name="__RefHeading___Toc2819718_1395250215"/>
      <w:bookmarkStart w:id="504" w:name="_Toc174"/>
      <w:bookmarkEnd w:id="502"/>
      <w:bookmarkEnd w:id="503"/>
      <w:r>
        <w:rPr>
          <w:rtl w:val="true"/>
        </w:rPr>
        <w:t>الفصل الحادی عشر</w:t>
      </w:r>
      <w:r>
        <w:rPr>
          <w:rtl w:val="true"/>
        </w:rPr>
        <w:t>:</w:t>
      </w:r>
      <w:r>
        <w:rPr>
          <w:rtl w:val="true"/>
        </w:rPr>
        <w:t>القضاء و القدر</w:t>
      </w:r>
      <w:bookmarkEnd w:id="504"/>
    </w:p>
    <w:p>
      <w:pPr>
        <w:pStyle w:val="Heading4"/>
        <w:numPr>
          <w:ilvl w:val="3"/>
          <w:numId w:val="1"/>
        </w:numPr>
        <w:rPr/>
      </w:pPr>
      <w:bookmarkStart w:id="505" w:name="__RefHeading___Toc2819720_1395250215"/>
      <w:bookmarkStart w:id="506" w:name="_Toc175"/>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إنّ القضاء و القدر من الأُصول الإسلامیة الواردة فی الکتاب و السنّة، و لیس لمن له إلمام بهذین المصدرین الرئیسیین أن ینکرهما أو ینکر واحداً منهما، إلّا أنّ المشکلة فی توضیح ما یراد منهما، فإنّه المزلقة الکبریٰ فی هذا المقام، و استیفاء البحث عنه یستدعی بیان أمور</w:t>
      </w:r>
      <w:r>
        <w:rPr>
          <w:rFonts w:eastAsia="IRNazanin" w:cs="IRNazanin"/>
          <w:color w:val="111111"/>
          <w:sz w:val="28"/>
          <w:szCs w:val="28"/>
          <w:rtl w:val="true"/>
          <w:lang w:bidi="fa-IR"/>
        </w:rPr>
        <w:t>:</w:t>
      </w:r>
    </w:p>
    <w:p>
      <w:pPr>
        <w:pStyle w:val="Heading4"/>
        <w:numPr>
          <w:ilvl w:val="3"/>
          <w:numId w:val="1"/>
        </w:numPr>
        <w:rPr/>
      </w:pPr>
      <w:bookmarkStart w:id="507" w:name="__RefHeading___Toc2819722_1395250215"/>
      <w:bookmarkStart w:id="508" w:name="_Toc176"/>
      <w:bookmarkEnd w:id="507"/>
      <w:r>
        <w:rPr/>
        <w:t>1</w:t>
      </w:r>
      <w:r>
        <w:rPr>
          <w:rtl w:val="true"/>
        </w:rPr>
        <w:t xml:space="preserve">. </w:t>
      </w:r>
      <w:r>
        <w:rPr>
          <w:rtl w:val="true"/>
        </w:rPr>
        <w:t>تعریف القضاء و القدر</w:t>
      </w:r>
      <w:bookmarkEnd w:id="508"/>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و سکونه مبلغ الشیء و کنهه و نهایته،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عَلَیْهِ رِزْقُهُ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فمعناه قُتِر و قیاسه أنّه أعطی ذلک بقدر یسیر</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إحکام أمر و إتقانه و إنفاذه لجهته، قال اللّه تعالی</w:t>
      </w:r>
      <w:r>
        <w:rPr>
          <w:rFonts w:eastAsia="IRNazanin" w:cs="IRNazanin"/>
          <w:color w:val="111111"/>
          <w:sz w:val="28"/>
          <w:szCs w:val="28"/>
          <w:rtl w:val="true"/>
          <w:lang w:bidi="fa-IR"/>
        </w:rPr>
        <w:t xml:space="preserve">: </w:t>
      </w:r>
      <w:bookmarkStart w:id="509" w:name="pg2866_38183"/>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أحکم خلقهنّ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سمّی القاضی قاضیاً لأنّه یحکم الأحکام و ینفّذها، و سمّیت المنیّة قضاءً لأنّها أمر ینفّذ فی ابن آدم و غیره من الخلق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و التقدیر تبیین کمیّته الشیء ، و القضاء فصل الأمر قولاً کان ذلک أو فعلاً</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هذا ما ذکره أئمّة اللغة، و قد سبقهم أئمّة أهل البیت علیهم السلام ، کما ورد فیما روی عنهم علیهم السلام فقد روی الکلینی بسنده، إلی یونس بن عبد الرحمن، عن أبی الحسن الرضا علیه السلام و قد سأله یونس عن معنی القدر و القضاء،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الهندسة و وضع الحدود من البقاء و الفناء، و القضاء هو الإبرام و إقامة العین</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 الشیء و مقداره یسمّی قدره و کونه بوجه یتعیّن وجوده و لا یتخلّف یسمّی قضائه</w:t>
      </w:r>
      <w:r>
        <w:rPr>
          <w:rFonts w:eastAsia="IRNazanin" w:cs="IRNazanin"/>
          <w:color w:val="111111"/>
          <w:sz w:val="28"/>
          <w:szCs w:val="28"/>
          <w:rtl w:val="true"/>
          <w:lang w:bidi="fa-IR"/>
        </w:rPr>
        <w:t>.</w:t>
      </w:r>
    </w:p>
    <w:p>
      <w:pPr>
        <w:pStyle w:val="Heading4"/>
        <w:numPr>
          <w:ilvl w:val="3"/>
          <w:numId w:val="1"/>
        </w:numPr>
        <w:rPr/>
      </w:pPr>
      <w:bookmarkStart w:id="510" w:name="__RefHeading___Toc2819724_1395250215"/>
      <w:bookmarkStart w:id="511" w:name="_Toc177"/>
      <w:bookmarkEnd w:id="510"/>
      <w:r>
        <w:rPr/>
        <w:t>2</w:t>
      </w:r>
      <w:r>
        <w:rPr>
          <w:rtl w:val="true"/>
        </w:rPr>
        <w:t xml:space="preserve">. </w:t>
      </w:r>
      <w:r>
        <w:rPr>
          <w:rtl w:val="true"/>
        </w:rPr>
        <w:t>القضاء و القدر التشریعیان</w:t>
      </w:r>
      <w:bookmarkEnd w:id="5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یعنی بهما الأوامر و النواهی الإلهیة الواردة فی الکتاب و السنّة، و قد </w:t>
      </w:r>
      <w:bookmarkStart w:id="512" w:name="pg2866_38185"/>
    </w:p>
    <w:p>
      <w:pPr>
        <w:pStyle w:val="BookText"/>
        <w:rPr/>
      </w:pPr>
      <w:bookmarkEnd w:id="512"/>
      <w:r>
        <w:rPr>
          <w:rFonts w:ascii="IRNazanin" w:hAnsi="IRNazanin" w:eastAsia="IRNazanin"/>
          <w:color w:val="111111"/>
          <w:sz w:val="28"/>
          <w:sz w:val="28"/>
          <w:szCs w:val="28"/>
          <w:rtl w:val="true"/>
          <w:lang w:bidi="fa-IR"/>
        </w:rPr>
        <w:t>أشار إلیها الإمام أمیر المؤمنین علیه السلام فی کلامه حینما سأله الشامی عن معنی القضاء و القدر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بالطاعة و النهی عن المعصیة، و التمکین من فعل الحسنة و ترک السیئة، و المعونة علی القربة إلیه و الخذلان لمن عصاه، و الوعد و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الشریف</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513" w:name="__RefHeading___Toc2819726_1395250215"/>
      <w:bookmarkStart w:id="514" w:name="_Toc178"/>
      <w:bookmarkEnd w:id="513"/>
      <w:r>
        <w:rPr/>
        <w:t>3</w:t>
      </w:r>
      <w:r>
        <w:rPr>
          <w:rtl w:val="true"/>
        </w:rPr>
        <w:t xml:space="preserve">. </w:t>
      </w:r>
      <w:r>
        <w:rPr>
          <w:rtl w:val="true"/>
        </w:rPr>
        <w:t>القضاء و القدر العلمیّان</w:t>
      </w:r>
      <w:bookmarkEnd w:id="514"/>
    </w:p>
    <w:p>
      <w:pPr>
        <w:pStyle w:val="BookText"/>
        <w:rPr/>
      </w:pPr>
      <w:r>
        <w:rPr>
          <w:rFonts w:ascii="IRNazanin" w:hAnsi="IRNazanin" w:eastAsia="IRNazanin"/>
          <w:color w:val="111111"/>
          <w:sz w:val="28"/>
          <w:sz w:val="28"/>
          <w:szCs w:val="28"/>
          <w:rtl w:val="true"/>
          <w:lang w:bidi="fa-IR"/>
        </w:rPr>
        <w:t>التقدیر العلمی عبارة عن تحدید کلّ شیء بخصوصیاته فی علمه الأزلی سبحانه، قبل إیجاده، فهو تعالی یعلم حدّ کلّ شیء و مقداره و خصوصیاته الجسمانیة و غیر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القضاء العلمی هو علمه تعالی بضرورة وجود الأشیاء و إبرامها عند تحقق جمیع ما یتوقّف علیه وجودها من الأسباب و الشرائط و رفع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فعلمه السابق بحدود الأشیاء و ضرورة وجودها، تقدیر و قضاء علمیّان، و قد أُشیر إلی هذا القسم، فی آیات الکتاب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515" w:name="pg2866_38186"/>
    </w:p>
    <w:p>
      <w:pPr>
        <w:pStyle w:val="BookText"/>
        <w:rPr/>
      </w:pPr>
      <w:bookmarkEnd w:id="51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الآیات الّتی وردت فی بیان أن خصوصیات الأشیاء و ضرورة وجودها متحقّقة فی علمه الأزلی، أو مراتب علمه کالکتاب الوارد فی الآیات الماضیة</w:t>
      </w:r>
      <w:r>
        <w:rPr>
          <w:rFonts w:eastAsia="IRNazanin" w:cs="IRNazanin"/>
          <w:color w:val="111111"/>
          <w:sz w:val="28"/>
          <w:szCs w:val="28"/>
          <w:rtl w:val="true"/>
          <w:lang w:bidi="fa-IR"/>
        </w:rPr>
        <w:t>.</w:t>
      </w:r>
    </w:p>
    <w:p>
      <w:pPr>
        <w:pStyle w:val="Heading4"/>
        <w:numPr>
          <w:ilvl w:val="3"/>
          <w:numId w:val="1"/>
        </w:numPr>
        <w:rPr/>
      </w:pPr>
      <w:bookmarkStart w:id="516" w:name="__RefHeading___Toc2819728_1395250215"/>
      <w:bookmarkStart w:id="517" w:name="_Toc179"/>
      <w:bookmarkEnd w:id="516"/>
      <w:r>
        <w:rPr/>
        <w:t>4</w:t>
      </w:r>
      <w:r>
        <w:rPr>
          <w:rtl w:val="true"/>
        </w:rPr>
        <w:t xml:space="preserve">. </w:t>
      </w:r>
      <w:r>
        <w:rPr>
          <w:rtl w:val="true"/>
        </w:rPr>
        <w:t>القضاء و القدر العینیان</w:t>
      </w:r>
      <w:bookmarkEnd w:id="517"/>
    </w:p>
    <w:p>
      <w:pPr>
        <w:pStyle w:val="BookText"/>
        <w:rPr/>
      </w:pPr>
      <w:r>
        <w:rPr>
          <w:rFonts w:ascii="IRNazanin" w:hAnsi="IRNazanin" w:eastAsia="IRNazanin"/>
          <w:color w:val="111111"/>
          <w:sz w:val="28"/>
          <w:sz w:val="28"/>
          <w:szCs w:val="28"/>
          <w:rtl w:val="true"/>
          <w:lang w:bidi="fa-IR"/>
        </w:rPr>
        <w:t>التقدیر العینی عبارة عن الخصوصیات الّتی یکتسبها الشیء من علله عند تحقّقه و تلبّسه بالوجود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القضاء العینی هو ضرورة وجود الشیء عند وجود علّته التامّة ضرورةً عینیةً خارجیةً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فالتقدیر و القضاء العینیان ناظران إلی التقدیر و الضرورة الخارجیین اللّذین یحتفّان بالشیء الخارجی، فهما مقارنان لوجود الشیء بل متّحدان معه، مع أنّ التقدیر و القضاء العلمیان مقدّمان علی وجود الشیء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فالعالم المشهود لنا لا یخلو من تقدیر و قضاء، فتقدیره تحدید الأشیاء الموجودة فیه من حیث وجودها، و آثار وجودها، و خصوصیات کونها بما أنّها متعلقة الوجود و الآثار بموجودات أخری، أعنی العلل و الشرائط، فیختلف وجودها و أحوالها باختلاف عللها و شرائطها، فالتقدیر یهدی هذا النوع من الموجودات إلی ما قدّر له فی مسیر وجوده،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قَدَّرَ فَهَدیٰ</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هدی ما خلقه إلی ما قدّر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قضاؤه، فلمّا کانت الحوادث فی وجودها و تحقّقها منتهیة إلیه سبحانه فما لم تتمّ لها العلل و الشرائط الموجبة لوجودها، فإنّها تبقی علی حال التردّد بین الوقوع و اللاوقوع، فإذا تمَّت عللها و عامّة شرائطها و لم یبق لها إلّا أن توجد، کان ذلک من اللّه قضاءً و فصلاً لها من الجانب الآخر و قطعاً للإبهام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التقدیر و القضاء العینیین من صفاته الفعلیة سبحانه فإنّ مرجعهما إلی إفاضة الحدّ و الضرورة علی الموجودات، و إلیه یشیر الإمام الصادق علیه السلام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 خلقان من خلق اللّه، و اللّه یزید فی الخلق ما یشاء</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یکشف لنا الوجه فی عنایة النبیّ و أهل البیت علیهم السلام بالإیمان </w:t>
      </w:r>
    </w:p>
    <w:p>
      <w:pPr>
        <w:pStyle w:val="BookText"/>
        <w:rPr/>
      </w:pPr>
      <w:r>
        <w:rPr>
          <w:rFonts w:ascii="IRNazanin" w:hAnsi="IRNazanin" w:eastAsia="IRNazanin"/>
          <w:color w:val="111111"/>
          <w:sz w:val="28"/>
          <w:sz w:val="28"/>
          <w:szCs w:val="28"/>
          <w:rtl w:val="true"/>
          <w:lang w:bidi="fa-IR"/>
        </w:rPr>
        <w:t xml:space="preserve">بالقدر، و أنّ المؤمن لا یکون مؤمناً إلّا بالإیمان به </w:t>
      </w:r>
      <w:r>
        <w:rPr>
          <w:rStyle w:val="FootnoteAnchor"/>
          <w:rtl w:val="true"/>
        </w:rPr>
        <w:footnoteReference w:id="318"/>
      </w:r>
      <w:r>
        <w:rPr>
          <w:rFonts w:ascii="IRNazanin" w:hAnsi="IRNazanin" w:eastAsia="IRNazanin"/>
          <w:color w:val="111111"/>
          <w:sz w:val="28"/>
          <w:sz w:val="28"/>
          <w:szCs w:val="28"/>
          <w:rtl w:val="true"/>
          <w:lang w:bidi="fa-IR"/>
        </w:rPr>
        <w:t>، فإنّ التقدیر و القضاء العینیین من شعب الخلقة، و قد عرفت فی أبحاث التوحید أن من مراتب التوحید، التوحید فی الخالقیة، و قد عرفت آنفاً أنّ حدود الأشیاء و خصوصیاتها، و ضرورة وجودها منتهیة إلی إرادته سبحانه، فالإیمان بهما، من شئون التوحید فی الخالقیة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تری أنّه سبحانه أسند القضاء و القدر إلی نفسه،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قَضیٰ أَمْراً فَإِنَّمٰا یَقُولُ لَهُ کُنْ فَیَکُونُ</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من الآیات الحاکیة عن قضائه سبحانه بالشیء و إبرامه علی صفحة الوجود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2866_38192"/>
      <w:bookmarkStart w:id="519" w:name="pg2866_38192"/>
      <w:bookmarkEnd w:id="519"/>
    </w:p>
    <w:p>
      <w:pPr>
        <w:pStyle w:val="Heading3"/>
        <w:numPr>
          <w:ilvl w:val="2"/>
          <w:numId w:val="1"/>
        </w:numPr>
        <w:rPr/>
      </w:pPr>
      <w:bookmarkStart w:id="520" w:name="pg2866_38192"/>
      <w:bookmarkStart w:id="521" w:name="__RefHeading___Toc2819730_1395250215"/>
      <w:bookmarkStart w:id="522" w:name="_Toc180"/>
      <w:bookmarkEnd w:id="520"/>
      <w:bookmarkEnd w:id="521"/>
      <w:r>
        <w:rPr>
          <w:rtl w:val="true"/>
        </w:rPr>
        <w:t>الفصل الثانی عشر</w:t>
      </w:r>
      <w:r>
        <w:rPr>
          <w:rtl w:val="true"/>
        </w:rPr>
        <w:t>:</w:t>
      </w:r>
      <w:r>
        <w:rPr>
          <w:rtl w:val="true"/>
        </w:rPr>
        <w:t>فی حقیقة البداء</w:t>
      </w:r>
      <w:bookmarkEnd w:id="522"/>
    </w:p>
    <w:p>
      <w:pPr>
        <w:pStyle w:val="Heading4"/>
        <w:numPr>
          <w:ilvl w:val="3"/>
          <w:numId w:val="1"/>
        </w:numPr>
        <w:rPr/>
      </w:pPr>
      <w:bookmarkStart w:id="523" w:name="__RefHeading___Toc2819732_1395250215"/>
      <w:bookmarkStart w:id="524" w:name="_Toc181"/>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تحتلّ مسألة البداء مکانة مهمّة فی عقائد الشیعة الإمامیة، و هم تابعون فی ذلک للنصوص الواردة عن أئمّة أهل البیت علیهم السلام فی تلک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بإسناده عن زرارة عن أحدهما، یعنی أبا جعفر و أبا عبد اللّه علیهما السلام ،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عزّ و جلَّ بشیء مثل البداء</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بإسناده 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عظّم اللّه عزّ و جلَّ بمثل البداء</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بإسناده عن محمد بن مسلم ،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عزّ و جلّ نبیّاً حتی یأخذ علیه 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بالعبودیة، و خلع الأنداد، و أن اللّه یقدِّم ما یشاء و یؤخِّر ما یشاء</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bookmarkStart w:id="525" w:name="pg2866_38193"/>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قطّ إلاّ بتحریم الخمر، و أن یقرّ له بالبداء</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إلی غیر ذلک من مأثوراتهم علیهم السلام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البداء فی اللغة هو الظهور بعد الخفاء و هو یستلزم الجهل بشیء و تبدّل الإرادة و الرأی و هما مستحیلان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اتّفقت الإمامیة تبعاً لنصوص الکتاب و السنّة و البراهین العقلیة علی أنّه سبحانه عالم بالأشیاء و الحوادث کلّها غابرها و حاضرها و مستقبلها، کلّیِّها و جزئیِّها، و قد وردت بذلک نصوص عن أئمّة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لا شیء غیره، و لم یزل اللّه عالماً بما یکون، فعلمه به قبل کونه کعلمه به بعد ما کوَّنه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أمر یریده اللّه فهو فی علمه قبل أن یصنعه لیس شیء یبدو له إلّا و قد کان فی علمه، إنّ اللّه لا یبدو له من جهل</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إلی غیر ذلک من النصوص المتضافرة فی ذلک</w:t>
      </w:r>
      <w:r>
        <w:rPr>
          <w:rFonts w:eastAsia="IRNazanin" w:cs="IRNazanin"/>
          <w:color w:val="111111"/>
          <w:sz w:val="28"/>
          <w:szCs w:val="28"/>
          <w:rtl w:val="true"/>
          <w:lang w:bidi="fa-IR"/>
        </w:rPr>
        <w:t>.</w:t>
      </w:r>
    </w:p>
    <w:p>
      <w:pPr>
        <w:pStyle w:val="Heading4"/>
        <w:numPr>
          <w:ilvl w:val="3"/>
          <w:numId w:val="1"/>
        </w:numPr>
        <w:rPr/>
      </w:pPr>
      <w:bookmarkStart w:id="526" w:name="__RefHeading___Toc2819734_1395250215"/>
      <w:bookmarkStart w:id="527" w:name="_Toc182"/>
      <w:bookmarkEnd w:id="526"/>
      <w:r>
        <w:rPr>
          <w:rtl w:val="true"/>
        </w:rPr>
        <w:t>حقیقة البداء عند الإمامیّة</w:t>
      </w:r>
      <w:bookmarkEnd w:id="52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أنّ المراد من البداء الوارد فی أحادیث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یعدُّ من العقائد الدینیة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معناه اللغوی، أ فهل یصحّ أن ینسب إلی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باقر العلوم و صادق الأُمّة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بأنّ اللّه لم یعبد و لم </w:t>
      </w:r>
    </w:p>
    <w:p>
      <w:pPr>
        <w:pStyle w:val="BookText"/>
        <w:rPr/>
      </w:pPr>
      <w:r>
        <w:rPr>
          <w:rFonts w:ascii="IRNazanin" w:hAnsi="IRNazanin" w:eastAsia="IRNazanin"/>
          <w:color w:val="111111"/>
          <w:sz w:val="28"/>
          <w:sz w:val="28"/>
          <w:szCs w:val="28"/>
          <w:rtl w:val="true"/>
          <w:lang w:bidi="fa-IR"/>
        </w:rPr>
        <w:t>یعظّم إلّا بالقول بظهور الحقائق له بعد خفائها عنه، و العلم بعد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کلّ ذلک یؤیّد أنّ المراد من البداء فی کلمات هؤلاء العظام غیر ما یفهمه المعترضون، بل مرادهم من البداء لیس إلّا أنّ الإنسان قادر علی تغییر مصیره بالأعمال الصالحة و الطالحة </w:t>
      </w:r>
      <w:r>
        <w:rPr>
          <w:rStyle w:val="FootnoteAnchor"/>
          <w:rtl w:val="true"/>
        </w:rPr>
        <w:footnoteReference w:id="330"/>
      </w:r>
      <w:r>
        <w:rPr>
          <w:rFonts w:ascii="IRNazanin" w:hAnsi="IRNazanin" w:eastAsia="IRNazanin"/>
          <w:color w:val="111111"/>
          <w:sz w:val="28"/>
          <w:sz w:val="28"/>
          <w:szCs w:val="28"/>
          <w:rtl w:val="true"/>
          <w:lang w:bidi="fa-IR"/>
        </w:rPr>
        <w:t>و أنّ للّه سبحانه تقدیراً مشترطاً موقوفاً، و تقدیراً مطلقاً، و الإنسان إنّما یتمکّن من التأثیر فی التقدیر المشترط، و هذا بعینه قدر إلهی، و اللّه سبحانه عالم فی الأزل، بکلا القسمین کما هو عالم بوقوع الشرط،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الإنسانیة المؤثّرة فی تغییر مصیره و عدم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الشیء مکتوباً بشرط فیتغیّر الحال فیه، قال اللّه تعالی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فتبیّن أنّ الآجال علی ضربین، و ضرب منهما مشترط یصحّ فیه الزیادة و النقصان، أ لا تری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إِلاّٰ فِی کِتٰابٍ</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فبیّن أنّ آجالهم کانت مشترطة فی الامتداد بالبرّ و الانقطاع عن الفسوق، و قال تعالی فیما أخبر به عن نوح علیه السلام فی خطابه لقومه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فاشترط لهم فی مدّ الأجل و سبوغ النعم الاستغفار، فلو لم یفعلوا قطع آجالهم و بتَّر أعمالهم و استأصلهم بالعذاب، فالبداء من اللّه تعالی یختصّ بما کان مشترطاً فی التقدیر و لیس هو انتقالاً من عزیمة إلی عزیمة، تعالی اللّه عما یقول المبطلون علوّاً کبیراً</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تفسیر البداء فی ضوء الکتاب و السنّة</w:t>
      </w:r>
    </w:p>
    <w:p>
      <w:pPr>
        <w:pStyle w:val="BookText"/>
        <w:rPr/>
      </w:pPr>
      <w:r>
        <w:rPr>
          <w:rFonts w:ascii="IRNazanin" w:hAnsi="IRNazanin" w:eastAsia="IRNazanin"/>
          <w:color w:val="111111"/>
          <w:sz w:val="28"/>
          <w:sz w:val="28"/>
          <w:szCs w:val="28"/>
          <w:rtl w:val="true"/>
          <w:lang w:bidi="fa-IR"/>
        </w:rPr>
        <w:t>قد اتّضح ممّا تقدّم أنّ المقصود بالبداء لیس إلّا تغییر المصیر و المقدّر بالأعمال الصالحة و الطالحة و تأثیرها فی ما قدّر اللّه تعالی لهم من التقدیر المشترط، و لإیضاح هذا المعنی نشیر إلی نماذج من الآیات القرآنیة و ما ورد من الروایات فی تغییر المصیر بالأعمال الصالحة و الطالحة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الروایات یدلّ علی ذلک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جلال الدین السیوطی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أنّه سأل رسول اللّه صلی الله علیه و آله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لأقرَّن </w:t>
      </w:r>
    </w:p>
    <w:p>
      <w:pPr>
        <w:pStyle w:val="BookText"/>
        <w:rPr/>
      </w:pPr>
      <w:r>
        <w:rPr>
          <w:rFonts w:ascii="IRNazanin" w:hAnsi="IRNazanin" w:eastAsia="IRNazanin"/>
          <w:color w:val="111111"/>
          <w:sz w:val="28"/>
          <w:sz w:val="28"/>
          <w:szCs w:val="28"/>
          <w:rtl w:val="true"/>
          <w:lang w:bidi="fa-IR"/>
        </w:rPr>
        <w:t>عینیک بتفسیرها، و لأقرَّن عین أُمّتی بعدی بتفسیرها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وجهها، و برّ الوالدین، و اصطناع المعروف، یحوِّل الشقاء سعادة، و یزید فی العمر، و یقی مصارع السوء</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الحاکم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الحذر من القدر، و لکن اللّه یمحو بالدعاء ما یشاء من القدر</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تزکّی الأعمال، و تنمّی الأموال، و تدفع البلوی، و تیسّر الحساب، و تنسئ فی الأجل</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یردّ القضاء، و إنّ المؤمن لیذنب فیحرم بذنبه الرزق</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إلی غیر ذلک من الأحادیث المتضافرة المرویة عن الفریقین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النزاع لفظی</w:t>
      </w:r>
    </w:p>
    <w:p>
      <w:pPr>
        <w:pStyle w:val="BookText"/>
        <w:rPr/>
      </w:pPr>
      <w:r>
        <w:rPr>
          <w:rFonts w:ascii="IRNazanin" w:hAnsi="IRNazanin" w:eastAsia="IRNazanin"/>
          <w:color w:val="111111"/>
          <w:sz w:val="28"/>
          <w:sz w:val="28"/>
          <w:szCs w:val="28"/>
          <w:rtl w:val="true"/>
          <w:lang w:bidi="fa-IR"/>
        </w:rPr>
        <w:t xml:space="preserve">ممّا تقدّم یظهر أنّ حقیقة 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تغییر مصیر الإنسان بالأعمال الصالحة و الطالحة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مناص لکلّ مسلم من الاعتقاد به و إلی هذا أشار الشیخ الصدوق بقوله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أقرَّ للّه عزّ و جلّ بأن له أن یفعل ما یشاء، و یعدم ما یشاء، </w:t>
      </w:r>
    </w:p>
    <w:p>
      <w:pPr>
        <w:pStyle w:val="BookText"/>
        <w:rPr/>
      </w:pPr>
      <w:r>
        <w:rPr>
          <w:rFonts w:ascii="IRNazanin" w:hAnsi="IRNazanin" w:eastAsia="IRNazanin"/>
          <w:color w:val="111111"/>
          <w:sz w:val="28"/>
          <w:sz w:val="28"/>
          <w:szCs w:val="28"/>
          <w:rtl w:val="true"/>
          <w:lang w:bidi="fa-IR"/>
        </w:rPr>
        <w:t xml:space="preserve">و یخلق مکانه ما یشاء، و یقدِّم ما یشاء، و یؤخِّر ما یشاء، و یأمر بما شاء کیف شاء، فقد أقرَّ بالبداء، و ما عظّم اللّه عزّ و جلّ بشیء أفضل من الإقرار بأنّ له الخلق و الأمر و التقدیم و التأخیر و إثبات ما لم یکن و محو ما قد کان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فالنزاع فی الحقیقة لیس إلّا فی التسمیة، و لو عرف المخالف أنّ تسمیة فعل اللّه سبحانه بالبداء من باب المجاز و التوسّع لما شهر سیف النقد علیهم، و إن أبی حتی الإطلاق التجوّزی، فعلیه أن یتّبع النبیّ الأعظم صلی الله علیه و آله حیث أطلق لفظ البداء علیه سبحانه بهذا المعنی المجازی الّذی قلنا، فی حدیث الأقرع و الأبرص و الأعمی، روی أبو هریرة أنّه سمع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ثلاثة فی بنی إسرائیل أبرص و أقرع و أعمی، بدا للّه عزّ و جلّ أن یبتلیهم</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فبأی وجه فسِّر کلامه صلی الله علیه و آله یفسَّر کلام أوصیائه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التسمیة من باب المشاکلة، و أنّه سبحانه یعبّر عن فعل نفسه فی مجالات کثیرة بما یعبِّر به الناس عن فعل أنفسهم لأجل المشاکلة الظاهریة، فتری القرآن ینسب إلی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مَکْراً وَ مَکَرْنٰا مَکْراً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إلی غیر ذلک من الآیات و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تقف علی أنّ ما ذکره الأشعری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البلغمی فی تفسیره، و الرازی فی المحصَّل، و غیرهم حول البداء، لا صلة له بعقیدة الشیعة فیه، فإنّهم فسّروا البداء للّه بظهور ما خفی علیه، و الشیعة برآء منه، بل البداء عندهم کما عرفت تغییر التقدیر المشترط من اللّه تعالی، بالفعل الصالح و الطالح، فلو کان هناک ظهور بعد الخفاء فهو بالنسبة إلینا لا بالنسبة إلی اللّه تعالی، بل هو بالنسبة إلیه إبداء ما خفی و إظهاره، و لو أطلق علیه البداء من باب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و إنکار النسخ و البداء</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المعروف من عقیدة الیهود أنّهم یمنعون النسخ سواء کان فی التشریع و التکوین، أمّا النسخ فی التشریع فقد استدلّوا علی امتناعه بوجوه مذکورة فی کتب أصول الفقه مع الجواب عنها، و أما النسخ فی التکوین و هو تمکّن الإنسان من تغییر مصیره بما یکتسبه من الأعمال بإرادته و اختیاره، فقد استدلوا علی امتناعه بأنّ قلم التقدیر و القضاء إذا جری علی الأشیاء فی </w:t>
      </w:r>
    </w:p>
    <w:p>
      <w:pPr>
        <w:pStyle w:val="BookText"/>
        <w:rPr/>
      </w:pPr>
      <w:r>
        <w:rPr>
          <w:rFonts w:ascii="IRNazanin" w:hAnsi="IRNazanin" w:eastAsia="IRNazanin"/>
          <w:color w:val="111111"/>
          <w:sz w:val="28"/>
          <w:sz w:val="28"/>
          <w:szCs w:val="28"/>
          <w:rtl w:val="true"/>
          <w:lang w:bidi="fa-IR"/>
        </w:rPr>
        <w:t>الأزل استحال أن تتعلّق المشیئة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أنّ اللّه قد فرغ من أمر النظام و جفّ القلم بما کان فلا یمکن للّه سبحانه محو ما أثبت و تغییر ما کتب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من النسخ الّذی أنکرته الیهود هو بنفسه کما تری حقیقة البداء بالمعنی الّذی تعتقده الشیعة الإمامیة کما عرفت، فإنکاره من العقائد الیهودیة الّتی تسرّت إلی المجتمعات الإسلامیة فی بعض الفترات و اکتسی ثوب العقیدة الإسلامیة، مع أنّ القرآن الکریم یردّ علی الیهود فی عقیدتهم هذه 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حکی سبحانه عقیدة الیهود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القول عنهم یعرب عن عقیدتهم فی حق اللّه سبحانه، و أنّه مسلوب الإرادة تجاه کلّ ما کتب و قدّر، و بالنتیجة عدم قدرته علی الانفاق زیادة علی ما قدّر و قضی، فردّ اللّه سبحانه علیهم بإبطال تلک العقیدة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 یُنْفِقُ کَیْفَ یَشٰاءُ</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فسَّر الإمام الصادق علیه السلام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فرغ من الأمر فلا یزید و لا ینقص، فقال اللّه جلّ جلاله تکذیباً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من هنا تعرف أنّ القول بالبداء من صمیم الدین و لوازم التوحید و الاعتقاد بعمومیة قدرته سبحانه، و أنّه من مقادیره و سننه السائدة علی حیاة الإنسان من غیر أن یسلب عنه الاختیار فی تغییر مصیره، فکما أنّه سبحانه، کلّ یوم هو فی شأن، و مشیئته حاکمة علی التقدیر، و کذلک العبد مختار له أن یغیِّر مصیره و مقدّره بحسن فعله، و یخرج نفسه من عداد الأشقیاء و یدخلها فی عداد السعداء، کما أنّ له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فهو تعالی إنّما یغیِّر قدر العبد بتغییر منه بحسن عمله أو سوئه، و لا یعدّ تغییر التقدیر الإلهی بحسن الفعل أو سوئه معارضاً لتقدیره الأوّل سبحانه، بل هو أیضاً جزء من قدره و 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التقدیر المحتوم و الموقوف</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سابقاً إلی أنّ التغییر إنّما یقع فی التقدیر الموقوف دون المحتوم، و هذا ما یحتاج إلی شیء من البیان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للّه سبحانه تقدیرین، محتوماً و موقوفاً، و المراد من المحتوم ما لا یبدّل و لا یغیّر مطلقاً، و ذلک کقضائه سبحانه للشّمس و القمر مسیرین إلی أجل معیّن، و للنظام الشّمسی عمراً محدّداً، و تقدیره فی حقِّ کلّ إنسان بأنّه یموت، إلی غیر ذلک من السنن الثابتة الحاکمة علی الکون 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التقدیر الموقوف الأُمور المقدّرة علی وجه التعلیق، فقدّر أنّ المریض یموت فی وقت کذا إلّا إذا تداوی، أو أجریت له عملیّة جراحیة، أو دعی له و تصدّق عنه، و غیر ذلک من التقادیر الّتی تغیّر بإیجاد الأسباب المادّیة و غیرها الّتی هی أیضاً من مقدّراته سبحانه، و اللّه سبحانه یعلم فی الأزل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 الموقوف، و ما یتوقف علیه الموقوف، و إلیک بعض ما ورد عن أئمّة أهل البیت علیهم السلام حول هذین التقدیرین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أبو جعفر الباقر علیه السلام عن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فیها الملائکة و الکتبة إلی سماء الدنیا فیکتبون ما هو کائن فی أمر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موقوف للّه تعالی فیه المشیئة، یقدِّم منه ما یشاء و یؤخِّر ما یشاء،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الأُمور أمور محتومة جائیة لا محالة، و من الأُمور أُمور موقوفة عند اللّه یقدِّم منها ما یشاء و یمحو منها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منها ما یشاء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قال الرضا علیه السلام لسلیمان المروزی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إنّ من الأُمور أموراً موقوفة عند اللّه تبارک و تعالی یقدِّم منها ما یشاء و یؤخِّر ما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إنّ القرآن الکریم ذکر الأجل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الإطلاق، و بوصف کونه مسمّی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للإنسان 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الأجل المسمّی هو التقدیر المحتوم، و من الأجل المطلق التقدیر الموقوف، قال العلاّمة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الأجل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علی إبهامه، و الأجل المسمّی عند اللّه تعالی، و هذا هو الّذی لا یقع فیه تغییر لمکان تقییده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الأجل المحتوم الّذی لا یتغیّر و لا یتبدّل،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فنسبة الأجل المسمّی إلی الأجل غیر المسمّی، نسبة المطلق المنجّز </w:t>
      </w:r>
    </w:p>
    <w:p>
      <w:pPr>
        <w:pStyle w:val="BookText"/>
        <w:rPr/>
      </w:pPr>
      <w:r>
        <w:rPr>
          <w:rFonts w:ascii="IRNazanin" w:hAnsi="IRNazanin" w:eastAsia="IRNazanin"/>
          <w:color w:val="111111"/>
          <w:sz w:val="28"/>
          <w:sz w:val="28"/>
          <w:szCs w:val="28"/>
          <w:rtl w:val="true"/>
          <w:lang w:bidi="fa-IR"/>
        </w:rPr>
        <w:t>إلی المشروط المعلّق، فمن الممکن أن یتخلّف المشروط المعلّق عن التحقّق لعدم تحقّق شرطه الّذی علّق علیه، بخلاف المطلق المنجّز، فإنّه لا سبیل إلی عدم تحقّقه البتّة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التدبّر فی الآیات یفید أنّ الأجل المسمّی هو الّذی وضع فی أُمّ الکتاب، و غیر المسمّی من الأجل هو المکتوب فیما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المحو و الإثبات</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2866_38209"/>
      <w:bookmarkStart w:id="529" w:name="pg2866_38209"/>
      <w:bookmarkEnd w:id="529"/>
    </w:p>
    <w:p>
      <w:pPr>
        <w:pStyle w:val="Heading2"/>
        <w:numPr>
          <w:ilvl w:val="1"/>
          <w:numId w:val="1"/>
        </w:numPr>
        <w:rPr/>
      </w:pPr>
      <w:bookmarkStart w:id="530" w:name="pg2866_38209"/>
      <w:bookmarkStart w:id="531" w:name="__RefHeading___Toc2819736_1395250215"/>
      <w:bookmarkStart w:id="532" w:name="_Toc183"/>
      <w:bookmarkEnd w:id="530"/>
      <w:bookmarkEnd w:id="531"/>
      <w:r>
        <w:rPr>
          <w:rtl w:val="true"/>
        </w:rPr>
        <w:t>الباب الخامس فی النبوّة العامّة و فیه خمسة فصول</w:t>
      </w:r>
      <w:r>
        <w:rPr>
          <w:rtl w:val="true"/>
        </w:rPr>
        <w:t>:</w:t>
      </w:r>
      <w:bookmarkEnd w:id="532"/>
    </w:p>
    <w:p>
      <w:pPr>
        <w:pStyle w:val="Heading3"/>
        <w:numPr>
          <w:ilvl w:val="2"/>
          <w:numId w:val="1"/>
        </w:numPr>
        <w:rPr/>
      </w:pPr>
      <w:bookmarkStart w:id="533" w:name="__RefHeading___Toc2819738_1395250215"/>
      <w:bookmarkStart w:id="534" w:name="_Toc184"/>
      <w:bookmarkEnd w:id="533"/>
      <w:r>
        <w:rPr>
          <w:rtl w:val="true"/>
        </w:rPr>
        <w:t>اشارة</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لزوم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منکری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التعرّف علی صدق مدّعی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حقیقة الوحی فی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عصمة أنبیاء اللّه تعالی</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2866_38211"/>
      <w:bookmarkStart w:id="536" w:name="pg2866_38211"/>
      <w:bookmarkEnd w:id="536"/>
    </w:p>
    <w:p>
      <w:pPr>
        <w:pStyle w:val="Heading3"/>
        <w:numPr>
          <w:ilvl w:val="2"/>
          <w:numId w:val="1"/>
        </w:numPr>
        <w:rPr/>
      </w:pPr>
      <w:bookmarkStart w:id="537" w:name="pg2866_38211"/>
      <w:bookmarkStart w:id="538" w:name="__RefHeading___Toc2819740_1395250215"/>
      <w:bookmarkStart w:id="539" w:name="_Toc185"/>
      <w:bookmarkEnd w:id="537"/>
      <w:bookmarkEnd w:id="538"/>
      <w:r>
        <w:rPr>
          <w:rtl w:val="true"/>
        </w:rPr>
        <w:t>مقدمة</w:t>
      </w:r>
      <w:r>
        <w:rPr>
          <w:rtl w:val="true"/>
        </w:rPr>
        <w:t>:</w:t>
      </w:r>
      <w:bookmarkEnd w:id="539"/>
    </w:p>
    <w:p>
      <w:pPr>
        <w:pStyle w:val="BookText"/>
        <w:rPr/>
      </w:pPr>
      <w:r>
        <w:rPr>
          <w:rFonts w:ascii="IRNazanin" w:hAnsi="IRNazanin" w:eastAsia="IRNazanin"/>
          <w:color w:val="111111"/>
          <w:sz w:val="28"/>
          <w:sz w:val="28"/>
          <w:szCs w:val="28"/>
          <w:rtl w:val="true"/>
          <w:lang w:bidi="fa-IR"/>
        </w:rPr>
        <w:t>النبوَّة سفارة بین اللّه و بین ذوی العقول من عباده، لتدبیر حیاتهم فی أمر معاشهم و معادهم، و النبیّ هو الإنسان المخبر عن اللّه تعالی بطریق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النبوَّة یقع علی 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مطلق النبوَّة و یسمّی النبوّة العامّة؛</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نبوَّة نبیّ خاص، کنبوَّة سیّدنا محمّد صلی الله علیه و آله و یسمّی النبوّة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الأبحاث الّتی طرحها المتکلّمون حول النبوَّة العامّة تتمحور فی أربعة أُمور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البعثة و لزومها، أو تحلیل أدلّة مثبتی البعثة و منکریها؛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الّذی یعرف به النبیّ الصادق من المتنبّئ الکاذب؛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أو الوسیلة الّتی یتلقّی بها النبیّ تعالیمه من اللّه سبحانه؛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الممیّزة للنبیّ عن غیره</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2866_38214"/>
      <w:bookmarkStart w:id="541" w:name="pg2866_38214"/>
      <w:bookmarkEnd w:id="541"/>
    </w:p>
    <w:p>
      <w:pPr>
        <w:pStyle w:val="Heading3"/>
        <w:numPr>
          <w:ilvl w:val="2"/>
          <w:numId w:val="1"/>
        </w:numPr>
        <w:rPr/>
      </w:pPr>
      <w:bookmarkStart w:id="542" w:name="pg2866_38214"/>
      <w:bookmarkStart w:id="543" w:name="__RefHeading___Toc2819742_1395250215"/>
      <w:bookmarkStart w:id="544" w:name="_Toc186"/>
      <w:bookmarkEnd w:id="542"/>
      <w:bookmarkEnd w:id="543"/>
      <w:r>
        <w:rPr>
          <w:rtl w:val="true"/>
        </w:rPr>
        <w:t>الفصل الأوّل</w:t>
      </w:r>
      <w:r>
        <w:rPr>
          <w:rtl w:val="true"/>
        </w:rPr>
        <w:t>:</w:t>
      </w:r>
      <w:r>
        <w:rPr>
          <w:rtl w:val="true"/>
        </w:rPr>
        <w:t>أدلّة لزوم البعثة</w:t>
      </w:r>
      <w:r>
        <w:rPr>
          <w:rtl w:val="true"/>
        </w:rPr>
        <w:t>:</w:t>
      </w:r>
      <w:bookmarkEnd w:id="544"/>
    </w:p>
    <w:p>
      <w:pPr>
        <w:pStyle w:val="Heading4"/>
        <w:numPr>
          <w:ilvl w:val="3"/>
          <w:numId w:val="1"/>
        </w:numPr>
        <w:rPr/>
      </w:pPr>
      <w:bookmarkStart w:id="545" w:name="__RefHeading___Toc2819744_1395250215"/>
      <w:bookmarkStart w:id="546" w:name="_Toc187"/>
      <w:bookmarkEnd w:id="545"/>
      <w:r>
        <w:rPr/>
        <w:t>1</w:t>
      </w:r>
      <w:r>
        <w:rPr>
          <w:rtl w:val="true"/>
        </w:rPr>
        <w:t xml:space="preserve">. </w:t>
      </w:r>
      <w:r>
        <w:rPr>
          <w:rtl w:val="true"/>
        </w:rPr>
        <w:t>حاجة المجتمع إلی القانون الکامل</w:t>
      </w:r>
      <w:bookmarkEnd w:id="546"/>
    </w:p>
    <w:p>
      <w:pPr>
        <w:pStyle w:val="BookText"/>
        <w:rPr/>
      </w:pPr>
      <w:r>
        <w:rPr>
          <w:rFonts w:ascii="IRNazanin" w:hAnsi="IRNazanin" w:eastAsia="IRNazanin"/>
          <w:color w:val="111111"/>
          <w:sz w:val="28"/>
          <w:sz w:val="28"/>
          <w:szCs w:val="28"/>
          <w:rtl w:val="true"/>
          <w:lang w:bidi="fa-IR"/>
        </w:rPr>
        <w:t>لا یشکّ أحد من الفلاسفة و الباحثین فی الحیاة الإنسانیة، فی أنّ للإنسان میلاً إلی الاجتماع و التمدّن، کما أنّ حاجة المجتمع إلی القانون ممّا لا یرتاب فیه، و ذلک لأنّ الإنسان مجبول علی حبِّ الذات، و هذا یجرّه إلی تخصیص کلّ شیء بنفسه من دون أن یراعی لغیره حقّاً، و یؤدّی ذلک إلی التنافس و التشاجر بین أبناء المجتمع و بالتالی إلی عقم الحیاة و تلاشی أرکان المجتمع، فلا یقوم للحیاة الاجتماعیة أساس إلّا بوضع قانون جامع یقوم بتحدید وظائف کلّ فرد و حقوقه، فیمکن لکلّ فرد أن یعیش فی ظلّ العدالة الاجتماعیة و یسلک سبیل الفلاح و النجاح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شرائط المقنِّن</w:t>
      </w:r>
    </w:p>
    <w:p>
      <w:pPr>
        <w:pStyle w:val="BookText"/>
        <w:rPr/>
      </w:pPr>
      <w:r>
        <w:rPr>
          <w:rFonts w:ascii="IRNazanin" w:hAnsi="IRNazanin" w:eastAsia="IRNazanin"/>
          <w:color w:val="111111"/>
          <w:sz w:val="28"/>
          <w:sz w:val="28"/>
          <w:szCs w:val="28"/>
          <w:rtl w:val="true"/>
          <w:lang w:bidi="fa-IR"/>
        </w:rPr>
        <w:t>لا ریب فی أنّ جعل قانون جامع بالوصف المذکور یحتاج إلی توفّر شروط أهمّها شرطان تالیان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المقنِّن بالإنسان؛ إنّ أوّل و أهمّ خطوة فی وضع القانون، </w:t>
      </w:r>
    </w:p>
    <w:p>
      <w:pPr>
        <w:pStyle w:val="BookText"/>
        <w:rPr/>
      </w:pPr>
      <w:r>
        <w:rPr>
          <w:rFonts w:ascii="IRNazanin" w:hAnsi="IRNazanin" w:eastAsia="IRNazanin"/>
          <w:color w:val="111111"/>
          <w:sz w:val="28"/>
          <w:sz w:val="28"/>
          <w:szCs w:val="28"/>
          <w:rtl w:val="true"/>
          <w:lang w:bidi="fa-IR"/>
        </w:rPr>
        <w:t>أن یکون المقنِّن عارفاً بالإنسان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 و روحه، غرائزه و فطریّاته، و ما یصلح لهذه الأُمور أو یضرّ بها، و کلّما تکاملت هذه المعرفة بالإنسان کان القانون ناجحاً و ناجعاً فی علاج مشاکله و إبلاغه إلی السعادة المتوخّاة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انتفاع المقنِّن بالقانون؛ و هذا الشرط بدیهی، فإنَّ المقنِّن إذا کان منتفعاً من القانون الّذی یضعه، سواء کان النفع عائداً إلیه أو إلی من یمت إلیه بصلة خاصّة، فهذا القانون سیتمّ لصالح المقنِّن لا لصالح المجتمع، و نتیجته الحتمیّة الظلم و الإجحاف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فالقانون الکامل لا یتحقّق إلّا إذا کان واضعه مجرّداً عن حبّ الذّات و هوی الانتفاع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لن نجد فی صفحة الوجود موجوداً أعرف بالإنسان من خالقه، فإنّ صانع المصنوع أعرف به من غیره،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عظمة الإنسان فی روحه و معنویاته، و غرائزه و فطریاته، أشبه ببحر کبیر لا یریٰ ساحله و لا یضاء محیطه، و قد خفیت کثیر من جوانب حیاته و رموز وجوده حتی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المجهول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نجد أیضاً موجوداً مجرداً عن أیّ فقر و حاجة و انتفاع سواه سبحانه</w:t>
      </w:r>
      <w:r>
        <w:rPr>
          <w:rFonts w:eastAsia="IRNazanin" w:cs="IRNazanin"/>
          <w:color w:val="111111"/>
          <w:sz w:val="28"/>
          <w:szCs w:val="28"/>
          <w:rtl w:val="true"/>
          <w:lang w:bidi="fa-IR"/>
        </w:rPr>
        <w:t xml:space="preserve">. </w:t>
      </w:r>
      <w:bookmarkStart w:id="547" w:name="pg2866_38217"/>
    </w:p>
    <w:p>
      <w:pPr>
        <w:pStyle w:val="BookText"/>
        <w:rPr/>
      </w:pPr>
      <w:bookmarkEnd w:id="547"/>
      <w:r>
        <w:rPr>
          <w:rFonts w:ascii="IRNazanin" w:hAnsi="IRNazanin" w:eastAsia="IRNazanin"/>
          <w:color w:val="111111"/>
          <w:sz w:val="28"/>
          <w:sz w:val="28"/>
          <w:szCs w:val="28"/>
          <w:rtl w:val="true"/>
          <w:lang w:bidi="fa-IR"/>
        </w:rPr>
        <w:t>و ممّا یدلّ علی عدم صلاحیّة البشر نفسه لوضع قانون کامل، ما نری من التبدّل الدائم فی القوانین و النقض المستمرّ الّذی یورد علیها بحیث تحتاج فی کلّ یوم إلی استثناء بعض التشریعات و زیادة أُخری، إضافة إلی تناقض القوانین المطروحة فی العالم من قبل البشر، و ما ذلک إلّا لقصورهم عن معرفة الإنسان حقیقة المعرفة و انتفاء سائر الشروط فی واضعیها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استقرار الحیاة الاجتماعیة للبشر متوقّفاً علی التقنین الإلهی، فواجب فی حکمته تعالی إبلاغ تلک القوانین إلیهم عبر واحد منهم یرسله إلیهم، و الحامل لرسالة اللّه سبحانه هو النبیّ المنبئ عنه و الرسول المبلّغ إلی الناس، فبعث الأنبیاء واجب فی حکمته تعالی حفظاً للنظام المتوقّف علی التقنین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الدلیل یشیر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366"/>
      </w:r>
    </w:p>
    <w:p>
      <w:pPr>
        <w:pStyle w:val="Heading4"/>
        <w:numPr>
          <w:ilvl w:val="3"/>
          <w:numId w:val="1"/>
        </w:numPr>
        <w:rPr/>
      </w:pPr>
      <w:bookmarkStart w:id="548" w:name="__RefHeading___Toc2819746_1395250215"/>
      <w:bookmarkStart w:id="549" w:name="_Toc188"/>
      <w:bookmarkEnd w:id="548"/>
      <w:r>
        <w:rPr/>
        <w:t>2</w:t>
      </w:r>
      <w:r>
        <w:rPr>
          <w:rtl w:val="true"/>
        </w:rPr>
        <w:t xml:space="preserve">. </w:t>
      </w:r>
      <w:r>
        <w:rPr>
          <w:rtl w:val="true"/>
        </w:rPr>
        <w:t>حاجة الانسان إلی المعارف العالیة</w:t>
      </w:r>
      <w:bookmarkEnd w:id="54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ما یحتاج الإنسان إلی التعرّف علیه لیکون ناجحاً فی الوصول إلی السعادة المطلوبة من حیاته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باللّه سبحانه، و التعرّف علی مصالح الحیاة و مفاسدها، و المعرفة الکاملة فی هذین المجالین لا تحصل للإنسان إلّا فی ضوء الوحی و تعالیم الأنبیاء، و أمّا العلوم الإنسانیة فهی غیر کافیة فیهما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ممّا یوضح قصور العلم البشری فی العلوم الإلهیة أنّ هناک الملایین من البشر یقطنون بلدان جنوب شرق آسیا علی مستوی راق فی الصناعات و العلوم الطبیعیة، و مع ذلک فهم فی الدرجة السّفلی فی المعارف الإلهیة، فجلّهم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یکن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للأصنام و الأوثان، و ببابک بلاد الهند الشاسعة و ما یعتقده مئات الملایین من أهلها من قداسة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نوابغ من البشر عرفوا الحقّ عن طریق التفکّر و التعقّل کسقراط و أفلاطون و أرسطو، و لکنّهم أُناس استثنائیون، لا یعدّون معیاراً فی البحث، و کونهم عارفین بالتوحید لا یکون دلیلاً علی مقدرة الآخرین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من المحتمل جدّاً أن یکون وقوفهم علی هذه المعارف فی ظلّ ما وصل إلیهم من التعالیم السماویة عن طریق رسله سبحانه و أنبیائه، قال صدر المتألّهین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أساطین الحکمة المعتبرة عند الیونانیین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أنباذقلس و فیثاغورس و سقراط و أفلاطون و أرسطاطالیس قدس سره ، و قد لقی فیثاغورس تلامیذ سلیمان بن داود علیهما السلام بمصر و استفاد منهم و تلمّذ للحکیم المعظم الربّانی أنباذقلس و هو أخذ عن لقمان الآخذ عن داود علیه السلام ، ثمّ سقراط أخذ عن فیثاغورس و أفلاطون عن سقراط و الآخذ أرسطاطالیس عن أفلاطون و صحبه نیِّفاً و عشرین سنة</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ممّا یدلّ علی قصور العلم الإنسانی عن تشخیص منافع البشر و المجتمعات و مضارّها، أنّ المجتمع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بلغه من الغرور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یقف بعدُ علی النظام الاقتصادی النافع له، فطائفة تزعم أنّ سعادة البشر فی نظام الرأسمالیة و الاقتصاد الحرّ المطلق، و الأُخری تدّعی أنّ سعادة البشر فی النظام الاشتراکی و سلب المالکیة عن أدوات الانتاج و تفویضها إلی الدولة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یصل بعدُ إلی وفاق فی مجال الأخلاق و قد تعدّدت المناهج الأخلاقیّة فی العصر الأخیر إلی حدّ التضادّ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نری أنّ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یدّعیه من العلم 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یدرک بعدُ عوامل السّعادة و الشّقاء له، بشهادة أنّه یشرب المسکرات، و یستعمل المخدّرات، و یتناول اللحوم الضارّة، کما یقیم اقتصاده علی الرِّبا الّذی هو عامل إیجاد التفاوت الطبقی بین أبناء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روی عن أئمّة أهل البیت علیهم السلام إشارات إلی هذا البرهان نأتی بنموذجین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الکاظم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أنبیاءه و رسله إلی عباده إلّا لیعقلوا عن اللّه، فأحسنهم استجابة أحسنهم معرفة، و أعلمهم بأمر اللّه أحسنهم عقلاً، و أکملهم عقلاً أرفعهم درجة فی الدنیا و الآخرة</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الإمام الرضا علیه السلام </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بدّ من رسول بینه و بینهم معصوم یؤدّی إلیهم أمره و نهیه و أدبه، و یوقفهم علی ما یکون به إحراز منافعهم و دفع مضارّهم إذ لم یکن فی خلقهم ما یعرفون به ما یحتاجون إلیه</w:t>
      </w:r>
      <w:r>
        <w:rPr>
          <w:rFonts w:eastAsia="IRNazanin" w:cs="IRNazanin"/>
          <w:color w:val="111111"/>
          <w:sz w:val="28"/>
          <w:szCs w:val="28"/>
          <w:rtl w:val="true"/>
          <w:lang w:bidi="fa-IR"/>
        </w:rPr>
        <w:t xml:space="preserve">». </w:t>
      </w:r>
      <w:r>
        <w:rPr>
          <w:rStyle w:val="FootnoteAnchor"/>
          <w:rtl w:val="true"/>
        </w:rPr>
        <w:footnoteReference w:id="369"/>
      </w:r>
      <w:bookmarkStart w:id="550" w:name="pg2866_38222"/>
    </w:p>
    <w:p>
      <w:pPr>
        <w:pStyle w:val="Heading3"/>
        <w:numPr>
          <w:ilvl w:val="2"/>
          <w:numId w:val="1"/>
        </w:numPr>
        <w:rPr/>
      </w:pPr>
      <w:bookmarkStart w:id="551" w:name="__RefHeading___Toc2819748_1395250215"/>
      <w:bookmarkStart w:id="552" w:name="_Toc189"/>
      <w:bookmarkEnd w:id="550"/>
      <w:bookmarkEnd w:id="551"/>
      <w:r>
        <w:rPr>
          <w:rtl w:val="true"/>
        </w:rPr>
        <w:t>الفصل الثانی</w:t>
      </w:r>
      <w:r>
        <w:rPr>
          <w:rtl w:val="true"/>
        </w:rPr>
        <w:t>:</w:t>
      </w:r>
      <w:r>
        <w:rPr>
          <w:rtl w:val="true"/>
        </w:rPr>
        <w:t>أدلّة منکری بعثة الأنبیاء</w:t>
      </w:r>
      <w:bookmarkEnd w:id="552"/>
    </w:p>
    <w:p>
      <w:pPr>
        <w:pStyle w:val="Heading4"/>
        <w:numPr>
          <w:ilvl w:val="3"/>
          <w:numId w:val="1"/>
        </w:numPr>
        <w:rPr/>
      </w:pPr>
      <w:bookmarkStart w:id="553" w:name="__RefHeading___Toc2819750_1395250215"/>
      <w:bookmarkStart w:id="554" w:name="_Toc190"/>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استدلّ المنکرون لبعثة الأنبیاء علی مدّعاهم بوجوه أهمّها ما یلی</w:t>
      </w:r>
      <w:r>
        <w:rPr>
          <w:rFonts w:eastAsia="IRNazanin" w:cs="IRNazanin"/>
          <w:color w:val="111111"/>
          <w:sz w:val="28"/>
          <w:szCs w:val="28"/>
          <w:rtl w:val="true"/>
          <w:lang w:bidi="fa-IR"/>
        </w:rPr>
        <w:t>:</w:t>
      </w:r>
    </w:p>
    <w:p>
      <w:pPr>
        <w:pStyle w:val="Heading4"/>
        <w:numPr>
          <w:ilvl w:val="3"/>
          <w:numId w:val="1"/>
        </w:numPr>
        <w:rPr/>
      </w:pPr>
      <w:bookmarkStart w:id="555" w:name="__RefHeading___Toc2819752_1395250215"/>
      <w:bookmarkStart w:id="556" w:name="_Toc191"/>
      <w:bookmarkEnd w:id="555"/>
      <w:r>
        <w:rPr>
          <w:rtl w:val="true"/>
        </w:rPr>
        <w:t>الدلیل الأوّل</w:t>
      </w:r>
      <w:bookmarkEnd w:id="556"/>
    </w:p>
    <w:p>
      <w:pPr>
        <w:pStyle w:val="BookText"/>
        <w:rPr/>
      </w:pPr>
      <w:r>
        <w:rPr>
          <w:rFonts w:ascii="IRNazanin" w:hAnsi="IRNazanin" w:eastAsia="IRNazanin"/>
          <w:color w:val="111111"/>
          <w:sz w:val="28"/>
          <w:sz w:val="28"/>
          <w:szCs w:val="28"/>
          <w:rtl w:val="true"/>
          <w:lang w:bidi="fa-IR"/>
        </w:rPr>
        <w:t>إنّ الرسول إمّا أن یأتی بما یوافق العقول أو بما یخالفها، فإن جاء بما یوافق العقول، لم یکن إلیه حاجة، و لا فائدة فیه، و إن جاء بما یخالف العقول، وجب ردّ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یأتی به الرّسول موافق للعقل فی نفس الأمر، لکن لا یستلزم ذلک أن یکون العقل عارفاً بجمیع ما یأتی به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فرض ثالث و هو إتیان الرّسول بما لا یصل إلیه العقل بالطاقات المیسورة له، فإنّک قد عرفت فیما أقمنا من الأدلّة علی لزوم البعثة، أنّ عقل الإنسان و تفکّره قاصر عن نیل الکثیر من المسائل</w:t>
      </w:r>
      <w:r>
        <w:rPr>
          <w:rFonts w:eastAsia="IRNazanin" w:cs="IRNazanin"/>
          <w:color w:val="111111"/>
          <w:sz w:val="28"/>
          <w:szCs w:val="28"/>
          <w:rtl w:val="true"/>
          <w:lang w:bidi="fa-IR"/>
        </w:rPr>
        <w:t>.</w:t>
      </w:r>
    </w:p>
    <w:p>
      <w:pPr>
        <w:pStyle w:val="Heading4"/>
        <w:numPr>
          <w:ilvl w:val="3"/>
          <w:numId w:val="1"/>
        </w:numPr>
        <w:rPr/>
      </w:pPr>
      <w:bookmarkStart w:id="557" w:name="__RefHeading___Toc2819754_1395250215"/>
      <w:bookmarkStart w:id="558" w:name="_Toc192"/>
      <w:bookmarkEnd w:id="557"/>
      <w:r>
        <w:rPr>
          <w:rtl w:val="true"/>
        </w:rPr>
        <w:t>الدلیل الثانی</w:t>
      </w:r>
      <w:r>
        <w:rPr>
          <w:rtl w:val="true"/>
        </w:rPr>
        <w:t>:</w:t>
      </w:r>
      <w:bookmarkEnd w:id="55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دلّت الدلائل العقلیة علی أنّ للعالم صانعاً عالماً قادراً حکیماً، و أنّه </w:t>
      </w:r>
      <w:bookmarkStart w:id="559" w:name="pg2866_38223"/>
    </w:p>
    <w:p>
      <w:pPr>
        <w:pStyle w:val="BookText"/>
        <w:rPr/>
      </w:pPr>
      <w:bookmarkEnd w:id="559"/>
      <w:r>
        <w:rPr>
          <w:rFonts w:ascii="IRNazanin" w:hAnsi="IRNazanin" w:eastAsia="IRNazanin"/>
          <w:color w:val="111111"/>
          <w:sz w:val="28"/>
          <w:sz w:val="28"/>
          <w:szCs w:val="28"/>
          <w:rtl w:val="true"/>
          <w:lang w:bidi="fa-IR"/>
        </w:rPr>
        <w:t>أنعم علی عباده نعماً توجب الشکر، فننظر فی آیات خلقه بعقولنا، و نشکره بآلائه علینا، و إذا عرفناه و شکرنا له، استوجبنا ثوابه، و إذا أنکرناه و کفرنا به، استوجبنا عقابه، فما بالنا نتّبع بشراً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الناس لا یعرفون کیفیة الشکر، فربما یتصوّرون أنّ عبادة المقرَّبین نوع شکر للّٰه سبحانه، فلأجل ذلک تری عبدة الأصنام و الأوثان یعتقدون أنّ عبادتهم للمخلوق شیء موجب للتقرّب</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أضف الی ذلک أنّ تخصیص برامج الأنبیاء بالأمر بالشکر و النهی عن کفران النعمة، غفلة عن أهدافهم السامیة، فإنّهم جاءوا لإسعاد البشر فی حیاتهم الفردیة و الاجتماعیة، و لا تختصّ رسالتهم بالأوراد و الأذکار الجافّة، کتلک الّتی یردّدها أصحاب بعض الدیانات أیّام السّبت و الأحد فی البیع و الکنائس، و إنّک لتقف علی عظیم أهداف رسالة النبیّ الأکرم صلی الله علیه و آله إذا وقفت علی کلمته المأثورة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جئتکم بخیر الدنیا و الآخرة</w:t>
      </w:r>
      <w:r>
        <w:rPr>
          <w:rFonts w:eastAsia="IRNazanin" w:cs="IRNazanin"/>
          <w:color w:val="111111"/>
          <w:sz w:val="28"/>
          <w:szCs w:val="28"/>
          <w:rtl w:val="true"/>
          <w:lang w:bidi="fa-IR"/>
        </w:rPr>
        <w:t xml:space="preserve">». </w:t>
      </w:r>
      <w:r>
        <w:rPr>
          <w:rStyle w:val="FootnoteAnchor"/>
          <w:rtl w:val="true"/>
        </w:rPr>
        <w:footnoteReference w:id="371"/>
      </w:r>
    </w:p>
    <w:p>
      <w:pPr>
        <w:pStyle w:val="Heading4"/>
        <w:numPr>
          <w:ilvl w:val="3"/>
          <w:numId w:val="1"/>
        </w:numPr>
        <w:rPr/>
      </w:pPr>
      <w:bookmarkStart w:id="560" w:name="__RefHeading___Toc2819756_1395250215"/>
      <w:bookmarkStart w:id="561" w:name="_Toc193"/>
      <w:bookmarkEnd w:id="560"/>
      <w:r>
        <w:rPr>
          <w:rtl w:val="true"/>
        </w:rPr>
        <w:t>الدلیل الثالث</w:t>
      </w:r>
      <w:r>
        <w:rPr>
          <w:rtl w:val="true"/>
        </w:rPr>
        <w:t>:</w:t>
      </w:r>
      <w:bookmarkEnd w:id="561"/>
    </w:p>
    <w:p>
      <w:pPr>
        <w:pStyle w:val="BookText"/>
        <w:rPr/>
      </w:pPr>
      <w:r>
        <w:rPr>
          <w:rFonts w:ascii="IRNazanin" w:hAnsi="IRNazanin" w:eastAsia="IRNazanin"/>
          <w:color w:val="111111"/>
          <w:sz w:val="28"/>
          <w:sz w:val="28"/>
          <w:szCs w:val="28"/>
          <w:rtl w:val="true"/>
          <w:lang w:bidi="fa-IR"/>
        </w:rPr>
        <w:t>إنّ أکبر الکبائر فی الرسالة، اتّباع رجل هو مثلک فی الصورة و النفس و العقل، یأکل ممّا تأکل، و یشرب ممّا تشرب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 مزیّة له علیک؟ و أیّ فضیلة أوجبت استخدامک؟ و ما دلیله علی صدق دعواه؟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شبهة أشیر إلیها فی القرآن الکریم مع الجواب عنها، فقد أشیر الی الشّبهة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النَّجْوَی الَّذِینَ ظَلَمُوا هَلْ هٰذٰا إِلاّٰ بَشَرٌ مِثْلُکُمْ أَ فَتَأْتُونَ السِّحْرَ وَ أَنْتُمْ تُبْصِرُونَ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قد أجیب عنها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مِثْلُکُمْ وَ لٰکِنَّ اللّٰهَ یَمُنُّ عَلیٰ مَنْ یَشٰاءُ مِنْ عِبٰادِهِ وَ مٰا کٰانَ لَنٰا أَنْ نَأْتِیَکُمْ بِسُلْطٰانٍ إِلاّٰ بِإِذْنِ اللّٰهِ وَ 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فالجملة الأُولی، و هی الاتحاد فی البشریة، إشارة إلی أحد رکنی </w:t>
      </w:r>
    </w:p>
    <w:p>
      <w:pPr>
        <w:pStyle w:val="BookText"/>
        <w:rPr/>
      </w:pPr>
      <w:r>
        <w:rPr>
          <w:rFonts w:ascii="IRNazanin" w:hAnsi="IRNazanin" w:eastAsia="IRNazanin"/>
          <w:color w:val="111111"/>
          <w:sz w:val="28"/>
          <w:sz w:val="28"/>
          <w:szCs w:val="28"/>
          <w:rtl w:val="true"/>
          <w:lang w:bidi="fa-IR"/>
        </w:rPr>
        <w:t xml:space="preserve">الرسالة، و هو لزوم المسانخة التامّة بین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وجه الفرق بینهما، و أنّه لأجل نزول الوحی علیه یجب اتّباعه و إطاعته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مزیّة الأنبیاء و فضیلتهم و تقدّمهم علی غیرهم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دلیلهم علی صدق ادّعاءاتهم، فسیوافیک فی البحث التالی أنّ المعجزة طریق برهانی لتمییز النبیّ الصادق عن المتنبّئ الکاذب</w:t>
      </w:r>
      <w:r>
        <w:rPr>
          <w:rFonts w:eastAsia="IRNazanin" w:cs="IRNazanin"/>
          <w:color w:val="111111"/>
          <w:sz w:val="28"/>
          <w:szCs w:val="28"/>
          <w:rtl w:val="true"/>
          <w:lang w:bidi="fa-IR"/>
        </w:rPr>
        <w:t xml:space="preserve">. </w:t>
      </w:r>
      <w:bookmarkStart w:id="562" w:name="pg2866_38227"/>
    </w:p>
    <w:p>
      <w:pPr>
        <w:pStyle w:val="Heading3"/>
        <w:numPr>
          <w:ilvl w:val="2"/>
          <w:numId w:val="1"/>
        </w:numPr>
        <w:rPr/>
      </w:pPr>
      <w:bookmarkStart w:id="563" w:name="__RefHeading___Toc2819758_1395250215"/>
      <w:bookmarkStart w:id="564" w:name="_Toc194"/>
      <w:bookmarkEnd w:id="562"/>
      <w:bookmarkEnd w:id="563"/>
      <w:r>
        <w:rPr>
          <w:rtl w:val="true"/>
        </w:rPr>
        <w:t>الفصل الثالث</w:t>
      </w:r>
      <w:r>
        <w:rPr>
          <w:rtl w:val="true"/>
        </w:rPr>
        <w:t>:</w:t>
      </w:r>
      <w:r>
        <w:rPr>
          <w:rtl w:val="true"/>
        </w:rPr>
        <w:t>المعجزة و إثبات صدق دعوی النبوّة</w:t>
      </w:r>
      <w:bookmarkEnd w:id="564"/>
    </w:p>
    <w:p>
      <w:pPr>
        <w:pStyle w:val="Heading4"/>
        <w:numPr>
          <w:ilvl w:val="3"/>
          <w:numId w:val="1"/>
        </w:numPr>
        <w:rPr/>
      </w:pPr>
      <w:bookmarkStart w:id="565" w:name="__RefHeading___Toc2819760_1395250215"/>
      <w:bookmarkStart w:id="566" w:name="_Toc195"/>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یجب أن تقترن دعوی النبوَّة بدلیل یثبت صحّتها و إلّا کانت دعوی فارغة غیر قابلة للإذعان و القبول و هذا ما تقتضیه الفطرة الإنسانیة، یقول الشیخ الرئیس فی کلمته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دعوی المدّعی بلا بیِّنة و برهان، فقد خرج عن الفطرة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 طرقاً ثلاثة للوقوف علی صدق مدّعی النبوَّة فی دعواه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النبیّ السّابق نبوّة النبیّ اللاحق؛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القرائن و الشّواهد من حالات المدّعی و تلامذة منهجه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نکتفی هنا بتبیین طریق المعجزة الّتی هی الأهمّ منها</w:t>
      </w:r>
      <w:r>
        <w:rPr>
          <w:rFonts w:eastAsia="IRNazanin" w:cs="IRNazanin"/>
          <w:color w:val="111111"/>
          <w:sz w:val="28"/>
          <w:szCs w:val="28"/>
          <w:rtl w:val="true"/>
          <w:lang w:bidi="fa-IR"/>
        </w:rPr>
        <w:t>.</w:t>
      </w:r>
    </w:p>
    <w:p>
      <w:pPr>
        <w:pStyle w:val="Heading4"/>
        <w:numPr>
          <w:ilvl w:val="3"/>
          <w:numId w:val="1"/>
        </w:numPr>
        <w:rPr/>
      </w:pPr>
      <w:bookmarkStart w:id="567" w:name="__RefHeading___Toc2819762_1395250215"/>
      <w:bookmarkStart w:id="568" w:name="_Toc196"/>
      <w:bookmarkEnd w:id="567"/>
      <w:r>
        <w:rPr>
          <w:rtl w:val="true"/>
        </w:rPr>
        <w:t>تعریف المعجزة</w:t>
      </w:r>
      <w:bookmarkEnd w:id="56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فی تعریف المعجزة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خارق للعادة، مقرون بالتحدّی، مع عدم المعارضة</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إلیک توضیحه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هناک أُموراً تعدّ مضادّة للعقل، کاجتماع النقیضین و ارتفاعهما، و وجود المعلول بلا علّة و نحو ذلک، و أُموراً أُخری تخالف القواعد العادیة، بمعنی أنّها تعدّ محالات حسب الأدوات و الأجهزة العادیة، و المجاری الطبیعیة، و لکنّها لیست مستحیلة عقلاً لو کان هناک أدوات أُخری خارجة عن نطاق العادة، و هی المسمّاة بالمعاجز، و ذلک کحرکة جسم کبیر من مکان إلی مکان آخر بعید عنه، فی فترة زمانیة لا تزید علی طرفة العین بلا تلک الوسائط العادیة، فإنّه غیر ممتنع عقلاً و لکنّه محال عادة، و من هذا القبیل ما یحکیه القرآن من قیام من أوتی علماً من الکتاب بإحضار عرش بلقیس ملکة سبأ، من بلاد الیمن إلی بلاد الشام فی طرفة عین بلا توسط شیء من تلک الأجهزة المادّیة المتعارفة</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فتحصّل أنّ المعجزة أمر خارق للعادة لا مضادّ للعقل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الإتیان بما هو خارق للعادة لا یسمّی معجزة إلّا إذا کان مقترناً بدعوی النبوّة، و إذا تجرّد عنها و صدر من بعض أولیاء اللّه تعالی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کحضور الرزق لمریم علیها السلام بلا سعی طبیعی</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 لأجل ذلک کان الأُولی أن یضیفوا إلی التعریف 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دعوی النبوّة</w:t>
      </w:r>
      <w:r>
        <w:rPr>
          <w:rFonts w:eastAsia="IRNazanin" w:cs="IRNazanin"/>
          <w:color w:val="111111"/>
          <w:sz w:val="28"/>
          <w:szCs w:val="28"/>
          <w:rtl w:val="true"/>
          <w:lang w:bidi="fa-IR"/>
        </w:rPr>
        <w:t xml:space="preserve">». </w:t>
      </w:r>
      <w:r>
        <w:rPr>
          <w:rStyle w:val="FootnoteAnchor"/>
          <w:rtl w:val="true"/>
        </w:rPr>
        <w:footnoteReference w:id="380"/>
      </w:r>
      <w:bookmarkStart w:id="569" w:name="pg2866_38229"/>
    </w:p>
    <w:p>
      <w:pPr>
        <w:pStyle w:val="BookText"/>
        <w:rPr/>
      </w:pPr>
      <w:bookmarkEnd w:id="569"/>
      <w:r>
        <w:rPr>
          <w:rFonts w:ascii="IRNazanin" w:hAnsi="IRNazanin" w:eastAsia="IRNazanin"/>
          <w:color w:val="111111"/>
          <w:sz w:val="28"/>
          <w:sz w:val="28"/>
          <w:szCs w:val="28"/>
          <w:rtl w:val="true"/>
          <w:lang w:bidi="fa-IR"/>
        </w:rPr>
        <w:t>و لا یتحقّق الإعجاز إلّا إذا عجز الناس عن القیام بمعارضة ما أتی به مدّعی النبوّة، و یترتّب علی هذا أنّ ما یقوم به کبار الأطباء و المخترعین من الأُمور العجیبة خارج عن إطار الإعجاز، کما أنّ ما یقوم به السّحرة و المرتاضون من الأعمال المدهشة، لا یعدّ معجزاً لانتفاء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شرائط کون الإعجاز دلیلاً علی صدق دعوی النبوّة أن یکون فعل المدّعی مطابقاً لدعواه، فلو خالف ما ادّعاه لما سمّی معجزة و إن کان أمراً خارقاً للعادة، و من ذلک ما حصل من مسیلمة الکذّاب عند ما ادّعی أنّه نبی، و آیة نبوّته أنّه إذا تفل فی بئر قلیلة الماء، یکثر ماؤها، فتفل فغار جمیع ماؤها</w:t>
      </w:r>
      <w:r>
        <w:rPr>
          <w:rFonts w:eastAsia="IRNazanin" w:cs="IRNazanin"/>
          <w:color w:val="111111"/>
          <w:sz w:val="28"/>
          <w:szCs w:val="28"/>
          <w:rtl w:val="true"/>
          <w:lang w:bidi="fa-IR"/>
        </w:rPr>
        <w:t>.</w:t>
      </w:r>
    </w:p>
    <w:p>
      <w:pPr>
        <w:pStyle w:val="Heading4"/>
        <w:numPr>
          <w:ilvl w:val="3"/>
          <w:numId w:val="1"/>
        </w:numPr>
        <w:rPr/>
      </w:pPr>
      <w:bookmarkStart w:id="570" w:name="__RefHeading___Toc2819764_1395250215"/>
      <w:bookmarkStart w:id="571" w:name="_Toc197"/>
      <w:bookmarkEnd w:id="570"/>
      <w:r>
        <w:rPr>
          <w:rtl w:val="true"/>
        </w:rPr>
        <w:t>دلالة المعجزة و قاعدة الحسن و القبح العقلیین</w:t>
      </w:r>
      <w:bookmarkEnd w:id="571"/>
    </w:p>
    <w:p>
      <w:pPr>
        <w:pStyle w:val="BookText"/>
        <w:rPr/>
      </w:pPr>
      <w:r>
        <w:rPr>
          <w:rFonts w:ascii="IRNazanin" w:hAnsi="IRNazanin" w:eastAsia="IRNazanin"/>
          <w:color w:val="111111"/>
          <w:sz w:val="28"/>
          <w:sz w:val="28"/>
          <w:szCs w:val="28"/>
          <w:rtl w:val="true"/>
          <w:lang w:bidi="fa-IR"/>
        </w:rPr>
        <w:t>إنّ دلالة المعجزة علی صدق دعوی النبوّة یتوقّف علی القول بالحسن و القبح العقلیین، لأنّ الإعجاز إنّما یکون دلیلاً علی صدق النبوّة، إذا قبح فی العقل إظهار المعجزة علی ید الکاذب، فإذا توقّف العقل عن إدراک قبحه و احتمل صحّة إمکان ظهوره علی ید الکاذب، لا یقدر علی التمییز بین الصادق و الکاذب، فالّذین أنکروا حکم العقل بهما، یلزم علیهم سدّ باب التصدیق بالنبوّة من طریق الإعجاز، قال العلاّمة الحلّی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الحسن و القبح باعتبار السمع لا غیر لما قبح من اللّه تعالی شیء ، و لو کان کذلک لما قبح منه تعالی إظهار المعجزات علی ید الکاذبین، و تجویز ذلک یسدّ باب معرفة النبوّة، فإنّ أیّ </w:t>
      </w:r>
      <w:bookmarkStart w:id="572" w:name="pg2866_38231"/>
    </w:p>
    <w:p>
      <w:pPr>
        <w:pStyle w:val="BookText"/>
        <w:rPr/>
      </w:pPr>
      <w:bookmarkEnd w:id="572"/>
      <w:r>
        <w:rPr>
          <w:rFonts w:ascii="IRNazanin" w:hAnsi="IRNazanin" w:eastAsia="IRNazanin"/>
          <w:color w:val="111111"/>
          <w:sz w:val="28"/>
          <w:sz w:val="28"/>
          <w:szCs w:val="28"/>
          <w:rtl w:val="true"/>
          <w:lang w:bidi="fa-IR"/>
        </w:rPr>
        <w:t>نبی أظهر المعجزة عقیب ادّعاء النبوّة لا یمکن تصدیقه مع تجویز إظهار المعجزة علی ید الکاذب فی دعوی النبوّة</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573" w:name="__RefHeading___Toc2819766_1395250215"/>
      <w:bookmarkStart w:id="574" w:name="_Toc198"/>
      <w:bookmarkEnd w:id="573"/>
      <w:r>
        <w:rPr>
          <w:rtl w:val="true"/>
        </w:rPr>
        <w:t>المعجزة دلیل برهانی</w:t>
      </w:r>
      <w:bookmarkEnd w:id="574"/>
    </w:p>
    <w:p>
      <w:pPr>
        <w:pStyle w:val="BookText"/>
        <w:rPr/>
      </w:pPr>
      <w:r>
        <w:rPr>
          <w:rFonts w:ascii="IRNazanin" w:hAnsi="IRNazanin" w:eastAsia="IRNazanin"/>
          <w:color w:val="111111"/>
          <w:sz w:val="28"/>
          <w:sz w:val="28"/>
          <w:szCs w:val="28"/>
          <w:rtl w:val="true"/>
          <w:lang w:bidi="fa-IR"/>
        </w:rPr>
        <w:t xml:space="preserve">هناک من یتخیّل أن دلالة المعجزة علی صدق دعوی النبیّ، دلالة إقناعیة لا برهانیة، بحجّة أنّ الدلیل البرهانی یتوقّف علی وجود رابطة منطقیة بین المدّعیٰ و الدلیل، و هی غیر موجودة فی المقام، و یردّه أنّ دعوی النبوّة و الرسالة من کلّ نبیّ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یقصّه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بدعوی الوحی و التکلیم الإلهی بلا واسطة أو بواسطة نزول ملک، و هذا أمر لا یساعده الحسّ و لا تؤیّده التجربة، فإنّ الوحی و التکلیم الإلهی و ما یتلوه من التشریع و التربیة الدینیة ممّا لا یشاهده البشر فی أنفسهم، و العادة الجاریة فی الأسباب و المسبّبات تنکره، فهو أمر خارق للعادة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النبیّ صادقاً فی دعواه النبوّة و الوحی، لکان لازمه أنّه متّصل بما وراء الطبیعة، مؤیَّد بقوَّة إلهیة تقدر علی خرق العادة، فلو کان هذا حقّاً کان من الممکن أن یصدر من النبیّ خارق آخر للعادة یصدّق النبوّة و الوحی من غیر مانع منه، فإنّ حکم الأمثال واحد، فلئن أراد اللّه هدایة الناس بطریق خارق للعادة و هو طریق النبوّة و الوحی، فلیؤیّدها و لیصدّقها بخارق آخر و هو المعجزة</w:t>
      </w:r>
      <w:r>
        <w:rPr>
          <w:rFonts w:eastAsia="IRNazanin" w:cs="IRNazanin"/>
          <w:color w:val="111111"/>
          <w:sz w:val="28"/>
          <w:szCs w:val="28"/>
          <w:rtl w:val="true"/>
          <w:lang w:bidi="fa-IR"/>
        </w:rPr>
        <w:t xml:space="preserve">. </w:t>
      </w:r>
      <w:bookmarkStart w:id="575" w:name="pg2866_38232"/>
    </w:p>
    <w:p>
      <w:pPr>
        <w:pStyle w:val="BookText"/>
        <w:rPr/>
      </w:pPr>
      <w:bookmarkEnd w:id="575"/>
      <w:r>
        <w:rPr>
          <w:rFonts w:ascii="IRNazanin" w:hAnsi="IRNazanin" w:eastAsia="IRNazanin"/>
          <w:color w:val="111111"/>
          <w:sz w:val="28"/>
          <w:sz w:val="28"/>
          <w:szCs w:val="28"/>
          <w:rtl w:val="true"/>
          <w:lang w:bidi="fa-IR"/>
        </w:rPr>
        <w:t>و هذا هو الّذی بعث الأُمم إلی سؤال المعجزة علی صدق دعوی النبوّة کلّما جاءهم رسول من أنفسهم</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576" w:name="__RefHeading___Toc2819768_1395250215"/>
      <w:bookmarkStart w:id="577" w:name="_Toc199"/>
      <w:bookmarkEnd w:id="576"/>
      <w:r>
        <w:rPr>
          <w:rtl w:val="true"/>
        </w:rPr>
        <w:t>فوارق المعجزة لسائر خوارق العادة</w:t>
      </w:r>
      <w:bookmarkEnd w:id="577"/>
    </w:p>
    <w:p>
      <w:pPr>
        <w:pStyle w:val="BookText"/>
        <w:rPr/>
      </w:pPr>
      <w:r>
        <w:rPr>
          <w:rFonts w:ascii="IRNazanin" w:hAnsi="IRNazanin" w:eastAsia="IRNazanin"/>
          <w:color w:val="111111"/>
          <w:sz w:val="28"/>
          <w:sz w:val="28"/>
          <w:szCs w:val="28"/>
          <w:rtl w:val="true"/>
          <w:lang w:bidi="fa-IR"/>
        </w:rPr>
        <w:t>إنّ هناک جهات من التمایز و التفارق بین المعجزة و الکرامة و بین غیرهما من خوارق العادات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 من حیث طریق الحصول علیها، فإنّ المعجزة و الکرامة ولیدتان لعنایة إلهیة خاصة، و لیس السّبب لهما ممّا تناله ید الدراسة و التعلّم، و لکنّ السّحر و نحوه نتاج التعلیم و التعلّم و لها مناهج تعلیمیة یجب ممارستها حتّی یصل طالبها إلی النتائج المطلوبة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السحر و نحوه رهن التعلیم و التعلّم، فهو متشابه فی نوعه، متّحد فی جنسه، یدور فی فلک واحد، و لا یخرج عن نطاق ما تعلّمه أهله و لذا لا یأتون إلّا بما تدرّبوا علیه، بخلاف معجزة الأنبیاء فإنّه علی جانب عظیم من التنوّع فی الکیفیّة إلی حدّ قد لا یجد الإنسان بین المعجزات قدراً </w:t>
      </w:r>
    </w:p>
    <w:p>
      <w:pPr>
        <w:pStyle w:val="BookText"/>
        <w:rPr/>
      </w:pPr>
      <w:r>
        <w:rPr>
          <w:rFonts w:ascii="IRNazanin" w:hAnsi="IRNazanin" w:eastAsia="IRNazanin"/>
          <w:color w:val="111111"/>
          <w:sz w:val="28"/>
          <w:sz w:val="28"/>
          <w:szCs w:val="28"/>
          <w:rtl w:val="true"/>
          <w:lang w:bidi="fa-IR"/>
        </w:rPr>
        <w:t>مشترکاً و جنساً قریباً، کما فی المعجزات الّتی یخبر بها القرآن عن موسی و عیسی علیهما السلام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الحکمة الإلهیة اقتضت أن تکون معاجز الأنبیاء مناسبة للفنون الرائجة فی عصورهم حتی یتسنّی لخبراء کلّ فنٍّ تشخیص المعاجز و إدراک استنادها إلی القدرة الغیبیة، و تمیّزها عن الأعمال الباهرة المستندة إلی العلوم و الفنون الرائجة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من حیث الأهداف و الغایات، فإنّ أصحاب المعاجز یتبنّون أهدافاً عالیة و یتوسّلون بمعاجزهم لإثبات حقّانیة تلک الأهداف و نشرها، و هی تتمثّل فی الدعوة إلی اللّه تعالی وحده و تخلیص الإنسان عبودیّة الأصنام و الحجارة و الحیوانات و الدعوة إلی الفضائل و نبذ الرذائل، و استقرار نظام العدل الاجتماعی و غیر ذلک، کما أنّ أصحاب الکرامات أیضاً لا یتبنّون إلّا ما یکون موافقاً لرضی اللّه سبحانه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المرتاضین و السّحرة، فغایتهم إمّا کسب الشهرة و السّمعة بین الناس، أو جمع المال و الثروة، و غیر ذلک ممّا یناسب متطلّبات القوی البهیمیّة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الثالثة من حیث التقیّد بالقیم الأخلاقیة، فإنّ أصحاب المعاجز و الکرامات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کونهم خرّیجی المدرسة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متحلّون بأکمل الفضائل و الأخلاق الإنسانیّة، و المتصفّح لسیرتهم لا یجد فیها أیّ عمل مشین و مناف للعفّة و مکارم الأخلاق، و أمّا أصحاب الرّیاضة و السّحر، فهم دونهم فی ذلک، بل تراهم غالباً فارغین عن المثل و الفضائل و القیم</w:t>
      </w:r>
      <w:r>
        <w:rPr>
          <w:rFonts w:eastAsia="IRNazanin" w:cs="IRNazanin"/>
          <w:color w:val="111111"/>
          <w:sz w:val="28"/>
          <w:szCs w:val="28"/>
          <w:rtl w:val="true"/>
          <w:lang w:bidi="fa-IR"/>
        </w:rPr>
        <w:t xml:space="preserve">. </w:t>
      </w:r>
      <w:bookmarkStart w:id="578" w:name="pg2866_38235"/>
    </w:p>
    <w:p>
      <w:pPr>
        <w:pStyle w:val="BookText"/>
        <w:rPr/>
      </w:pPr>
      <w:bookmarkEnd w:id="578"/>
      <w:r>
        <w:rPr>
          <w:rFonts w:ascii="IRNazanin" w:hAnsi="IRNazanin" w:eastAsia="IRNazanin"/>
          <w:color w:val="111111"/>
          <w:sz w:val="28"/>
          <w:sz w:val="28"/>
          <w:szCs w:val="28"/>
          <w:rtl w:val="true"/>
          <w:lang w:bidi="fa-IR"/>
        </w:rPr>
        <w:t>فبهذه الضوابط یتمکّن الإنسان من تمییز المعجزة عن غیرها من الخوارق و النبیّ عن المرتاض و السّاحر</w:t>
      </w:r>
      <w:r>
        <w:rPr>
          <w:rFonts w:eastAsia="IRNazanin" w:cs="IRNazanin"/>
          <w:color w:val="111111"/>
          <w:sz w:val="28"/>
          <w:szCs w:val="28"/>
          <w:rtl w:val="true"/>
          <w:lang w:bidi="fa-IR"/>
        </w:rPr>
        <w:t>.</w:t>
      </w:r>
    </w:p>
    <w:p>
      <w:pPr>
        <w:pStyle w:val="Heading4"/>
        <w:numPr>
          <w:ilvl w:val="3"/>
          <w:numId w:val="1"/>
        </w:numPr>
        <w:rPr/>
      </w:pPr>
      <w:bookmarkStart w:id="579" w:name="__RefHeading___Toc2819770_1395250215"/>
      <w:bookmarkStart w:id="580" w:name="_Toc200"/>
      <w:bookmarkEnd w:id="579"/>
      <w:r>
        <w:rPr>
          <w:rtl w:val="true"/>
        </w:rPr>
        <w:t>المعجزة و قانون العلّیة</w:t>
      </w:r>
      <w:bookmarkEnd w:id="580"/>
    </w:p>
    <w:p>
      <w:pPr>
        <w:pStyle w:val="BookText"/>
        <w:rPr/>
      </w:pPr>
      <w:r>
        <w:rPr>
          <w:rFonts w:ascii="IRNazanin" w:hAnsi="IRNazanin" w:eastAsia="IRNazanin"/>
          <w:color w:val="111111"/>
          <w:sz w:val="28"/>
          <w:sz w:val="28"/>
          <w:szCs w:val="28"/>
          <w:rtl w:val="true"/>
          <w:lang w:bidi="fa-IR"/>
        </w:rPr>
        <w:t>إنّ المعجزات لا تعدّ نقضاً لقانون العلّیة العام، فإنّ المنفی فی مورد المعجزة هو العلل المادّیة المتعارفة الّتی وقف علیها العالم الطبیعی و اعتاد الإنسان علی مشاهدته فی حیاته و لکن لا یمتنع أن یکون للمعجزة علّة أُخری لم یشاهدها النّاس من قبل و لم یعرفها العلم و لم تقف علیها التجربة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لا تضعضع برهان النظم الّذی یستدل به علی وجود الصانع، و ذلک لأنّ الإعجاز لیس خرقاً لجمیع النظم السائدة علی العالم، و إنّما هو خرق فی جزء من أجزائه غیر المتناهیة الخاضعة للنظام و الدالّة ببرهان النظم علی وجود الصانع</w:t>
      </w:r>
      <w:r>
        <w:rPr>
          <w:rFonts w:eastAsia="IRNazanin" w:cs="IRNazanin"/>
          <w:color w:val="111111"/>
          <w:sz w:val="28"/>
          <w:szCs w:val="28"/>
          <w:rtl w:val="true"/>
          <w:lang w:bidi="fa-IR"/>
        </w:rPr>
        <w:t xml:space="preserve">. </w:t>
      </w:r>
      <w:bookmarkStart w:id="581" w:name="pg2866_38237"/>
    </w:p>
    <w:p>
      <w:pPr>
        <w:pStyle w:val="Heading3"/>
        <w:numPr>
          <w:ilvl w:val="2"/>
          <w:numId w:val="1"/>
        </w:numPr>
        <w:rPr/>
      </w:pPr>
      <w:bookmarkStart w:id="582" w:name="__RefHeading___Toc2819772_1395250215"/>
      <w:bookmarkStart w:id="583" w:name="_Toc201"/>
      <w:bookmarkEnd w:id="581"/>
      <w:bookmarkEnd w:id="582"/>
      <w:r>
        <w:rPr>
          <w:rtl w:val="true"/>
        </w:rPr>
        <w:t>الفصل الرابع</w:t>
      </w:r>
      <w:r>
        <w:rPr>
          <w:rtl w:val="true"/>
        </w:rPr>
        <w:t>:</w:t>
      </w:r>
      <w:r>
        <w:rPr>
          <w:rtl w:val="true"/>
        </w:rPr>
        <w:t>حقیقة الوحی فی النبوّة</w:t>
      </w:r>
      <w:bookmarkEnd w:id="583"/>
    </w:p>
    <w:p>
      <w:pPr>
        <w:pStyle w:val="Heading4"/>
        <w:numPr>
          <w:ilvl w:val="3"/>
          <w:numId w:val="1"/>
        </w:numPr>
        <w:rPr/>
      </w:pPr>
      <w:bookmarkStart w:id="584" w:name="__RefHeading___Toc2819774_1395250215"/>
      <w:bookmarkStart w:id="585" w:name="_Toc202"/>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 xml:space="preserve">الوحی فی اللّغة کما یستنبط من نصوص أهلها فی معاجمهم هو الإعلام بخفاء بطریق من الطرق </w:t>
      </w:r>
      <w:r>
        <w:rPr>
          <w:rStyle w:val="FootnoteAnchor"/>
          <w:rtl w:val="true"/>
        </w:rPr>
        <w:footnoteReference w:id="389"/>
      </w:r>
      <w:r>
        <w:rPr>
          <w:rFonts w:ascii="IRNazanin" w:hAnsi="IRNazanin" w:eastAsia="IRNazanin"/>
          <w:color w:val="111111"/>
          <w:sz w:val="28"/>
          <w:sz w:val="28"/>
          <w:szCs w:val="28"/>
          <w:rtl w:val="true"/>
          <w:lang w:bidi="fa-IR"/>
        </w:rPr>
        <w:t>و قد جاء استعماله فی القرآن الکریم فی موارد متعدّدة مختلفة یجمعها المعنی اللغوی حقیقة أو ادّعاء، منها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أی أودع فی کلّ سماءٍ السنن و الأنظمة الکونیة، و قدّر علیها دوامها، فإیجاد السنن و النظم فی السّماوات علی وجه لا یقف علیه إلّا المتدبّر فی عالم الخلقة یشبه الإلقاء و الإعلام بخفاء بنحو لا یقف علیه إلّا الملقی إلیه، و هو الوحی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فأطلق الوحی علی ما أودع فی </w:t>
      </w:r>
      <w:bookmarkStart w:id="586" w:name="pg2866_38238"/>
    </w:p>
    <w:p>
      <w:pPr>
        <w:pStyle w:val="BookText"/>
        <w:rPr/>
      </w:pPr>
      <w:bookmarkEnd w:id="586"/>
      <w:r>
        <w:rPr>
          <w:rFonts w:ascii="IRNazanin" w:hAnsi="IRNazanin" w:eastAsia="IRNazanin"/>
          <w:color w:val="111111"/>
          <w:sz w:val="28"/>
          <w:sz w:val="28"/>
          <w:szCs w:val="28"/>
          <w:rtl w:val="true"/>
          <w:lang w:bidi="fa-IR"/>
        </w:rPr>
        <w:t>صمیم وجود النحل من غریزة إلهیة تهدیه إلی أعماله الحیویّة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حیث إنّ تفهیم أُمّ موسی مصیر ولدها کان بإلهام و إعلام خفی، عبّر عنه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تعالی فی وصف زکریّا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إلیهم من دون أن یتکلّم، لأمره سبحانه إیّاه أن لا یکلّم الناس ثلاث لیال سویّاً، فأشبه فعله، إلقاء الکلام بخفاء لکون الإشارة أمراً مبهماً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و یعلم وجه استعمال الوحی هنا ممّا ذکرناه فیما سبقه</w:t>
      </w:r>
      <w:r>
        <w:rPr>
          <w:rFonts w:eastAsia="IRNazanin" w:cs="IRNazanin"/>
          <w:color w:val="111111"/>
          <w:sz w:val="28"/>
          <w:szCs w:val="28"/>
          <w:rtl w:val="true"/>
          <w:lang w:bidi="fa-IR"/>
        </w:rPr>
        <w:t>.</w:t>
      </w:r>
    </w:p>
    <w:p>
      <w:pPr>
        <w:pStyle w:val="Heading4"/>
        <w:numPr>
          <w:ilvl w:val="3"/>
          <w:numId w:val="1"/>
        </w:numPr>
        <w:rPr/>
      </w:pPr>
      <w:bookmarkStart w:id="587" w:name="__RefHeading___Toc2819776_1395250215"/>
      <w:bookmarkStart w:id="588" w:name="_Toc203"/>
      <w:bookmarkEnd w:id="587"/>
      <w:r>
        <w:rPr>
          <w:rtl w:val="true"/>
        </w:rPr>
        <w:t>وحی النبوّة</w:t>
      </w:r>
      <w:bookmarkEnd w:id="58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الغالب فی استعمال کلمة الوحی فی القرآن هو کلام اللّه المنزل علی نبیّ من أنبیائه، فکلّما أطلق الوحی و جرّد عن القرینة یراد منه ذلک، و هذا هو الّذی نحن بصدد بیان حقیقته،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الّذی یختصّ به الأنبیاء إدراک خاصّ متمیّز عن سائر الإدراکات فإنّه لیس نتاج الحسّ و لا </w:t>
      </w:r>
      <w:bookmarkStart w:id="589" w:name="pg2866_38239"/>
    </w:p>
    <w:p>
      <w:pPr>
        <w:pStyle w:val="BookText"/>
        <w:rPr/>
      </w:pPr>
      <w:bookmarkEnd w:id="589"/>
      <w:r>
        <w:rPr>
          <w:rFonts w:ascii="Amiri" w:hAnsi="Amiri" w:eastAsia="Amiri" w:cs="Amiri"/>
          <w:color w:val="111111"/>
          <w:sz w:val="28"/>
          <w:sz w:val="28"/>
          <w:szCs w:val="28"/>
          <w:rtl w:val="true"/>
          <w:lang w:bidi="ar-SA"/>
        </w:rPr>
        <w:t>العقل و لا الغریزة، و إنّما هو شعور خاص یوجده اللّه سبحانه فی الأنبیاء لا یغلط معه النبیّ فی إدراکه و لا یشتبه و لا یختلجه شکّ و لا یعترضه ریب فی أنّ الّذی یوحی إلیه هو اللّه سبحانه، من غیر أن یحتاج إلی إعمال نظر أو التماس دلیل، أو إقامة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فهذه الآیة تشیر إلی أنّ الّذی یتلقّی الوحی من الروح الأمین هو نفس النبیّ الشریفة، من غیر مشارکة الحواس الظاهرة الّتی هی الأدوات المستعملة فی إدراک الأُمور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فالوحی حصیلة الاتّصال بعالم الغیب، و لا یصحّ تحلیله بأدوات المعرفة المعتادة و لا بالأُصول الّتی تجهّز بها العلم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یذعن بعالم الغیب یشکل علیه الإذعان بهذا الإدراک الّذی لا صلة له بعالم المادّة و أصوله</w:t>
      </w:r>
      <w:r>
        <w:rPr>
          <w:rFonts w:eastAsia="IRNazanin" w:cs="IRNazanin"/>
          <w:color w:val="111111"/>
          <w:sz w:val="28"/>
          <w:szCs w:val="28"/>
          <w:rtl w:val="true"/>
          <w:lang w:bidi="fa-IR"/>
        </w:rPr>
        <w:t>.</w:t>
      </w:r>
    </w:p>
    <w:p>
      <w:pPr>
        <w:pStyle w:val="Heading4"/>
        <w:numPr>
          <w:ilvl w:val="3"/>
          <w:numId w:val="1"/>
        </w:numPr>
        <w:rPr/>
      </w:pPr>
      <w:bookmarkStart w:id="590" w:name="__RefHeading___Toc2819778_1395250215"/>
      <w:bookmarkStart w:id="591" w:name="_Toc204"/>
      <w:bookmarkEnd w:id="590"/>
      <w:r>
        <w:rPr>
          <w:rtl w:val="true"/>
        </w:rPr>
        <w:t>فرضیّة النبوغ</w:t>
      </w:r>
      <w:bookmarkEnd w:id="5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فسّر بعض المتجددین النبوّة بالنبوغ و الوحی بلمعات ذاک النبوغ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یتمیّز بین أفراد الإنسان المتحضّر، أشخاص یملکون فطرة سلیمة و عقولاً مشرقة تهدیهم إلی ما فیه صلاح الاجتماع و سعادة الإنسان، فیضعون قوانین فیها مصلحة المجتمع و عمران الدنیا، و الإنسان الصالح الّذی یتمیّز بهذا النوع من النبوغ هو النبیّ، و الفکر الصالح المترشّح من مکامن عقله و ومضات نبوغه هو الوحی، و القوانین الّتی یسنّها لصلاح </w:t>
      </w:r>
      <w:bookmarkStart w:id="592" w:name="pg2866_38240"/>
    </w:p>
    <w:p>
      <w:pPr>
        <w:pStyle w:val="BookText"/>
        <w:rPr/>
      </w:pPr>
      <w:bookmarkEnd w:id="592"/>
      <w:r>
        <w:rPr>
          <w:rFonts w:ascii="IRNazanin" w:hAnsi="IRNazanin" w:eastAsia="IRNazanin"/>
          <w:color w:val="111111"/>
          <w:sz w:val="28"/>
          <w:sz w:val="28"/>
          <w:szCs w:val="28"/>
          <w:rtl w:val="true"/>
          <w:lang w:bidi="fa-IR"/>
        </w:rPr>
        <w:t>الاجتماع هو الدّین، و الروح الأمین هو نفسه الطاهرة الّتی تفیض هذه الأفکار إلی مراکز إدراکه، و الکتاب السّماوی هو کتابه الّذی یتضمّن سننه و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صحّت هذه النظریّة لم یبق من الاعتقاد بالغیب إلّا الإعتقاد بوجود الخالق البارئ ، أمّا ما سوی ذلک فکلّه نتاج الفکر الإنسانی الخاطئ ، و هذا فی الواقع نوع إنکار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قسماً ممّا یقع به الوحی الإنباء عن الحوادث المستقبلة، إنباءً لا یخطئ تحقّقه أبداً، مع أنّ النوابغ و إن سموا فی الذکاء و الفطنة لا یخبرون عن الحوادث المستقبلة إلّا مع الاحتیاط و التردّد، لا بالقطع و الیقین، و علی فرض إخبارهم کذلک لا یکون مصوناً عن الخطأ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حملة الوحی و مدّعی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أوّلهم إلی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ینسبون تعالیمهم و سننهم إلی اللّه سبحانه و لا یدّعون لأنفسهم شیئاً، و لا یشکّ أحد فی أنّ الأنبیاء عباد صالحون، صادقون لا یکذبون، فلو کانت السّنن الّتی أتوا بها من وحی أفکارهم، فلما ذا یغرّون المجتمع بنسبتها إلی اللّه تعالی؟</w:t>
      </w:r>
    </w:p>
    <w:p>
      <w:pPr>
        <w:pStyle w:val="Heading4"/>
        <w:numPr>
          <w:ilvl w:val="3"/>
          <w:numId w:val="1"/>
        </w:numPr>
        <w:rPr/>
      </w:pPr>
      <w:bookmarkStart w:id="593" w:name="__RefHeading___Toc2819780_1395250215"/>
      <w:bookmarkStart w:id="594" w:name="_Toc205"/>
      <w:bookmarkEnd w:id="593"/>
      <w:r>
        <w:rPr>
          <w:rtl w:val="true"/>
        </w:rPr>
        <w:t>هل الوحی نتیجة تجلّی الأحوال الروحیّة؟</w:t>
      </w:r>
      <w:bookmarkEnd w:id="59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 بعض المستشرقین </w:t>
      </w:r>
      <w:r>
        <w:rPr>
          <w:rStyle w:val="FootnoteAnchor"/>
          <w:rtl w:val="true"/>
        </w:rPr>
        <w:footnoteReference w:id="396"/>
      </w:r>
      <w:r>
        <w:rPr>
          <w:rFonts w:ascii="IRNazanin" w:hAnsi="IRNazanin" w:eastAsia="IRNazanin"/>
          <w:color w:val="111111"/>
          <w:sz w:val="28"/>
          <w:sz w:val="28"/>
          <w:szCs w:val="28"/>
          <w:rtl w:val="true"/>
          <w:lang w:bidi="fa-IR"/>
        </w:rPr>
        <w:t xml:space="preserve">أنّ الوحی إلهام یفیض من نفس النبیّ لا </w:t>
      </w:r>
      <w:bookmarkStart w:id="595" w:name="pg2866_38241"/>
    </w:p>
    <w:p>
      <w:pPr>
        <w:pStyle w:val="BookText"/>
        <w:rPr/>
      </w:pPr>
      <w:bookmarkEnd w:id="595"/>
      <w:r>
        <w:rPr>
          <w:rFonts w:ascii="IRNazanin" w:hAnsi="IRNazanin" w:eastAsia="IRNazanin"/>
          <w:color w:val="111111"/>
          <w:sz w:val="28"/>
          <w:sz w:val="28"/>
          <w:szCs w:val="28"/>
          <w:rtl w:val="true"/>
          <w:lang w:bidi="fa-IR"/>
        </w:rPr>
        <w:t>من الخارج، و ذاک أنّ منازع نفسه العالیة، و سریرته الطاهرة، و قوّة إیمانه باللّه و بوجوب عبادته، و ترک ما سواها من عبادة وثنیة و تقالید وراثیة ردیئة یکون لها من التأثیر ما یتجلّی فی ذهنه، و یحدث فی عقله الباطن الرؤی و الأحوال الروحیة فیتصوّر ما یعتقد وجوبه، إرشاداً إلهیاً نازلاً علیه من السّماء بدون وساطة، أو یتمثّل له رجل یلقّنه ذلک، یعتقد أنّه ملک من عالم الغیب، و قد یسمعه یقول ذلک و لکنّه إنّما یری و یسمع ما یعتقده فی الیقظة کما یری و یسمع مثل ذلک فی المنام الّذی هو مظهر من مظاهر الوحی عند جمیع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أصحاب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نشکّ فی صدق الأنبیاء فی إخبارهم عمّا رأوا و سمعوا، و 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منبع ذلک من نفسه و لیس فیه شیء جاء من عالم الغیب الّذی یقال إنّه وراء عالم المادّة و الطبیعة</w:t>
      </w:r>
      <w:r>
        <w:rPr>
          <w:rFonts w:eastAsia="IRNazanin" w:cs="IRNazanin"/>
          <w:color w:val="111111"/>
          <w:sz w:val="28"/>
          <w:szCs w:val="28"/>
          <w:rtl w:val="true"/>
          <w:lang w:bidi="fa-IR"/>
        </w:rPr>
        <w:t>.</w:t>
      </w:r>
    </w:p>
    <w:p>
      <w:pPr>
        <w:pStyle w:val="Heading4"/>
        <w:numPr>
          <w:ilvl w:val="3"/>
          <w:numId w:val="1"/>
        </w:numPr>
        <w:rPr/>
      </w:pPr>
      <w:bookmarkStart w:id="596" w:name="__RefHeading___Toc2819782_1395250215"/>
      <w:bookmarkStart w:id="597" w:name="_Toc206"/>
      <w:bookmarkEnd w:id="596"/>
      <w:r>
        <w:rPr>
          <w:rtl w:val="true"/>
        </w:rPr>
        <w:t>نقد هذه النظریّة</w:t>
      </w:r>
      <w:bookmarkEnd w:id="59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النظریّة الّتی جاء بها بعض الغربیین و إن کانت تنطلی علی السّذّج من الناس و تأخذ بینهم رونقاً إلّا أنّ رجال التحقیق یدرکون تماماً أنّها لیست بشیء جدید قابل للذکر، و إنّما هی تکرار لمقالات العرب الجاهلیین فی النبوّة و الوحی، فمن جملة افتراءاتهم علی النبیّ الأکرم صلی الله علیه و آله ، وصم شریعته بأنّها نتاج الأحلام العذبة الّتی کانت تراود خاطره، ثمّ تتجلّی علی لسانه و بصره،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أَضْغٰاثُ أَحْلاٰمٍ</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القرآن یردّ مقالتهم و یرکّز علی أنّ الوحی أمر واقعی مفاض من اللّه سبحانه، 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أی لم یکذّب فؤاد محمّد صلی الله علیه و آله ما أدرکه بصره، أی کانت رؤیته صحیحة غیر کاذبة و إدراکا حقیقیاً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کنایة عن صحّة رؤیته و إنّه لم یبصر ما أبصره علی غیر صفته الحقیقیة و لا أبصر ما لا حقیقة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کانوا یعرّفون أنفسهم بأنّهم مبعوثون من جانب اللّه تعالی و لا شأن لهم إلّا إبلاغ الرسالات الإلهیّة إلی الناس</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فی أنّهم کانوا صادقین فی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اعترف به صاحب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عندئذ لو قلنا بأنّ ما ذکروه غیر مطابق للواقع و أنّ ما أتوا به من المعارف و الشرائع لم یکن رسالات إلهیة و ذکراً من جانبه سبحانه، بل کان نابعاً من باطن ضمیرهم و تجلّیات نفوسهم، لکان الأنبیاء قاصرین فی مجال المعرفة، ما زالوا فی جهل مرکب، و هذا ما لا یتفوّه به من له أدنی معرفة </w:t>
      </w:r>
      <w:bookmarkStart w:id="598" w:name="pg2866_38243"/>
    </w:p>
    <w:p>
      <w:pPr>
        <w:pStyle w:val="BookText"/>
        <w:rPr/>
      </w:pPr>
      <w:bookmarkEnd w:id="598"/>
      <w:r>
        <w:rPr>
          <w:rFonts w:ascii="IRNazanin" w:hAnsi="IRNazanin" w:eastAsia="IRNazanin"/>
          <w:color w:val="111111"/>
          <w:sz w:val="28"/>
          <w:sz w:val="28"/>
          <w:szCs w:val="28"/>
          <w:rtl w:val="true"/>
          <w:lang w:bidi="fa-IR"/>
        </w:rPr>
        <w:t>بمقالات الأنبیاء و شخصیاتهم الجلیلة فی مجال العلم و العمل، بل یأبی العقل و الفطرة من اتّسام من دونهم بمراتب من رجالات العلم و الدّین بمثل هذا الجهل و الخبط</w:t>
      </w:r>
      <w:r>
        <w:rPr>
          <w:rFonts w:eastAsia="IRNazanin" w:cs="IRNazanin"/>
          <w:color w:val="111111"/>
          <w:sz w:val="28"/>
          <w:szCs w:val="28"/>
          <w:rtl w:val="true"/>
          <w:lang w:bidi="fa-IR"/>
        </w:rPr>
        <w:t>.</w:t>
      </w:r>
    </w:p>
    <w:p>
      <w:pPr>
        <w:pStyle w:val="Heading4"/>
        <w:numPr>
          <w:ilvl w:val="3"/>
          <w:numId w:val="1"/>
        </w:numPr>
        <w:rPr/>
      </w:pPr>
      <w:bookmarkStart w:id="599" w:name="__RefHeading___Toc2819784_1395250215"/>
      <w:bookmarkStart w:id="600" w:name="_Toc207"/>
      <w:bookmarkEnd w:id="599"/>
      <w:r>
        <w:rPr>
          <w:rtl w:val="true"/>
        </w:rPr>
        <w:t>الوحی و الشخصیة الباطنة</w:t>
      </w:r>
      <w:bookmarkEnd w:id="600"/>
    </w:p>
    <w:p>
      <w:pPr>
        <w:pStyle w:val="BookText"/>
        <w:rPr/>
      </w:pPr>
      <w:r>
        <w:rPr>
          <w:rFonts w:ascii="IRNazanin" w:hAnsi="IRNazanin" w:eastAsia="IRNazanin"/>
          <w:color w:val="111111"/>
          <w:sz w:val="28"/>
          <w:sz w:val="28"/>
          <w:szCs w:val="28"/>
          <w:rtl w:val="true"/>
          <w:lang w:bidi="fa-IR"/>
        </w:rPr>
        <w:t>إنّ جماعة من الغربیّین فسّروا الوحی بما أثبتوه فی أبحاثهم النفسیة من الشخصیّة الباطنة لکلّ إنسان، و قد جرّبوا ذلک علی المنوَّمین تنویماً مغناطیسیاً، فوجدوا أنّ النائم یظهر بمظهر من الحیاة الروحیة لا یکون له و هو یقظان، فیعلم الغیب و یخبر عن البعیدین، یبصر و یسمع و یحسّ بغیر حواسه الظاهرة و یکون علی جانب کبیر من التعقّل و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الشخصیّة هی الّتی تهدی الإنسان بالخواطر الجیّدة من خلال حجبه الجسمیة الکثیفة، و هی الّتی تعطیه الإلهامات الطیّبة الفجائیة فی الظروف الحرجة، و هی الّتی تنفث فی روع الأنبیاء ما یعتبرونه وحیاً من اللّه، و قد تظهر له متجسّدة فیحسبونها من ملائکة اللّه هبطت علیهم من السماء</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یلاحظ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النظریّة علی فرض صحتها لا دلالة لها علی أنّ خصوص الوحی عند الأنبیاء من سنخ إفاضة الشخصیة الباطنیة و تجلّیها عند تعطّل القوی الظاهریة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الشخصیّة الباطنیة للإنسان إنّما تتجلّی و تجد مجالاً للظهور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بآثارها المختلفة، عند تعطّل القوی الظاهریة، فلذا یقوی ظهورها فی المرضی و السکاری و النائمین، و تبقی مندثرة و مغمورة فی طوایا النفس عند ما تکون القوی الظاهریة و الحواس البشریة فی حالة الفعّالیة و السعی، مع أنّ المعلوم من حالات الأنبیاء أنّ الوحی الإلهی کان ینزل علیهم فی أقصی حالات تنبّههم و اشتغالهم بالأُمور السیاسیة و الدفاعیة و التبلیغیة، فکیف یکون ما تجلّی للنبی و هو یخوض غمار الحرب، تجلّیاً للشخصیّة الباطنة و الضمیر المخفی؟ و أین الأنبیاء من الخمول و الانعزال عن المجتمع؟ </w:t>
      </w:r>
      <w:bookmarkStart w:id="601" w:name="pg2866_38246"/>
    </w:p>
    <w:p>
      <w:pPr>
        <w:pStyle w:val="Heading3"/>
        <w:numPr>
          <w:ilvl w:val="2"/>
          <w:numId w:val="1"/>
        </w:numPr>
        <w:rPr/>
      </w:pPr>
      <w:bookmarkStart w:id="602" w:name="__RefHeading___Toc2819786_1395250215"/>
      <w:bookmarkStart w:id="603" w:name="_Toc208"/>
      <w:bookmarkEnd w:id="601"/>
      <w:bookmarkEnd w:id="602"/>
      <w:r>
        <w:rPr>
          <w:rtl w:val="true"/>
        </w:rPr>
        <w:t>الفصل الخامس</w:t>
      </w:r>
      <w:r>
        <w:rPr>
          <w:rtl w:val="true"/>
        </w:rPr>
        <w:t>:</w:t>
      </w:r>
      <w:r>
        <w:rPr>
          <w:rtl w:val="true"/>
        </w:rPr>
        <w:t>عصمة أنبیاء اللّه تعالی</w:t>
      </w:r>
      <w:bookmarkEnd w:id="603"/>
    </w:p>
    <w:p>
      <w:pPr>
        <w:pStyle w:val="Heading4"/>
        <w:numPr>
          <w:ilvl w:val="3"/>
          <w:numId w:val="1"/>
        </w:numPr>
        <w:rPr/>
      </w:pPr>
      <w:bookmarkStart w:id="604" w:name="__RefHeading___Toc2819788_1395250215"/>
      <w:bookmarkStart w:id="605" w:name="_Toc209"/>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إنّ للعصمة مراتب أو أبعاداً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 فی تلقّی الوحی و إبلاغه؛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 فی العمل بالشریعة الإلهیّة؛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 عن الخطأ فی تطبیق الشریعة؛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 عن الخطأ فی تشخیص مصالح الأُمور و مفاسدها؛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 عن الخطأ فی الأُمور العادیة؛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التنزّه عن المنفِّرات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البحث عنها و عن مسائل أُخری متعلّقة بها هو الغرض من هذا الفصل</w:t>
      </w:r>
      <w:r>
        <w:rPr>
          <w:rFonts w:eastAsia="IRNazanin" w:cs="IRNazanin"/>
          <w:color w:val="111111"/>
          <w:sz w:val="28"/>
          <w:szCs w:val="28"/>
          <w:rtl w:val="true"/>
          <w:lang w:bidi="fa-IR"/>
        </w:rPr>
        <w:t>.</w:t>
      </w:r>
    </w:p>
    <w:p>
      <w:pPr>
        <w:pStyle w:val="Heading4"/>
        <w:numPr>
          <w:ilvl w:val="3"/>
          <w:numId w:val="1"/>
        </w:numPr>
        <w:rPr/>
      </w:pPr>
      <w:bookmarkStart w:id="606" w:name="__RefHeading___Toc2819790_1395250215"/>
      <w:bookmarkStart w:id="607" w:name="_Toc210"/>
      <w:bookmarkEnd w:id="606"/>
      <w:r>
        <w:rPr>
          <w:rtl w:val="true"/>
        </w:rPr>
        <w:t>العصمة فی اللّغة و الاصطلاح</w:t>
      </w:r>
      <w:bookmarkEnd w:id="60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العصمة فی اللّغة بمعنی الإمساک و المنع </w:t>
      </w:r>
      <w:r>
        <w:rPr>
          <w:rStyle w:val="FootnoteAnchor"/>
          <w:rtl w:val="true"/>
        </w:rPr>
        <w:footnoteReference w:id="402"/>
      </w:r>
      <w:r>
        <w:rPr>
          <w:rFonts w:ascii="IRNazanin" w:hAnsi="IRNazanin" w:eastAsia="IRNazanin"/>
          <w:color w:val="111111"/>
          <w:sz w:val="28"/>
          <w:sz w:val="28"/>
          <w:szCs w:val="28"/>
          <w:rtl w:val="true"/>
          <w:lang w:bidi="fa-IR"/>
        </w:rPr>
        <w:t xml:space="preserve">و أمّا فی اصطلاح </w:t>
      </w:r>
      <w:bookmarkStart w:id="608" w:name="pg2866_38247"/>
    </w:p>
    <w:p>
      <w:pPr>
        <w:pStyle w:val="BookText"/>
        <w:rPr/>
      </w:pPr>
      <w:bookmarkEnd w:id="608"/>
      <w:r>
        <w:rPr>
          <w:rFonts w:ascii="IRNazanin" w:hAnsi="IRNazanin" w:eastAsia="IRNazanin"/>
          <w:color w:val="111111"/>
          <w:sz w:val="28"/>
          <w:sz w:val="28"/>
          <w:szCs w:val="28"/>
          <w:rtl w:val="true"/>
          <w:lang w:bidi="fa-IR"/>
        </w:rPr>
        <w:t xml:space="preserve">المتکلّمین فالمشهور عند العدلیة أنّها لطف من اللّه لا داعی معه إلی ترک الطاعة و لا إلی ارتکاب المعصیة مع القدرة علیهما </w:t>
      </w:r>
      <w:r>
        <w:rPr>
          <w:rStyle w:val="FootnoteAnchor"/>
          <w:rtl w:val="true"/>
        </w:rPr>
        <w:footnoteReference w:id="403"/>
      </w:r>
      <w:r>
        <w:rPr>
          <w:rFonts w:ascii="IRNazanin" w:hAnsi="IRNazanin" w:eastAsia="IRNazanin"/>
          <w:color w:val="111111"/>
          <w:sz w:val="28"/>
          <w:sz w:val="28"/>
          <w:szCs w:val="28"/>
          <w:rtl w:val="true"/>
          <w:lang w:bidi="fa-IR"/>
        </w:rPr>
        <w:t xml:space="preserve">و عند الأشاعرة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یخلق اللّه فیهم ذنباً</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قال المحقّق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ملکة اجتناب المعاصی مع التمکن منها</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الشریف هو الصحیح و ما ذکره المشهور سبب إلهیّ لتحقّق العصمة، فالحقّ أنّ العصمة ملکة نفسانیة راسخة فی النفس، تمنع الإنسان عن المعصیة مطلقاً، فهی من سنخ التقوی لکنّها درجة قصوی منها، فالتقوی فی العادیین من الناس، کیفیة نفسانیة تعصم صاحبها عن اقتراف کثیر من القبائح و المعاصی، فهی إذا ترقّت فی مدارجها و علت فی مراتبها، تبلغ بصاحبها درجة العصمة الکاملة و الامتناع المطلق عن ارتکاب أیّ قبیح من الأعمال، بل یمنعه حتی التفکیر فی خلاف أو معصیة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2819792_1395250215"/>
      <w:bookmarkStart w:id="610" w:name="_Toc211"/>
      <w:bookmarkEnd w:id="609"/>
      <w:r>
        <w:rPr>
          <w:rtl w:val="true"/>
        </w:rPr>
        <w:t>عصمة الأنبیاء فی تلقّی الوحی و إبلاغه</w:t>
      </w:r>
      <w:bookmarkEnd w:id="610"/>
    </w:p>
    <w:p>
      <w:pPr>
        <w:pStyle w:val="BookText"/>
        <w:rPr/>
      </w:pPr>
      <w:r>
        <w:rPr>
          <w:rFonts w:ascii="IRNazanin" w:hAnsi="IRNazanin" w:eastAsia="IRNazanin"/>
          <w:color w:val="111111"/>
          <w:sz w:val="28"/>
          <w:sz w:val="28"/>
          <w:szCs w:val="28"/>
          <w:rtl w:val="true"/>
          <w:lang w:bidi="fa-IR"/>
        </w:rPr>
        <w:t>ذهب جمهور المتکلّمین من السنّة و الشیعة إلی عصمة الأنبیاء فی تلقّی الوحی و إبلاغه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العصمة فی هذه المرحلة علی وجهین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عن الکذب،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عن الخطأ سهواً فی تلقّی الوحی </w:t>
      </w:r>
      <w:bookmarkStart w:id="611" w:name="pg2866_38248"/>
    </w:p>
    <w:p>
      <w:pPr>
        <w:pStyle w:val="BookText"/>
        <w:rPr/>
      </w:pPr>
      <w:bookmarkEnd w:id="611"/>
      <w:r>
        <w:rPr>
          <w:rFonts w:ascii="IRNazanin" w:hAnsi="IRNazanin" w:eastAsia="IRNazanin"/>
          <w:color w:val="111111"/>
          <w:sz w:val="28"/>
          <w:sz w:val="28"/>
          <w:szCs w:val="28"/>
          <w:rtl w:val="true"/>
          <w:lang w:bidi="fa-IR"/>
        </w:rPr>
        <w:t>و وعیه و أدائه، و ما سیجیء من الدلیل الأوّل علی إثبات العصمة عن المعصیة، یثبت عصمتهم فی هذا المجال أیضاً، فإنّ الوثوق التام بالأنبیاء لا یحصل إلّا بالإذعان البات بمصونیتهم عن الخطأ فی تلقّی الوحی و تحمّله و أدائه، عمداً 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تجویز الخطأ فی التبلیغ و لو سهواً ینافی الغرض من الرسالة،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إبلاغ أحکام اللّه تعالی إلی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عصمة الأنبیاء فی هذا المجال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الآیات تصف طریق بلوغ الوحی إلی الرسل، و منهم إلی الناس بأنّه محروس بالحفظة یمنعون تطرّق أیّ خلل و انحراف فیه، حتی یبلغ الناس کما أُنزل من اللّه تعالی، و یعلم هذا بوضوح ممّا تذکره الآیة من أن اللّه سبحانه یجعل بین الرسول و من أرسل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 و مصدر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رصداً مراقبین هم الملائکة</w:t>
      </w:r>
      <w:r>
        <w:rPr>
          <w:rFonts w:eastAsia="IRNazanin" w:cs="IRNazanin"/>
          <w:color w:val="111111"/>
          <w:sz w:val="28"/>
          <w:szCs w:val="28"/>
          <w:rtl w:val="true"/>
          <w:lang w:bidi="fa-IR"/>
        </w:rPr>
        <w:t>.</w:t>
      </w:r>
    </w:p>
    <w:p>
      <w:pPr>
        <w:pStyle w:val="Heading4"/>
        <w:numPr>
          <w:ilvl w:val="3"/>
          <w:numId w:val="1"/>
        </w:numPr>
        <w:rPr/>
      </w:pPr>
      <w:bookmarkStart w:id="612" w:name="__RefHeading___Toc2819794_1395250215"/>
      <w:bookmarkStart w:id="613" w:name="_Toc212"/>
      <w:bookmarkEnd w:id="612"/>
      <w:r>
        <w:rPr>
          <w:rtl w:val="true"/>
        </w:rPr>
        <w:t>لزوم عصمة الأنبیاء عن المعاصی</w:t>
      </w:r>
      <w:bookmarkEnd w:id="61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الأدلّة العقلیّة علی وجوب عصمة الأنبیاء کثیرة نکتفی بتقریر دلیلین منها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الوثوق فرع العصمة</w:t>
      </w:r>
    </w:p>
    <w:p>
      <w:pPr>
        <w:pStyle w:val="BookText"/>
        <w:rPr/>
      </w:pPr>
      <w:r>
        <w:rPr>
          <w:rFonts w:ascii="IRNazanin" w:hAnsi="IRNazanin" w:eastAsia="IRNazanin"/>
          <w:color w:val="111111"/>
          <w:sz w:val="28"/>
          <w:sz w:val="28"/>
          <w:szCs w:val="28"/>
          <w:rtl w:val="true"/>
          <w:lang w:bidi="fa-IR"/>
        </w:rPr>
        <w:t>قال المحقق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النبیّ العصمة لیحصل الوثوق، فیحصل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العلاّمة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المبعوث إلیهم لو جوَّزوا الکذب علی الأنبیاء و المعصیة، جوّزوا فی أمرهم و نهیهم و أفعالهم الّتی أمروهم باتّباعهم فیها ذلک، و حینئذٍ لا ینقادون إلی امتثال أوامرهم، و ذلک نقض الغرض من البعثة</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بعبارة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العلاّمة الطباطبائی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التبلیغ یعمّ القول و الفعل، فإنّ فی الفعل تبلیغاً، کما فی القول، فالرسول معصوم عن المعصیة باقتراف المحرّمات و ترک الواجبات الدینیّة، لأنّ فی ذلک تبلیغاً لما یناقض الدین فهو معصوم من فعل المعصیة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لا یثبت أزید من عصمة الأنبیاء بعد البعثة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سیرة النبیّ مخالفة لما هو علیه بعد البعثة لا یحصل الوثوق الکامل به و إن صار إنساناً مثالیّاً، فتحقّق الغرض الکامل من البعثة رهن عصمته فی جمیع فترات عمره، یقول السید المرتضی فی الإجابة عن هذا السؤال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إنّا نعلم أنّ من نجوّز علیه الکفر و الکبائر فی حال من الأحوال، و إن تاب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نسکن إلی قبول قوله کسکوننا إلی من لا نجوّز علیه ذلک فی حال من الأحوال و لا علی وجه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إذاً تجویز الکبائر قبل النبوّة منخفضاً عن تجویزها فی حال النبوّة و ناقصاً عن رتبته فی باب التنفیر</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التربیة رهن عمل المربّی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العامّ الّذی بعث لأجله الأنبیاء هو تزکیة الناس و تربیتهم، و لا شکّ أنّ تأثیر التربیة بالعمل أشدّ و أعمق و آکد منها عن طریق الوعظ و الإرشاد، و ذلک أنّ التطابق بین مرحلتی القول و العمل هو العامل الرئیسی فی إذعان الآخرین بأحقّیّة تعالیم المصلح و المربّی، و هذا الأصل التربویّ یجرّنا إلی القول بأنّ التربیة الکاملة المتوخّاة من بعثة الأنبیاء لا تحصل إلّا بمطابقة أعمالهم لأقوالهم، و هذا کما یوجب العصمة بعد البعثة، یقتضیها قبلها أیضاً، لأنّ لسوابق الأشخاص و صحائف أعمالهم الماضیة تأثیراً فی قبول الناس کلامهم و إرشاداتهم</w:t>
      </w:r>
      <w:r>
        <w:rPr>
          <w:rFonts w:eastAsia="IRNazanin" w:cs="IRNazanin"/>
          <w:color w:val="111111"/>
          <w:sz w:val="28"/>
          <w:szCs w:val="28"/>
          <w:rtl w:val="true"/>
          <w:lang w:bidi="fa-IR"/>
        </w:rPr>
        <w:t xml:space="preserve">. </w:t>
      </w:r>
      <w:r>
        <w:rPr>
          <w:rStyle w:val="FootnoteAnchor"/>
          <w:rtl w:val="true"/>
        </w:rPr>
        <w:footnoteReference w:id="411"/>
      </w:r>
      <w:bookmarkStart w:id="614" w:name="pg2866_38251"/>
    </w:p>
    <w:p>
      <w:pPr>
        <w:pStyle w:val="Heading4"/>
        <w:numPr>
          <w:ilvl w:val="3"/>
          <w:numId w:val="1"/>
        </w:numPr>
        <w:rPr/>
      </w:pPr>
      <w:bookmarkStart w:id="615" w:name="__RefHeading___Toc2819796_1395250215"/>
      <w:bookmarkStart w:id="616" w:name="_Toc213"/>
      <w:bookmarkEnd w:id="614"/>
      <w:bookmarkEnd w:id="615"/>
      <w:r>
        <w:rPr>
          <w:rtl w:val="true"/>
        </w:rPr>
        <w:t>عصمة الأنبیاء فی الکتاب العزیز</w:t>
      </w:r>
      <w:bookmarkEnd w:id="616"/>
    </w:p>
    <w:p>
      <w:pPr>
        <w:pStyle w:val="BookText"/>
        <w:rPr/>
      </w:pPr>
      <w:r>
        <w:rPr>
          <w:rFonts w:ascii="Amiri" w:hAnsi="Amiri" w:eastAsia="Amiri" w:cs="Amiri"/>
          <w:color w:val="111111"/>
          <w:sz w:val="28"/>
          <w:sz w:val="28"/>
          <w:szCs w:val="28"/>
          <w:rtl w:val="true"/>
          <w:lang w:bidi="ar-SA"/>
        </w:rPr>
        <w:t>إذا ثبتت عصمة الأنبیاء فی التبلیغ، یجوز الاستناد بکلامهم فی العصمة عن المعاصی، و علی ضوء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القرآن الکریم الأنبیاء بالعصمة بلطائف البیان و دقائقه، نکتفی بالإشارة إلی نموذج منها،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ذکره عدّة من الأنبیاء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یَهْدِ اللّٰهُ فَمٰا لَهُ مِنْ مُضِلٍّ</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بیّن أنّ المعصیة ضلالة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أَضَلَّ مِنْکُمْ جِبِلاًّ کَثِیراً</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فإذا کان الأنبیاء مهدیّین بهدایة اللّه، و من هداه اللّه لا تتطرّق إلیه الضلالة، و کانت المعصیة نفس الضلالة، فینتج أنّ المعصیة لا سبیل لها إلی الأنبیاء</w:t>
      </w:r>
      <w:r>
        <w:rPr>
          <w:rFonts w:eastAsia="IRNazanin" w:cs="IRNazanin"/>
          <w:color w:val="111111"/>
          <w:sz w:val="28"/>
          <w:szCs w:val="28"/>
          <w:rtl w:val="true"/>
          <w:lang w:bidi="fa-IR"/>
        </w:rPr>
        <w:t>.</w:t>
      </w:r>
    </w:p>
    <w:p>
      <w:pPr>
        <w:pStyle w:val="Heading4"/>
        <w:numPr>
          <w:ilvl w:val="3"/>
          <w:numId w:val="1"/>
        </w:numPr>
        <w:rPr/>
      </w:pPr>
      <w:bookmarkStart w:id="617" w:name="__RefHeading___Toc2819798_1395250215"/>
      <w:bookmarkStart w:id="618" w:name="_Toc214"/>
      <w:bookmarkEnd w:id="617"/>
      <w:r>
        <w:rPr>
          <w:rtl w:val="true"/>
        </w:rPr>
        <w:t>العصمة عن الخطأ فی تطبیق الشریعة و الأُمور العادیة</w:t>
      </w:r>
      <w:bookmarkEnd w:id="61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صیانة النبیّ عن الخطأ و الاشتباه فی مجال تطبیق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یسهو فی صلاته، أو یغلط فی إجراء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الأُمور العادیة المرتبطة بحیاته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خطائه فی مقدار دینه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طرح فی علم الکلام، و طال البحث فیه بین المتکلّمین، فالظاهر من الأشاعرة و المعتزلة </w:t>
      </w:r>
    </w:p>
    <w:p>
      <w:pPr>
        <w:pStyle w:val="BookText"/>
        <w:rPr/>
      </w:pPr>
      <w:r>
        <w:rPr>
          <w:rFonts w:ascii="IRNazanin" w:hAnsi="IRNazanin" w:eastAsia="IRNazanin"/>
          <w:color w:val="111111"/>
          <w:sz w:val="28"/>
          <w:sz w:val="28"/>
          <w:szCs w:val="28"/>
          <w:rtl w:val="true"/>
          <w:lang w:bidi="fa-IR"/>
        </w:rPr>
        <w:t xml:space="preserve">تجویزهم السهو علی الأنبیاء فی هذا المجال، فإنّهم جوّزوه فی صدور الصغائر من الذنوب، فتجویزه فی غیره أولی، و أمّا الإمامیة، فالصدوق و أستاذه محمّد بن الحسن بن الولید جوّزاه </w:t>
      </w:r>
      <w:r>
        <w:rPr>
          <w:rStyle w:val="FootnoteAnchor"/>
          <w:rtl w:val="true"/>
        </w:rPr>
        <w:footnoteReference w:id="415"/>
      </w:r>
      <w:r>
        <w:rPr>
          <w:rFonts w:ascii="IRNazanin" w:hAnsi="IRNazanin" w:eastAsia="IRNazanin"/>
          <w:color w:val="111111"/>
          <w:sz w:val="28"/>
          <w:sz w:val="28"/>
          <w:szCs w:val="28"/>
          <w:rtl w:val="true"/>
          <w:lang w:bidi="fa-IR"/>
        </w:rPr>
        <w:t xml:space="preserve">، و لکن مشهور المحقّقین علی خلافه </w:t>
      </w:r>
      <w:r>
        <w:rPr>
          <w:rStyle w:val="FootnoteAnchor"/>
          <w:rtl w:val="true"/>
        </w:rPr>
        <w:footnoteReference w:id="416"/>
      </w:r>
      <w:r>
        <w:rPr>
          <w:rFonts w:ascii="IRNazanin" w:hAnsi="IRNazanin" w:eastAsia="IRNazanin"/>
          <w:color w:val="111111"/>
          <w:sz w:val="28"/>
          <w:sz w:val="28"/>
          <w:szCs w:val="28"/>
          <w:rtl w:val="true"/>
          <w:lang w:bidi="fa-IR"/>
        </w:rPr>
        <w:t xml:space="preserve">و قد ألّف غیر واحد منهم کتباً و رسائل فی نفی السهو عن النبیّ، و قد فصّل العلاّمة المجلسی فی البحار </w:t>
      </w:r>
      <w:r>
        <w:rPr>
          <w:rStyle w:val="FootnoteAnchor"/>
          <w:rtl w:val="true"/>
        </w:rPr>
        <w:footnoteReference w:id="417"/>
      </w:r>
      <w:r>
        <w:rPr>
          <w:rFonts w:ascii="IRNazanin" w:hAnsi="IRNazanin" w:eastAsia="IRNazanin"/>
          <w:color w:val="111111"/>
          <w:sz w:val="28"/>
          <w:sz w:val="28"/>
          <w:szCs w:val="28"/>
          <w:rtl w:val="true"/>
          <w:lang w:bidi="fa-IR"/>
        </w:rPr>
        <w:t>الکلام فی المسألة، و أطنب فی بیان شذوذ الأخبار الّتی استند إلیها القائلون بالسهو، و ناقشها بأدلّة متعدّدة السید عبد اللّه شُبّر فی کتابیه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الدلیل العقلی الدالّ علی لزوم عصمة النبیّ فی مجال تبلیغ الرسالة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عصمته عن الخطأ فی تطبیق الشریعة و أُموره الفردیة، فإنّ التفکیک بین صیانة النبیّ فی مجال الوحی، و صیانته فی سائر المجالات و إن کان أمراً ممکناً عقلاً، لکنّه کذلک بالنسبة إلی عقول الناضجین فی الأبحاث الکلامیة، و أمّا عامّة الناس فإنّهم غیر قادرین علی التفکیک بین تینک المرحلتین، بل یجعلون السهو فی إحداهما دلیلاً علی إمکان تسرّب السهو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لسدِّ هذا الباب الّذی ینافی الغایة المطلوبة من إرسال الرسل، من أن یکون النبیّ مصوناً عن الخطأ فی عامّة المراحل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تقدّم یظهر الحکم فی عصمة الأنبیاء فی تشخیص مصالح الأُمور و مفاسدها، فإنّ الملاک فی لزوم العصمة فیما تقدّم من المراتب و الموارد، موجود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التنزّه عن المنفِّرات</w:t>
      </w:r>
    </w:p>
    <w:p>
      <w:pPr>
        <w:pStyle w:val="BookText"/>
        <w:rPr/>
      </w:pPr>
      <w:r>
        <w:rPr>
          <w:rFonts w:ascii="IRNazanin" w:hAnsi="IRNazanin" w:eastAsia="IRNazanin"/>
          <w:color w:val="111111"/>
          <w:sz w:val="28"/>
          <w:sz w:val="28"/>
          <w:szCs w:val="28"/>
          <w:rtl w:val="true"/>
          <w:lang w:bidi="fa-IR"/>
        </w:rPr>
        <w:t>کما أنّ العصمة عن الذنوب و الخطأ فی التبلیغ و تطبیق الشریعة و الأُمور العادیة لازمة للأنبیاء حتّی یحصل الوثوق التام بأقوالهم و أفعالهم و یحصل بذلک الغرض من بعثتهم، کذلک ینبغی تنزّههم عن کلّ صفة توجب تنفّر الناس، و تحلّیهم بکلّ ما یوجب انجذابهم إلیهم، قال المحقّق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یکون منزّهاً عن کلّ أمر ینفّر عن قبوله، إمّا فی خلقه کالرذائل النفسانیة من الحقد و البخل و الحسد و الحرص و نحوها، أو فی خلقه کالجذام و البرص، أو فی نسبه کالزنا و دناءة الآباء، لأنّ جمیع هذه الأُمور صارف عن قبول قوله و النظر فی معجزته، فکانت طهارته عنها من الألطاف الّتی فیها تقریب الخلق إلی طاعته و استمالة قلوبهم إلیه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العصمة و الاختیار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یتوهّم أنّ العصمة تسلب من المعصوم الحریة و الاختیار و تقهره </w:t>
      </w:r>
    </w:p>
    <w:p>
      <w:pPr>
        <w:pStyle w:val="BookText"/>
        <w:rPr/>
      </w:pPr>
      <w:r>
        <w:rPr>
          <w:rFonts w:ascii="IRNazanin" w:hAnsi="IRNazanin" w:eastAsia="IRNazanin"/>
          <w:color w:val="111111"/>
          <w:sz w:val="28"/>
          <w:sz w:val="28"/>
          <w:szCs w:val="28"/>
          <w:rtl w:val="true"/>
          <w:lang w:bidi="fa-IR"/>
        </w:rPr>
        <w:t>علی ترک المعصیة، لتکون النتیجة انتفاء کلّ مکرمة و محمدة تنسب إلیه لاجتنابه المعاصی و المآثم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المعصوم قادر علی اقتراف المعاصی بمقتضی ما أُعطی من القدرة و الحریة، غیر أنّ تقواه العالیة، و علمه بآثار المعاصی، و استشعاره عظمة الخالق، یصدّه عن ذلک، فهو کالوالد العطوف الّذی لا یقدم علی ذبح ولده و لو أُعطی ملء الأرض ذهباً، و إن کان مع ذلک قادراً علی قطع وتینه کما یقطع وتین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ملکة العصمة لا تغیّر الطبیعة الإنسانیة المختارة فی أفعاله الإرادیة و لا تخرجها إلی ساحة الإجبار و الاضطرار، کیف و العلم من مبادئ الاختیار، کطالب السلامة إذا أیقن بکون مائع ما سمّاً قاتلاً من حینه، فإنّه یمتنع باختیاره من شربه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هذا نظیر صدور القبیح من اللّه سبحانه، فإنّه ممکن بالذّات و یقع تحت إطار قدرته، فبإمکانه تعالی إخلاد المطیع فی نار جهنّم، لکنّه لا یصدر منه لکونه مخالفاً للحکمة، و مبایناً لما وعد 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فالعصمة موهبة تفاض علی من یعلم من حاله أنّه باختیاره ینتفع منها فی ترک القبائح، فیعدّ مفخرة قابلة للتحسین و التکریم، و قد شبّه الشیخ المفید العصمة بالحبل الّذی یعطی للغریق لیتشبّث به فیسلم، فالغریق مختار فی التقاط الحبل و النجاة، أو عدمه و الغرق</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2866_38257"/>
      <w:bookmarkStart w:id="620" w:name="pg2866_38257"/>
      <w:bookmarkEnd w:id="620"/>
    </w:p>
    <w:p>
      <w:pPr>
        <w:pStyle w:val="Heading2"/>
        <w:numPr>
          <w:ilvl w:val="1"/>
          <w:numId w:val="1"/>
        </w:numPr>
        <w:rPr/>
      </w:pPr>
      <w:bookmarkStart w:id="621" w:name="pg2866_38257"/>
      <w:bookmarkStart w:id="622" w:name="__RefHeading___Toc2819800_1395250215"/>
      <w:bookmarkStart w:id="623" w:name="_Toc215"/>
      <w:bookmarkEnd w:id="621"/>
      <w:bookmarkEnd w:id="622"/>
      <w:r>
        <w:rPr>
          <w:rtl w:val="true"/>
        </w:rPr>
        <w:t>الباب السادس</w:t>
      </w:r>
      <w:r>
        <w:rPr>
          <w:rtl w:val="true"/>
        </w:rPr>
        <w:t>:</w:t>
      </w:r>
      <w:r>
        <w:rPr>
          <w:rtl w:val="true"/>
        </w:rPr>
        <w:t>فی النبوّة الخاصة</w:t>
      </w:r>
      <w:bookmarkEnd w:id="623"/>
    </w:p>
    <w:p>
      <w:pPr>
        <w:pStyle w:val="Heading3"/>
        <w:numPr>
          <w:ilvl w:val="2"/>
          <w:numId w:val="1"/>
        </w:numPr>
        <w:rPr/>
      </w:pPr>
      <w:bookmarkStart w:id="624" w:name="__RefHeading___Toc2819802_1395250215"/>
      <w:bookmarkStart w:id="625" w:name="_Toc216"/>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و فیه تمهید و ثلاثة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الإعجاز البیانی للقرآن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 من جهات أخری؛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الخاتمیة فی ضوء العقل و الوحی</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2866_38259"/>
      <w:bookmarkStart w:id="627" w:name="pg2866_38259"/>
      <w:bookmarkEnd w:id="627"/>
    </w:p>
    <w:p>
      <w:pPr>
        <w:pStyle w:val="Heading3"/>
        <w:numPr>
          <w:ilvl w:val="2"/>
          <w:numId w:val="1"/>
        </w:numPr>
        <w:rPr/>
      </w:pPr>
      <w:bookmarkStart w:id="628" w:name="pg2866_38259"/>
      <w:bookmarkStart w:id="629" w:name="__RefHeading___Toc2819804_1395250215"/>
      <w:bookmarkStart w:id="630" w:name="_Toc217"/>
      <w:bookmarkEnd w:id="628"/>
      <w:bookmarkEnd w:id="629"/>
      <w:r>
        <w:rPr>
          <w:rtl w:val="true"/>
        </w:rPr>
        <w:t>تمهید</w:t>
      </w:r>
      <w:bookmarkEnd w:id="630"/>
    </w:p>
    <w:p>
      <w:pPr>
        <w:pStyle w:val="BookText"/>
        <w:rPr/>
      </w:pPr>
      <w:r>
        <w:rPr>
          <w:rFonts w:ascii="IRNazanin" w:hAnsi="IRNazanin" w:eastAsia="IRNazanin"/>
          <w:color w:val="111111"/>
          <w:sz w:val="28"/>
          <w:sz w:val="28"/>
          <w:szCs w:val="28"/>
          <w:rtl w:val="true"/>
          <w:lang w:bidi="fa-IR"/>
        </w:rPr>
        <w:t>بعد الفراغ عن البحث حول النبوّة العامّة، علینا أن نبحث عن النبوّة الخاصّة،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نبیّ الإسلام محمّد بن عبد اللّه صلی الله علیه و آله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صلی الله علیه و آله بمکّة عام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بالدعوة فی أوائل القرن السابع المیلادی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ما بدأ به، دعوة أقربائه و عشیرته، و بعد 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استطاع فی أثنائها هدایة جمع من عشیرته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دعوته إلی عموم الناس، ثمّ استمرّ فی رسالته و الناس بین مؤمن به مفاد بنفسه و نفیسه، و عدوّ ینابذه و یتحیّن الفرص للفتک به و قتله، فلمّا أحسَّ بالخطر، غادر موطنه إلی مدینة یثرب فأقام هناک سنین عشر، إلی أن أجاب داعی الموت و ذلک فی عام</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التدبر فی آثار دعوته صلی الله علیه و آله یدفع الإنسان إلی الإذعان بأنّ لها سمات و خصائص تمتاز بها عن غیرها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سرعة انتشارها فی أقطار العالم الإنسانی لا سیّما بین الأُمم المتحضّرة، سرعة لم یر التاریخ لها مثیلاً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تحفّظ الأُمة المؤمنة علی حضارات الأُمم المغلوبة و الحضارات المفتوحة، و بذلک افترقت عن سائر الثورات البشریة، و أصبح التمدّن الإسلامی حضارة إنسانیة مکتملة الأبعاد، و صانت السّالف من الحضارات الیونانیة و الرومانیة و الفارسیة، و التمدّن الصناعی 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تضحیة المعتنقین لدینه و تفانیهم فی سبیله حتی قدَّموا کلّ دقیق و جلیل ممّا یملکون فی سبیل نصرته و إعزازه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سمات للدّعوة المحمّدیة وردت فی القرآن الکریم من أهمّها عالمیة الرسالة، و خاتمیتها، و علی هذا فاللازم علی المنصف المتحرّی للحقیقة أن یبحث عن حقیقة هذه الدعوة و صحّة دلائلها، و قد وقفت عند البحث عن النبوّة العامّة علی أنّ للتعرّف علی صدق مدّعی النبوّة طرقاً ثلاثة،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 بالمعجز، و تصدیق النبیّ السابق و تنصیصه علی نبوّته، و القرائن الدالّة علی صدق دعواه، و نحن نکتفی هنا ببیان طریق الإعجاز</w:t>
      </w:r>
      <w:r>
        <w:rPr>
          <w:rFonts w:eastAsia="IRNazanin" w:cs="IRNazanin"/>
          <w:color w:val="111111"/>
          <w:sz w:val="28"/>
          <w:szCs w:val="28"/>
          <w:rtl w:val="true"/>
          <w:lang w:bidi="fa-IR"/>
        </w:rPr>
        <w:t xml:space="preserve">. </w:t>
      </w:r>
      <w:bookmarkStart w:id="631" w:name="pg2866_38262"/>
    </w:p>
    <w:p>
      <w:pPr>
        <w:pStyle w:val="Heading3"/>
        <w:numPr>
          <w:ilvl w:val="2"/>
          <w:numId w:val="1"/>
        </w:numPr>
        <w:rPr/>
      </w:pPr>
      <w:bookmarkStart w:id="632" w:name="__RefHeading___Toc2819806_1395250215"/>
      <w:bookmarkStart w:id="633" w:name="_Toc218"/>
      <w:bookmarkEnd w:id="631"/>
      <w:bookmarkEnd w:id="632"/>
      <w:r>
        <w:rPr>
          <w:rtl w:val="true"/>
        </w:rPr>
        <w:t>الفصل الأوّل</w:t>
      </w:r>
      <w:r>
        <w:rPr>
          <w:rtl w:val="true"/>
        </w:rPr>
        <w:t>:</w:t>
      </w:r>
      <w:r>
        <w:rPr>
          <w:rtl w:val="true"/>
        </w:rPr>
        <w:t>الإعجاز البیانی للقرآن الکریم</w:t>
      </w:r>
      <w:bookmarkEnd w:id="633"/>
    </w:p>
    <w:p>
      <w:pPr>
        <w:pStyle w:val="Heading4"/>
        <w:numPr>
          <w:ilvl w:val="3"/>
          <w:numId w:val="1"/>
        </w:numPr>
        <w:rPr/>
      </w:pPr>
      <w:bookmarkStart w:id="634" w:name="__RefHeading___Toc2819808_1395250215"/>
      <w:bookmarkStart w:id="635" w:name="_Toc219"/>
      <w:bookmarkEnd w:id="634"/>
      <w:r>
        <w:rPr>
          <w:rtl w:val="true"/>
        </w:rPr>
        <w:t>اشارة</w:t>
      </w:r>
      <w:bookmarkEnd w:id="635"/>
    </w:p>
    <w:p>
      <w:pPr>
        <w:pStyle w:val="BookText"/>
        <w:rPr/>
      </w:pPr>
      <w:r>
        <w:rPr>
          <w:rFonts w:ascii="IRNazanin" w:hAnsi="IRNazanin" w:eastAsia="IRNazanin"/>
          <w:color w:val="111111"/>
          <w:sz w:val="28"/>
          <w:sz w:val="28"/>
          <w:szCs w:val="28"/>
          <w:rtl w:val="true"/>
          <w:lang w:bidi="fa-IR"/>
        </w:rPr>
        <w:t>قد ضبط التاریخ أنّه کانت لنبیّ الإسلام معاجز کثیرة فی مواقف حاسمة غیر أنّه کان یرکّز علی معجزته الخالدة و هی القرآن الکریم، و نحن نقتصر بالبحث عن هذه المعجزة الخالدة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الحکمة الإلهیة اقتضت أن یکون الدّین الخالد مقروناً بالمعجزة الخالدة حتی تتمّ الحجّة علی جمیع الأجیال و القرون إلی أن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بل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علی الناس فی کلّ زمان و مکان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للقرآن فی مجالی اللفظ و المعنی کیفیة خاصّة یمتاز بها عن کلّ کلام سواه، سواء أصدر من أعظم الفصحاء و البلغاء أو من غیرهم، و هذا هو الّذی لمسه العرب المعاصرون لعصر الرسالة، و نحن نعیش فی بدایات القرن الخامس عشر من هجرة النبیّ صلی الله علیه و آله ، و ندّعی أنّ القرآن لم یزل کان معجزاً إلی الآن، و أنّه أرقی من أن یعارض أو یباری و یؤتی بمثله أبداً، </w:t>
      </w:r>
      <w:bookmarkStart w:id="636" w:name="pg2866_38263"/>
    </w:p>
    <w:p>
      <w:pPr>
        <w:pStyle w:val="BookText"/>
        <w:rPr/>
      </w:pPr>
      <w:bookmarkEnd w:id="636"/>
      <w:r>
        <w:rPr>
          <w:rFonts w:ascii="IRNazanin" w:hAnsi="IRNazanin" w:eastAsia="IRNazanin"/>
          <w:color w:val="111111"/>
          <w:sz w:val="28"/>
          <w:sz w:val="28"/>
          <w:szCs w:val="28"/>
          <w:rtl w:val="true"/>
          <w:lang w:bidi="fa-IR"/>
        </w:rPr>
        <w:t>و الدلیل الواضح علی إعجاز القرآن فی مجال الفصاحة و البلاغة أنّ العرب فی عصر الرسالة و قبله کانوا علی درجة عالیة من الفصاحة و البلاغة و النبیّ صلی الله علیه و آله قد عاش بینهم أربعین سنة لم یأت بکلام یتحدّی به، فإذا هو ادّعی النبوة و أتی بالقرآن الکریم و تحدّی به علی صدق دعواه و عجز المشرکون عن معارضته، مع أنّهم قاموا بالمکافحة معه بکلّ ما کان فی مقدرتهم، و قد تحمّلوا مصاعب و مصائب کثیرة فی هذا المجال، فإن کانت المعارضة مع النبیّ صلی الله علیه و آله من طریق الإتیان بکلام یماثل القرآن فی الفصاحة و البلاغة ممکنة لهم عارضوه بذلک بلا ریب، و لو فعلوا ذلک لنقل فی التاریخ نقلا متواتراً لکثرة الدعاوی علی ذلک مع کثرة المخالفین و المعاندین للإسلام</w:t>
      </w:r>
      <w:r>
        <w:rPr>
          <w:rFonts w:eastAsia="IRNazanin" w:cs="IRNazanin"/>
          <w:color w:val="111111"/>
          <w:sz w:val="28"/>
          <w:szCs w:val="28"/>
          <w:rtl w:val="true"/>
          <w:lang w:bidi="fa-IR"/>
        </w:rPr>
        <w:t>.</w:t>
      </w:r>
    </w:p>
    <w:p>
      <w:pPr>
        <w:pStyle w:val="Heading4"/>
        <w:numPr>
          <w:ilvl w:val="3"/>
          <w:numId w:val="1"/>
        </w:numPr>
        <w:rPr/>
      </w:pPr>
      <w:bookmarkStart w:id="637" w:name="__RefHeading___Toc2819810_1395250215"/>
      <w:bookmarkStart w:id="638" w:name="_Toc220"/>
      <w:bookmarkEnd w:id="637"/>
      <w:r>
        <w:rPr>
          <w:rtl w:val="true"/>
        </w:rPr>
        <w:t>اعتراف بلغاء العرب بإعجاز القرآن البیانی</w:t>
      </w:r>
      <w:bookmarkEnd w:id="638"/>
    </w:p>
    <w:p>
      <w:pPr>
        <w:pStyle w:val="BookText"/>
        <w:rPr/>
      </w:pPr>
      <w:r>
        <w:rPr>
          <w:rFonts w:ascii="IRNazanin" w:hAnsi="IRNazanin" w:eastAsia="IRNazanin"/>
          <w:color w:val="111111"/>
          <w:sz w:val="28"/>
          <w:sz w:val="28"/>
          <w:szCs w:val="28"/>
          <w:rtl w:val="true"/>
          <w:lang w:bidi="fa-IR"/>
        </w:rPr>
        <w:t>إنّ التاریخ قد ضبط اعتراف مجموعة کبیرة من فصحاء العرب بهذا الأمر نشیر إلی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الولید بن المغیرة شیخاً کبیراً و من حکّام العرب یتحاکمون إلیه فی أمورهم و ینشدونه الأشعار، فما اختاره من الشّعر کان مقدّماً مختاراً، یروی التاریخ أنّه سمع آیات من القرآن عند ما کان یتلوها النبیّ صلی الله علیه و آله و لمّا سمع ذلک قام حتّی أتی مجلس قومه بنی مخزوم فقال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لقد سمعت من محمّد آنفاً کلاماً ما هو من کلام الإنس و لا من کلام الجنّ، و أن له لحلاوة، و أنّ علیه لطلاوة، و أن أعلاه </w:t>
      </w:r>
    </w:p>
    <w:p>
      <w:pPr>
        <w:pStyle w:val="BookText"/>
        <w:rPr/>
      </w:pPr>
      <w:r>
        <w:rPr>
          <w:rFonts w:ascii="IRNazanin" w:hAnsi="IRNazanin" w:eastAsia="IRNazanin"/>
          <w:color w:val="111111"/>
          <w:sz w:val="28"/>
          <w:sz w:val="28"/>
          <w:szCs w:val="28"/>
          <w:rtl w:val="true"/>
          <w:lang w:bidi="fa-IR"/>
        </w:rPr>
        <w:t>لمثمر، و أن أسفله لمغدق، و أنه لیعلو و ما یعلی علیه</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عتبة بن ربیعة آیات من الذکر الحکیم تلاها رسول اللّه صلی الله علیه و آله علیه </w:t>
      </w:r>
      <w:r>
        <w:rPr>
          <w:rStyle w:val="FootnoteAnchor"/>
          <w:rtl w:val="true"/>
        </w:rPr>
        <w:footnoteReference w:id="425"/>
      </w:r>
      <w:r>
        <w:rPr>
          <w:rFonts w:ascii="IRNazanin" w:hAnsi="IRNazanin" w:eastAsia="IRNazanin"/>
          <w:color w:val="111111"/>
          <w:sz w:val="28"/>
          <w:sz w:val="28"/>
          <w:szCs w:val="28"/>
          <w:rtl w:val="true"/>
          <w:lang w:bidi="fa-IR"/>
        </w:rPr>
        <w:t>فرجع إلی أصحابه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سمعت قولاً و اللّه ما سمعت مثله قط، و اللّه ما هو بالشعر، و لا بالسحر، و لا بالکهانة،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لیکوننّ لقوله الّذی سمعت منه نبأ عظیم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بلغاء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لنا القرآن أنّ المشرکین تواصوا بترک سماع القرآن و الإلغاء عند قراءته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لاٰ تَسْمَعُوا لِهٰذَا الْقُرْآنِ وَ الْغَوْا فِیهِ لَعَلَّکُمْ تَغْلِبُونَ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فأولئک الّذین کانوا مبدءاً لردع الشباب عن سماع القرآن قد نقضوا عهدهم لشدّة التذاذهم من سماعه، فهؤلاء ثلاثة من بلغاء قریش و أشرافهم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بن حرب، و أبو جهل بن هشام، و الأخنس بن شریق، خرجوا لیلة لیستمعوا کلام رسول اللّه صلی الله علیه و آله و هو یصلّی من اللیل فی بیته، فأخذ کلّ رجل منهم مجلساً یستمع فیه، و کلٌّ لا یعلم بمکان صاحبه، فباتوا یستمعون له حتی إذا طلع الفجر تفرّقوا، فجمعهم الطریق فتلاقوا </w:t>
      </w:r>
    </w:p>
    <w:p>
      <w:pPr>
        <w:pStyle w:val="BookText"/>
        <w:rPr/>
      </w:pPr>
      <w:r>
        <w:rPr>
          <w:rFonts w:ascii="IRNazanin" w:hAnsi="IRNazanin" w:eastAsia="IRNazanin"/>
          <w:color w:val="111111"/>
          <w:sz w:val="28"/>
          <w:sz w:val="28"/>
          <w:szCs w:val="28"/>
          <w:rtl w:val="true"/>
          <w:lang w:bidi="fa-IR"/>
        </w:rPr>
        <w:t>و قال بعضهم 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تعودوا، فلو رآکم بعض سفهائکم لأوقعتم فی نفسه شیئاً، ثمّ انصرفوا</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لکن عادوا فی لیلتین آخرتین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هذا إلّا لأنّ القرآن کان کلاماً خلّاباً لعذوبة ألفاظه و بلاغة معانیه، رائعاً فی نظمه و أُسلوبه، و لم یکن له نظیر فی أوساطهم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الطفیل بن عمر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الحبائل الّتی سلکها أعداء النبیّ صلی الله علیه و آله لصدّ تأثیر القرآن، منع شخصیّات المشرکین من لقاء الرسول صلی الله علیه و آله و من تلک الشخصیّات الطفیل، و کان رجلاً شریفاً شاعراً لبیباً، فقد قدم مکّة و رسول اللّه بها فمشی إلیه رجال من قریش و خوَّفوه من سماع کلام النبیّ صلی الله علیه و آله و بالغوا فی ذلک، یقول الطفیل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ما زالوا بی حتی أجمعت أن لا أسمع منه شیئاً و لا أُکلّمه، حتی حشوت فی أُذنی حین غدوت إلی المسجد کرسفاً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إلی المسجد، فإذا رسول اللّه قائم یصلّی عند الکعبة، فقمت منه قریباً فأبی اللّه إلّا أن یسمعنی بعض قوله فسمعت کلاماً حسناً، فقلت فی نفسی وا ثکل أُمّی، و اللّه إنّی لرجل لبیب، شاعر، ما یخفی علیّ الحسن من القبیح، فما یمنعنی أن أسمع من هذا الرجل، فإن کان الّذی یأتی به حسناً قبلته و إن کان قبیحاً ترکته، فمکثت حتی انصرف رسول اللّه صلی الله علیه و آله إلی بیته، فاتبعته، حتی إذا دخل بیته دخلت علیه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إنّ </w:t>
      </w:r>
    </w:p>
    <w:p>
      <w:pPr>
        <w:pStyle w:val="BookText"/>
        <w:rPr/>
      </w:pPr>
      <w:r>
        <w:rPr>
          <w:rFonts w:ascii="IRNazanin" w:hAnsi="IRNazanin" w:eastAsia="IRNazanin"/>
          <w:color w:val="111111"/>
          <w:sz w:val="28"/>
          <w:sz w:val="28"/>
          <w:szCs w:val="28"/>
          <w:rtl w:val="true"/>
          <w:lang w:bidi="fa-IR"/>
        </w:rPr>
        <w:t>قومک قد قالوا لی کذا و کذا، فو الله ما برحوا یخوّفوننی أمرک حتّی سددت أُذنی بکرسف لئلاّ أسمع قولک، ثمّ أبی اللّه إلّا أن یسمعنی قولک فسمعته قولاً حسناً، فأعرض علیَّ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فعرض علیَّ رسول اللّه صلی الله علیه و آله الإسلام و تلا علیَّ القرآن، فلا و اللّه ما سمعت قولاً قطّ أحسن منه، و لا أمراً أعدل منه، فأسلمت و شهدت شهادة الحق</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نقد مذهب الصّرفة</w:t>
      </w:r>
    </w:p>
    <w:p>
      <w:pPr>
        <w:pStyle w:val="BookText"/>
        <w:rPr/>
      </w:pPr>
      <w:r>
        <w:rPr>
          <w:rFonts w:ascii="IRNazanin" w:hAnsi="IRNazanin" w:eastAsia="IRNazanin"/>
          <w:color w:val="111111"/>
          <w:sz w:val="28"/>
          <w:sz w:val="28"/>
          <w:szCs w:val="28"/>
          <w:rtl w:val="true"/>
          <w:lang w:bidi="fa-IR"/>
        </w:rPr>
        <w:t>الرأی السائد بین المسلمین فی إعجاز القرآن هو کونه فی الطبقة العلیا من الفصاحة و الدرجة القصوی من البلاغة مع ما له من النظم الفرید و الأُسلوب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مذهب آخر نجم فی القرن الثالث اشتهر بمذهب الصّرفة و إلیه ذهب جماعة من المتکلّمین، و أقدم من نسب إلیه هذا القول أبو إسحاق النظّام، و تبعه أبو إسحاق النصیبی، و عبّاد بن سلیمان الصیمری، و هشام بن عمرو الفوطی و غیرهم من المعتزلة، و اختاره من الإمامیة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حکی عنه غیره، و السیّد المرتضی فی رسالة أسماها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عن جهة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الطوسی فی شرحه لجمل السیّد، و إن رجع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سنان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الفصاحة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هذا المذهب هو أنّه لیس الإتیان بمثل القرآن من حیث </w:t>
      </w:r>
    </w:p>
    <w:p>
      <w:pPr>
        <w:pStyle w:val="BookText"/>
        <w:rPr/>
      </w:pPr>
      <w:r>
        <w:rPr>
          <w:rFonts w:ascii="IRNazanin" w:hAnsi="IRNazanin" w:eastAsia="IRNazanin"/>
          <w:color w:val="111111"/>
          <w:sz w:val="28"/>
          <w:sz w:val="28"/>
          <w:szCs w:val="28"/>
          <w:rtl w:val="true"/>
          <w:lang w:bidi="fa-IR"/>
        </w:rPr>
        <w:t>الفصاحة و البلاغة و روعة النظم و بداعة الأُسلوب خارجاً عن طوق القدرة البشریة، و إنّما العجز و الهزیمة فی حلبة المبارزة لأمر آخر و هو حیلولته سبحانه بینهم و بین الإتیان بمثله، فاللّه سبحانه لأجل إثبات التحدّی، حال بین فصحاء العرب و بلغائهم و بین الإتیان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علیها وجوه من النقاش و الإشکال نکتفی بذکر ثلاثة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آیات التحدّی أنّ القرآن فی ذاته متعال، حائز أرقیٰ المیزات و کمال المعجزات حتی یصحّ أن یقال فی حقّه بأنّه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عجز العرب عن المقابلة لطارئ مباغت أبطل قواهم البیانیة، لأُثر عنهم أنّهم حاولوا المعارضة ففوجئوا بما لیس فی حسبانهم، و لکان ذلک مثار عجب لهم، و لأعلنوا ذلک فی الناس، لیلتمسوا العذر لأنفسهم و لیقلّلوا من شأن القرآن فی ذاته</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الوجه فی إعجاز القرآن هو الصرفة کما زعموا، لما کانوا مستعظمین لفصاحة القرآن، و لما ظهر منهم التعجب لبلاغته و حسن فصاحته کما أثر عن الولید بن المغیرة، فإنّ المعلوم من حال کلّ بلیغ فصیح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القرآن یتلی علیه، أنّه یدهش عقله و یحیّر لبّه و ما ذاک إلّا لما قرع مسامعهم من لطیف التألیف و حسن مواضع التصریف فی کلّ موعظة و حکایة کلّ قصَّة، فلو کان کما زعمه أهل الصرفة لم یکن للتعجّب من فصاحته وجه، فلمَّا علمنا بالضرورة إعجابهم بالبلاغة، دلَّ علی فساد هذه المقالة</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2866_38271"/>
      <w:bookmarkStart w:id="640" w:name="pg2866_38271"/>
      <w:bookmarkEnd w:id="640"/>
    </w:p>
    <w:p>
      <w:pPr>
        <w:pStyle w:val="Heading3"/>
        <w:numPr>
          <w:ilvl w:val="2"/>
          <w:numId w:val="1"/>
        </w:numPr>
        <w:rPr/>
      </w:pPr>
      <w:bookmarkStart w:id="641" w:name="pg2866_38271"/>
      <w:bookmarkStart w:id="642" w:name="__RefHeading___Toc2819812_1395250215"/>
      <w:bookmarkStart w:id="643" w:name="_Toc221"/>
      <w:bookmarkEnd w:id="641"/>
      <w:bookmarkEnd w:id="642"/>
      <w:r>
        <w:rPr>
          <w:rtl w:val="true"/>
        </w:rPr>
        <w:t>الفصل الثانی</w:t>
      </w:r>
      <w:r>
        <w:rPr>
          <w:rtl w:val="true"/>
        </w:rPr>
        <w:t>:</w:t>
      </w:r>
      <w:r>
        <w:rPr>
          <w:rtl w:val="true"/>
        </w:rPr>
        <w:t>إعجاز القرآن من جهات أُخری</w:t>
      </w:r>
      <w:bookmarkEnd w:id="643"/>
    </w:p>
    <w:p>
      <w:pPr>
        <w:pStyle w:val="Heading4"/>
        <w:numPr>
          <w:ilvl w:val="3"/>
          <w:numId w:val="1"/>
        </w:numPr>
        <w:rPr/>
      </w:pPr>
      <w:bookmarkStart w:id="644" w:name="__RefHeading___Toc2819814_1395250215"/>
      <w:bookmarkStart w:id="645" w:name="_Toc222"/>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قد تعرّفت علی الإعجاز البیانی للقرآن الکریم، غیر أنّ له جهات أُخری من الإعجاز لا یختصّ فهمها بمن کان عارفاً باللغة العربیّة و واقفاً علی فنون البلاغة فی الکلام، و هذه العمومیة فی الإعجاز هی الّتی یدلّ علیها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التحدّی ببلاغة بیان القرآن و جزالة أُسلوبه فقط لم یتعدّ التحدّی العرب العرباء، و قد قرع بالآیة أسماع الإنس و الجن، فإطلاق التحدّی علی الثقلین لیس إلّا فی جمیع ما یمکن فیه التفاضل فی الصفات، فالقرآن آیة للبلیغ فی بلاغته و فصاحته، و للحکیم فی حکمته، و للعالم فی علمه، و للمقنّنین فی تقنینهم، و للسیاسیین فی سیاستهم، و لجمیع العالمین فیما لا ینالونه جمیعاً کالغیب و عدم الاختلاف فی الحکم و العلم و البیان، و إلیک فیما یلی بیان تلک الجهات</w:t>
      </w:r>
      <w:r>
        <w:rPr>
          <w:rFonts w:eastAsia="IRNazanin" w:cs="IRNazanin"/>
          <w:color w:val="111111"/>
          <w:sz w:val="28"/>
          <w:szCs w:val="28"/>
          <w:rtl w:val="true"/>
          <w:lang w:bidi="fa-IR"/>
        </w:rPr>
        <w:t xml:space="preserve">: </w:t>
      </w:r>
      <w:bookmarkStart w:id="646" w:name="pg2866_38272"/>
    </w:p>
    <w:p>
      <w:pPr>
        <w:pStyle w:val="Heading4"/>
        <w:numPr>
          <w:ilvl w:val="3"/>
          <w:numId w:val="1"/>
        </w:numPr>
        <w:rPr/>
      </w:pPr>
      <w:bookmarkStart w:id="647" w:name="__RefHeading___Toc2819816_1395250215"/>
      <w:bookmarkStart w:id="648" w:name="_Toc223"/>
      <w:bookmarkEnd w:id="646"/>
      <w:bookmarkEnd w:id="647"/>
      <w:r>
        <w:rPr/>
        <w:t>1</w:t>
      </w:r>
      <w:r>
        <w:rPr>
          <w:rtl w:val="true"/>
        </w:rPr>
        <w:t xml:space="preserve">. </w:t>
      </w:r>
      <w:r>
        <w:rPr>
          <w:rtl w:val="true"/>
        </w:rPr>
        <w:t>عدم التناقض و الاختلاف</w:t>
      </w:r>
      <w:bookmarkEnd w:id="648"/>
    </w:p>
    <w:p>
      <w:pPr>
        <w:pStyle w:val="BookText"/>
        <w:rPr/>
      </w:pPr>
      <w:r>
        <w:rPr>
          <w:rFonts w:ascii="Amiri" w:hAnsi="Amiri" w:eastAsia="Amiri" w:cs="Amiri"/>
          <w:color w:val="111111"/>
          <w:sz w:val="28"/>
          <w:sz w:val="28"/>
          <w:szCs w:val="28"/>
          <w:rtl w:val="true"/>
          <w:lang w:bidi="ar-SA"/>
        </w:rPr>
        <w:t>ممّا تحدّی به القرآن هو عدم وجود التناقض و الاختلاف فی آیاته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جبل علی التحوّل و التکامل، فهو یری نفسه فی کلّ یوم أعقل من سابقه و أن ما صنعه الیوم أکمل و أجمل ممّا أتی به الأمس، و هناک کلمة قیّمة للکاتب الکبیر عماد الدین أبی محمّد بن حامد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رأیت أنّه لا یکتب إنسان کتاباً فی یومه، إلّا قال فی غده لو غیّر هذا لکان أحسن، و لو زید کذا لکان یستحسن، و لو قدم هذا لکان أفضل و لو ترک هذا لکان أجمل، و هذا من أعظم العبر، و هو دلیل علی استیلاء النقص علی جملة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آخر، أنّ القرآن نزل نجوماً فی مدّة تقرب من ثلاث و عشرین سنة فی فترات مختلفة و أحوال متفاوتة من لیل و نهار، و حضر و سفر، و حرب و سلم و ضرّاء و سرّاء و شدّة و رخاء، و من المعلوم أنّ هذه الأحوال تؤثّر فی الفکر و التعقّل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جانب ثالث، أنّ القرآن قد تعرّض لمختلف الشئون و توسّع </w:t>
      </w:r>
      <w:bookmarkStart w:id="649" w:name="pg2866_38273"/>
    </w:p>
    <w:p>
      <w:pPr>
        <w:pStyle w:val="BookText"/>
        <w:rPr/>
      </w:pPr>
      <w:bookmarkEnd w:id="649"/>
      <w:r>
        <w:rPr>
          <w:rFonts w:ascii="IRNazanin" w:hAnsi="IRNazanin" w:eastAsia="IRNazanin"/>
          <w:color w:val="111111"/>
          <w:sz w:val="28"/>
          <w:sz w:val="28"/>
          <w:szCs w:val="28"/>
          <w:rtl w:val="true"/>
          <w:lang w:bidi="fa-IR"/>
        </w:rPr>
        <w:t>فیها أحسن التوسّع، فبحث فی الإلهیّات و الأخلاقیات و السیاسیات و التشریعیات و القصص و غیر ذلک، ممّا یرجع إلی الخالق و الإنسان و الموجودات العلویة و السفلیة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لا تجد فیه تناقضاً و اختلافاً، أو شیئاً متباعداً عند العقل و العقلاء، بل ینعطف آخره علی أوّله، و ترجع تفاصیله و فروعه إلی أصوله و عروقه، إنّ مثل هذا الکتاب، یقضی الشعور الحیّ فی حقِّه أنّ المتکلم به لیس ممّن یحکم فیه مرور الأیام و یتأثّر بالظروف و الأحوال، فلا یکون إلّا کلاماً إلهیاً و وحیاً سماویاً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توضیحی لا احترازی،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من عند غیر اللّه لوجدوا فیه اختلافاً، و کان ذلک الاختلاف کثیراً علی حدّ الاختلاف الکثیر الّذی یوجد فی کلِّ ما هو من عند غیر اللّه، و لا تهدف الآیة إلی أنّ المرتفع عن القرآن هو الاختلاف الکثیر دون الیسیر</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650" w:name="__RefHeading___Toc2819818_1395250215"/>
      <w:bookmarkStart w:id="651" w:name="_Toc224"/>
      <w:bookmarkEnd w:id="650"/>
      <w:r>
        <w:rPr/>
        <w:t>2</w:t>
      </w:r>
      <w:r>
        <w:rPr>
          <w:rtl w:val="true"/>
        </w:rPr>
        <w:t xml:space="preserve">. </w:t>
      </w:r>
      <w:r>
        <w:rPr>
          <w:rtl w:val="true"/>
        </w:rPr>
        <w:t>الإخبار عن الغیب</w:t>
      </w:r>
      <w:bookmarkEnd w:id="65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القرآن إخباراً عن شئون البشر فی مستقبل أدواره و أطواره، و إخباراً بملاحم و فتن و أحداث ستقع فی مستقبل الزمن، و هذا الإخبار إن دلَّ علی شیء فإنّما یدلّ علی کون القرآن کتاباً سماویاً أوحاه سبحانه إلی أحد سفرائه الّذین ارتضاهم من البشر، لأنّه أخبر عن حوادث کان التکهّن و الفراسة یقتضیان خلافها، مع أنّه صدق فی جمیع أخباره، و لا یمکن حملها </w:t>
      </w:r>
    </w:p>
    <w:p>
      <w:pPr>
        <w:pStyle w:val="BookText"/>
        <w:rPr/>
      </w:pPr>
      <w:r>
        <w:rPr>
          <w:rFonts w:ascii="IRNazanin" w:hAnsi="IRNazanin" w:eastAsia="IRNazanin"/>
          <w:color w:val="111111"/>
          <w:sz w:val="28"/>
          <w:sz w:val="28"/>
          <w:szCs w:val="28"/>
          <w:rtl w:val="true"/>
          <w:lang w:bidi="fa-IR"/>
        </w:rPr>
        <w:t>علی ما یحدث بالمصادفة، أو علی کونها علی غرار أخبار الکهنة و العرّافین و المنجّمین، فإنّ دأبهم هو التعبیر عن أحداث المستقبل برموز و کنایات حتی لا یظهر کذبهم عند التخلّف، و هذا بخلاف أخبار القرآن فإنّه ینطق عن الأحداث بحماس و منطق قاطع، و إلیک الأمثلة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التنبّؤ بعجز البشر عن معارضة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فی هذه الآیات التنبّؤ الواثق بعجز الجنّ و الإنس عن معارضة القرآن عجزاً أبدیاً، و قد صدق هذا التنبّؤ إلی الحال، فعلی أی مصدر اعتمد النبیّ فی هذا التحدّی غیر الایحاء إلیه من جانبه تعالی؟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التنبّؤ بانتصار الروم علی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ینقل التاریخ أنّ دولة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دولة 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انهزمت أمام دولة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وثنیة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حروب طاحنة بینهما سنة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فاغتمّ المسلمون لکونها هزیمة لدولة إلهیة أمام دولة وثنیّة و فرح المشرکون، و قالوا للمسلمین بشماتة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الروم یشهدون أنّهم أهل کتاب و قد غلبهم المجوس، و أنتم تزعمون أنّکم ستغلبوننا بالکتاب الّذی أُنزل علیکم فسنغلبکم کما غلبت الفرس الروم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نزلت هذه الآیات الکریمات تُنبئ بأنّ هزیمة الروم هذه سیعقبها انتصار لهم فی بضع سنین، و هی مدّة تتراوح بین ثلاث سنوات و تسع، تُنبّئ بذلک، و کانت المقدّمات و الأسباب علی خلافه، لأنّ الحروب الطاحنة أنهکت الدولة الرومانیة حتی غزیت فی عقر دارها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لأنّ دولة الفرس کانت دولة قویّة منیعة، و زادها الانتصار الأخیر قوّة و منعة، و لکنّ اللّه تعالی أنجز وعده و حقّق تنبّؤ القرآن فی بضع سنین، فانتصر الروم سنة</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التنبّؤ بالقضاء علی العدو قبل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الآیة قبل لقاء المسلمین العدوّ فی ساحة المعرکة، فأخبر النبیّ صلی الله علیه و آله عن هزیمة المشرکین، و استئصال شأفتهم، و محق قوتهم کما یدلّ علیه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یَقْطَعَ دٰابِرَ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التنبّؤ بکثرة الذریة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الکوثر هو الخیر الکثیر و المراد هنا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ذریّته صلی الله علیه و آله فالمعنی أنّ اللّه تعالی یعطی نبیّه نسلاً یبقون علی مرّ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کَمْ قتل من أهل البیت، ثمّ العالم ممتلئ منهم و لم یبق من بنی أمیّة أحد یعبأ به، ثمّ انظر کَمْ کان فیهم من الأکابر من العلماء </w:t>
      </w:r>
      <w:bookmarkStart w:id="652" w:name="pg2866_38278"/>
    </w:p>
    <w:p>
      <w:pPr>
        <w:pStyle w:val="BookText"/>
        <w:rPr/>
      </w:pPr>
      <w:bookmarkEnd w:id="652"/>
      <w:r>
        <w:rPr>
          <w:rFonts w:ascii="IRNazanin" w:hAnsi="IRNazanin" w:eastAsia="IRNazanin"/>
          <w:color w:val="111111"/>
          <w:sz w:val="28"/>
          <w:sz w:val="28"/>
          <w:szCs w:val="28"/>
          <w:rtl w:val="true"/>
          <w:lang w:bidi="fa-IR"/>
        </w:rPr>
        <w:t>کالباقر و الصادق و الکاظم و الرضا و النفس الزکیة و أمثالهم</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هذه نماذج من تنبّؤات الذّکر الحکیم، و هناک تنبّؤات أخری لم نذکرها لرعایة الاختصار</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653" w:name="__RefHeading___Toc2819820_1395250215"/>
      <w:bookmarkStart w:id="654" w:name="_Toc225"/>
      <w:bookmarkEnd w:id="653"/>
      <w:r>
        <w:rPr/>
        <w:t>3</w:t>
      </w:r>
      <w:r>
        <w:rPr>
          <w:rtl w:val="true"/>
        </w:rPr>
        <w:t xml:space="preserve">. </w:t>
      </w:r>
      <w:r>
        <w:rPr>
          <w:rtl w:val="true"/>
        </w:rPr>
        <w:t>الإخبار عن القوانین الکونیة</w:t>
      </w:r>
      <w:bookmarkEnd w:id="654"/>
    </w:p>
    <w:p>
      <w:pPr>
        <w:pStyle w:val="BookText"/>
        <w:rPr/>
      </w:pPr>
      <w:r>
        <w:rPr>
          <w:rFonts w:ascii="IRNazanin" w:hAnsi="IRNazanin" w:eastAsia="IRNazanin"/>
          <w:color w:val="111111"/>
          <w:sz w:val="28"/>
          <w:sz w:val="28"/>
          <w:szCs w:val="28"/>
          <w:rtl w:val="true"/>
          <w:lang w:bidi="fa-IR"/>
        </w:rPr>
        <w:t>لا شکّ أنّ الهدف الأعلی للقرآن الکریم هو الهدایة، لکنّه ربما یتوقّف علی إظهار عظمة الکون و القوانین السائدة علیه، و لأجل ذلک نری أنّ القرآن أشار إلی بعض تلک القوانین الّتی کانت مجهولة للبشر فی عصر الرسالة، و إنّما اهتدی إلیها العلماء بعد قرون متطاولة، و هذا فی الحقیقة نوع من الإخبار عن الغیب، و إلیک نماذج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الجاذبیة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رَفَعَ السَّمٰاوٰاتِ بِغَیْرِ عَمَدٍ تَرَوْنَهٰا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الآیة تثبت للسماوات عمداً غیر مرئیة، فإذا کانت الجاذبیة العامّة عمداً تمسک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ما اکتشفه نیوتن و هو من القوانین العلمیة المسلّمة عند العلماء الطبیعیین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الآیة ناظرة إلی تلک القوّة و إنّما جاء القرآن بتعبیر عام حتّی یفهمه الإنسان فی القرون الغابرة و الحاضرة، </w:t>
      </w:r>
    </w:p>
    <w:p>
      <w:pPr>
        <w:pStyle w:val="BookText"/>
        <w:rPr/>
      </w:pPr>
      <w:r>
        <w:rPr>
          <w:rFonts w:ascii="IRNazanin" w:hAnsi="IRNazanin" w:eastAsia="IRNazanin"/>
          <w:color w:val="111111"/>
          <w:sz w:val="28"/>
          <w:sz w:val="28"/>
          <w:szCs w:val="28"/>
          <w:rtl w:val="true"/>
          <w:lang w:bidi="fa-IR"/>
        </w:rPr>
        <w:t>و قد روی الصدوق عن أبیه عن الحسین بن خالد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 لیس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عمد و لکن لا تری</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یشیر القرآن إلی حرکة الأرض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الْجِبٰالَ تَحْسَبُهٰا جٰامِدَةً وَ هِیَ تَمُرُّ مَرَّ السَّحٰابِ صُنْعَ اللّٰهِ الَّذِی أَتْقَنَ کُلَّ شَیْءٍ إِنَّهُ خَبِیرٌ بِمٰا تَفْعَلُونَ</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قد خصّ بعض المفسّرین الآیة بیوم القیامة، لأنّ الآیة السابقة علیها راجعة إلیها، غیر أنّ هناک قرائن تدلّ علی أنّ الآیة ناظرة إلی نظام الدنیا و هی أنّ القیامة یوم کشف الحقائق و حصول الاذعان و الیقین فلا یناسب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تَحْسَبُهٰا جٰامِدَةً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أیضاً إنّ الأرض فی القیامة تبدّل غیر الأرض، و الآیة ناظرة إلی الوضع الموجود فی الجبال، و یشعر بذلک کلمة الصنع فی قوله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اللّٰهِ الَّذِی أَتْقَنَ کُلَّ شَیْءٍ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أیضاً إنّ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خَبِیرٌ بِمٰا تَفْعَلُونَ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ما یفعله الإنسان فی حیاته الدنیا، فوحدة السّیاق فی الأفعال المستعملة فی الآیة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المقصود حرکة الجبال فی هذا النظام الموجود، و بما أنّ الجبال راسخة فی الأرض فحرکتها تلازم حرکة الأرض، و تخصیصها بالذکر لبیان عظمة قدرته تعالی علی حرکة هذه الأشیاء العظیمة الثقیلة کالسحاب، و تشبیه حرکتها بالسحاب لبیان أنّ حرکة الأرض دائمة أوّلاً، و أنّها متحقّقة بهدوء و طمأنینة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الجبال فی ثبات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یبحث عن أسرار الجبال و فوائدها فی آیات شتّی، منها أنّها حافظة لقطعات القشرة الأرضیة، تقیها من التفرّق و التبعثر، کما أنّ الأوتاد و المسامیر تمنع القطعات الخشبیة عن الانفصال،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 فِی الْأَرْضِ رَوٰاسِیَ أَنْ تَمِیدَ بِکُمْ وَ أَنْهٰاراً وَ سُبُلاً لَعَلَّکُمْ تَهْتَدُونَ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الآیات، هذا و أساتذة الفیزیاء و التضاریس الأرضیة یفسّرون کون الجبال أوتاداً للأرض بشکل علمی خاصّ، لا یقف علیه إلّا المتخصّص فی تلک العلوم و المطّلع علی قواعدها</w:t>
      </w:r>
      <w:r>
        <w:rPr>
          <w:rFonts w:eastAsia="IRNazanin" w:cs="IRNazanin"/>
          <w:color w:val="111111"/>
          <w:sz w:val="28"/>
          <w:szCs w:val="28"/>
          <w:rtl w:val="true"/>
          <w:lang w:bidi="fa-IR"/>
        </w:rPr>
        <w:t xml:space="preserve">. </w:t>
      </w:r>
      <w:r>
        <w:rPr>
          <w:rStyle w:val="FootnoteAnchor"/>
          <w:rtl w:val="true"/>
        </w:rPr>
        <w:footnoteReference w:id="447"/>
      </w:r>
      <w:bookmarkStart w:id="655" w:name="pg2866_38282"/>
    </w:p>
    <w:p>
      <w:pPr>
        <w:pStyle w:val="BookText"/>
        <w:rPr/>
      </w:pPr>
      <w:bookmarkEnd w:id="655"/>
      <w:r>
        <w:rPr>
          <w:rFonts w:ascii="IRNazanin" w:hAnsi="IRNazanin" w:eastAsia="IRNazanin"/>
          <w:color w:val="111111"/>
          <w:sz w:val="28"/>
          <w:sz w:val="28"/>
          <w:szCs w:val="28"/>
          <w:rtl w:val="true"/>
          <w:lang w:bidi="fa-IR"/>
        </w:rPr>
        <w:t xml:space="preserve">و فی الختام نؤکّد علی ما أشرنا إلیه فی صدر البحث من أنّ المقصود الأعلی للقرآن هو الهدایة و التزکیة و لیس من شأنه تبیین قضایا العلوم الطبیعیة و نحوها و إنّما یتعرّض لذلک أحیاناً لأجل الاهتداء إلی المعارف الإلهیة، و علی ذلک فلا یصحّ لنا الإکثار فی هذا النوع من الإعجاز و تطبیق الآیات القرآنیة علی معطیات العلوم حتی و إن لم یکن ظاهراً فیها، بل یجب أن یعتمد فی تفسیرها علی نفس الکتاب أو الأثر المعتبر من صاحب الشریعة و من جعلهم قرناء الکتاب و أعداله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و علیهم أجمعین </w:t>
      </w:r>
      <w:r>
        <w:rPr>
          <w:rFonts w:eastAsia="IRNazanin" w:cs="IRNazanin"/>
          <w:color w:val="111111"/>
          <w:sz w:val="28"/>
          <w:szCs w:val="28"/>
          <w:rtl w:val="true"/>
          <w:lang w:bidi="fa-IR"/>
        </w:rPr>
        <w:t>-.</w:t>
      </w:r>
    </w:p>
    <w:p>
      <w:pPr>
        <w:pStyle w:val="Heading4"/>
        <w:numPr>
          <w:ilvl w:val="3"/>
          <w:numId w:val="1"/>
        </w:numPr>
        <w:rPr/>
      </w:pPr>
      <w:bookmarkStart w:id="656" w:name="__RefHeading___Toc2819822_1395250215"/>
      <w:bookmarkStart w:id="657" w:name="_Toc226"/>
      <w:bookmarkEnd w:id="656"/>
      <w:r>
        <w:rPr/>
        <w:t>4</w:t>
      </w:r>
      <w:r>
        <w:rPr>
          <w:rtl w:val="true"/>
        </w:rPr>
        <w:t xml:space="preserve">. </w:t>
      </w:r>
      <w:r>
        <w:rPr>
          <w:rtl w:val="true"/>
        </w:rPr>
        <w:t>الجامعیّة فی التشریع</w:t>
      </w:r>
      <w:bookmarkEnd w:id="657"/>
    </w:p>
    <w:p>
      <w:pPr>
        <w:pStyle w:val="BookText"/>
        <w:rPr/>
      </w:pPr>
      <w:r>
        <w:rPr>
          <w:rFonts w:ascii="IRNazanin" w:hAnsi="IRNazanin" w:eastAsia="IRNazanin"/>
          <w:color w:val="111111"/>
          <w:sz w:val="28"/>
          <w:sz w:val="28"/>
          <w:szCs w:val="28"/>
          <w:rtl w:val="true"/>
          <w:lang w:bidi="fa-IR"/>
        </w:rPr>
        <w:t>إنّ التشریع القرآنی شامل لجمیع النواحی الحیویّة فی حیاة البشر یرفع بها حاجة الإنسان فی جمیع المجالات، من الاعتقاد و الأخلاق و السیاسة و الاقتصاد و غیرها، إنّ نفس وجود تلک القوانین فی جمیع تلک الجوانب، معجزة کبریٰ لا تقوم بها الطاقة البشریّة و اللجان الحقوقیة، خصوصاً مع اتصافها بمرونة خاصّة تجامع کلّ الحضارات و المجتمعات البدائیة و الصناعیة المتطورة، یقول الإمام الباقر علیه السلام 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لم یدع شیئاً تحتاج إلیه الأُمّة إلّا أنزله فی کتابه و بیَّنه لرسوله، و جعل لکل شیء حدّاً، و جعل علیه دلیلاً یدلّ علیه</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الدلیل الواضح علی ذلک أنّ المسلمین عند ما بسطوا ظلال دولتهم </w:t>
      </w:r>
      <w:bookmarkStart w:id="658" w:name="pg2866_38283"/>
    </w:p>
    <w:p>
      <w:pPr>
        <w:pStyle w:val="BookText"/>
        <w:rPr/>
      </w:pPr>
      <w:bookmarkEnd w:id="658"/>
      <w:r>
        <w:rPr>
          <w:rFonts w:ascii="IRNazanin" w:hAnsi="IRNazanin" w:eastAsia="IRNazanin"/>
          <w:color w:val="111111"/>
          <w:sz w:val="28"/>
          <w:sz w:val="28"/>
          <w:szCs w:val="28"/>
          <w:rtl w:val="true"/>
          <w:lang w:bidi="fa-IR"/>
        </w:rPr>
        <w:t xml:space="preserve">علی أکثر من نصف المعمورة، و أُمم الأرض کانت مختلفة فی جانب العادات و الوقائع و الأحداث، رفعوا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الحضارة الإسلامیة و أداروا المجتمع الإسلامی طیلة قرون فی ظلّ الکتاب و السنّة من غیر أن یستعینوا بتشریعات أجنبیّة، و سنرجع إلی هذا البحث عند الکلام حول الخاتمیة</w:t>
      </w:r>
      <w:r>
        <w:rPr>
          <w:rFonts w:eastAsia="IRNazanin" w:cs="IRNazanin"/>
          <w:color w:val="111111"/>
          <w:sz w:val="28"/>
          <w:szCs w:val="28"/>
          <w:rtl w:val="true"/>
          <w:lang w:bidi="fa-IR"/>
        </w:rPr>
        <w:t>.</w:t>
      </w:r>
    </w:p>
    <w:p>
      <w:pPr>
        <w:pStyle w:val="Heading4"/>
        <w:numPr>
          <w:ilvl w:val="3"/>
          <w:numId w:val="1"/>
        </w:numPr>
        <w:rPr/>
      </w:pPr>
      <w:bookmarkStart w:id="659" w:name="__RefHeading___Toc2819824_1395250215"/>
      <w:bookmarkStart w:id="660" w:name="_Toc227"/>
      <w:bookmarkEnd w:id="659"/>
      <w:r>
        <w:rPr/>
        <w:t>5</w:t>
      </w:r>
      <w:r>
        <w:rPr>
          <w:rtl w:val="true"/>
        </w:rPr>
        <w:t xml:space="preserve">. </w:t>
      </w:r>
      <w:r>
        <w:rPr>
          <w:rtl w:val="true"/>
        </w:rPr>
        <w:t>أُمّیّة حامل الرسالة</w:t>
      </w:r>
      <w:bookmarkEnd w:id="660"/>
    </w:p>
    <w:p>
      <w:pPr>
        <w:pStyle w:val="BookText"/>
        <w:rPr/>
      </w:pPr>
      <w:r>
        <w:rPr>
          <w:rFonts w:ascii="IRNazanin" w:hAnsi="IRNazanin" w:eastAsia="IRNazanin"/>
          <w:color w:val="111111"/>
          <w:sz w:val="28"/>
          <w:sz w:val="28"/>
          <w:szCs w:val="28"/>
          <w:rtl w:val="true"/>
          <w:lang w:bidi="fa-IR"/>
        </w:rPr>
        <w:t>إنّ صحائف تاریخ حامل الرسالة أوضح دلیل علی أنّه لم یدخل مدرسة، و لم یحضر علی أحد للدراسة و تعلّم الکتاب، و قد صرّح بذلک القرآن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کیف و قد عاش و تربّی فی بلد کان أهله محرومین من فنون العلم و الحضارة آنذاک و لذلک وصفهم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فبالرغم من مغالطة قساوسة الغرب و المستغربة و تشبثاتهم بمراسیل عن مجاهیل، و انتحالات الملاحدة فی هذا الأمر، فإنّ أُمّیّة النبیّ صلی الله علیه و آله و قومه تموج بالشواهد الواضحة من الکتاب و التاریخ و الحدیث</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أحسّ فصحاء العرب و بلغاؤهم بالعجز عن معارضة القرآن </w:t>
      </w:r>
    </w:p>
    <w:p>
      <w:pPr>
        <w:pStyle w:val="BookText"/>
        <w:rPr/>
      </w:pPr>
      <w:r>
        <w:rPr>
          <w:rFonts w:ascii="IRNazanin" w:hAnsi="IRNazanin" w:eastAsia="IRNazanin"/>
          <w:color w:val="111111"/>
          <w:sz w:val="28"/>
          <w:sz w:val="28"/>
          <w:szCs w:val="28"/>
          <w:rtl w:val="true"/>
          <w:lang w:bidi="fa-IR"/>
        </w:rPr>
        <w:t xml:space="preserve">و أنّه لیس من سنخ کلام البشر، اتّهموه بأنّه أساطیر الأوّلین تملی علیه بکرة و أصیلاً یملیها علیه بشر </w:t>
      </w:r>
      <w:r>
        <w:rPr>
          <w:rStyle w:val="FootnoteAnchor"/>
          <w:rtl w:val="true"/>
        </w:rPr>
        <w:footnoteReference w:id="451"/>
      </w:r>
      <w:r>
        <w:rPr>
          <w:rFonts w:ascii="IRNazanin" w:hAnsi="IRNazanin" w:eastAsia="IRNazanin"/>
          <w:color w:val="111111"/>
          <w:sz w:val="28"/>
          <w:sz w:val="28"/>
          <w:szCs w:val="28"/>
          <w:rtl w:val="true"/>
          <w:lang w:bidi="fa-IR"/>
        </w:rPr>
        <w:t>و یردّه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الَّذِی یُلْحِدُونَ إِلَیْهِ أَعْجَمِیٌّ وَ هٰذٰا لِسٰانٌ عَرَبِیٌّ مُبِینٌ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لاحظ ذاک المعهد البسیط یذعن بأنّ من الممتنع أن یخرج منه شخصیّة فذَّة کشخصیّة النبیّ صلی الله علیه و آله و کتاب مثل کتابه إلّا أن یکون له صلة بقدرة عظیمة مهیمنة علی الکون، کما أنّه لو قارن القرآن فیما یبیّنه فی مجال المعارف و یقصّه من قصص الأنبیاء الإلهیّین بالعهدین، یتجلّی له أنّ القرآن لم یتأثّر فی ذلک بالعهدین، بل و یتّضح له أنّ ما فی العهدین لیس وحیاً إلهیاً و إنّما هی من منشئات الأحبار و الرهبان خلطوا عملاً صالحاً و آخر سیّئاً فموّهوا الکتب السماویة بخرافاتهم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فی ذلک یقول العلاّمة الطباطبائی قدس سره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قرأ العهدین و تأمّل ما فیهما ثمّ رجع إلی ما قصّه القرآن من تواریخ الأنبیاء السالفین و أُممهم رأی أنّ التاریخ غیر التاریخ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القصّة غیر القصّة، ففیهما عثرات و خطایا لأنبیاء اللّه الصالحین تنبو الفطرة و تنفر من أن تنسبها إلی المتعارف من صلحاء الناس و عقلائهم، و القرآن یبرّئهم منها</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2866_38289"/>
      <w:bookmarkStart w:id="662" w:name="pg2866_38289"/>
      <w:bookmarkEnd w:id="662"/>
    </w:p>
    <w:p>
      <w:pPr>
        <w:pStyle w:val="Heading3"/>
        <w:numPr>
          <w:ilvl w:val="2"/>
          <w:numId w:val="1"/>
        </w:numPr>
        <w:rPr/>
      </w:pPr>
      <w:bookmarkStart w:id="663" w:name="pg2866_38289"/>
      <w:bookmarkStart w:id="664" w:name="__RefHeading___Toc2819826_1395250215"/>
      <w:bookmarkStart w:id="665" w:name="_Toc228"/>
      <w:bookmarkEnd w:id="663"/>
      <w:bookmarkEnd w:id="664"/>
      <w:r>
        <w:rPr>
          <w:rtl w:val="true"/>
        </w:rPr>
        <w:t>الفصل الثالث</w:t>
      </w:r>
      <w:r>
        <w:rPr>
          <w:rtl w:val="true"/>
        </w:rPr>
        <w:t>:</w:t>
      </w:r>
      <w:r>
        <w:rPr>
          <w:rtl w:val="true"/>
        </w:rPr>
        <w:t>الخاتمیة فی ضوء العقل و الوحی</w:t>
      </w:r>
      <w:bookmarkEnd w:id="665"/>
    </w:p>
    <w:p>
      <w:pPr>
        <w:pStyle w:val="Heading4"/>
        <w:numPr>
          <w:ilvl w:val="3"/>
          <w:numId w:val="1"/>
        </w:numPr>
        <w:rPr/>
      </w:pPr>
      <w:bookmarkStart w:id="666" w:name="__RefHeading___Toc2819828_1395250215"/>
      <w:bookmarkStart w:id="667" w:name="_Toc229"/>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اتّفقت الأُمّة الإسلامیة علی أنّ نبیّها محمّداً صلی الله علیه و آله خاتم النبیّین، و شریعته خاتمة الشرائع، و کتابه خاتم الکتب السماویة، و یدلّ علی ذلک نصوص من الکتاب و السنّة نشیر إلیها، ثمّ نجیب عن أسئلة حول الخاتمیة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القرآن الکریم علی أنّه خاتم النبیین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الختم هو بلوغ آخر الشیء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العمل و ختم القارئ السورة، و الختم و هو الطبع علی الشیء فذلک من هذا الباب أیضاً، لأنّ الطبع علی الشیء لا یکون إلّا بعد بلوغ آخره</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ثمّ إنّ ختم باب النبوّة یستلزم ختم باب الرسالة، و ذلک لأنّ الرسالة هی إبلاغ ما تحمّله الرسول عن طریق الوحی، فإذا انقطع الوحی و الاتصال بالمبدإ الأعلی فلا یبقی للرسالة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آیات أخری تدلّ علی خاتمیة الرسالة المحمّدیة تصریحاً أو تلویحاً یطول المقام بذکرها</w:t>
      </w:r>
      <w:r>
        <w:rPr>
          <w:rFonts w:eastAsia="IRNazanin" w:cs="IRNazanin"/>
          <w:color w:val="111111"/>
          <w:sz w:val="28"/>
          <w:szCs w:val="28"/>
          <w:rtl w:val="true"/>
          <w:lang w:bidi="fa-IR"/>
        </w:rPr>
        <w:t xml:space="preserve">. </w:t>
      </w:r>
      <w:bookmarkStart w:id="668" w:name="pg2866_38290"/>
    </w:p>
    <w:p>
      <w:pPr>
        <w:pStyle w:val="BookText"/>
        <w:rPr/>
      </w:pPr>
      <w:bookmarkEnd w:id="668"/>
      <w:r>
        <w:rPr>
          <w:rFonts w:ascii="IRNazanin" w:hAnsi="IRNazanin" w:eastAsia="IRNazanin"/>
          <w:color w:val="111111"/>
          <w:sz w:val="28"/>
          <w:sz w:val="28"/>
          <w:szCs w:val="28"/>
          <w:rtl w:val="true"/>
          <w:lang w:bidi="fa-IR"/>
        </w:rPr>
        <w:t xml:space="preserve">و ممّا ینصّ علی الخاتمیة من الأحادیث، حدیث المنزلة المتّفق علیه بین الأُمة فقد نزّل النبیّ صلی الله علیه و آله نفسه مکان موسی، و نزّل علیّاً علیه السلام مکان هارون، و قال مخاطباً علیّاً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دلالة الحدیث علی الخاتمیة واضحة، کدلالته علی خلافة علی علیه السلام للنبی صلی الله علیه و آله بعد رحلته کما سیوافیک بیانه فی باب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علی حین فترة من الرسل، و تنازع من الألسن، فقفّی به الرسل و ختم به الوحی</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إلی غیر ذلک من النصوص المتضافرة فی ذلک</w:t>
      </w:r>
      <w:r>
        <w:rPr>
          <w:rFonts w:eastAsia="IRNazanin" w:cs="IRNazanin"/>
          <w:color w:val="111111"/>
          <w:sz w:val="28"/>
          <w:szCs w:val="28"/>
          <w:rtl w:val="true"/>
          <w:lang w:bidi="fa-IR"/>
        </w:rPr>
        <w:t xml:space="preserve">. </w:t>
      </w:r>
      <w:r>
        <w:rPr>
          <w:rStyle w:val="FootnoteAnchor"/>
          <w:rtl w:val="true"/>
        </w:rPr>
        <w:footnoteReference w:id="459"/>
      </w:r>
    </w:p>
    <w:p>
      <w:pPr>
        <w:pStyle w:val="Heading4"/>
        <w:numPr>
          <w:ilvl w:val="3"/>
          <w:numId w:val="1"/>
        </w:numPr>
        <w:rPr/>
      </w:pPr>
      <w:bookmarkStart w:id="669" w:name="__RefHeading___Toc2819830_1395250215"/>
      <w:bookmarkStart w:id="670" w:name="_Toc230"/>
      <w:bookmarkEnd w:id="669"/>
      <w:r>
        <w:rPr>
          <w:rtl w:val="true"/>
        </w:rPr>
        <w:t>شبهة واهیة</w:t>
      </w:r>
      <w:bookmarkEnd w:id="67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 الخاتمیة شبهات واهیة غنیة عن الإجابة یقف علیها کلّ من له إلمام بالکتاب و السنّة و الأدب العربی، و لأجل إراءة وهن هذه الشبهات </w:t>
      </w:r>
      <w:r>
        <w:rPr>
          <w:rStyle w:val="FootnoteAnchor"/>
          <w:rtl w:val="true"/>
        </w:rPr>
        <w:footnoteReference w:id="460"/>
      </w:r>
      <w:r>
        <w:rPr>
          <w:rFonts w:ascii="IRNazanin" w:hAnsi="IRNazanin" w:eastAsia="IRNazanin"/>
          <w:color w:val="111111"/>
          <w:sz w:val="28"/>
          <w:sz w:val="28"/>
          <w:szCs w:val="28"/>
          <w:rtl w:val="true"/>
          <w:lang w:bidi="fa-IR"/>
        </w:rPr>
        <w:t>نأتی بما تعدّ من أقواها، ثمّ نرجع إلی البحث حول سؤال مهمّ حول الخاتمیة، و هی قابلة للبحث و النقاش، أمّا الشبهة فهی</w:t>
      </w:r>
      <w:r>
        <w:rPr>
          <w:rFonts w:eastAsia="IRNazanin" w:cs="IRNazanin"/>
          <w:color w:val="111111"/>
          <w:sz w:val="28"/>
          <w:szCs w:val="28"/>
          <w:rtl w:val="true"/>
          <w:lang w:bidi="fa-IR"/>
        </w:rPr>
        <w:t xml:space="preserve">: </w:t>
      </w:r>
      <w:bookmarkStart w:id="671" w:name="pg2866_38291"/>
    </w:p>
    <w:p>
      <w:pPr>
        <w:pStyle w:val="BookText"/>
        <w:rPr/>
      </w:pPr>
      <w:bookmarkEnd w:id="671"/>
      <w:r>
        <w:rPr>
          <w:rFonts w:ascii="IRNazanin" w:hAnsi="IRNazanin" w:eastAsia="IRNazanin"/>
          <w:color w:val="111111"/>
          <w:sz w:val="28"/>
          <w:sz w:val="28"/>
          <w:szCs w:val="28"/>
          <w:rtl w:val="true"/>
          <w:lang w:bidi="fa-IR"/>
        </w:rPr>
        <w:t>کیف یدّعی المسلمون انغلاق باب النبوّة و الرسالة، مع أنّ صریح کتابهم ناصّ بانفتاح بابهما إلی یوم القیامة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تحکی خطاباً خاطب سبحانه به بنی آدم فی بدء الخلقة، و فی الظرف الّذی هبط فیه آدم إلی الأرض، فالخطاب لیس من الخطابات المنشأة فی عصر الرّسالة حتی ینافی ختمها، بل حکایة للخطاب الصادر بعد هبوط أبینا آدم إلی الأرض، و الشاهد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الآیات المتقدّمة علی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اهْبِطٰا مِنْهٰا جَمِیعاً بَعْضُکُمْ لِبَعْضٍ عَدُوٌّ فَإِمّٰا یَأْتِیَنَّکُمْ مِنِّی هُدیً فَمَنِ اتَّبَعَ هُدٰایَ فَلاٰ یَضِلُّ وَ لاٰ یَشْقیٰ</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یَأْتِیَنَّکُمْ مِنِّی 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یتّحد مضموناً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یَأْتِیَنَّکُمْ رُسُلٌ مِنْکُمْ یَقُصُّونَ عَلَیْکُمْ آیٰاتِی</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2819832_1395250215"/>
      <w:bookmarkStart w:id="673" w:name="_Toc231"/>
      <w:bookmarkEnd w:id="672"/>
      <w:r>
        <w:rPr>
          <w:rtl w:val="true"/>
        </w:rPr>
        <w:t>الخاتمیة و خلود التشریع الإسلامی</w:t>
      </w:r>
      <w:bookmarkEnd w:id="673"/>
    </w:p>
    <w:p>
      <w:pPr>
        <w:pStyle w:val="Heading5"/>
        <w:numPr>
          <w:ilvl w:val="4"/>
          <w:numId w:val="1"/>
        </w:numPr>
        <w:rPr/>
      </w:pPr>
      <w:bookmarkStart w:id="674" w:name="__RefHeading___Toc2819834_1395250215"/>
      <w:bookmarkStart w:id="675" w:name="_Toc232"/>
      <w:bookmarkEnd w:id="674"/>
      <w:r>
        <w:rPr>
          <w:rtl w:val="true"/>
        </w:rPr>
        <w:t>اشارة</w:t>
      </w:r>
      <w:bookmarkEnd w:id="67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هاهنا سؤالاً یجب علینا الإجابة عنه، و هو أنّ توسّع الحضارة یلزم المجتمع بتنظیم قوانین جدیدة تفوق ما کان یحتاج إلیها فیما مضی، و بما أنّ </w:t>
      </w:r>
      <w:bookmarkStart w:id="676" w:name="pg2866_38292"/>
    </w:p>
    <w:p>
      <w:pPr>
        <w:pStyle w:val="BookText"/>
        <w:rPr/>
      </w:pPr>
      <w:bookmarkEnd w:id="676"/>
      <w:r>
        <w:rPr>
          <w:rFonts w:ascii="IRNazanin" w:hAnsi="IRNazanin" w:eastAsia="IRNazanin"/>
          <w:color w:val="111111"/>
          <w:sz w:val="28"/>
          <w:sz w:val="28"/>
          <w:szCs w:val="28"/>
          <w:rtl w:val="true"/>
          <w:lang w:bidi="fa-IR"/>
        </w:rPr>
        <w:t>الحضارة و الحاجات فی حال تزاید و تکامل، فکیف تعالج القوانین المحدودة الواردة فی الکتاب و السنّة، الحاجات المستحدثة غیر المحدودة؟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خلود التشریع الإسلامی و غناه عن کلّ تشریع مبنیّ علی أُمور تالیة</w:t>
      </w:r>
      <w:r>
        <w:rPr>
          <w:rFonts w:eastAsia="IRNazanin" w:cs="IRNazanin"/>
          <w:color w:val="111111"/>
          <w:sz w:val="28"/>
          <w:szCs w:val="28"/>
          <w:rtl w:val="true"/>
          <w:lang w:bidi="fa-IR"/>
        </w:rPr>
        <w:t>:</w:t>
      </w:r>
    </w:p>
    <w:p>
      <w:pPr>
        <w:pStyle w:val="Heading5"/>
        <w:numPr>
          <w:ilvl w:val="4"/>
          <w:numId w:val="1"/>
        </w:numPr>
        <w:rPr/>
      </w:pPr>
      <w:bookmarkStart w:id="677" w:name="__RefHeading___Toc2819836_1395250215"/>
      <w:bookmarkStart w:id="678" w:name="_Toc233"/>
      <w:bookmarkEnd w:id="677"/>
      <w:r>
        <w:rPr/>
        <w:t>1</w:t>
      </w:r>
      <w:r>
        <w:rPr>
          <w:rtl w:val="true"/>
        </w:rPr>
        <w:t xml:space="preserve">. </w:t>
      </w:r>
      <w:r>
        <w:rPr>
          <w:rtl w:val="true"/>
        </w:rPr>
        <w:t>حجیّة العقل فی مجالات خاصّة</w:t>
      </w:r>
      <w:bookmarkEnd w:id="678"/>
    </w:p>
    <w:p>
      <w:pPr>
        <w:pStyle w:val="BookText"/>
        <w:rPr/>
      </w:pPr>
      <w:r>
        <w:rPr>
          <w:rFonts w:ascii="IRNazanin" w:hAnsi="IRNazanin" w:eastAsia="IRNazanin"/>
          <w:color w:val="111111"/>
          <w:sz w:val="28"/>
          <w:sz w:val="28"/>
          <w:szCs w:val="28"/>
          <w:rtl w:val="true"/>
          <w:lang w:bidi="fa-IR"/>
        </w:rPr>
        <w:t>اعترف القرآن و السنّة بحجیّة العقل فی مجالات خاصّة، ممّا یرجع إلیه القضاء فیها، و قد بیّن مواضع ذلک فی کتب أُصول الفقه، فهناک موارد من الأحکام العقلیة الکاشفة عن أحکام شرعیة، کاستقلال العقل بقبح العقاب بلا بیان، الملازم لعدم ثبوت الحرمة و الوجوب إلّا بالبیان، و استقلاله بلزوم الاجتناب عن أطراف العلم الإجمالی فی الشبهات التحریمیة، و لزوم الموافقة القطعیة فی الشبهات الوجوبیة، و استقلاله بإطاعة الأوامر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مصادیق هذا الأصل قاعدة الأهمّ و المهمّ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القرآن الکریم بجلاء أنّ الأحکام الشرعیة تابعة للمصالح و المفاسد، و بما أنّ للمصالح و المفاسد درجات و مراتب، عقد الفقهاء باباً لتزاحم الأحکام و تصادمها، فیقدّمون الأهم علی المهمّ، و الأکثر مصلحة علی الأقلّ منه، و قد أعان فتح هذا الباب علی حلّ کثیر من المشاکل الاجتماعیة الّتی ربّما یتوهّم الجاهل أنّها تعرقل خُطی المسلمین فی معترک الحیاة</w:t>
      </w:r>
      <w:r>
        <w:rPr>
          <w:rFonts w:eastAsia="IRNazanin" w:cs="IRNazanin"/>
          <w:color w:val="111111"/>
          <w:sz w:val="28"/>
          <w:szCs w:val="28"/>
          <w:rtl w:val="true"/>
          <w:lang w:bidi="fa-IR"/>
        </w:rPr>
        <w:t xml:space="preserve">. </w:t>
      </w:r>
      <w:bookmarkStart w:id="679" w:name="pg2866_38293"/>
    </w:p>
    <w:p>
      <w:pPr>
        <w:pStyle w:val="BookText"/>
        <w:rPr/>
      </w:pPr>
      <w:bookmarkEnd w:id="679"/>
      <w:r>
        <w:rPr>
          <w:rFonts w:ascii="IRNazanin" w:hAnsi="IRNazanin" w:eastAsia="IRNazanin"/>
          <w:color w:val="111111"/>
          <w:sz w:val="28"/>
          <w:sz w:val="28"/>
          <w:szCs w:val="28"/>
          <w:rtl w:val="true"/>
          <w:lang w:bidi="fa-IR"/>
        </w:rPr>
        <w:t>و بما أنّ هذا البحث، یرجع إلی علم أُصول الفقه نقتصر علی هذا القدر، و نختم الکلام بحدیث عن الإمام موسی بن جعفر علیه السلام و هو یخاطب تلمیذه هشام بن الحکم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الظاهرة فالرسل و الأنبیاء و الأئمّة، و أمّا الباطنة فالعقول</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680" w:name="__RefHeading___Toc2819838_1395250215"/>
      <w:bookmarkStart w:id="681" w:name="_Toc234"/>
      <w:bookmarkEnd w:id="680"/>
      <w:r>
        <w:rPr/>
        <w:t>2</w:t>
      </w:r>
      <w:r>
        <w:rPr>
          <w:rtl w:val="true"/>
        </w:rPr>
        <w:t xml:space="preserve">. </w:t>
      </w:r>
      <w:r>
        <w:rPr>
          <w:rtl w:val="true"/>
        </w:rPr>
        <w:t>تشریع الاجتهاد</w:t>
      </w:r>
      <w:bookmarkEnd w:id="681"/>
    </w:p>
    <w:p>
      <w:pPr>
        <w:pStyle w:val="BookText"/>
        <w:rPr/>
      </w:pPr>
      <w:r>
        <w:rPr>
          <w:rFonts w:ascii="IRNazanin" w:hAnsi="IRNazanin" w:eastAsia="IRNazanin"/>
          <w:color w:val="111111"/>
          <w:sz w:val="28"/>
          <w:sz w:val="28"/>
          <w:szCs w:val="28"/>
          <w:rtl w:val="true"/>
          <w:lang w:bidi="fa-IR"/>
        </w:rPr>
        <w:t xml:space="preserve">إنّ من مواهب اللّه تعالی العظیمة علی الأُمة الإسلامیة، تشریع الاجتهاد، و قد کان الاجتهاد مفتوحاً بصورته البسیطة بین الصحابة و التابعین، کما أنّه لم یزل مفتوحاً بین أصحاب الائمّة الطاهرین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جنت بعض الحکومات فی المجتمعات الإسلامیة حیث أقفلت باب الاجتهاد فی أواسط القرن السابع و حرمت الأُمة الإسلامیّة من هذه الموهبة العظیمة، یقول المقریزی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استمرّت ولایة القضاة الأربعة من سنة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حتّی لم یبق فی مجموع أمصار الإسلام مذهب یعرف من مذاهب الإسلام، غیر هذه الأربعة و عودی من تمذهب بغیرها و أنکر علیه، و لم یولَّ قاض، و لا قبلت شهادة أحد ما لم یکن مقلِّداً لأحد هذه المذاهب</w:t>
      </w:r>
      <w:r>
        <w:rPr>
          <w:rFonts w:eastAsia="IRNazanin" w:cs="IRNazanin"/>
          <w:color w:val="111111"/>
          <w:sz w:val="28"/>
          <w:szCs w:val="28"/>
          <w:rtl w:val="true"/>
          <w:lang w:bidi="fa-IR"/>
        </w:rPr>
        <w:t xml:space="preserve">... </w:t>
      </w:r>
      <w:r>
        <w:rPr>
          <w:rStyle w:val="FootnoteAnchor"/>
          <w:rtl w:val="true"/>
        </w:rPr>
        <w:footnoteReference w:id="464"/>
      </w:r>
      <w:bookmarkStart w:id="682" w:name="pg2866_38295"/>
    </w:p>
    <w:p>
      <w:pPr>
        <w:pStyle w:val="BookText"/>
        <w:rPr/>
      </w:pPr>
      <w:bookmarkEnd w:id="682"/>
      <w:r>
        <w:rPr>
          <w:rFonts w:ascii="IRNazanin" w:hAnsi="IRNazanin" w:eastAsia="IRNazanin"/>
          <w:color w:val="111111"/>
          <w:sz w:val="28"/>
          <w:sz w:val="28"/>
          <w:szCs w:val="28"/>
          <w:rtl w:val="true"/>
          <w:lang w:bidi="fa-IR"/>
        </w:rPr>
        <w:t>و من بوادر الخیر أن وقف غیر واحد من أهل النظر من علماء أهل السنّة وقفة موضوعیة، و أحسُّوا بلزوم فتح هذا الباب بعد غلقه قروناً</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683" w:name="__RefHeading___Toc2819840_1395250215"/>
      <w:bookmarkStart w:id="684" w:name="_Toc235"/>
      <w:bookmarkEnd w:id="683"/>
      <w:r>
        <w:rPr/>
        <w:t>3</w:t>
      </w:r>
      <w:r>
        <w:rPr>
          <w:rtl w:val="true"/>
        </w:rPr>
        <w:t xml:space="preserve">. </w:t>
      </w:r>
      <w:r>
        <w:rPr>
          <w:rtl w:val="true"/>
        </w:rPr>
        <w:t>صلاحیات الحاکم الإسلامی و شئونه</w:t>
      </w:r>
      <w:bookmarkEnd w:id="684"/>
    </w:p>
    <w:p>
      <w:pPr>
        <w:pStyle w:val="BookText"/>
        <w:rPr/>
      </w:pPr>
      <w:r>
        <w:rPr>
          <w:rFonts w:ascii="IRNazanin" w:hAnsi="IRNazanin" w:eastAsia="IRNazanin"/>
          <w:color w:val="111111"/>
          <w:sz w:val="28"/>
          <w:sz w:val="28"/>
          <w:szCs w:val="28"/>
          <w:rtl w:val="true"/>
          <w:lang w:bidi="fa-IR"/>
        </w:rPr>
        <w:t>من الأسباب الباعثة علی کون التشریع الإسلامی صالحاً لحلّ المشاکل أنّه منح للحاکم الإسلامی کافَّة الصلاحیات المؤدِّیة إلی حقّ التصرّف المطلق فی کلّ ما یراه ذا صلاحیة للأمَّة، و یتمتّع بمثل ما یتمتّع به النبیّ صلی الله علیه و آله و الإمام المعصوم علیه السلام من النفوذ المطلق، إلّا ما یُعدّ من خصائصهما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النائینی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 إلی الحاکم الإسلامی وضع ما یراه لازماً من المقرّرات، لمصلحة الجماعة و سدّ حاجاتها فی إطار القوانین الإسلامیة</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هناک کلمة قیّمة للإمام الخمینی قدس سره نأتی بنصّها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الحاکم الإسلامی إذا نجح فی تأسیس حکومة إسلامیة فی قطر من أقطار الإسلام، أو فی مناطقه کلِّها، و توفّرت فیه الشرائط و الصلاحیات اللازمة، و أخصّ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الوسیع، و العدل، یجب علی المسلمین إطاعته، و له من الحقوق </w:t>
      </w:r>
      <w:bookmarkStart w:id="685" w:name="pg2866_38296"/>
    </w:p>
    <w:p>
      <w:pPr>
        <w:pStyle w:val="BookText"/>
        <w:rPr/>
      </w:pPr>
      <w:bookmarkEnd w:id="685"/>
      <w:r>
        <w:rPr>
          <w:rFonts w:ascii="IRNazanin" w:hAnsi="IRNazanin" w:eastAsia="IRNazanin"/>
          <w:color w:val="111111"/>
          <w:sz w:val="28"/>
          <w:sz w:val="28"/>
          <w:szCs w:val="28"/>
          <w:rtl w:val="true"/>
          <w:lang w:bidi="fa-IR"/>
        </w:rPr>
        <w:t>و المناصب و الولایة، ما للنبیّ الأکرم صلی الله علیه و آله من إعداد القوّات العسکریة، و دعمها بالتجنید، و تعیین الولاة و أخذ الضرائب، و صرفها فی محالّها،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معنی ذلک أنّ الفقهاء و الحکّام الإسلامیین، مثل النبیّ صلی الله علیه و آله و الأئمة علیهم السلام فی جمیع الشئون و المقامات، حتّی الفضائل النفسانیة، و الدرجات المعنویة، فإنّ ذلک رأی تافه لا یرکن إلیه، إذ أنّ البحث إنّما هو فی الوظائف المحوّلة إلی الحاکم الإسلامی، و الموضوعة علی عاتقه، لا فی المقامات المعنویة و الفضائل النفسانیة،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المضمار فی درجة لا یدرک شأوهم و لا یشقّ لهم غبار حسب روائع نصوصهم و کلماتهم</w:t>
      </w:r>
      <w:r>
        <w:rPr>
          <w:rFonts w:eastAsia="IRNazanin" w:cs="IRNazanin"/>
          <w:color w:val="111111"/>
          <w:sz w:val="28"/>
          <w:szCs w:val="28"/>
          <w:rtl w:val="true"/>
          <w:lang w:bidi="fa-IR"/>
        </w:rPr>
        <w:t xml:space="preserve">. </w:t>
      </w:r>
      <w:r>
        <w:rPr>
          <w:rStyle w:val="FootnoteAnchor"/>
          <w:rtl w:val="true"/>
        </w:rPr>
        <w:footnoteReference w:id="467"/>
      </w:r>
    </w:p>
    <w:p>
      <w:pPr>
        <w:pStyle w:val="Heading5"/>
        <w:numPr>
          <w:ilvl w:val="4"/>
          <w:numId w:val="1"/>
        </w:numPr>
        <w:rPr/>
      </w:pPr>
      <w:bookmarkStart w:id="686" w:name="__RefHeading___Toc2819842_1395250215"/>
      <w:bookmarkStart w:id="687" w:name="_Toc236"/>
      <w:bookmarkEnd w:id="686"/>
      <w:r>
        <w:rPr/>
        <w:t>4</w:t>
      </w:r>
      <w:r>
        <w:rPr>
          <w:rtl w:val="true"/>
        </w:rPr>
        <w:t xml:space="preserve">. </w:t>
      </w:r>
      <w:r>
        <w:rPr>
          <w:rtl w:val="true"/>
        </w:rPr>
        <w:t>الأحکام الّتی لها دور التحدید</w:t>
      </w:r>
      <w:bookmarkEnd w:id="687"/>
    </w:p>
    <w:p>
      <w:pPr>
        <w:pStyle w:val="BookText"/>
        <w:rPr/>
      </w:pPr>
      <w:r>
        <w:rPr>
          <w:rFonts w:ascii="IRNazanin" w:hAnsi="IRNazanin" w:eastAsia="IRNazanin"/>
          <w:color w:val="111111"/>
          <w:sz w:val="28"/>
          <w:sz w:val="28"/>
          <w:szCs w:val="28"/>
          <w:rtl w:val="true"/>
          <w:lang w:bidi="fa-IR"/>
        </w:rPr>
        <w:t>من الأسباب الموجبة لانطباق التشریع القرآنی علی جمیع الحضارات، تشریعه لقوانین خاصّة، لها دور التحدید و الرقابة بالنسبة إلی عامّة تشریعاته، فهذه القوانین الحاکمة، تعطی لهذا الدین مرونة یماشی بها کلّ الأجیال و القرون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688" w:name="pg2866_38297"/>
    </w:p>
    <w:p>
      <w:pPr>
        <w:pStyle w:val="BookText"/>
        <w:rPr/>
      </w:pPr>
      <w:bookmarkEnd w:id="688"/>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 فَلاٰ إِثْمَ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 إِلَیْهِ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حول النهی عن الضرر من الآیات، کلّها تحدّد التشریعات القرآنیة بحدود الحرج و العسر و الضرر، فلولا هذه التحدیدات الحاکمة لما کانت الشریعة الإسلامیة مماشیة لجمیع الحضارات البشریة</w:t>
      </w:r>
      <w:r>
        <w:rPr>
          <w:rFonts w:eastAsia="IRNazanin" w:cs="IRNazanin"/>
          <w:color w:val="111111"/>
          <w:sz w:val="28"/>
          <w:szCs w:val="28"/>
          <w:rtl w:val="true"/>
          <w:lang w:bidi="fa-IR"/>
        </w:rPr>
        <w:t>.</w:t>
      </w:r>
    </w:p>
    <w:p>
      <w:pPr>
        <w:pStyle w:val="Heading5"/>
        <w:numPr>
          <w:ilvl w:val="4"/>
          <w:numId w:val="1"/>
        </w:numPr>
        <w:rPr/>
      </w:pPr>
      <w:bookmarkStart w:id="689" w:name="__RefHeading___Toc2819844_1395250215"/>
      <w:bookmarkStart w:id="690" w:name="_Toc237"/>
      <w:bookmarkEnd w:id="689"/>
      <w:r>
        <w:rPr/>
        <w:t>5</w:t>
      </w:r>
      <w:r>
        <w:rPr>
          <w:rtl w:val="true"/>
        </w:rPr>
        <w:t xml:space="preserve">. </w:t>
      </w:r>
      <w:r>
        <w:rPr>
          <w:rtl w:val="true"/>
        </w:rPr>
        <w:t>الاعتدال فی التشریع</w:t>
      </w:r>
      <w:bookmarkEnd w:id="690"/>
    </w:p>
    <w:p>
      <w:pPr>
        <w:pStyle w:val="BookText"/>
        <w:rPr/>
      </w:pPr>
      <w:r>
        <w:rPr>
          <w:rFonts w:ascii="IRNazanin" w:hAnsi="IRNazanin" w:eastAsia="IRNazanin"/>
          <w:color w:val="111111"/>
          <w:sz w:val="28"/>
          <w:sz w:val="28"/>
          <w:szCs w:val="28"/>
          <w:rtl w:val="true"/>
          <w:lang w:bidi="fa-IR"/>
        </w:rPr>
        <w:t>من الأسباب الموجبة لصلاح الإسلام للبقاء و الخلود کون تشریعاته مبتنیة علی أساس الاعتدال موافقة للفطرة الإنسانیة، فأخذت من الدنیا ما هو لصالح العباد، و من الآخرة مثله، فکما ندب إلی العبادة، ندب إلی طلب الرزق أیضاً، بل ندب إلی ترویح النفس، و التخلیة بینها و بین لذّاتها بوجه مشروع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یناجی ربّه، وساعة یرمُّ فیها معاشه، وساعة یخلّی بین نفسه و لذاتها</w:t>
      </w:r>
      <w:r>
        <w:rPr>
          <w:rFonts w:eastAsia="IRNazanin" w:cs="IRNazanin"/>
          <w:color w:val="111111"/>
          <w:sz w:val="28"/>
          <w:szCs w:val="28"/>
          <w:rtl w:val="true"/>
          <w:lang w:bidi="fa-IR"/>
        </w:rPr>
        <w:t xml:space="preserve">». </w:t>
      </w:r>
      <w:r>
        <w:rPr>
          <w:rStyle w:val="FootnoteAnchor"/>
          <w:rtl w:val="true"/>
        </w:rPr>
        <w:footnoteReference w:id="472"/>
      </w:r>
      <w:bookmarkStart w:id="691" w:name="pg2866_38298"/>
    </w:p>
    <w:p>
      <w:pPr>
        <w:pStyle w:val="Heading2"/>
        <w:numPr>
          <w:ilvl w:val="1"/>
          <w:numId w:val="1"/>
        </w:numPr>
        <w:rPr/>
      </w:pPr>
      <w:bookmarkStart w:id="692" w:name="__RefHeading___Toc2819846_1395250215"/>
      <w:bookmarkStart w:id="693" w:name="_Toc238"/>
      <w:bookmarkEnd w:id="691"/>
      <w:bookmarkEnd w:id="692"/>
      <w:r>
        <w:rPr>
          <w:rtl w:val="true"/>
        </w:rPr>
        <w:t>الباب السابع</w:t>
      </w:r>
      <w:r>
        <w:rPr>
          <w:rtl w:val="true"/>
        </w:rPr>
        <w:t>:</w:t>
      </w:r>
      <w:r>
        <w:rPr>
          <w:rtl w:val="true"/>
        </w:rPr>
        <w:t>فی الإمامة و الخلافة</w:t>
      </w:r>
      <w:bookmarkEnd w:id="693"/>
    </w:p>
    <w:p>
      <w:pPr>
        <w:pStyle w:val="Heading3"/>
        <w:numPr>
          <w:ilvl w:val="2"/>
          <w:numId w:val="1"/>
        </w:numPr>
        <w:rPr/>
      </w:pPr>
      <w:bookmarkStart w:id="694" w:name="__RefHeading___Toc2819848_1395250215"/>
      <w:bookmarkStart w:id="695" w:name="_Toc239"/>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و فیه ثمانیة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نبحث عن الإمامة؟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الإمامة عند الشیعة و أهل السنّة؛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إثبات الإمامة عند أهل السنّة؛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وجوب تنصیب الإمام عند الشیعة؛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العصمة فی الإمام؛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النصوص الدینیة و تنصیب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النبویة و الأئمّة الاثنا عشر؛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الثانی عشر فی الکتاب و السنّة</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2866_38300"/>
      <w:bookmarkStart w:id="697" w:name="pg2866_38300"/>
      <w:bookmarkEnd w:id="697"/>
    </w:p>
    <w:p>
      <w:pPr>
        <w:pStyle w:val="Heading3"/>
        <w:numPr>
          <w:ilvl w:val="2"/>
          <w:numId w:val="1"/>
        </w:numPr>
        <w:rPr/>
      </w:pPr>
      <w:bookmarkStart w:id="698" w:name="pg2866_38300"/>
      <w:bookmarkStart w:id="699" w:name="__RefHeading___Toc2819850_1395250215"/>
      <w:bookmarkStart w:id="700" w:name="_Toc240"/>
      <w:bookmarkEnd w:id="698"/>
      <w:bookmarkEnd w:id="699"/>
      <w:r>
        <w:rPr>
          <w:rtl w:val="true"/>
        </w:rPr>
        <w:t>الفصل الأوّل</w:t>
      </w:r>
      <w:r>
        <w:rPr>
          <w:rtl w:val="true"/>
        </w:rPr>
        <w:t>:</w:t>
      </w:r>
      <w:r>
        <w:rPr>
          <w:rtl w:val="true"/>
        </w:rPr>
        <w:t>لما ذا نبحث عن الإمامة؟</w:t>
      </w:r>
      <w:bookmarkEnd w:id="700"/>
    </w:p>
    <w:p>
      <w:pPr>
        <w:pStyle w:val="BookText"/>
        <w:rPr/>
      </w:pPr>
      <w:r>
        <w:rPr>
          <w:rFonts w:ascii="IRNazanin" w:hAnsi="IRNazanin" w:eastAsia="IRNazanin"/>
          <w:color w:val="111111"/>
          <w:sz w:val="28"/>
          <w:sz w:val="28"/>
          <w:szCs w:val="28"/>
          <w:rtl w:val="true"/>
          <w:lang w:bidi="fa-IR"/>
        </w:rPr>
        <w:t>إنّ أوّل خلاف عظیم نجم بین المسلمین بعد ارتحال الرسول الأکرم صلی الله علیه و آله هو الاختلاف فی مسألة الإمامة و الخلافة، و صارت الأُمة بذلک فرقتین، فرقة تشایع علیّاً علیه السلام و فرقة تشایع غیره من الخلفاء، و البحث حول کیفیة وقوع هذا الاختلاف و علله خارج عمّا نحن بصدده هنا، لأنّه بحث تاریخی علی کاهل علم الملل و النحل، و المقصود بالبحث فی هذا المجال هو تحلیل حقیقة الإمامة و شروطها عند الشیعة و أهل السنّة، علی ضوء العقل و الوحی و الواقعیات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صیغة الخلافة بعد النبیّ الأکرم صلی الله علیه و آله یرجع لُبّه إلی أمر تاریخی قد مضی زمنه، و هو أنّ الخلیفة بعد النبیّ هل هو الإمام أمیر المؤمنین علیه السلام أو أبو بکر، و ما ذا یفید المؤمنین البحث حول هذا الأمر الّذی لا یرجع إلیهم بشیء فی حیاتهم الحاضرة، أو لیس من الحریّ ترک هذا البحث حفظا للوحدة؟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أنّه لا شکّ أنّ من واجب المسلم الحرّ السعی وراء الوحدة، و لکن لیس معنی ذلک ترک البحث رأساً، فإنّه إذا کان البحث نزیهاً موضوعیاً </w:t>
      </w:r>
    </w:p>
    <w:p>
      <w:pPr>
        <w:pStyle w:val="BookText"/>
        <w:rPr/>
      </w:pPr>
      <w:r>
        <w:rPr>
          <w:rFonts w:ascii="IRNazanin" w:hAnsi="IRNazanin" w:eastAsia="IRNazanin"/>
          <w:color w:val="111111"/>
          <w:sz w:val="28"/>
          <w:sz w:val="28"/>
          <w:szCs w:val="28"/>
          <w:rtl w:val="true"/>
          <w:lang w:bidi="fa-IR"/>
        </w:rPr>
        <w:t>یکون مؤثّراً فی توحید الصفوف و تقریب الخطی، إذ عندئذٍ تتعرّف کلّ طائفة علی ما لدی الأُخری من العقائد و الأُصول، و بالتالی تکون الطائفتان متقاربتین، و هذا بخلاف ما إذا ترکنا البحث مخافة الفرقة فإنّه یثیر سوء الظن من کلّ طائفة بالنسبة إلی أختها فی مجال العقائد فربّما تتصوّرها طائفة أجنبیة عن الإسلام،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لمسألة الخلافة بعد النبیّ صلی الله علیه و آله 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تاریخی مضی عصره، و الآخر بُعد دینی باق أثره إلی یومنا هذا، و سیبقی بعد ذلک، و هو أنّه إذا دلّت الأدلّة علی تنصیب علی علیه السلام علی الولایة و الخلافة بالمعنی الّذی تتبنّاه الإمامیة یکون الإمام وراء کونه زعیماً فی ذلک العصر، مرجعاً فی رفع المشاکل الّتی خلّفتها رحلة النبیّ صلی الله علیه و آله ، کما سیوافیک بیانها، فیجب علی المسلمین الرجوع إلیه فی تفسیر القرآن و تبیینه، و فی مجال الموضوعات المستجدة الّتی لم یرد فیها النصّ فی الکتاب و السنّة، فلیس البحث متلخّصاً فی البعد السیاسی حتی نشطب علیه بدعوی أنّه مضی ما مضی، بل له مجال أو مجالات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البحث بعنوان الإمامة و الخلافة مثیراً للخلاف و لکن للبحث صورة أُخری نزیه عنه، و هو البحث عن المرجع العلمی للمسلمین بعد رحلة النبیّ الأکرم صلی الله علیه و آله فی مسائلهم و مشاکلهم العلمیة، و هل قام النبیّ الأکرم صلی الله علیه و آله بنصب شخص أو طائفة علی ذلک المقام أو لا؟ و البحث بهذه الصورة لا یثیر شیئاً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الشیعة تدّعی أنّ السنّة النبویّة أکَّدت علی مرجعیة أهل البیت علیهم السلام فی </w:t>
      </w:r>
    </w:p>
    <w:p>
      <w:pPr>
        <w:pStyle w:val="BookText"/>
        <w:rPr/>
      </w:pPr>
      <w:r>
        <w:rPr>
          <w:rFonts w:ascii="IRNazanin" w:hAnsi="IRNazanin" w:eastAsia="IRNazanin"/>
          <w:color w:val="111111"/>
          <w:sz w:val="28"/>
          <w:sz w:val="28"/>
          <w:szCs w:val="28"/>
          <w:rtl w:val="true"/>
          <w:lang w:bidi="fa-IR"/>
        </w:rPr>
        <w:t>العقائد و المسائل الدینیة، وراء الزعامة السیاسیة المحدَّدة بوقت خاصّ و من أوضحها حدیث الثقلین المتواتر عند الفریقین و لا یشکّ فی صحّته إلّا الجاهل به أو المعاند، فقد روی بطرق کثیرة عن نیّف و عشرین صحابیاً</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روی أصحاب الصحاح و المسانید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ترکت فیکم ما إن أخذتم به لن تضلّوا،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تمسّکتم به لن تضلّوا، کتاب اللّه حبل ممدود من السّماء إلی الأرض، و عترتی أهل بیتی، و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النصوص المتقاربة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الإمعان فی الحدیث یعرب عن عصمة العترة الطاهرة، حیث قورنت بالقرآن الکریم و أنّهما لا یفترقان، و من المعلوم أنّ القرآن الکریم کتاب لا یأتیه الباطل من بین یدیه و لا من خلفه، فکیف یمکن أن یکون قرناء القرآن و أعداله خاطئین فیما یحکمون، أو یقولون و یحدِّثون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 ذلک أنّ الحدیث، یعدّ المتمسّک بالعترة غیر ضالٍّ، فلو کانوا غیر معصومین من الخلاف و الخطأ فکیف لا یضلُّ المتمسک بهم؟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یدلُّ علی أنّ الاهتداء بالکتاب و الوقوف علی معارفه و أسراره یحتاج إلی معلّم خبیر لا یخطأ فی فهم حقائقه و تبیین معارفه، و لیس ذلک إلّا من جعلهم النبیّ صلی الله علیه و آله قرناء الکتاب إلی یوم القیامة و هم العترة الطاهرة، و قد شبَّههم فی حدیث آخر بسفینة نوح فی أنّ من لجأ إلیهم فی الدین و أخذ أُصوله و فروعه عنهم نجا من عذاب النار، و من تخلَّف عنهم کمن تخلّف یوم الطوفان عن سفینة نوح و أدرکه الغرق</w:t>
      </w:r>
      <w:r>
        <w:rPr>
          <w:rFonts w:eastAsia="IRNazanin" w:cs="IRNazanin"/>
          <w:color w:val="111111"/>
          <w:sz w:val="28"/>
          <w:szCs w:val="28"/>
          <w:rtl w:val="true"/>
          <w:lang w:bidi="fa-IR"/>
        </w:rPr>
        <w:t xml:space="preserve">. </w:t>
      </w:r>
      <w:r>
        <w:rPr>
          <w:rStyle w:val="FootnoteAnchor"/>
          <w:rtl w:val="true"/>
        </w:rPr>
        <w:footnoteReference w:id="474"/>
      </w:r>
      <w:bookmarkStart w:id="701" w:name="pg2866_38305"/>
    </w:p>
    <w:p>
      <w:pPr>
        <w:pStyle w:val="Heading3"/>
        <w:numPr>
          <w:ilvl w:val="2"/>
          <w:numId w:val="1"/>
        </w:numPr>
        <w:rPr/>
      </w:pPr>
      <w:bookmarkStart w:id="702" w:name="__RefHeading___Toc2819852_1395250215"/>
      <w:bookmarkStart w:id="703" w:name="_Toc241"/>
      <w:bookmarkEnd w:id="701"/>
      <w:bookmarkEnd w:id="702"/>
      <w:r>
        <w:rPr>
          <w:rtl w:val="true"/>
        </w:rPr>
        <w:t>الفصل الثانی</w:t>
      </w:r>
      <w:r>
        <w:rPr>
          <w:rtl w:val="true"/>
        </w:rPr>
        <w:t>:</w:t>
      </w:r>
      <w:r>
        <w:rPr>
          <w:rtl w:val="true"/>
        </w:rPr>
        <w:t>حقیقة الإمامة عند الشیعة و أهل السنّة</w:t>
      </w:r>
      <w:bookmarkEnd w:id="703"/>
    </w:p>
    <w:p>
      <w:pPr>
        <w:pStyle w:val="Heading4"/>
        <w:numPr>
          <w:ilvl w:val="3"/>
          <w:numId w:val="1"/>
        </w:numPr>
        <w:rPr/>
      </w:pPr>
      <w:bookmarkStart w:id="704" w:name="__RefHeading___Toc2819854_1395250215"/>
      <w:bookmarkStart w:id="705" w:name="_Toc242"/>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الإمام فی اللّغة هو الّذی یؤتمُّ به إنساناً کان أو کتاباً أو غیر ذلک، محقّاً کان أو مبطلاً و جمعه أئمّة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بالّذی یقتدون به، و قیل بکتابهم</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عرّف المتکلّمون الإمامة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رئاسة عامّة فی أُمور الدین و الدنیا؛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خلافة الرسول فی إقامة الدین، بحیث یجب اتّباعه علی کافّة الأمّة؛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خلافة عن صاحب الشرع فی حراسة الدین و سیاسة الدنیا؛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رئاسة عامّة دینیة مشتملة علی ترغیب عموم الناس فی حفظ مصالحهم الدینیة و الدنیاویة، و زجرهم عمّا یضرّهم بحسبها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اتّفقت کلمة أهل السنّة، أو أکثرهم، علی أنّ الإمامة من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النظر فی الإمامة لیس من فنّ المعقولات، بل من الفقهیّات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قال الآمدی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الکلام فی الإمامة لیس من أصول الدیانات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قال الإیجی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مباحثها عندنا من الفروع، و إنّما ذکرناها فی علم الکلام تأسّیاً بمن قبلنا</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قصاری أمر الإمامة إنّها قضیة مصلحیة إجماعیة و لا تلحق بالعقائد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قال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نزاع فی أن مباحث الإمامة بعلم الفروع ألیق</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الشیعة الإمامیة، فینظرون إلی الإمامة کمسألة أصولیة کلامیّة، وزانها وزان النبوّة، سوی تلقّی الوحی التشریعی و الإتیان بالشریعة، فإنّها </w:t>
      </w:r>
      <w:bookmarkStart w:id="706" w:name="pg2866_38307"/>
    </w:p>
    <w:p>
      <w:pPr>
        <w:pStyle w:val="BookText"/>
        <w:rPr/>
      </w:pPr>
      <w:bookmarkEnd w:id="706"/>
      <w:r>
        <w:rPr>
          <w:rFonts w:ascii="IRNazanin" w:hAnsi="IRNazanin" w:eastAsia="IRNazanin"/>
          <w:color w:val="111111"/>
          <w:sz w:val="28"/>
          <w:sz w:val="28"/>
          <w:szCs w:val="28"/>
          <w:rtl w:val="true"/>
          <w:lang w:bidi="fa-IR"/>
        </w:rPr>
        <w:t>مختومة بارتحال النبیّ الأکرم صلی الله علیه و آله ، فمسألة الإمامة تکون من المسائل الجذریة الأصلیّة</w:t>
      </w:r>
      <w:r>
        <w:rPr>
          <w:rFonts w:eastAsia="IRNazanin" w:cs="IRNazanin"/>
          <w:color w:val="111111"/>
          <w:sz w:val="28"/>
          <w:szCs w:val="28"/>
          <w:rtl w:val="true"/>
          <w:lang w:bidi="fa-IR"/>
        </w:rPr>
        <w:t xml:space="preserve">. </w:t>
      </w:r>
      <w:r>
        <w:rPr>
          <w:rStyle w:val="FootnoteAnchor"/>
          <w:rtl w:val="true"/>
        </w:rPr>
        <w:footnoteReference w:id="484"/>
      </w:r>
    </w:p>
    <w:p>
      <w:pPr>
        <w:pStyle w:val="Heading4"/>
        <w:numPr>
          <w:ilvl w:val="3"/>
          <w:numId w:val="1"/>
        </w:numPr>
        <w:rPr/>
      </w:pPr>
      <w:bookmarkStart w:id="707" w:name="__RefHeading___Toc2819856_1395250215"/>
      <w:bookmarkStart w:id="708" w:name="_Toc243"/>
      <w:bookmarkEnd w:id="707"/>
      <w:r>
        <w:rPr>
          <w:rtl w:val="true"/>
        </w:rPr>
        <w:t>مؤهِّلات الإمام و صفاته</w:t>
      </w:r>
      <w:bookmarkEnd w:id="708"/>
    </w:p>
    <w:p>
      <w:pPr>
        <w:pStyle w:val="BookText"/>
        <w:rPr/>
      </w:pPr>
      <w:r>
        <w:rPr>
          <w:rFonts w:ascii="IRNazanin" w:hAnsi="IRNazanin" w:eastAsia="IRNazanin"/>
          <w:color w:val="111111"/>
          <w:sz w:val="28"/>
          <w:sz w:val="28"/>
          <w:szCs w:val="28"/>
          <w:rtl w:val="true"/>
          <w:lang w:bidi="fa-IR"/>
        </w:rPr>
        <w:t xml:space="preserve">اختلفت کلمات أهل السنّة فی ما یشترط فی الإمام من الصفات، فمنهم </w:t>
      </w:r>
      <w:r>
        <w:rPr>
          <w:rStyle w:val="FootnoteAnchor"/>
          <w:rtl w:val="true"/>
        </w:rPr>
        <w:footnoteReference w:id="485"/>
      </w:r>
      <w:r>
        <w:rPr>
          <w:rFonts w:ascii="IRNazanin" w:hAnsi="IRNazanin" w:eastAsia="IRNazanin"/>
          <w:color w:val="111111"/>
          <w:sz w:val="28"/>
          <w:sz w:val="28"/>
          <w:szCs w:val="28"/>
          <w:rtl w:val="true"/>
          <w:lang w:bidi="fa-IR"/>
        </w:rPr>
        <w:t>من قال إنّها أربع،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العدالة، و المعرفة بوجوه السّیاسة و حسن التدبیر، و أن یکون نسبه من قریش، و زاد بعضهم </w:t>
      </w:r>
      <w:r>
        <w:rPr>
          <w:rStyle w:val="FootnoteAnchor"/>
          <w:rtl w:val="true"/>
        </w:rPr>
        <w:footnoteReference w:id="486"/>
      </w:r>
      <w:r>
        <w:rPr>
          <w:rFonts w:ascii="IRNazanin" w:hAnsi="IRNazanin" w:eastAsia="IRNazanin"/>
          <w:color w:val="111111"/>
          <w:sz w:val="28"/>
          <w:sz w:val="28"/>
          <w:szCs w:val="28"/>
          <w:rtl w:val="true"/>
          <w:lang w:bidi="fa-IR"/>
        </w:rPr>
        <w:t xml:space="preserve">علیها سلامة الحواسّ و الأعضاء و الشجاعة، و بعض آخر </w:t>
      </w:r>
      <w:r>
        <w:rPr>
          <w:rStyle w:val="FootnoteAnchor"/>
          <w:rtl w:val="true"/>
        </w:rPr>
        <w:footnoteReference w:id="487"/>
      </w:r>
      <w:r>
        <w:rPr>
          <w:rFonts w:ascii="IRNazanin" w:hAnsi="IRNazanin" w:eastAsia="IRNazanin"/>
          <w:color w:val="111111"/>
          <w:sz w:val="28"/>
          <w:sz w:val="28"/>
          <w:szCs w:val="28"/>
          <w:rtl w:val="true"/>
          <w:lang w:bidi="fa-IR"/>
        </w:rPr>
        <w:t>البلوغ و الرجولیة، قال الإیجی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الجمهور علی أنّ أهل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فی الأُصول و الفروع لیقوم بأُمور الدین، ذو رأی لیقوم بأمور الملک، شجاع لیقوی علی الذبّ عن الحوزة،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هذه الصفات، لأنّها لا توجد، فیکون اشتراطها عبثاً أو تکلیفاً بما لا یطاق و مستلزماً للمفاسد الّتی یمکن دفعها بنصب فاقدها، نعم یجب أن یکون عدلاً لئلاّ یجور، عاقلاً لیصلح للتصرّفات، بالغاً لقصور عقل </w:t>
      </w:r>
    </w:p>
    <w:p>
      <w:pPr>
        <w:pStyle w:val="BookText"/>
        <w:rPr/>
      </w:pPr>
      <w:r>
        <w:rPr>
          <w:rFonts w:ascii="IRNazanin" w:hAnsi="IRNazanin" w:eastAsia="IRNazanin"/>
          <w:color w:val="111111"/>
          <w:sz w:val="28"/>
          <w:sz w:val="28"/>
          <w:szCs w:val="28"/>
          <w:rtl w:val="true"/>
          <w:lang w:bidi="fa-IR"/>
        </w:rPr>
        <w:t>الصبی، ذکراً إذ النساء ناقصات عقل و دین، حُرّاً لئلاّ یشغله خدمة السیّد و لئلّا یحتقر فیعصی</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یلاحظ علی هذه الشروط</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اختلافهم فی عددها ناش من افتقادهم لنصٍّ شرعی فی مجال الإمامة، و إنّما الموجود عندهم نصوص کلّیة لا تتکفّل بتعیین هذه الشروط، و المصدر لها عندهم هو الاستحسان و الاعتبارات العقلائیة فی ذلک، و هذا ممّا یقضی منه العجب، فکیف ترک النبیّ صلی الله علیه و آله بیان هذا الأمر المهمّ شرطاً و صفة، مع أنّه بیّن أبسط الأشیاء و أدناها من المکروهات و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العدالة لا ینسجم مع ما ذهبوا إلیه من أنّ الإمام لا ینخلع بفسقه و ظلمه، قال الباقلانی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ینخلع الإمام بفسقه و ظلمه بغصب الأموال و تضییع الحقوق و تعطیل الحدود، و لا یجب الخروج علیه، بل یجب وعظه و تخویفه و ترک طاعته فی شیء ممّا یدعو إلیه من معاصی اللّه</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التاریخ الإسلامی یشهد بأنّ الخلفاء بعد علی علیه السلام کانوا یفقدون أکثر هذه الصلاحیات و مع ذلک مارسوا الخلافة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الشیعة الإمامیة فبما أنّهم ینظرون إلی الإمامة بأنّها استمرار لوظائف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یعتبرون فی الإمام توفّر صلاحیات عالیة لا ینالها الفرد إلّا إذا وقع تحت عنایة إلهیّة خاصّة، فهو یخلف النبیّ صلی الله علیه و آله فی العلم و العصمة و القیادة الحکمیة و غیر ذلک من الشئون، قال المحقّق البحرانی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لمّا بیَّنّا أنّه یجب أن یکون الإمام معصوماً وجب أن یکون مستجمعاً لأصول الکمالات النفسانیة، و هی العلم و العفّة و الشجاعة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 أفضل الأُمة فی کلّ ما یعدّ کمالاً نفسانیاً، لأنّه مقدَّم علیهم، و المقدَّم یجب أن یکون أفضل، لأنّ تقدیم الناقص علی من هو أکمل منه قبیح عقلاً، و یجب أن یکون متبرئاً من جمیع العیوب المنفِّرة فی خلقته من الأمراض کالجذام و البرص و نحوهما، و فی نسبه و أصله کالزنا و الدناءة، لأنّ الطهارة من ذلک تجری مجری الألطاف المقرِّبة للخلق إلی قبول قوله و تمکّنه، فیجب کونه کذلک</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2866_38312"/>
      <w:bookmarkStart w:id="710" w:name="pg2866_38312"/>
      <w:bookmarkEnd w:id="710"/>
    </w:p>
    <w:p>
      <w:pPr>
        <w:pStyle w:val="Heading3"/>
        <w:numPr>
          <w:ilvl w:val="2"/>
          <w:numId w:val="1"/>
        </w:numPr>
        <w:rPr/>
      </w:pPr>
      <w:bookmarkStart w:id="711" w:name="pg2866_38312"/>
      <w:bookmarkStart w:id="712" w:name="__RefHeading___Toc2819858_1395250215"/>
      <w:bookmarkStart w:id="713" w:name="_Toc244"/>
      <w:bookmarkEnd w:id="711"/>
      <w:bookmarkEnd w:id="712"/>
      <w:r>
        <w:rPr>
          <w:rtl w:val="true"/>
        </w:rPr>
        <w:t>الفصل الثالث</w:t>
      </w:r>
      <w:r>
        <w:rPr>
          <w:rtl w:val="true"/>
        </w:rPr>
        <w:t>:</w:t>
      </w:r>
      <w:r>
        <w:rPr>
          <w:rtl w:val="true"/>
        </w:rPr>
        <w:t>طرق إثبات الإمامة عند أهل السنّة</w:t>
      </w:r>
      <w:bookmarkEnd w:id="713"/>
    </w:p>
    <w:p>
      <w:pPr>
        <w:pStyle w:val="Heading4"/>
        <w:numPr>
          <w:ilvl w:val="3"/>
          <w:numId w:val="1"/>
        </w:numPr>
        <w:rPr/>
      </w:pPr>
      <w:bookmarkStart w:id="714" w:name="__RefHeading___Toc2819860_1395250215"/>
      <w:bookmarkStart w:id="715" w:name="_Toc245"/>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الطریق لإثبات الإمامة عند الشیعة الإمامیة منحصرة فی النصّ من النبیّ صلی الله علیه و آله و الإمام السابق، و سیوافیک الکلام فیه فی الفصل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أهل السنّة فلا ینحصر بذلک، بل یثبت أیضاً ببیعة أهل الحلّ و العقد، قال الإیجی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 فیما تثبت به الإمامة، و إنّها تثبت بالنصّ من الرسول و من الإمام السابق بالإجماع و تثبت ببیعة أهل الحلّ و العقد خلافاً للشیعة، لنا ثبوت إمامة أبی بکر بالبیعة</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ثمّ إنّهم اختلفوا فی عدد من تنعقد به الإمامة علی أقوال، قال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العلماء فی عدد من تنعقد به الإمامة منهم علی مذاهب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تنعقد إلّا بجمهور أهل الحلّ و العقد من کلّ بلد لیکون الرضا به عامّاً، و التسلیم لإمامته إجماعاً، و هذا </w:t>
      </w:r>
    </w:p>
    <w:p>
      <w:pPr>
        <w:pStyle w:val="BookText"/>
        <w:rPr/>
      </w:pPr>
      <w:r>
        <w:rPr>
          <w:rFonts w:ascii="IRNazanin" w:hAnsi="IRNazanin" w:eastAsia="IRNazanin"/>
          <w:color w:val="111111"/>
          <w:sz w:val="28"/>
          <w:sz w:val="28"/>
          <w:szCs w:val="28"/>
          <w:rtl w:val="true"/>
          <w:lang w:bidi="fa-IR"/>
        </w:rPr>
        <w:t>مذهب مدفوع ببیعة أبی بکر علی الخلافة باختیار من حضرها، و لم ینتظر ببیعته قدوم غائب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تنعقد به منهم الإمامة خمسة یجتمعون علی عقدها أو یعقدها أحدهم برضا الأربعة، استدلالاً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بیعة أبی بکر انعقدت بخمسة اجتمعوا علیها ثمَّ تابعهم الناس فیها،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أبو عبیدة بن الجراح، و أسید بن خضیر، و بشر بن سعد، و سالم مولی أبی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جعل الشوری فی ستّة لیعقد لأحدهم برضا الخمسة، و هذا قول أکثر الفقهاء، و المتکلّمین 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من علماء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تنعقد بثلاثة یتولاّها أحدهم برضا الاثنین لیکونوا حاکماً و شاهدین، کما یصحّ عقد النکاح بولی و شاهدین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تنعقد بواحد، لأنّ العباس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أبایعک، فیقول الناس عمّ رسول اللّه صلی الله علیه و آله بایع ابن عمِّه فلا یختلف علیک اثنان، و لأنّه حکم و حکم واحد نافذ</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یلاحظ علی هذه الأقوال و النظریات</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موقف أصحابها موقف من اعتقد بصحّة خلافة الخلفاء، فاستدلّ به علی ما یرتئیه من الرأی، و هذا، استدلال علی المدّعی بنفسها، و هو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الاختلاف الفاحش فی کیفیة عقد الإمامة، یعرب عن بطلان نفس الأصل، لأنّه إذا کانت الإمامة مفوَّضة إلی الأُمّة، کان علی النبیّ صلی الله علیه و آله بیان تفاصیلها و طریق انعقادها، و لیس عقد الإمام لرجل أقلّ من عقد النکاح بین الزوجین الّذی اهتمّ القرآن و السنّة ببیانه و تحدیده، و العجب أنّ عقد الإمامة الّذی تتوقّف علیه حیاة الأُمّة، لم یطرح فی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زعم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یتبیّن حدوده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هؤلاء الأعلام کیف سکتوا عن الاعتراضات الهائلة الّتی توجّهت من نفس الصحابة من الأنصار و المهاجرین علی خلافة الخلفاء الّذین تمَّت بیعتهم ببیعة الخمسة فی السقیفة، أو بیعة أبی بکر لعمر، أو بشوری الستّة، فإنّ من کان ملِمّاً بالتاریخ، یری کیف کانت عقیرة کثیر من الصحابة مرتفعة بالاعتراض، حتی أنّ الزبیر وقف فی السقیفة أمام المبایعین و قد اخترط سیفه و هو یقول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أغمده حتی یبایع علیّ،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الکلب فأخذ سیفه من یده، و ضرب به الحجر و کسر</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هل الشوری أساس الحکم و الخلافة؟</w:t>
      </w:r>
    </w:p>
    <w:p>
      <w:pPr>
        <w:pStyle w:val="BookText"/>
        <w:rPr/>
      </w:pPr>
      <w:r>
        <w:rPr>
          <w:rFonts w:ascii="IRNazanin" w:hAnsi="IRNazanin" w:eastAsia="IRNazanin"/>
          <w:color w:val="111111"/>
          <w:sz w:val="28"/>
          <w:sz w:val="28"/>
          <w:szCs w:val="28"/>
          <w:rtl w:val="true"/>
          <w:lang w:bidi="fa-IR"/>
        </w:rPr>
        <w:t>قد حاول المتجدّدون من متکلّمی أهل السنّة، صبَّ صیغة الحکومة الإسلامیة علی أساس المشورة بجعله بمنزلة الاستفتاء الشعبی و استدلّوا علی ذلک بآیتین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فِی الْأَمْرِ فَإِذٰا عَزَمْتَ فَتَوَکَّلْ عَلَی اللّٰهِ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سبحانه أمر نبیّه بالمشاورة تعلیماً للأُمّة حتی یشاوروا فی مهامّ الأُمور و منها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فی الآیة متوجّه إلی الحاکم الّذی استقرّت حکومته، فیأمره سبحانه أن ینتفع من آراء رعیته، فأقصی ما یمکن التجاوز به عن الآیة هو أنّ من وظائف کلّ الحکام التشاور مع الأُٰمّة، و أمّا أنّ الخلافة بنفس الشوری، فلا یمکن الاستدلال علیه بها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الآیة هو أنّ التشاور لا یوجب حکماً للحاکم، و لا یلزمه بشیء، بل هو یقلّب وجوه الرأی و یستعرض الأفکار المختلفة، ثمّ یأخذ بما هو المفید فی نظره،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 ذلک یعرب عن أنّ الآیة ترجع إلی غیر مسألة الخلافة و الحکومة، و لأجل ذلک لم نر أحداً من الحاضرین فی السقیفة احتجّ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اسْتَجٰابُوا لِرَبِّهِمْ وَ أَقٰامُوا الصَّلاٰةَ وَ أَمْرُهُمْ شُوریٰ بَیْنَهُمْ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ببیان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أضیفت إلی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یفید العموم لکلّ أمر و منه الخلافة، فیعود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المؤمنین فی کلّ مورد شوری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حثَّت علی الشوریٰ فیما یمت إلی شئون المؤمنین بصلة، لا فیما هو خارج عن حوزة أمورهم، و کون تعیین الإمام داخلاً فی أُمورهم فهو أوّل الکلام، إذ لا 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من شئونهم أو من شئون اللّه سبحانه؟ و لا ندری، هل هی إمرة و ولایة إلهیّة تتمّ بنصبه سبحانه و تعیینه، أو إمرة و ولایة شعبیّة یجوز للناس التدخّل فیها؟</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الشوری أساس الحکم، فلما ذا استدلّ بها الإمام علی علیه السلام علی المخالف، و قال مخاطباً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بایعنی القوم الّذین بایعوا أبا بکر و عمر و عثمان علی ما بایعوهم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بالشوری کان من باب الجدل حیث بدأ رسالته بقوله</w:t>
      </w:r>
      <w:r>
        <w:rPr>
          <w:rFonts w:eastAsia="IRNazanin" w:cs="IRNazanin"/>
          <w:color w:val="111111"/>
          <w:sz w:val="28"/>
          <w:szCs w:val="28"/>
          <w:rtl w:val="true"/>
          <w:lang w:bidi="fa-IR"/>
        </w:rPr>
        <w:t xml:space="preserve">: </w:t>
      </w:r>
      <w:bookmarkStart w:id="716" w:name="pg2866_38318"/>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بیعتی بالمدینة لزمتک و أنت بالشام، لأنّه بایعنی الّذین بایعوا أبا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 فیما دخل فیه المسلمون</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فالابتداء بالکلام بخلافة الشیخین یعرب عن أنّه فی مقام إلزام معاویة الّذی یعتبر البیعة وجهاً شرعیاً للخلافة، و لو لا ذلک لما کان وجه لذکر خلافة الشیخین، بل لاستدلّ بنفس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الإمام علیّ علیه السلام یری أنّ الشوری أساس و مصدر شرعی للخلافة لم یطعن فی خلافة الخلفاء الثلاثة قبله و کلماته علیه السلام فی الخطبة الشقشقیّة و غیرها تدلّ علی أنّ خلافتهم لم تکن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علیه السلام إنّما لم یقم بالمعارضة أو وافقهم فی شئون الحکومة فی الجملة قیاماً بمصالح الإسلام و المسلمین</w:t>
      </w:r>
      <w:r>
        <w:rPr>
          <w:rFonts w:eastAsia="IRNazanin" w:cs="IRNazanin"/>
          <w:color w:val="111111"/>
          <w:sz w:val="28"/>
          <w:szCs w:val="28"/>
          <w:rtl w:val="true"/>
          <w:lang w:bidi="fa-IR"/>
        </w:rPr>
        <w:t>.</w:t>
      </w:r>
    </w:p>
    <w:p>
      <w:pPr>
        <w:pStyle w:val="Heading4"/>
        <w:numPr>
          <w:ilvl w:val="3"/>
          <w:numId w:val="1"/>
        </w:numPr>
        <w:rPr/>
      </w:pPr>
      <w:bookmarkStart w:id="717" w:name="__RefHeading___Toc2819862_1395250215"/>
      <w:bookmarkStart w:id="718" w:name="_Toc246"/>
      <w:bookmarkEnd w:id="717"/>
      <w:r>
        <w:rPr>
          <w:rtl w:val="true"/>
        </w:rPr>
        <w:t>تصوّر النبیّ الأکرم للقیادة بعده</w:t>
      </w:r>
      <w:bookmarkEnd w:id="71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الکلمات المأثورة عن الرسول الأکرم صلی الله علیه و آله ، تدلّ علی أنّه صلی الله علیه و آله کان یعتبر أمر القیادة بعده مسألة إلهیّة و حقّاً خاصّاً للّه جلّ جلاله، فإنّه صلی الله علیه و آله لمّا دعا بنی عامر إلی الإسلام و قد جاءوا فی موسم الحج إلی مکّة، قال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أنّ نحن بایعناک علی أمرک، ثمّ أظهرک اللّه علی من خالفک، أ یکون لنا الأمر من بعدک؟ </w:t>
      </w:r>
    </w:p>
    <w:p>
      <w:pPr>
        <w:pStyle w:val="BookText"/>
        <w:rPr/>
      </w:pPr>
      <w:r>
        <w:rPr>
          <w:rFonts w:ascii="IRNazanin" w:hAnsi="IRNazanin" w:eastAsia="IRNazanin"/>
          <w:color w:val="111111"/>
          <w:sz w:val="28"/>
          <w:sz w:val="28"/>
          <w:szCs w:val="28"/>
          <w:rtl w:val="true"/>
          <w:lang w:bidi="fa-IR"/>
        </w:rPr>
        <w:t>فأجابه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فلو کان أمر الخلافة بید الأُمة لکان علیه صلی الله علیه و آله أن یقول الأمر إلی الأُمّة، أو إلی أهل الحلّ و العقد، أو ما یشابه ذلک، فتفویض أمر الخلافة إلی اللّه سبحانه ظاهر فی کونها کالنبوّة یضعها سبحانه حیث یشاء،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فاللسان فی موردین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هناک نصوصاً تشیر إلی ما فی مرتکز العقل، من أنّ ترک الأُمّة بلا قائد و إمام قبیح علی من بیده زمام الأمر، هذه عائشة تقول لعبد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أبلغ عمر سلامی و قل له، لا تدع أُمّة محمّد بلا راع</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إنّما قالت ذلک عند ما اغتیل عمر و أحسّ بالموت، و أرسل ابنه إلی عائشة لیستأذن منها أن یدفن فی بیتها مع رسول اللّه صلی الله علیه و آله و مع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عبد اللّه بن عمر یقول لأبیه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سمعت الناس یقولون مقالة، فآلیت أن أقولها لک، و زعموا أنّک غیر مستخلف، و أنّه لو کان لک راعی إبل أو غنم ثمّ جاءک و ترکها، لرأیت أن قد ضیّع، فرعایة الناس أشدّ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استصوب معاویة أخذه البیعة من الناس لابنه یزید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کرهت أن أدع أمّة محمّد بعدی کالضأن لا راعی لها</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ترک الأُمّة بلا راع، أمراً غیر صحیح فی منطق العقل، فکیف یجوز لهؤلاء أن ینسبوا إلی النبیّ صلی الله علیه و آله أنّه ترک الأُمة بلا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هؤلاء کانوا أعطف علی الأُمّة من النبیّ الأکرم صلی الله علیه و آله ، إنّ هذا ممّا یقضی منه العجب</w:t>
      </w:r>
      <w:r>
        <w:rPr>
          <w:rFonts w:eastAsia="IRNazanin" w:cs="IRNazanin"/>
          <w:color w:val="111111"/>
          <w:sz w:val="28"/>
          <w:szCs w:val="28"/>
          <w:rtl w:val="true"/>
          <w:lang w:bidi="fa-IR"/>
        </w:rPr>
        <w:t xml:space="preserve">. </w:t>
      </w:r>
      <w:bookmarkStart w:id="719" w:name="pg2866_38321"/>
    </w:p>
    <w:p>
      <w:pPr>
        <w:pStyle w:val="Heading3"/>
        <w:numPr>
          <w:ilvl w:val="2"/>
          <w:numId w:val="1"/>
        </w:numPr>
        <w:rPr/>
      </w:pPr>
      <w:bookmarkStart w:id="720" w:name="__RefHeading___Toc2819864_1395250215"/>
      <w:bookmarkStart w:id="721" w:name="_Toc247"/>
      <w:bookmarkEnd w:id="719"/>
      <w:bookmarkEnd w:id="720"/>
      <w:r>
        <w:rPr>
          <w:rtl w:val="true"/>
        </w:rPr>
        <w:t>الفصل الرابع</w:t>
      </w:r>
      <w:r>
        <w:rPr>
          <w:rtl w:val="true"/>
        </w:rPr>
        <w:t>:</w:t>
      </w:r>
      <w:r>
        <w:rPr>
          <w:rtl w:val="true"/>
        </w:rPr>
        <w:t>أدلة وجوب النصّ فی الإمامة عند الشیعة الإمامیة</w:t>
      </w:r>
      <w:bookmarkEnd w:id="721"/>
    </w:p>
    <w:p>
      <w:pPr>
        <w:pStyle w:val="Heading4"/>
        <w:numPr>
          <w:ilvl w:val="3"/>
          <w:numId w:val="1"/>
        </w:numPr>
        <w:rPr/>
      </w:pPr>
      <w:bookmarkStart w:id="722" w:name="__RefHeading___Toc2819866_1395250215"/>
      <w:bookmarkStart w:id="723" w:name="_Toc248"/>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إنّ الإمامة عند الشیعة تختلف فی حقیقتها عما لدی أهل السنّة، فهی إمرة إلهیة و استمرار لوظائف النبوّة کلّها سوی تحمّل الوحی الإلهی، و مقتضی هذا اتّصاف الإمام بالشروط المشترطة فی النبیّ، سوی کونه طرفاً للوحی التشریعی، و بناءً علی هذا ینحصر طریق ثبوت الإمامة بتنصیص من اللّه و تنصیب من النبیّ صلی الله علیه و آله أو الإمام السابق، و إلیک فیما یلی براهین هذا الأصل</w:t>
      </w:r>
      <w:r>
        <w:rPr>
          <w:rFonts w:eastAsia="IRNazanin" w:cs="IRNazanin"/>
          <w:color w:val="111111"/>
          <w:sz w:val="28"/>
          <w:szCs w:val="28"/>
          <w:rtl w:val="true"/>
          <w:lang w:bidi="fa-IR"/>
        </w:rPr>
        <w:t>:</w:t>
      </w:r>
    </w:p>
    <w:p>
      <w:pPr>
        <w:pStyle w:val="Heading4"/>
        <w:numPr>
          <w:ilvl w:val="3"/>
          <w:numId w:val="1"/>
        </w:numPr>
        <w:rPr/>
      </w:pPr>
      <w:bookmarkStart w:id="724" w:name="__RefHeading___Toc2819868_1395250215"/>
      <w:bookmarkStart w:id="725" w:name="_Toc249"/>
      <w:bookmarkEnd w:id="724"/>
      <w:r>
        <w:rPr>
          <w:rtl w:val="true"/>
        </w:rPr>
        <w:t>أ</w:t>
      </w:r>
      <w:r>
        <w:rPr>
          <w:rtl w:val="true"/>
        </w:rPr>
        <w:t xml:space="preserve">) </w:t>
      </w:r>
      <w:r>
        <w:rPr>
          <w:rtl w:val="true"/>
        </w:rPr>
        <w:t>الفراغات الهائلة بعد النبیّ صلی الله علیه و آله فی مجالات أربعة</w:t>
      </w:r>
      <w:bookmarkEnd w:id="725"/>
    </w:p>
    <w:p>
      <w:pPr>
        <w:pStyle w:val="BookText"/>
        <w:rPr/>
      </w:pPr>
      <w:r>
        <w:rPr>
          <w:rFonts w:ascii="IRNazanin" w:hAnsi="IRNazanin" w:eastAsia="IRNazanin"/>
          <w:color w:val="111111"/>
          <w:sz w:val="28"/>
          <w:sz w:val="28"/>
          <w:szCs w:val="28"/>
          <w:rtl w:val="true"/>
          <w:lang w:bidi="fa-IR"/>
        </w:rPr>
        <w:t>إنّ النبیّ صلی الله علیه و آله لم تکن مسئولیّاته و أعماله مقتصرة علی تلقّی الوحی الإلهی و تبلیغه إلی الناس، بل کان یقوم بالأُمور التالیة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یفسّر الکتاب العزیز و یشرح مقاصده و یکشف أسراره،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یحکم بین الناس فیما یحدث بینهم من الاختلافات و 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 وَ لاٰ تَکُنْ لِلْخٰائِنِینَ خَصِیماً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یبیّن أحکام الموضوعات الّتی کانت تحدث فی زمن دعوته؛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یدفع الشبهات و یجیب عن التساؤلات العویصة المریبة الّتی کان یثیرها أعداء الإسلام من یهود و نصاری؛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یصون الدّین من التحریف و الدسِّ و یراقب ما أخذه عنه المسلمون من أصول و فروع حتی لا تزلّ فیه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الأُمور الّتی مارسها النبیّ الأکرم صلی الله علیه و آله أیّام حیاته، و من المعلوم أنّ رحلته تخلّف فراغاً هائلاً فی هذه المجالات الخمسة، فیکون التشریع الإسلامی حینئذٍ أمام محتملات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یبدی الشارع اهتماماً بسدِّ هذه الفراغات الهائلة الّتی ستحدث بعد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 ساقط جدّاً، لا یحتاج إلی البحث، فإنّه لا ینسجم مع غرض البعثة، فإنّ فی ترک هذه الفراغات ضیاعاً للدّین و الشریعة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الأُمة قد بلغت بفضل جهود صاحب الدعوة فی </w:t>
      </w:r>
    </w:p>
    <w:p>
      <w:pPr>
        <w:pStyle w:val="BookText"/>
        <w:rPr/>
      </w:pPr>
      <w:r>
        <w:rPr>
          <w:rFonts w:ascii="IRNazanin" w:hAnsi="IRNazanin" w:eastAsia="IRNazanin"/>
          <w:color w:val="111111"/>
          <w:sz w:val="28"/>
          <w:sz w:val="28"/>
          <w:szCs w:val="28"/>
          <w:rtl w:val="true"/>
          <w:lang w:bidi="fa-IR"/>
        </w:rPr>
        <w:t>إعدادها حدّاً تقدر معه بنفسها علی سدِّ ذلک الفراغ، غیر أنّ التاریخ و المحاسبات الاجتماعیة یبطلان هذا الاحتمال و یثبتان أنّه لم یقدر للأمّة بلوغ تلک الذروة لتقوم بسدّ هذه الثغرات الّتی خلّفها غیاب النبیّ الأکرم، لا فی جانب التفسیر و لا فی جانب فصل الخصومات، و لا فی جانب ردّ التشکیکات و دفع الشبهات، و لا فی جانب صیانة الدّین عن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جانب التفسیر، فیکفی وجود الاختلاف الفاحش فی تفسیر آیات الذکر الحکیم حتّی فیما یرجع إلی عمل المسلمین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جانب القضاء فی الاختلافات و المنازعات فیشهد بذلک عجز الخلفاء و الصحابة عن ذلک فی کثیر من الموارد، سوی الإمام علی علیه السلام حیث کان مدینة علم النبیّ صلی الله علیه و آله و أقضاهم بنصّ خاتم الرسالة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مجال الأحکام، فیکفی فی ذلک الوقوف علی أنّ بیان الأحکام الدینیة حصل تدریجاً علی ما تقتضیه الحوادث و الحاجات الاجتماعیة فی عهد الرسول صلی الله علیه و آله ، و من المعلوم أنّ هذا النمط کان مستمرّاً بعد الرسول، غیر أنّ ما ورثه المسلمون منه صلی الله علیه و آله لم یکن کافیاً للإجابة عن ذلک، أمّا الآیات القرآنیة فی مجال الأحکام فهی لا تتجاوز ثلاثمائة آیة، و أمّا الأحادیث فی هذا المجال، فالّذی ورثته الأمّة لا تتجاوز خمسمائة حدیث، و هذا القدر لا یفی بالإجابة علی جمیع الموضوعات المستجدّة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نعنی من ذلک أنّ الشریعة الإسلامیة ناقصة فی إیفاء أغراضها التشریعیة و شمول المواضیع المستجدّة، بل المقصود أنّ النبیّ صلی الله علیه و آله کان </w:t>
      </w:r>
    </w:p>
    <w:p>
      <w:pPr>
        <w:pStyle w:val="BookText"/>
        <w:rPr/>
      </w:pPr>
      <w:r>
        <w:rPr>
          <w:rFonts w:ascii="IRNazanin" w:hAnsi="IRNazanin" w:eastAsia="IRNazanin"/>
          <w:color w:val="111111"/>
          <w:sz w:val="28"/>
          <w:sz w:val="28"/>
          <w:szCs w:val="28"/>
          <w:rtl w:val="true"/>
          <w:lang w:bidi="fa-IR"/>
        </w:rPr>
        <w:t>یراعی فی إبلاغ الحکم حاجة الناس و مقتضیات الظروف الزمنیة، فلا بدّ فی إیفاء غرض التشریع علی وجه یشمل المواضیع المستجدّة و المسائل المستحدثة أن یستودع أحکام الشریعة من یخلفه و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مجال ردّ الشبهات و التشکیکات و إجابة التساؤلات، فقد حصل فراغ هائل بعد رحلة النبیّ من هذه الناحیة، فجاءت الیهود و النصاری تتری، یطرحون الأسئلة، حول أُصول الإسلام و فروعه، و لم یکن فی وسع الخلفاء آنذاک الإجابة الصحیحة عنها، کما یشهد بذلک التاریخ الموجود بأیدینا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جانب صیانة المسلمین عن التفرقة، و الدّین عن الانحراف، فقد کانت الأُمّة الإسلامیة فی أشدّ الحاجة إلی من یصون دینها عن التحریف و أبناءها عن الاختلاف، فإنّ التاریخ یشهد علی دخول جماعات عدیدة من أحبار الیهود و رهبان النصاری و مؤبدی المجوس بین المسلمین، فراحوا یدسّون الأحادیث الإسرائیلیة و الأساطیر النصرانیة و الخرافات المجوسیة بینهم، و یکفی فی ذلک أن یذکر الإنسان ما کابده البخاری من مشاقّ و أسفار فی مختلف أقطار الدولة الإسلامیة، و ما رواه بعد ذلک، فإنّه ألفی الأحادیث المتداولة بین المحدّثین فی الأقطار الإسلامیة، تربو علی ستمائة ألف حدیث، لم یصحّ لدیه منها أکثر من أربعة آلاف، و کذلک کان شأن سائر الّذین جمعوا الأحادیث و کثیر من هذه الأحادیث الّتی صحّت عندهم کانت موضع نقد و تمحیص عند غیرهم</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هذا البحث الضافی یثبت حقیقة ناصعة، و هی عدم تمکّن الأُمّة، مع ما لها من الفضل، من القیام بسدِّ الفراغات الهائلة الّتی خلّفتها رحلة النبیّ الأکرم صلی الله علیه و آله و یبطل بذلک الاحتمال الثانی تجاه التشریع الإسلامی بعد عصر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یستودع صاحب الدعوة، کلّ ما تلقّاه من المعارف و الأحکام بالوحی، و کلّ ما ستحتاج إلیه الأُمّة بعده، شخصیّة مثالیة، لها کفاءة تقبُّل هذه المعارف و الأحکام و تحمّلها، فتقوم هی بسدّ هذا الفراغ بعد رحلته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بطلان الاحتمالین الأوّلین لا مناص من تعیُّن هذا الاحتمال، فإنّ وجود إنسان مثالی کالنبیّ فی المؤهّلات، عارف بالشریعة و معارف الدین، ضمان لتکامل المجتمع، و خطوة ضروریة فی سبیل ارتقائه الروحی و المعنوی، فهل یسوغ علی اللّه سبحانه أن یهمل هذا الأمر الضروری فی حیاة الإنسان الدینیة؟</w:t>
      </w:r>
    </w:p>
    <w:p>
      <w:pPr>
        <w:pStyle w:val="BookText"/>
        <w:rPr/>
      </w:pPr>
      <w:r>
        <w:rPr>
          <w:rFonts w:ascii="IRNazanin" w:hAnsi="IRNazanin" w:eastAsia="IRNazanin"/>
          <w:color w:val="111111"/>
          <w:sz w:val="28"/>
          <w:sz w:val="28"/>
          <w:szCs w:val="28"/>
          <w:rtl w:val="true"/>
          <w:lang w:bidi="fa-IR"/>
        </w:rPr>
        <w:t>إن اللّه سبحانه جهّز الإنسان بأجهزة ضروریة فیما یحتاج إلیها فی حیاته الدنیویة المادیّة، و مع ذلک کیف یعقل إهمال هذا العنصر الرئیسی فی حیاته المعنویة و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أجمل ما قاله أئمّة أهل البیت فی فلسفة وجود هذا الخلف و مدی تأثیره فی تکامل الأُمّة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 بیّناته</w:t>
      </w:r>
      <w:r>
        <w:rPr>
          <w:rFonts w:eastAsia="Amiri" w:cs="Amiri" w:ascii="Amiri" w:hAnsi="Amiri"/>
          <w:color w:val="111111"/>
          <w:sz w:val="28"/>
          <w:szCs w:val="28"/>
          <w:rtl w:val="true"/>
          <w:lang w:bidi="ar-SA"/>
        </w:rPr>
        <w:t xml:space="preserve">». </w:t>
      </w:r>
      <w:r>
        <w:rPr>
          <w:rStyle w:val="FootnoteAnchor"/>
          <w:rtl w:val="true"/>
        </w:rPr>
        <w:footnoteReference w:id="506"/>
      </w:r>
      <w:bookmarkStart w:id="726" w:name="pg2866_38327"/>
    </w:p>
    <w:p>
      <w:pPr>
        <w:pStyle w:val="BookText"/>
        <w:rPr/>
      </w:pPr>
      <w:bookmarkEnd w:id="726"/>
      <w:r>
        <w:rPr>
          <w:rFonts w:ascii="IRNazanin" w:hAnsi="IRNazanin" w:eastAsia="IRNazanin"/>
          <w:color w:val="111111"/>
          <w:sz w:val="28"/>
          <w:sz w:val="28"/>
          <w:szCs w:val="28"/>
          <w:rtl w:val="true"/>
          <w:lang w:bidi="fa-IR"/>
        </w:rPr>
        <w:t xml:space="preserve">و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إلّا و فیها إمام، کیما إن زاد المؤمنون شیئاً ردَّهم، و إذا نقصوا شیئاً أتمّه لهم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هذه المأثورات من أئمّة أهل البیت علیهم السلام تعرب عن أنّ الغرض الداعی إلی بعثة النبیّ، داع إلی وجود إمام یخلف النبی فی عامّة سماته، سوی ما دلّ القرآن علی انحصاره به ککونه نبیّاً رسولاً و صاحب شریعة</w:t>
      </w:r>
      <w:r>
        <w:rPr>
          <w:rFonts w:eastAsia="IRNazanin" w:cs="IRNazanin"/>
          <w:color w:val="111111"/>
          <w:sz w:val="28"/>
          <w:szCs w:val="28"/>
          <w:rtl w:val="true"/>
          <w:lang w:bidi="fa-IR"/>
        </w:rPr>
        <w:t>.</w:t>
      </w:r>
    </w:p>
    <w:p>
      <w:pPr>
        <w:pStyle w:val="Heading4"/>
        <w:numPr>
          <w:ilvl w:val="3"/>
          <w:numId w:val="1"/>
        </w:numPr>
        <w:rPr/>
      </w:pPr>
      <w:bookmarkStart w:id="727" w:name="__RefHeading___Toc2819870_1395250215"/>
      <w:bookmarkStart w:id="728" w:name="_Toc250"/>
      <w:bookmarkEnd w:id="727"/>
      <w:r>
        <w:rPr>
          <w:rtl w:val="true"/>
        </w:rPr>
        <w:t>ب</w:t>
      </w:r>
      <w:r>
        <w:rPr>
          <w:rtl w:val="true"/>
        </w:rPr>
        <w:t xml:space="preserve">) </w:t>
      </w:r>
      <w:r>
        <w:rPr>
          <w:rtl w:val="true"/>
        </w:rPr>
        <w:t>الأُمّة الإسلامیة و مثلث الخطر الدّاهم</w:t>
      </w:r>
      <w:bookmarkEnd w:id="72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الدولة الإسلامیة الّتی أسّسها النبیّ الأکرم صلی الله علیه و آله کانت محاصرة حال وفاة النبیّ من جهتی الشمال و الشرق بأکبر إمبراطوریتین عرفهما تاریخ تلک الفترة، و کانتا علی جانب کبیر من القوّة و البأس،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و إیران، و یکفی فی خطورة إمبراطوریة إیران إنّه کتب ملکها إلی عامله بالیمن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وصلت إلیه رسالة النبیّ تدعوه إلی الإسلام، و مزَّقها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إلی هذا الرجل بالحجاز، رجلین من عندک، جلدین، فلیأتیانی به</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فی خطورة موقف الإمبراطوریة الرومانیة، إنّه وقعت اشتباکات عدیدة بینها و بین المسلمین فی السنّة الثامنة للهجرة، منها سریّة موتة الّتی قتل فیها قادة الجیش الإسلامی،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أبی طالب، و زید ابن حارثة، و عبد اللّه بن رواحة، و رجع الجیش الإسلامی من تلک الواقعة منهزما، و لأجل ذلک توجّه الرسول الأکرم صلی الله علیه و آله بنفسه علی رأس الجیش الإسلامی إلی تبوک فی السنّة </w:t>
      </w:r>
    </w:p>
    <w:p>
      <w:pPr>
        <w:pStyle w:val="BookText"/>
        <w:rPr/>
      </w:pPr>
      <w:r>
        <w:rPr>
          <w:rFonts w:ascii="IRNazanin" w:hAnsi="IRNazanin" w:eastAsia="IRNazanin"/>
          <w:color w:val="111111"/>
          <w:sz w:val="28"/>
          <w:sz w:val="28"/>
          <w:szCs w:val="28"/>
          <w:rtl w:val="true"/>
          <w:lang w:bidi="fa-IR"/>
        </w:rPr>
        <w:t>التاسعة لمقابلة الجیوش البیزنطیة و لکنّه لم یلق أحداً، فأقام فی تبوک أیّاماً ثمّ رجع إلی المدینة، و لم یکتف بهذا بل جهّز جیشاً فی أُخریات أیّامه بقیادة أسامة بن زید لمواجهة جیوش الروم، هذا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الداخل، فقد کان الإسلام و المسلمون یعانون من وطأة مؤامرات المنافقین الّذین کانوا یشکّلون جبهة عدوانیة داخلیة، أشبه بما یسمّی بالطابور الخامس، فهؤلاء أسلموا بألسنتهم دون قلوبهم، و کانوا یتحیّنون الفرص لإضعاف الدولة الإسلامیة بإثارة الفتن الداخلیة، و لقد انبری القرآن الکریم لفضح المنافقین و التشهیر بخططهم ضد الدین و النبیّ فی العدید من السور القرآنیة و قد نزلت فی حقّهم سورة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اهتمام القرآن بالتعرّض للمنافقین المعاصرین للنبیّ صلی الله علیه و آله ، المتواجدین بین الصحابة أدلّ دلیل علی أنّهم کانوا قوة کبیرة و یشکّلون جماعة وافرة و یلعبون دوراً خبیثاً فی إفساح المجال لأعداء الإسلام، بحیث لو لا قیادة النبیّ الحکیمة لقضوا علی کیان الدین، و یکفی فی ذلک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محتملاً و مترقّباً أن یتّحد هذا المثلث الخطیر لاکتساح الإسلام و اجتثاث جذوره بعد وفاة النبیّ، فمع هذا الخطر المحیق الداهم، ما </w:t>
      </w:r>
      <w:bookmarkStart w:id="729" w:name="pg2866_38329"/>
    </w:p>
    <w:p>
      <w:pPr>
        <w:pStyle w:val="BookText"/>
        <w:rPr/>
      </w:pPr>
      <w:bookmarkEnd w:id="729"/>
      <w:r>
        <w:rPr>
          <w:rFonts w:ascii="IRNazanin" w:hAnsi="IRNazanin" w:eastAsia="IRNazanin"/>
          <w:color w:val="111111"/>
          <w:sz w:val="28"/>
          <w:sz w:val="28"/>
          <w:szCs w:val="28"/>
          <w:rtl w:val="true"/>
          <w:lang w:bidi="fa-IR"/>
        </w:rPr>
        <w:t>هی وظیفة القائد الحکیم الّذی أرسی قواعد دینه علی تضحیات عظیمة؟ فهل المصلحة کانت تقتضی تنصیب قائد حکیم عارف بأحکام القیادة و وظائفها حتی یجتمع المسلمون تحت رایته و یکونوا صفّاً واحداً فی مقابل ذاک الخطر، أو أنّ المصلحة العامّة تقتضی تفویض الأمر إلی الأُمّة حتی یختاروا لأنفسهم أمیراً، مع ما یحکیه التاریخ لنا من سیطرة الروح الحزبیّة علی المسلمین آنذاک؟ و یکفی شاهداً علی ذلک ما وقع من المشاجرات بین المهاجرین و الأنصار یوم السقیفة</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إنّ القائد الحکیم هو من یعتنی بالأوضاع الاجتماعیة لأُمّته، و یلاحظ الظروف المحیطة بها، و یرسم علی ضوئها ما یراه صالحاً لمستقبلها، و قد عرفت أنّ مقتضی هذه الظروف هو تعیین القائد و المدبّر، لا دفع الأمر إلی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ذکرنا ینظر قول الشیخ الرئیس ابن سینا فی حقّ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الاستخلاف بالنصّ أصوب، فإنّ ذلک لا یؤدّی إلی التشعّب و التشاغب و الاختلاف</w:t>
      </w:r>
      <w:r>
        <w:rPr>
          <w:rFonts w:eastAsia="IRNazanin" w:cs="IRNazanin"/>
          <w:color w:val="111111"/>
          <w:sz w:val="28"/>
          <w:szCs w:val="28"/>
          <w:rtl w:val="true"/>
          <w:lang w:bidi="fa-IR"/>
        </w:rPr>
        <w:t xml:space="preserve">». </w:t>
      </w:r>
      <w:r>
        <w:rPr>
          <w:rStyle w:val="FootnoteAnchor"/>
          <w:rtl w:val="true"/>
        </w:rPr>
        <w:footnoteReference w:id="511"/>
      </w:r>
    </w:p>
    <w:p>
      <w:pPr>
        <w:pStyle w:val="Heading4"/>
        <w:numPr>
          <w:ilvl w:val="3"/>
          <w:numId w:val="1"/>
        </w:numPr>
        <w:rPr/>
      </w:pPr>
      <w:bookmarkStart w:id="730" w:name="__RefHeading___Toc2819872_1395250215"/>
      <w:bookmarkStart w:id="731" w:name="_Toc251"/>
      <w:bookmarkEnd w:id="730"/>
      <w:r>
        <w:rPr>
          <w:rtl w:val="true"/>
        </w:rPr>
        <w:t>ج</w:t>
      </w:r>
      <w:r>
        <w:rPr>
          <w:rtl w:val="true"/>
        </w:rPr>
        <w:t xml:space="preserve">) </w:t>
      </w:r>
      <w:r>
        <w:rPr>
          <w:rtl w:val="true"/>
        </w:rPr>
        <w:t>نصب الإمام لطف إلهی</w:t>
      </w:r>
      <w:bookmarkEnd w:id="73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حاصل ما سلکناه فی بیان وجوب تنصیب الخلیفة و الإمام للأُمّة الإسلامیة من جانب النبیّ الأکرم صلی الله علیه و آله علی ضوء العقل الفطری و دراسة التاریخ الإسلامی و شئون الرسالة النبویّة و مسئولیاتها الخطیرة، و هذا </w:t>
      </w:r>
    </w:p>
    <w:p>
      <w:pPr>
        <w:pStyle w:val="BookText"/>
        <w:rPr/>
      </w:pPr>
      <w:r>
        <w:rPr>
          <w:rFonts w:ascii="IRNazanin" w:hAnsi="IRNazanin" w:eastAsia="IRNazanin"/>
          <w:color w:val="111111"/>
          <w:sz w:val="28"/>
          <w:sz w:val="28"/>
          <w:szCs w:val="28"/>
          <w:rtl w:val="true"/>
          <w:lang w:bidi="fa-IR"/>
        </w:rPr>
        <w:t>المسلک یقرب ممّا سلکه مشایخنا الإمامیّة فی هذا المجال من الاستناد بقاعدة اللطف، و فی ذلک یقول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ما ادّعیناه إنّ کلّ عاقل عرف العادة و خالط الناس، یعلم ضرورة أنّ وجود الرئیس المصیب النافذ الأمر، السدید التدبیر ترتفع عنده التظالم و التقاسم و التباغی أو معظمه ، أو یکون الناس إلی ارتفاعه أقرب، و إن فقد من هذه صفته یقع عنده کلّ ما أشرنا إلیه من الفساد أو یکون الناس إلی وقوعه أقرب، فالرئاسة علی ما بیَّنّاه لطف فی فعل الواجب و الامتناع من القبیح، فیجب أن لا یخلّی اللّه تعالی المکلّفین منها، و دلیل وجوب الالطاف یتناولها</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هذا الاستدلال کما تری مؤلّف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الإمام لطف من اللّه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اللطف واجب علی اللّه لما تقتضیه حکمته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 فلأنّ اللطف هو ما یقرّب المکلّفین إلی الطاعة و یبعّدهم عن المعصیة و لو بالإعداد، و بالضرورة أنّ نصب الإمام کذلک لما به من بیان المعارف و الأحکام الإلهیّة و حفظ الشریعة من الزیادة و النقصان و تنفیذ الأحکام و رفع الظلم و الفساد و نحوها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المقدّمة الثانیة، فلأنّ ترک هذا اللطف من اللّه سبحانه إخلال بغرضه </w:t>
      </w:r>
    </w:p>
    <w:p>
      <w:pPr>
        <w:pStyle w:val="BookText"/>
        <w:rPr/>
      </w:pPr>
      <w:r>
        <w:rPr>
          <w:rFonts w:ascii="IRNazanin" w:hAnsi="IRNazanin" w:eastAsia="IRNazanin"/>
          <w:color w:val="111111"/>
          <w:sz w:val="28"/>
          <w:sz w:val="28"/>
          <w:szCs w:val="28"/>
          <w:rtl w:val="true"/>
          <w:lang w:bidi="fa-IR"/>
        </w:rPr>
        <w:t>و مطلوبه و هو طاعة العباد له و ترک معصیته فیجب علی اللّه نصبه لئلا یخلّ بغرضه، و لا ینافی اللطف فی نصبه سلب العباد سلطانه أو غیبته، لأنّ اللّه سبحانه قد لطف بهم بنصب المُعَدّ لهم، و هم فوَّتوا أثر اللطف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أشار المحقّق الطوسی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لطف فیجب نصبه علی اللّه تعالی تحصیلاً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 لطف و تصرّفه لطف آخر و عدمه منّا</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أوضحه العلاّمة الحلّی،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الإمامة یتمّ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یجب علی اللّه تعالی و هو خلق الإمام و تمکینه بالتصرّف و العلم و النص علیه باسمه و نسبه، و هذا قد فعله اللّه تعالی، و منها ما یجب علی الإمام و هو تحمّله للإمامة و قبوله لها و هذا قد فعله الإمام، و منها ما یجب علی الرعیة و هو مساعدته و النصرة له و قبول أوامره و امتثال قوله، و هذا لم یفعله الرعیة، فکان منع اللطف الکامل منهم لا من اللّه تعالی و لا من الإمام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مناظرة هشام بن الحکم مع عمرو بن عبید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أبرز أصحاب الإمام الصادق علیه السلام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مشایخ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w:t>
      </w:r>
    </w:p>
    <w:p>
      <w:pPr>
        <w:pStyle w:val="BookText"/>
        <w:rPr/>
      </w:pPr>
      <w:r>
        <w:rPr>
          <w:rFonts w:ascii="IRNazanin" w:hAnsi="IRNazanin" w:eastAsia="IRNazanin"/>
          <w:color w:val="111111"/>
          <w:sz w:val="28"/>
          <w:sz w:val="28"/>
          <w:szCs w:val="28"/>
          <w:rtl w:val="true"/>
          <w:lang w:bidi="fa-IR"/>
        </w:rPr>
        <w:t>الإمامة و صارت النتیجة إفحام هشام لعمرو عند جمع من تلامذته، و إلیک ما رواه الکلینی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الحسن بن إبراهیم،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عبد اللّه علیه السلام جماعة من أصحابه،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أعین، و محمّد بن النعمان، و هشام بن سالم، و الطیّار، و جماعة فیهم هشام بن الحکم و هو شاب، فقال أبو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أ لا تخبرنی کیف صنعت بعمرو بن عبید؟ و کیف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أُجلُّک و استحییک و لا یعمل لسانی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 جلوسه فی مسجد البصرة، فعظم ذلک علیّ، فخرجت إلیه و دخلت البصرة یوم الجمعة، فأتیت مسجد البصرة، فإذا أنا بحلقة کبیرة فیها عمرو بن عبید و علیه شملة سوداء، متَّزر بها من صوف، و شملة مرتدیاً بها و الناس یسألونه، فاستفرجت الناس، فأفرجوا لی، ثمّ قعدت فی آخر القوم علی رکبتَیَّ،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غریب تأذن لی فی مسألة؟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أیّ شیء هذا من السؤال و شیء تراه کیف تسأل عنه؟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مسألتی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 و إن کانت مسألتک حمقاً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بها الألوان و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أُمیِّز به کلّ ما ورد علی هذه الجوارح و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فی هذه الجوارح غنی عن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هی صحیحة سلیمة؟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الجوارح إذا شکّت فی شیء شمَّته أو رأته أو ذاقته أو سمعته، ردَّته إلی القلب فیستیقن الیقین و یبطل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القلب و 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مروان فاللّه تبارک و تعالی لم یترک جوارحک حتی جعل لها إماماً یصحّح لها الصحیح و یتیقّن به ما شکّ فیه، و یترک هذا الخلق </w:t>
      </w:r>
    </w:p>
    <w:p>
      <w:pPr>
        <w:pStyle w:val="BookText"/>
        <w:rPr/>
      </w:pPr>
      <w:r>
        <w:rPr>
          <w:rFonts w:ascii="IRNazanin" w:hAnsi="IRNazanin" w:eastAsia="IRNazanin"/>
          <w:color w:val="111111"/>
          <w:sz w:val="28"/>
          <w:sz w:val="28"/>
          <w:szCs w:val="28"/>
          <w:rtl w:val="true"/>
          <w:lang w:bidi="fa-IR"/>
        </w:rPr>
        <w:t>کلّهم فی حیرتهم و شکّهم و اختلافهم، لا یقیم لهم إماماً یردون إلیه شکّهم و حیرتهم، و یقیم لک إماماً لجوارحک ترد إلیه حیرتک و شکّک؟</w:t>
      </w:r>
    </w:p>
    <w:p>
      <w:pPr>
        <w:pStyle w:val="BookText"/>
        <w:rPr/>
      </w:pPr>
      <w:r>
        <w:rPr>
          <w:rFonts w:ascii="IRNazanin" w:hAnsi="IRNazanin" w:eastAsia="IRNazanin"/>
          <w:color w:val="111111"/>
          <w:sz w:val="28"/>
          <w:sz w:val="28"/>
          <w:szCs w:val="28"/>
          <w:rtl w:val="true"/>
          <w:lang w:bidi="fa-IR"/>
        </w:rPr>
        <w:t>فسکت و لم یقل 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ضمّنی إلیه و أقعدنی فی مجلسه، و ما زال عن مجلسه و ما نطق حتی 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أبو عبد اللّه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علّمک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أخذته منک و ألَّفته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مکتوب فی صحف إبراهیم و موسی</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لعلّ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مکتوب الخ، إشارة إلی أنّ مسألة نصب الخلیفة و الإمام الّتی یحکم بها العقل الصریح، کانت من سنن الأنبیاء و المرسلین، و إنّما ذکر إبراهیم و موسی لما کان لهما من المکانة الخاصّة فی هذا المجال، و لذلک أیضاً ذکر القرآن ما استدعیاه من اللّه سبحانه فی أمر الإمامة و الوزارة </w:t>
      </w:r>
      <w:r>
        <w:rPr>
          <w:rStyle w:val="FootnoteAnchor"/>
          <w:rtl w:val="true"/>
        </w:rPr>
        <w:footnoteReference w:id="516"/>
      </w:r>
      <w:r>
        <w:rPr>
          <w:rFonts w:ascii="IRNazanin" w:hAnsi="IRNazanin" w:eastAsia="IRNazanin"/>
          <w:color w:val="111111"/>
          <w:sz w:val="28"/>
          <w:sz w:val="28"/>
          <w:szCs w:val="28"/>
          <w:rtl w:val="true"/>
          <w:lang w:bidi="fa-IR"/>
        </w:rPr>
        <w:t>و یدلّ علی ذلک أیضاً ما 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بنو إسرائیل تسوسهم الأنبیاء کلَّما هلک نبی خلفه نبیّ، و إنّه لا نبیّ بعدی، و سیکون بعدی خلفاء یکثرون</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الحدیث أنّ استخلاف الخلفاء فی الأُمّة الإسلامیة، کاستخلاف الأنبیاء فی الأُمم السالفة، و من المعلوم أنّ الاستخلاف کان هناک بالتنصیص</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2866_38337"/>
      <w:bookmarkStart w:id="733" w:name="pg2866_38337"/>
      <w:bookmarkEnd w:id="733"/>
    </w:p>
    <w:p>
      <w:pPr>
        <w:pStyle w:val="Heading3"/>
        <w:numPr>
          <w:ilvl w:val="2"/>
          <w:numId w:val="1"/>
        </w:numPr>
        <w:rPr/>
      </w:pPr>
      <w:bookmarkStart w:id="734" w:name="pg2866_38337"/>
      <w:bookmarkStart w:id="735" w:name="__RefHeading___Toc2819874_1395250215"/>
      <w:bookmarkStart w:id="736" w:name="_Toc252"/>
      <w:bookmarkEnd w:id="734"/>
      <w:bookmarkEnd w:id="735"/>
      <w:r>
        <w:rPr>
          <w:rtl w:val="true"/>
        </w:rPr>
        <w:t>الفصل الخامس</w:t>
      </w:r>
      <w:r>
        <w:rPr>
          <w:rtl w:val="true"/>
        </w:rPr>
        <w:t>:</w:t>
      </w:r>
      <w:r>
        <w:rPr>
          <w:rtl w:val="true"/>
        </w:rPr>
        <w:t>وجوب العصمة فی الإمام</w:t>
      </w:r>
      <w:bookmarkEnd w:id="736"/>
    </w:p>
    <w:p>
      <w:pPr>
        <w:pStyle w:val="Heading4"/>
        <w:numPr>
          <w:ilvl w:val="3"/>
          <w:numId w:val="1"/>
        </w:numPr>
        <w:rPr/>
      </w:pPr>
      <w:bookmarkStart w:id="737" w:name="__RefHeading___Toc2819876_1395250215"/>
      <w:bookmarkStart w:id="738" w:name="_Toc253"/>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اتّفق أهل السنّة علی أنّ العصمة لیست من شرائط الإمام أخذاً بمبادئهم حیث إنّ الخلفاء بعد رسول اللّه صلی الله علیه و آله لم یکونوا بمعصومین، قال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أصحابنا علی عدم وجوب العصمة بالإجماع علی إمامة أبی بکر و عمر و عثمان، مع الإجماع علی أنّهم لم تجب عصمتهم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دعوی الإجماع علی عدم اشتراط العصمة فی الإمام</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أمّا الشیعة الإمامیة فقد اتّفقت کلمتهم علی هذا الشرط، 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الإمامیة علی أنّ إمام الدین لا یکون إلّا معصوماً من الخلاف للّه تعالی</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القائمین مقام الأنبیاء فی تنفیذ الأحکام و إقامة الحدود و حفظ الشرائع و تأدیب الأنام، معصومون کعصمة الأنبیاء</w:t>
      </w:r>
      <w:r>
        <w:rPr>
          <w:rFonts w:eastAsia="IRNazanin" w:cs="IRNazanin"/>
          <w:color w:val="111111"/>
          <w:sz w:val="28"/>
          <w:szCs w:val="28"/>
          <w:rtl w:val="true"/>
          <w:lang w:bidi="fa-IR"/>
        </w:rPr>
        <w:t xml:space="preserve">». </w:t>
      </w:r>
      <w:r>
        <w:rPr>
          <w:rStyle w:val="FootnoteAnchor"/>
          <w:rtl w:val="true"/>
        </w:rPr>
        <w:footnoteReference w:id="520"/>
      </w:r>
      <w:bookmarkStart w:id="739" w:name="pg2866_38338"/>
    </w:p>
    <w:p>
      <w:pPr>
        <w:pStyle w:val="BookText"/>
        <w:rPr/>
      </w:pPr>
      <w:bookmarkEnd w:id="739"/>
      <w:r>
        <w:rPr>
          <w:rFonts w:ascii="IRNazanin" w:hAnsi="IRNazanin" w:eastAsia="IRNazanin"/>
          <w:color w:val="111111"/>
          <w:sz w:val="28"/>
          <w:sz w:val="28"/>
          <w:szCs w:val="28"/>
          <w:rtl w:val="true"/>
          <w:lang w:bidi="fa-IR"/>
        </w:rPr>
        <w:t>ثمّ إنّهم استدلّوا علی وجوب العصمة بوجوه، نکتفی ببعضها</w:t>
      </w:r>
      <w:r>
        <w:rPr>
          <w:rFonts w:eastAsia="IRNazanin" w:cs="IRNazanin"/>
          <w:color w:val="111111"/>
          <w:sz w:val="28"/>
          <w:szCs w:val="28"/>
          <w:rtl w:val="true"/>
          <w:lang w:bidi="fa-IR"/>
        </w:rPr>
        <w:t>:</w:t>
      </w:r>
    </w:p>
    <w:p>
      <w:pPr>
        <w:pStyle w:val="Heading4"/>
        <w:numPr>
          <w:ilvl w:val="3"/>
          <w:numId w:val="1"/>
        </w:numPr>
        <w:rPr/>
      </w:pPr>
      <w:bookmarkStart w:id="740" w:name="__RefHeading___Toc2819878_1395250215"/>
      <w:bookmarkStart w:id="741" w:name="_Toc254"/>
      <w:bookmarkEnd w:id="740"/>
      <w:r>
        <w:rPr/>
        <w:t>1</w:t>
      </w:r>
      <w:r>
        <w:rPr>
          <w:rtl w:val="true"/>
        </w:rPr>
        <w:t xml:space="preserve">. </w:t>
      </w:r>
      <w:r>
        <w:rPr>
          <w:rtl w:val="true"/>
        </w:rPr>
        <w:t>الإمام حافظ للشریعة کالنبیّ صلی الله علیه و آله</w:t>
      </w:r>
      <w:bookmarkEnd w:id="741"/>
    </w:p>
    <w:p>
      <w:pPr>
        <w:pStyle w:val="BookText"/>
        <w:rPr/>
      </w:pPr>
      <w:r>
        <w:rPr>
          <w:rFonts w:ascii="IRNazanin" w:hAnsi="IRNazanin" w:eastAsia="IRNazanin"/>
          <w:color w:val="111111"/>
          <w:sz w:val="28"/>
          <w:sz w:val="28"/>
          <w:szCs w:val="28"/>
          <w:rtl w:val="true"/>
          <w:lang w:bidi="fa-IR"/>
        </w:rPr>
        <w:t>یجب أن یکون الإمام مصوناً عن الخطأ فی العلم و العمل لکی تحفظ الشریعة به و یکون هادیاً للناس إلی مرضاة اللّه سبحانه، و إلیه أشار العلاّمة الحلّی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الإمامیة إلی أنّ الأئمّة کالأنبیاء فی وجوب عصمتهم عن جمیع القبائح و الفواحش من الصغر إلی الموت عمداً و سهواً، لأنّهم حفظة الشرع و القوّامون به، حالهم فی ذلک کحال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ناقش فیه التفتازانی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نصب الإمام إلی العباد الّذین لا طریق لهم إلی معرفة عصمته بخلاف النبیّ</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ظاهر بما تقدّم من بطلان القول بأنّ نصب الإمام مفوَّض إلی العباد، و لنا أن نعکس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عصمة الإمام ممّا یحکم به العقل الصریح بالتأمّل فی حقیقة الإمامة و الغرض منها، و حیث إنّ الناس لا طریق لهم إلی معرفة عصمة الإمام کما اعترف به الخصم، فلا یکون نصبه مفوَّضاً إلیهم</w:t>
      </w:r>
      <w:r>
        <w:rPr>
          <w:rFonts w:eastAsia="IRNazanin" w:cs="IRNazanin"/>
          <w:color w:val="111111"/>
          <w:sz w:val="28"/>
          <w:szCs w:val="28"/>
          <w:rtl w:val="true"/>
          <w:lang w:bidi="fa-IR"/>
        </w:rPr>
        <w:t xml:space="preserve">. </w:t>
      </w:r>
      <w:bookmarkStart w:id="742" w:name="pg2866_38339"/>
    </w:p>
    <w:p>
      <w:pPr>
        <w:pStyle w:val="Heading4"/>
        <w:numPr>
          <w:ilvl w:val="3"/>
          <w:numId w:val="1"/>
        </w:numPr>
        <w:rPr/>
      </w:pPr>
      <w:bookmarkStart w:id="743" w:name="__RefHeading___Toc2819880_1395250215"/>
      <w:bookmarkStart w:id="744" w:name="_Toc255"/>
      <w:bookmarkEnd w:id="742"/>
      <w:bookmarkEnd w:id="743"/>
      <w:r>
        <w:rPr/>
        <w:t>2</w:t>
      </w:r>
      <w:r>
        <w:rPr>
          <w:rtl w:val="true"/>
        </w:rPr>
        <w:t xml:space="preserve">. </w:t>
      </w:r>
      <w:r>
        <w:rPr>
          <w:rtl w:val="true"/>
        </w:rPr>
        <w:t>آیة ابتلاء إبراهیم علیه السلام</w:t>
      </w:r>
      <w:bookmarkEnd w:id="74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بالآیة علی المقصود رهن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الإمامة الّتی أنعم اللّه سبحانه بها علی نبیّه الخلیل علیه السلام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الظالمین؟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الإمامة، هی النبوّة و الرسالة، و یردّه إنّ إبراهیم کان نبیّاً قبل تنصیبه إماماً، و ذلک لأنّه طلب الإمامة لذریَّته، فکان له عند ذلک ولد أو أولاد، و لا أقلّ من کون الولد و الذریّة مرجوّا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القرآن یحکی أنّ إبراهیم علیه السلام تعجّب من بشارة الملائکة إیّاه بالولد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بَشَّرْتُمُونِی عَلیٰ أَنْ مَسَّنِیَ الْکِبَرُ فَبِمَ تُبَشِّرُونَ</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فإبراهیم کان نبیاً و رسولاً و لم یکن له ولدٌ و ذرّیّة حتی مسّه الکبر، ثمّ رزق ولداً فی أوان الکبر بنصّ القرآن الکریم،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وَهَبَ لِی عَلَی الْکِبَرِ إِسْمٰاعِیلَ وَ إِسْحٰاقَ</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فطلب الإمامة لذریّته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یجب أن تکون الإمامة الموهوبة للخلیل غیر النبوّة، و الظاهر أنّ المراد منها هی القیادة الإلهیة </w:t>
      </w:r>
    </w:p>
    <w:p>
      <w:pPr>
        <w:pStyle w:val="BookText"/>
        <w:rPr/>
      </w:pPr>
      <w:r>
        <w:rPr>
          <w:rFonts w:ascii="IRNazanin" w:hAnsi="IRNazanin" w:eastAsia="IRNazanin"/>
          <w:color w:val="111111"/>
          <w:sz w:val="28"/>
          <w:sz w:val="28"/>
          <w:szCs w:val="28"/>
          <w:rtl w:val="true"/>
          <w:lang w:bidi="fa-IR"/>
        </w:rPr>
        <w:t>للمجتمع، مضافاً إلی تحمّل الوحی و إبلاغه، فإنّ هناک مقامات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النبوّة، و هو منصب تحمّل 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الرسالة، و هو منصب إبلاغه إلی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الإمامة، و هو منصب القیادة و تنفیذ الشریعة فی المجتمع بقوّة و 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الإمامة الّتی یتبنّاها المسلمون بعد رحلة النبیّ الأکرم صلی الله علیه و آله ، تتّحد واقعیتها مع هذه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المراد من الظّالمین، فالظلم فی اللغة هو وضع الشیء فی غیر موضعه و مجاوزة الحدّ الّذی عیّنه الشّرع، و المعصیة من وضع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موضعه، فالمعصیة من مصادیق الظلم،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من صیغة الجمع المحلّی باللام، إنّ الظلم بکلّ ألوانه و صوره مانع عن نیل هذا المنصب الإلهی، و تکون النتیجة ممنوعیّة کلّ فرد من أفراد الظَّلَمة عن الارتقاء إلی منصب الإمامة، سواء أ کان ظالماً فی فترة من عمره ثمّ تاب و صار غیر ظالم، أو بقی علی ظلمه، فالظالم عند ما یرتکب الظلم یشمله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فصلاحیته بعد ارتفاع الظلم یحتاج إلی دلیل</w:t>
      </w:r>
      <w:r>
        <w:rPr>
          <w:rFonts w:eastAsia="IRNazanin" w:cs="IRNazanin"/>
          <w:color w:val="111111"/>
          <w:sz w:val="28"/>
          <w:szCs w:val="28"/>
          <w:rtl w:val="true"/>
          <w:lang w:bidi="fa-IR"/>
        </w:rPr>
        <w:t xml:space="preserve">. </w:t>
      </w:r>
      <w:bookmarkStart w:id="745" w:name="pg2866_38342"/>
    </w:p>
    <w:p>
      <w:pPr>
        <w:pStyle w:val="BookText"/>
        <w:rPr/>
      </w:pPr>
      <w:bookmarkEnd w:id="745"/>
      <w:r>
        <w:rPr>
          <w:rFonts w:ascii="IRNazanin" w:hAnsi="IRNazanin" w:eastAsia="IRNazanin"/>
          <w:color w:val="111111"/>
          <w:sz w:val="28"/>
          <w:sz w:val="28"/>
          <w:szCs w:val="28"/>
          <w:rtl w:val="true"/>
          <w:lang w:bidi="fa-IR"/>
        </w:rPr>
        <w:t>و علی ذلک فکلّ من ارتکب ظلماً و تجاوز حدّاً فی یوم من أیّام عمره، أو عبد صنماً، و بالجملة ارتکب ما هو حرام، فضلاً عمّا هو کفر، لیس له أهلیّة منصب الإمامة، و لازم ذلک کون الإمام طاهراً من الذنوب من لدن وضع علیه قلم التکلیف، إلی آخر حیاته، و هذا ما یرتئیه الإمامیة فی عصمة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ما ذکرناه أنّ الناس بالنسبة إلی الظلم علی أقسام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طیلة عمره ظالماً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طاهراً و نقیّاً فی جمیع فترات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ظالماً فی بدایة عمره، و تائباً فی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حاشی إبراهیم علیه السلام أن یسأل الإمامة للقسم الأوّل و الرابع من ذریّته، و قد نصَّ سبحانه علی أنّه لا ینال عهده الظالم، و هو لا ینطبق إلّا علی القسم الثالث، فإذا خرج هذا القسم بقی القسم الثانی و هو المطلوب</w:t>
      </w:r>
      <w:r>
        <w:rPr>
          <w:rFonts w:eastAsia="IRNazanin" w:cs="IRNazanin"/>
          <w:color w:val="111111"/>
          <w:sz w:val="28"/>
          <w:szCs w:val="28"/>
          <w:rtl w:val="true"/>
          <w:lang w:bidi="fa-IR"/>
        </w:rPr>
        <w:t xml:space="preserve">. </w:t>
      </w:r>
      <w:r>
        <w:rPr>
          <w:rStyle w:val="FootnoteAnchor"/>
          <w:rtl w:val="true"/>
        </w:rPr>
        <w:footnoteReference w:id="527"/>
      </w:r>
    </w:p>
    <w:p>
      <w:pPr>
        <w:pStyle w:val="Heading4"/>
        <w:numPr>
          <w:ilvl w:val="3"/>
          <w:numId w:val="1"/>
        </w:numPr>
        <w:rPr/>
      </w:pPr>
      <w:bookmarkStart w:id="746" w:name="__RefHeading___Toc2819882_1395250215"/>
      <w:bookmarkStart w:id="747" w:name="_Toc256"/>
      <w:bookmarkEnd w:id="746"/>
      <w:r>
        <w:rPr/>
        <w:t>3</w:t>
      </w:r>
      <w:r>
        <w:rPr>
          <w:rtl w:val="true"/>
        </w:rPr>
        <w:t xml:space="preserve">. </w:t>
      </w:r>
      <w:r>
        <w:rPr>
          <w:rtl w:val="true"/>
        </w:rPr>
        <w:t>آیة إطاعة أولی الأمر</w:t>
      </w:r>
      <w:bookmarkEnd w:id="74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تعالی أمر بطاعة أُولی الأمر علی وجه الإطلاق، و لم یقیّده بشیء </w:t>
      </w:r>
    </w:p>
    <w:p>
      <w:pPr>
        <w:pStyle w:val="BookText"/>
        <w:rPr/>
      </w:pPr>
      <w:r>
        <w:rPr>
          <w:rFonts w:ascii="IRNazanin" w:hAnsi="IRNazanin" w:eastAsia="IRNazanin"/>
          <w:color w:val="111111"/>
          <w:sz w:val="28"/>
          <w:sz w:val="28"/>
          <w:szCs w:val="28"/>
          <w:rtl w:val="true"/>
          <w:lang w:bidi="fa-IR"/>
        </w:rPr>
        <w:t>و من البدیهی أنّه سبحانه لا یرضی لعباده الکفر و العصیان و لو کان علی سبیل الإطاعة عن شخص آخر، و علیه تکون طاعة أولی الأمر فیما إذا أمروا بالعصیان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الجمع بین هذین الأمرین أن یکون أولو الأمر الّذین وجبت إطاعتهم علی وجه الإطلاق معصومین لا یصدر عنهم معصیة مطلقاً، فیستکشف من إطلاق الأمر بالطاعة اشتمال المتعلّق علی خصوصیّة تصدّه عن الأمر بغیر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أولی الأمر معطوف علی الرسول بلا إعادة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وحدة الملاک فی اطاعة الرسول و اولی الامر فکما أنّ وجوب إطاعة الرسول صلی الله علیه و آله ، مطلق و متفرع علی عصمته، فکذلک وجوب إطاعة أولی الامر مطلق و متفرع علی عصمتهم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صرَّح بدلالة الآیة علی عصمة أُولی الأمر الإمام الرازی فی تفسیره، و لکنّه لم یستثمر نتیجة ما هداه إلیه استدلاله المنطقی، حیث استدرک قائلاً بأنّا عاجزون عن معرفة الإمام المعصوم و الوصول إلیه و استفادة الدّین و العلم منه، فلا مناص من کون المراد هو أهل الحلّ و العقد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دلّت الآیة علی عصمة أولی الأمر فیجب علینا التعرّف علیهم، و ادّعاء العجز هروب من الحقیقة، فهل العجز یختصّ بزمانه </w:t>
      </w:r>
    </w:p>
    <w:p>
      <w:pPr>
        <w:pStyle w:val="BookText"/>
        <w:rPr/>
      </w:pPr>
      <w:r>
        <w:rPr>
          <w:rFonts w:ascii="IRNazanin" w:hAnsi="IRNazanin" w:eastAsia="IRNazanin"/>
          <w:color w:val="111111"/>
          <w:sz w:val="28"/>
          <w:sz w:val="28"/>
          <w:szCs w:val="28"/>
          <w:rtl w:val="true"/>
          <w:lang w:bidi="fa-IR"/>
        </w:rPr>
        <w:t>أو کان یشمل زمان نزول الآیة؟ و الثانی باطل قطعاً، فإنّه لا یعقل أن یأمر الوحی الإلهی بإطاعة المعصوم ثمّ لا یقوم بتعریفه حین النزول، و بالتعرّف علیه فی عصر النزول، یعرف المعصوم فی أزمنة متأخرة عنه حلقة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الحلِّ و العقد تفسیر بما هو أشدّ غموضاً، فهل المراد منهم، العساکر و الضبّاط، أو العلماء و المحدّثون، أو الحکّام و السیاسیّون، أو الکلّ؟ و هل اتّفق اجتماعهم علی شیء و لم یخالفهم لفیف من المسلمین؟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نصوص من الکتاب و السنّة تدلّ علی عصمة أهل بیت النبیّ و عترته، کآیة التطهیر و حدیث الثقلین و غیر ذلک، ترکنا البحث عنها لرعایة الاختصار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الفصل الأوّل ما یفید فی المقام فراجع</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2866_38346"/>
      <w:bookmarkStart w:id="749" w:name="pg2866_38346"/>
      <w:bookmarkEnd w:id="749"/>
    </w:p>
    <w:p>
      <w:pPr>
        <w:pStyle w:val="Heading3"/>
        <w:numPr>
          <w:ilvl w:val="2"/>
          <w:numId w:val="1"/>
        </w:numPr>
        <w:rPr/>
      </w:pPr>
      <w:bookmarkStart w:id="750" w:name="pg2866_38346"/>
      <w:bookmarkStart w:id="751" w:name="__RefHeading___Toc2819884_1395250215"/>
      <w:bookmarkStart w:id="752" w:name="_Toc257"/>
      <w:bookmarkEnd w:id="750"/>
      <w:bookmarkEnd w:id="751"/>
      <w:r>
        <w:rPr>
          <w:rtl w:val="true"/>
        </w:rPr>
        <w:t>الفصل السادس</w:t>
      </w:r>
      <w:r>
        <w:rPr>
          <w:rtl w:val="true"/>
        </w:rPr>
        <w:t>:</w:t>
      </w:r>
      <w:r>
        <w:rPr>
          <w:rtl w:val="true"/>
        </w:rPr>
        <w:t>النصوص الدینیة و تنصیب علی علیه السلام للإمامة</w:t>
      </w:r>
      <w:bookmarkEnd w:id="752"/>
    </w:p>
    <w:p>
      <w:pPr>
        <w:pStyle w:val="Heading4"/>
        <w:numPr>
          <w:ilvl w:val="3"/>
          <w:numId w:val="1"/>
        </w:numPr>
        <w:rPr/>
      </w:pPr>
      <w:bookmarkStart w:id="753" w:name="__RefHeading___Toc2819886_1395250215"/>
      <w:bookmarkStart w:id="754" w:name="_Toc258"/>
      <w:bookmarkEnd w:id="753"/>
      <w:r>
        <w:rPr>
          <w:rtl w:val="true"/>
        </w:rPr>
        <w:t>اشارة</w:t>
      </w:r>
      <w:bookmarkEnd w:id="75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بما قدّمناه من الأبحاث علی ضوء الکتاب و السنّة و من خلال مطالعة تاریخ الإسلام و المحاسبة فی الأُمور الاجتماعیة و السیاسیة، و فی ظلّ هدایة العقل الصریح، أنّ خلیفة النبیّ صلی الله علیه و آله و إمام المسلمین یجب أن یکون منصوباً من جانب الرّسول بإذن من اللّه سبحانه، و عندئذ یلزمنا الرجوع إلی الکتاب و السنّة لنقف علی ذلک القائد المنصوب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أحاط بسیرة النبیّ صلی الله علیه و آله یجد علی بن أبی طالب وزیر رسول اللّه فی أمره و ولیّ عهده و صاحب الأمر من بعده، و من وقف علی أقوال النبیّ و أفعاله فی حلّه و ترحاله، یجد نصوصه فی ذلک متواترة، کما أنّ هناک آیات من الکتاب العزیز تهدینا إلی ذلک، و نحن نکتفی فی هذا المجال بذکر آیة الولایة من الکتاب و نتبعها بحدیثی المنزلة و الغدیر</w:t>
      </w:r>
      <w:r>
        <w:rPr>
          <w:rFonts w:eastAsia="IRNazanin" w:cs="IRNazanin"/>
          <w:color w:val="111111"/>
          <w:sz w:val="28"/>
          <w:szCs w:val="28"/>
          <w:rtl w:val="true"/>
          <w:lang w:bidi="fa-IR"/>
        </w:rPr>
        <w:t xml:space="preserve">: </w:t>
      </w:r>
      <w:bookmarkStart w:id="755" w:name="pg2866_38347"/>
    </w:p>
    <w:p>
      <w:pPr>
        <w:pStyle w:val="Heading4"/>
        <w:numPr>
          <w:ilvl w:val="3"/>
          <w:numId w:val="1"/>
        </w:numPr>
        <w:rPr/>
      </w:pPr>
      <w:bookmarkStart w:id="756" w:name="__RefHeading___Toc2819888_1395250215"/>
      <w:bookmarkStart w:id="757" w:name="_Toc259"/>
      <w:bookmarkEnd w:id="755"/>
      <w:bookmarkEnd w:id="756"/>
      <w:r>
        <w:rPr>
          <w:rtl w:val="true"/>
        </w:rPr>
        <w:t>آیة الولایة</w:t>
      </w:r>
      <w:bookmarkEnd w:id="75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قبل الاستدلال بالآیة نذکر شأن نزولها، روی المفسّرون عن أنس بن مالک و غیره أنّ سائلاً أتی المسجد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الملی الوفیّ، و علیّ راکع یشیر بیده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الخاتم من یدی، فما خرج أحد من المسجد حتی نزل جبرئیل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إلیک توضیح الاستدلال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المستفاد من الآیة أنّ هناک أولیاء ثلاثة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و رسوله، و المؤمنون الموصوفون بالأوصاف الثلاثة، و أنّ غیر هؤلاء من المؤمنین هم مولّی علیهم و لا یتحقّق ذلک إلّا بتفسیر الولی بالزعیم و المتصرّف فی شئون المولّی علیه، إذ هذه الولایة تحتاج إلی دلیل خاص، و لا یکفی الإیمان فی </w:t>
      </w:r>
    </w:p>
    <w:p>
      <w:pPr>
        <w:pStyle w:val="BookText"/>
        <w:rPr/>
      </w:pPr>
      <w:r>
        <w:rPr>
          <w:rFonts w:ascii="IRNazanin" w:hAnsi="IRNazanin" w:eastAsia="IRNazanin"/>
          <w:color w:val="111111"/>
          <w:sz w:val="28"/>
          <w:sz w:val="28"/>
          <w:szCs w:val="28"/>
          <w:rtl w:val="true"/>
          <w:lang w:bidi="fa-IR"/>
        </w:rPr>
        <w:t>ثبوتها، بخلاف ولایة المحبّة و النصرة، إذ هما من فروع الإیمان، فکلّ مؤمن محبّ لأخیه المؤمن و ناصر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الاختصاص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أحادیث شأن النزول الواردة فی الإمام علی علیه السلام ، فهذه الوجوه الثلاثة تجعل الآیة کالنصّ فی الدلالة علی ما یرتئیه الإمامیة فی مسألة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علی بن أبی طالب علیه السلام فلما ذا جیء بلفظ الجماعة؟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بذلک لیرغب الناس فی مثل فعله فینالوا مثل ثوابه، و لینبِّه علی أنّ سجیَّة المؤمنین یجب أن تکون علی هذه الغایة من الحرص علی البرّ و الإحسان و تفقد الفقراء حتی إن لزمهم أمر لا یقبل التأخیر و هم فی الصلاة، لم یؤخّروه إلی الفراغ منها</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هناک وجه آخر أشار إلیه الشیخ الطبرسی، و هو أن النکتة فی إطلاق لفظ الجمع علی أمیر المؤمنین، تفخیمه و تعظیمه، و ذلک أنّ أهل اللّغة یعبّرون بلفظ الجمع عن الواحد علی سبیل التعظیم، و ذلک أشهر فی کلامهم من أن یحتاج إلی الاستدلال علیه</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من الولیّ فی الآیة لیس هو المتصرّف، بل المراد الناصر و المحبّ بشهادة ما قبلها و ما بعدها، حیث نهی اللّه المؤمنین أن </w:t>
      </w:r>
      <w:bookmarkStart w:id="758" w:name="pg2866_38350"/>
    </w:p>
    <w:p>
      <w:pPr>
        <w:pStyle w:val="BookText"/>
        <w:rPr/>
      </w:pPr>
      <w:bookmarkEnd w:id="758"/>
      <w:r>
        <w:rPr>
          <w:rFonts w:ascii="IRNazanin" w:hAnsi="IRNazanin" w:eastAsia="IRNazanin"/>
          <w:color w:val="111111"/>
          <w:sz w:val="28"/>
          <w:sz w:val="28"/>
          <w:szCs w:val="28"/>
          <w:rtl w:val="true"/>
          <w:lang w:bidi="fa-IR"/>
        </w:rPr>
        <w:t>یتّخذوا الیهود و النصاری أولیاء، و لیس المراد منه إلّا النصرة و المحبّة، فلو فُسّرت فی الآیة بالمتصرّف یلزم التفکیک</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السّیاق إنّما یکون حجّة لو لم یقم دلیل علی خلافه، و ذلک لعدم الوثوق حینئذٍ بنزول الآیة فی ذلک السّیاق، إذ لم یکن ترتیب الکتاب العزیز فی الجمع موافقاً لترتیبه فی النزول بإجماع الأُمّة، و فی التنزیل کثیر من الآیات الواردة علی خلاف ما یعطیه السّیاق کآیة التطهیر المنتظمة فی سیاق النساء مع ثبوت النصّ علی اختصاصها بالخمسة أهل الکساء</w:t>
      </w:r>
      <w:r>
        <w:rPr>
          <w:rFonts w:eastAsia="IRNazanin" w:cs="IRNazanin"/>
          <w:color w:val="111111"/>
          <w:sz w:val="28"/>
          <w:szCs w:val="28"/>
          <w:rtl w:val="true"/>
          <w:lang w:bidi="fa-IR"/>
        </w:rPr>
        <w:t xml:space="preserve">. </w:t>
      </w:r>
      <w:r>
        <w:rPr>
          <w:rStyle w:val="FootnoteAnchor"/>
          <w:rtl w:val="true"/>
        </w:rPr>
        <w:footnoteReference w:id="536"/>
      </w:r>
    </w:p>
    <w:p>
      <w:pPr>
        <w:pStyle w:val="Heading4"/>
        <w:numPr>
          <w:ilvl w:val="3"/>
          <w:numId w:val="1"/>
        </w:numPr>
        <w:rPr/>
      </w:pPr>
      <w:bookmarkStart w:id="759" w:name="__RefHeading___Toc2819890_1395250215"/>
      <w:bookmarkStart w:id="760" w:name="_Toc260"/>
      <w:bookmarkEnd w:id="759"/>
      <w:r>
        <w:rPr>
          <w:rtl w:val="true"/>
        </w:rPr>
        <w:t xml:space="preserve">حدیث </w:t>
      </w:r>
      <w:r>
        <w:rPr>
          <w:rtl w:val="true"/>
        </w:rPr>
        <w:t>«</w:t>
      </w:r>
      <w:r>
        <w:rPr>
          <w:rtl w:val="true"/>
        </w:rPr>
        <w:t>المنزلة</w:t>
      </w:r>
      <w:r>
        <w:rPr>
          <w:rtl w:val="true"/>
        </w:rPr>
        <w:t>»</w:t>
      </w:r>
      <w:bookmarkEnd w:id="76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أهل السِیَر و التاریخ أنّ رسول اللّه صلی الله علیه و آله خلّف علی بن أبی طالب علیه السلام علی أهله فی المدینة عند توجّهه إلی تبوک، فأرجف به المنافقون، و قالوا ما خلّفه إلّا استثقالاً له و تخوّفاً منه، فضاق صدره بذلک، فأخذ سلاحه و أتی النبیّ و أبلغه مقالتهم،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و لکنّی خلفتک لما ترکت ورائی، فارجع و اخلف فی أهلی و أهلک، أ فلا ترضی یا علیّ أن تکون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هارون یقتضی العموم، فالروایة تدلّ علی أنّ کلّ مقام و منصب کان ثابتاً لهارون فهو ثابت لعلیّ، إلّا ما استثنی و هو النبوّة، بل الاستثناء أیضاً قرینة علی العموم و لولاه لما کان وجه للاستثناء، و کون المورد هو الاستخلاف علی الأهل لا یدلّ علی الاختصاص، فإنّ المورد لا یکون مخصِّصاً، کما لو رأیت الجنب یمسّ آیة الکرسی مثلاً فقلت له لا یمسَّنَّ آیات القرآن محدث، یکون دلیلاً علی حرمة مسّ القرآن علی الجنب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منزلة هارون من موسی فیکفی فی بیانها قوله سبحانه حکایة عن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أوتی موسی جمیع ذلک کما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استخلف موسی أخیه هارون عند ذهابه إلی میقات ربّه مع جماعة من قومه، قال سبحانه</w:t>
      </w:r>
      <w:r>
        <w:rPr>
          <w:rFonts w:eastAsia="IRNazanin" w:cs="IRNazanin"/>
          <w:color w:val="111111"/>
          <w:sz w:val="28"/>
          <w:szCs w:val="28"/>
          <w:rtl w:val="true"/>
          <w:lang w:bidi="fa-IR"/>
        </w:rPr>
        <w:t xml:space="preserve">: </w:t>
      </w:r>
      <w:bookmarkStart w:id="761" w:name="pg2866_38352"/>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لِأَخِیهِ هٰارُونَ اخْلُفْنِی فِی قَوْمِی وَ أَصْلِحْ وَ لاٰ تَتَّبِعْ سَبِیلَ الْمُفْسِدِینَ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الاستخلاف و إن کان فی قضیة خاصّة و وقت خاصّ، لکنّ اللفظ مطلق و المورد لا یکون مخصّصاً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لو فرض غیبة أُخری لموسی من قومه مع عدم تنصیصه علی استخلاف هارون کان خلیفة له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و إن کان شریکاً لموسی فی النبوّة إلّا أنّ الرئاسة کانت مخصوصة لموسی، فموسی کان ولیّاً علی هارون و علی غیره</w:t>
      </w:r>
      <w:r>
        <w:rPr>
          <w:rFonts w:eastAsia="IRNazanin" w:cs="IRNazanin"/>
          <w:color w:val="111111"/>
          <w:sz w:val="28"/>
          <w:szCs w:val="28"/>
          <w:rtl w:val="true"/>
          <w:lang w:bidi="fa-IR"/>
        </w:rPr>
        <w:t>.</w:t>
      </w:r>
    </w:p>
    <w:p>
      <w:pPr>
        <w:pStyle w:val="Heading4"/>
        <w:numPr>
          <w:ilvl w:val="3"/>
          <w:numId w:val="1"/>
        </w:numPr>
        <w:rPr/>
      </w:pPr>
      <w:bookmarkStart w:id="762" w:name="__RefHeading___Toc2819892_1395250215"/>
      <w:bookmarkStart w:id="763" w:name="_Toc261"/>
      <w:bookmarkEnd w:id="762"/>
      <w:r>
        <w:rPr>
          <w:rtl w:val="true"/>
        </w:rPr>
        <w:t xml:space="preserve">حدیث </w:t>
      </w:r>
      <w:r>
        <w:rPr>
          <w:rtl w:val="true"/>
        </w:rPr>
        <w:t>«</w:t>
      </w:r>
      <w:r>
        <w:rPr>
          <w:rtl w:val="true"/>
        </w:rPr>
        <w:t>الغدیر</w:t>
      </w:r>
      <w:r>
        <w:rPr>
          <w:rtl w:val="true"/>
        </w:rPr>
        <w:t>»</w:t>
      </w:r>
      <w:bookmarkEnd w:id="763"/>
    </w:p>
    <w:p>
      <w:pPr>
        <w:pStyle w:val="BookText"/>
        <w:rPr/>
      </w:pPr>
      <w:r>
        <w:rPr>
          <w:rFonts w:ascii="IRNazanin" w:hAnsi="IRNazanin" w:eastAsia="IRNazanin"/>
          <w:color w:val="111111"/>
          <w:sz w:val="28"/>
          <w:sz w:val="28"/>
          <w:szCs w:val="28"/>
          <w:rtl w:val="true"/>
          <w:lang w:bidi="fa-IR"/>
        </w:rPr>
        <w:t xml:space="preserve">حدیث الغدیر، ممّا تواترت به السنّة النبویّة و تواصلت حلقات أسانیده منذ عهد الصحابة و التابعین إلی یومنا الحاضر، رواه من الصحابة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صحابیاً و من التابعین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تابعیاً، و قد رواه العلماء و المحدّثون فی القرون المتلاحقة، و قد أغنانا المؤلّفون فی الغدیر عن إراءة مصادره و مراجعه، و کفاک فی ذلک کتب لمّة کبیرة من أعلام الطائفة،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میر حامد حسین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شرف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مجمل الحدیث هو أنّ رسول اللّه صلی الله علیه و آله أذَّن فی الناس بالخروج إلی </w:t>
      </w:r>
    </w:p>
    <w:p>
      <w:pPr>
        <w:pStyle w:val="BookText"/>
        <w:rPr/>
      </w:pPr>
      <w:r>
        <w:rPr>
          <w:rFonts w:ascii="IRNazanin" w:hAnsi="IRNazanin" w:eastAsia="IRNazanin"/>
          <w:color w:val="111111"/>
          <w:sz w:val="28"/>
          <w:sz w:val="28"/>
          <w:szCs w:val="28"/>
          <w:rtl w:val="true"/>
          <w:lang w:bidi="fa-IR"/>
        </w:rPr>
        <w:t xml:space="preserve">الحجّ فی السنّة العاشرة من الهجرة، و أقلّ ما قیل إنّه خرج معه تسعون ألفاً، فلمّا قضی مناسکه و انصرف راجعاً إلی المدینة و وصل إلی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یوم الخمیس، الثامن عشر من ذی الحجّة، نزل جبرئیل الأمین عن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رسول اللّه صلی الله علیه و آله أن یردّ من تقدّم، و یحبس من تأخّر حتّی إذا أخذ القوم منازلهم نودی بالصلاة، صلاة الظهر، فصلّی بالناس، ثمّ قام خطیباً وسط القوم علی أقتاب الإبل، و بعد الحمد و الثناء علی اللّه سبحانه و أخذ الإقرار من الحاضرین بالتوحید و النبوّة و المعاد، و الإیصاء بالثقلین، و بیان أنّ الرسول صلی الله علیه و آله أولی بالمؤمنین من أنفسهم، أخذ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حتی رؤی بیاض إبطیهما و عرفه القوم أجمعون،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یقولها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لمن والاه، و علی من عاداه،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فلیبلغ 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یتفرّقوا حتی نزل أمین وحی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إکمال الدین و إتمام النعمة، و رضی الربّ برسالتی و الولایة لعلیّ من بعدی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الناس یهنّئون علیّاً، و ممّن هنَّأه فی مقدم الصحابة الشیخان أبو بکر و عمر کلّ یقول</w:t>
      </w:r>
      <w:r>
        <w:rPr>
          <w:rFonts w:eastAsia="Amiri" w:cs="Amiri" w:ascii="Amiri" w:hAnsi="Amiri"/>
          <w:color w:val="111111"/>
          <w:sz w:val="28"/>
          <w:szCs w:val="28"/>
          <w:rtl w:val="true"/>
          <w:lang w:bidi="ar-SA"/>
        </w:rPr>
        <w:t xml:space="preserve">: </w:t>
      </w:r>
      <w:bookmarkStart w:id="764" w:name="pg2866_38355"/>
    </w:p>
    <w:p>
      <w:pPr>
        <w:pStyle w:val="BookText"/>
        <w:rPr/>
      </w:pPr>
      <w:bookmarkEnd w:id="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أبی طالب، أصبحت مولای و مولی کلّ مؤمن و مؤمنة</w:t>
      </w:r>
      <w:r>
        <w:rPr>
          <w:rFonts w:eastAsia="IRNazanin" w:cs="IRNazanin"/>
          <w:color w:val="111111"/>
          <w:sz w:val="28"/>
          <w:szCs w:val="28"/>
          <w:rtl w:val="true"/>
          <w:lang w:bidi="fa-IR"/>
        </w:rPr>
        <w:t>».</w:t>
      </w:r>
    </w:p>
    <w:p>
      <w:pPr>
        <w:pStyle w:val="Heading4"/>
        <w:numPr>
          <w:ilvl w:val="3"/>
          <w:numId w:val="1"/>
        </w:numPr>
        <w:rPr/>
      </w:pPr>
      <w:bookmarkStart w:id="765" w:name="__RefHeading___Toc2819894_1395250215"/>
      <w:bookmarkStart w:id="766" w:name="_Toc262"/>
      <w:bookmarkEnd w:id="765"/>
      <w:r>
        <w:rPr>
          <w:rtl w:val="true"/>
        </w:rPr>
        <w:t>دلالة الحدیث</w:t>
      </w:r>
      <w:bookmarkEnd w:id="766"/>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معانی أو مصادیق مختلفة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و العبد، و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الصاحب، و الجار، و الحلیف، و الابن، و العمّ، و ابن العمّ، و النزیل، و الشریک، و ابن الأخت، و الربّ، و الناصر، و المنعم، و المنعم علیه، و المحبّ، و التابع، و الصهر، و الأولی بالشیء و الّذی وقع مورد الاختلاف بین الشیعة و أهل السنّة من هذه المعانی، هی المحبّ و الأولی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السنّة یقولون، المقصود من المولی فی حدیث الغدیر هو المحبّة و المودّة، و الشیعة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منها هو الأولی بالتصرف فی أمور المؤمنین و هو معنی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یستشهدون علی ذلک بقرائن حالیة و مقالیة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الحدیث کالنصّ فی أنّ المراد من المولی هو الأولیٰ بالتصرّف فی شئون المؤمنین علی غرار ما کان للنبیّ صلی الله علیه و آله من الولایة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القرینة الحالیة، فلأنّ لزوم المحبّة الإیمانیة أمر عامّ شامل لکلّ مؤمن و مؤمنة و هو من الأمور الواضحة لکلّ مسلم و لا حاجة لبیانه أو التأکید علیه فی مثل ذلک الموقف الحرج و فی أثناء المسیر، و رمضاء الهجیر، و الناس قد أنهکتهم وعثاء السفر و حرّ المجیر، حتّی أنّ أحدهم لیضع طرفا من ردائه تحت قدمیه و طرفا فوق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فیرقی هنالک منبر الأهداج، </w:t>
      </w:r>
    </w:p>
    <w:p>
      <w:pPr>
        <w:pStyle w:val="BookText"/>
        <w:rPr/>
      </w:pPr>
      <w:r>
        <w:rPr>
          <w:rFonts w:ascii="IRNazanin" w:hAnsi="IRNazanin" w:eastAsia="IRNazanin"/>
          <w:color w:val="111111"/>
          <w:sz w:val="28"/>
          <w:sz w:val="28"/>
          <w:szCs w:val="28"/>
          <w:rtl w:val="true"/>
          <w:lang w:bidi="fa-IR"/>
        </w:rPr>
        <w:t>و یعلنهم النبیّ صلی الله علیه و آله بما هو من الواضحات و هذا بخلاف الولایة بمعنی الأولی بالتصرف فی شئون المسلمین لأنّ الأصل عدم ولایة أحد علی غیره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الدواعی و الرغبات فیها کثیرة فتعیین المتولّی لأمور المسلمین بعد النبیّ صلی الله علیه و آله فی مثل ذلک المحتشد العظیم کان مقتضی الحکمة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القرائن المقالیة فمتعدّدة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الحدیث و هو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یؤدّی مؤدّاه من ألفاظ متقاربة، ثمّ فرَّع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الصدر من حفّاظ أهل السنّة ما یربو علی أربعة و ستّین عالماً</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النبیّ نفسه إلی الناس حیث إنّه یعرب عن أنّه سوف یرحل من بین أظهرهم فیحصل بعده فراغ هائل، و أنّه یسدّ بتنصیب علی علیه السلام فی مقام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القرائن الّتی استقصاها شیخنا المتتبّع فی غدیره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القرائن المحفوفة بها لحدیث الغدیر</w:t>
      </w:r>
      <w:r>
        <w:rPr>
          <w:rFonts w:eastAsia="IRNazanin" w:cs="IRNazanin"/>
          <w:color w:val="111111"/>
          <w:sz w:val="28"/>
          <w:szCs w:val="28"/>
          <w:rtl w:val="true"/>
          <w:lang w:bidi="fa-IR"/>
        </w:rPr>
        <w:t xml:space="preserve">. </w:t>
      </w:r>
      <w:r>
        <w:rPr>
          <w:rStyle w:val="FootnoteAnchor"/>
          <w:rtl w:val="true"/>
        </w:rPr>
        <w:footnoteReference w:id="543"/>
      </w:r>
      <w:bookmarkStart w:id="767" w:name="pg2866_38357"/>
    </w:p>
    <w:p>
      <w:pPr>
        <w:pStyle w:val="Heading4"/>
        <w:numPr>
          <w:ilvl w:val="3"/>
          <w:numId w:val="1"/>
        </w:numPr>
        <w:rPr/>
      </w:pPr>
      <w:bookmarkStart w:id="768" w:name="__RefHeading___Toc2819896_1395250215"/>
      <w:bookmarkStart w:id="769" w:name="_Toc263"/>
      <w:bookmarkEnd w:id="767"/>
      <w:bookmarkEnd w:id="768"/>
      <w:r>
        <w:rPr>
          <w:rtl w:val="true"/>
        </w:rPr>
        <w:t>لما ذا أعرض الصحابة عن مدلول حدیث الغدیر؟</w:t>
      </w:r>
      <w:bookmarkEnd w:id="769"/>
    </w:p>
    <w:p>
      <w:pPr>
        <w:pStyle w:val="BookText"/>
        <w:rPr/>
      </w:pPr>
      <w:r>
        <w:rPr>
          <w:rFonts w:ascii="IRNazanin" w:hAnsi="IRNazanin" w:eastAsia="IRNazanin"/>
          <w:color w:val="111111"/>
          <w:sz w:val="28"/>
          <w:sz w:val="28"/>
          <w:szCs w:val="28"/>
          <w:rtl w:val="true"/>
          <w:lang w:bidi="fa-IR"/>
        </w:rPr>
        <w:t>أقوی مستمسک لمن یرید التخلّص من الاعتناق بنصّ الغدیر و نحوه، هو أنّه لو کان الأمر کذلک فلما ذا لم تأخذه الصحابة مقیاساً بعد النبیّ؟ و لیس من الصحیح إجماع الصحابة و جمهور الأُمّة علی ردّ ما بلغه النبیّ فی ذلک المحتشد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أنّ من رجع إلی تاریخ الصحابة یری لهذه الأُمور نظائر کثیرة فی حیاتهم السیاسیة، و لیکن ترک العمل بحدیث الغدیر و غیره من نصوص الإمامة من هذا القبیل،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الشیخان و غیرهما </w:t>
      </w:r>
      <w:r>
        <w:rPr>
          <w:rStyle w:val="FootnoteAnchor"/>
          <w:rtl w:val="true"/>
        </w:rPr>
        <w:footnoteReference w:id="544"/>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أسامة</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لفیف من الصحابة </w:t>
      </w:r>
      <w:r>
        <w:rPr>
          <w:rStyle w:val="FootnoteAnchor"/>
          <w:rtl w:val="true"/>
        </w:rPr>
        <w:footnoteReference w:id="546"/>
      </w:r>
      <w:r>
        <w:rPr>
          <w:rFonts w:ascii="IRNazanin" w:hAnsi="IRNazanin" w:eastAsia="IRNazanin"/>
          <w:color w:val="111111"/>
          <w:sz w:val="28"/>
          <w:sz w:val="28"/>
          <w:szCs w:val="28"/>
          <w:rtl w:val="true"/>
          <w:lang w:bidi="fa-IR"/>
        </w:rPr>
        <w:t>و لسنا بصدد استقصاء مخالفات القوم لنصوص النبیّ و تعلیماته، فإنّ المخالفة لا تقتصر علی ما ذکر بل تربو علی نیّف و سبعین مورداً، استقصاها بعض الأعلام</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ذلک لا یکون ترک العمل بحدیث الغدیر، من أکثریّة الصحابة دلیلاً علی عدم تواتره، أو عدم تمامیّة دلالته</w:t>
      </w:r>
      <w:r>
        <w:rPr>
          <w:rFonts w:eastAsia="IRNazanin" w:cs="IRNazanin"/>
          <w:color w:val="111111"/>
          <w:sz w:val="28"/>
          <w:szCs w:val="28"/>
          <w:rtl w:val="true"/>
          <w:lang w:bidi="fa-IR"/>
        </w:rPr>
        <w:t xml:space="preserve">. </w:t>
      </w:r>
      <w:bookmarkStart w:id="770" w:name="pg2866_38358"/>
    </w:p>
    <w:p>
      <w:pPr>
        <w:pStyle w:val="Heading3"/>
        <w:numPr>
          <w:ilvl w:val="2"/>
          <w:numId w:val="1"/>
        </w:numPr>
        <w:rPr/>
      </w:pPr>
      <w:bookmarkStart w:id="771" w:name="__RefHeading___Toc2819898_1395250215"/>
      <w:bookmarkStart w:id="772" w:name="_Toc264"/>
      <w:bookmarkEnd w:id="770"/>
      <w:bookmarkEnd w:id="771"/>
      <w:r>
        <w:rPr>
          <w:rtl w:val="true"/>
        </w:rPr>
        <w:t>الفصل السابع</w:t>
      </w:r>
      <w:r>
        <w:rPr>
          <w:rtl w:val="true"/>
        </w:rPr>
        <w:t>:</w:t>
      </w:r>
      <w:r>
        <w:rPr>
          <w:rtl w:val="true"/>
        </w:rPr>
        <w:t>السنّة النبویّة و الأئمّة الاثنا عشر</w:t>
      </w:r>
      <w:r>
        <w:rPr>
          <w:rtl w:val="true"/>
        </w:rPr>
        <w:t>:</w:t>
      </w:r>
      <w:r>
        <w:rPr>
          <w:rtl w:val="true"/>
        </w:rPr>
        <w:t>حدیث اثنی عشر خلیفة</w:t>
      </w:r>
      <w:bookmarkEnd w:id="772"/>
    </w:p>
    <w:p>
      <w:pPr>
        <w:pStyle w:val="Heading4"/>
        <w:numPr>
          <w:ilvl w:val="3"/>
          <w:numId w:val="1"/>
        </w:numPr>
        <w:rPr/>
      </w:pPr>
      <w:bookmarkStart w:id="773" w:name="__RefHeading___Toc2819900_1395250215"/>
      <w:bookmarkStart w:id="774" w:name="_Toc265"/>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إنّ النبیّ الأکرم صلی الله علیه و آله لم یکتف بتنصیب علیّ علیه السلام منصب الإمامة و الخلافة، کما لم یکتف بإرجاع الأُمّة الإسلامیة إلی أهل بیته و عترته الطاهرة، و لم یقتصر علی تشبیههم بسفینة نوح، بل قام ببیان عدد الأئمة الّذین یتولّون الخلافة بعده، واحداً بعد واحد، حتّی لا یبقی لمرتاب ریب، فقد روی فی الصّحاح و المسانید بطرق مختلفة عن جابر بن سمرة أنّ الخلفاء بعد النبیّ اثنا عشر خلیفة کلّهم من قریش، و إلیک ما ورد فی توصیفهم من الخصوصیات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الدّین عزیزاً منیعاً إلی اثنی عشر خلیفة؛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الإسلام عزیزاً إلی اثنی عشر خلیفة؛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یزال الدّین قائماً حتی تقوم السّاعة، أو یکون علیکم اثنا عشر خلیفة؛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الدّین ظاهراً علی من ناوأه حتّیٰ یمضی من أمّتی اثنا عشر خلیفة؛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هذا الأمر صالحاً حتّی یکون اثنا عشر أمیراً؛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الناس بخیر إلی اثنی عشر خلیفة</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قد اختلفت کلمة شرّاح الحدیث فی تعیین هؤلاء الأئمّة، و لا تجد بینها کلمة تشفی العلیل، و تروی الغلیل، إلّا ما نقله الشیخ سلیمان البلخی القندوزی الحنفیّ فی ینابیعه عن بعض المحقّقین،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الأحادیث الدالّة علی کون الخلفاء بعده اثنی عشر، قد اشتهرت من طرق کثیرة، و لا یمکن أن یحمل هذا الحدیث علی الخلفاء بعده من الصحابة، لقلّتهم عن اثنی عشر، و لا یمکن أن یحمل علی الملوک الأُمویّین لزیادتهم علی الاثنی عشر و لظلمهم الفاحش إلّا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یمکن أن یحمل علی الملوک العباسیّین لزیادتهم علی العدد المذکور و لقلّة رعایتهم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الکساء، فلا بدّ من أن یحمل علی الأئمّة الاثنی عشر من أهل بیته و عترته، لأنّهم کانوا أعلم أهل زمانهم، و أجلّهم، و أورعهم، و أتقاهم، </w:t>
      </w:r>
    </w:p>
    <w:p>
      <w:pPr>
        <w:pStyle w:val="BookText"/>
        <w:rPr/>
      </w:pPr>
      <w:r>
        <w:rPr>
          <w:rFonts w:ascii="IRNazanin" w:hAnsi="IRNazanin" w:eastAsia="IRNazanin"/>
          <w:color w:val="111111"/>
          <w:sz w:val="28"/>
          <w:sz w:val="28"/>
          <w:szCs w:val="28"/>
          <w:rtl w:val="true"/>
          <w:lang w:bidi="fa-IR"/>
        </w:rPr>
        <w:t>و أعلاهم نسباً، و أفضلهم حسباً، و أکرمهم عند اللّه، و کانت علومهم عن آبائهم متّصلة بجدّهم صلی الله علیه و آله و بالوراثة اللّدنیة، کذا عرّفهم أهل العلم و التحقیق، و أهل الکشف و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 و یرجّحه حدیث الثقلین و الأحادیث المتکثّرة المذکورة فی هذا الکتاب و غیرها</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الحرّ الفارغ عن کلّ رأی مسبق، لو أمعن النظر فی هذه الأحادیث و أمعن فی تاریخ الأئمّة الاثنی عشر من ولد الرسول، یقف علی أنّ هذه الأحادیث لا تروم غیرهم، فإنّ بعضها یدلّ علی أنّ الإسلام لا ینقرض و لا ینقضی حتّی یمضی فی المسلمین اثنا عشر خلیفة، کلّهم من قریش، و بعضها یدلّ علی أنّ عزَّة الإسلام إنّما تکون إلی اثنی عشر خلیفة، و بعضها یدلّ علی أنّ الدّین قائم إلی قیام السّاعة و إلی ظهور اثنی عشر خلیفة، و غیر ذلک من العناوین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الخصوصیات لا توجد فی الأُمّة الإسلامیة إلّا فی الأئمّة الاثنی عشر المعروفین عند الفریقین </w:t>
      </w:r>
      <w:r>
        <w:rPr>
          <w:rStyle w:val="FootnoteAnchor"/>
          <w:rtl w:val="true"/>
        </w:rPr>
        <w:footnoteReference w:id="550"/>
      </w:r>
      <w:r>
        <w:rPr>
          <w:rFonts w:ascii="IRNazanin" w:hAnsi="IRNazanin" w:eastAsia="IRNazanin"/>
          <w:color w:val="111111"/>
          <w:sz w:val="28"/>
          <w:sz w:val="28"/>
          <w:szCs w:val="28"/>
          <w:rtl w:val="true"/>
          <w:lang w:bidi="fa-IR"/>
        </w:rPr>
        <w:t>خصوصاً ما یدلّ علی أنّ وجود الأئمّة مستمرّ إلی آخر الدهر و من المعلوم أنّ آخر الأئمّة هو المهدی المنتظر الّذی یعدّ ظهوره من أشراط الساعة</w:t>
      </w:r>
      <w:r>
        <w:rPr>
          <w:rFonts w:eastAsia="IRNazanin" w:cs="IRNazanin"/>
          <w:color w:val="111111"/>
          <w:sz w:val="28"/>
          <w:szCs w:val="28"/>
          <w:rtl w:val="true"/>
          <w:lang w:bidi="fa-IR"/>
        </w:rPr>
        <w:t xml:space="preserve">. </w:t>
      </w:r>
      <w:bookmarkStart w:id="775" w:name="pg2866_38362"/>
    </w:p>
    <w:p>
      <w:pPr>
        <w:pStyle w:val="Heading4"/>
        <w:numPr>
          <w:ilvl w:val="3"/>
          <w:numId w:val="1"/>
        </w:numPr>
        <w:rPr/>
      </w:pPr>
      <w:bookmarkStart w:id="776" w:name="__RefHeading___Toc2819902_1395250215"/>
      <w:bookmarkStart w:id="777" w:name="_Toc266"/>
      <w:bookmarkEnd w:id="775"/>
      <w:bookmarkEnd w:id="776"/>
      <w:r>
        <w:rPr>
          <w:rtl w:val="true"/>
        </w:rPr>
        <w:t>حدیث الثقلین</w:t>
      </w:r>
      <w:bookmarkEnd w:id="777"/>
    </w:p>
    <w:p>
      <w:pPr>
        <w:pStyle w:val="BookText"/>
        <w:rPr/>
      </w:pPr>
      <w:r>
        <w:rPr>
          <w:rFonts w:ascii="IRNazanin" w:hAnsi="IRNazanin" w:eastAsia="IRNazanin"/>
          <w:color w:val="111111"/>
          <w:sz w:val="28"/>
          <w:sz w:val="28"/>
          <w:szCs w:val="28"/>
          <w:rtl w:val="true"/>
          <w:lang w:bidi="fa-IR"/>
        </w:rPr>
        <w:t>و من نصوص إمامة العترة الطاهرة حدیث الثقلین المتواتر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آله قرنهم بمحکم الکتاب و جعلهم قدوة لأولی الألباب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لن تضلّوا، کتاب اللّه و عترتی أهل بیتی، و 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الأمّة التمسک بالعترة الطاهرة کما یجب علیهم التمسک بالکتاب المجید و کما لا یجوز الرجوع الی کتاب یخالف فی حکمه کتاب اللّه سبحانه لا یجوز الرجوع الی إمام یخالف فی حکمه أئمّة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تدبّر الحدیث وجده یرمی الی حصر الخلافة فی أئمّة العترة الطاهرة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تضافرت النصوص فی تنصیص الإمام السّابق علی الإمام اللاحق، فمن أراد الوقوف علی هذه النصوص، فلیرجع إلی الکتب المؤلّفة فی هذا الموضوع</w:t>
      </w:r>
      <w:r>
        <w:rPr>
          <w:rFonts w:eastAsia="IRNazanin" w:cs="IRNazanin"/>
          <w:color w:val="111111"/>
          <w:sz w:val="28"/>
          <w:szCs w:val="28"/>
          <w:rtl w:val="true"/>
          <w:lang w:bidi="fa-IR"/>
        </w:rPr>
        <w:t xml:space="preserve">. </w:t>
      </w:r>
      <w:r>
        <w:rPr>
          <w:rStyle w:val="FootnoteAnchor"/>
          <w:rtl w:val="true"/>
        </w:rPr>
        <w:footnoteReference w:id="551"/>
      </w:r>
      <w:bookmarkStart w:id="778" w:name="pg2866_38363"/>
    </w:p>
    <w:p>
      <w:pPr>
        <w:pStyle w:val="Heading3"/>
        <w:numPr>
          <w:ilvl w:val="2"/>
          <w:numId w:val="1"/>
        </w:numPr>
        <w:rPr/>
      </w:pPr>
      <w:bookmarkStart w:id="779" w:name="__RefHeading___Toc2819904_1395250215"/>
      <w:bookmarkStart w:id="780" w:name="_Toc267"/>
      <w:bookmarkEnd w:id="778"/>
      <w:bookmarkEnd w:id="779"/>
      <w:r>
        <w:rPr>
          <w:rtl w:val="true"/>
        </w:rPr>
        <w:t>الفصل الثامن</w:t>
      </w:r>
      <w:r>
        <w:rPr>
          <w:rtl w:val="true"/>
        </w:rPr>
        <w:t>:</w:t>
      </w:r>
      <w:r>
        <w:rPr>
          <w:rtl w:val="true"/>
        </w:rPr>
        <w:t>الإمام الثانی عشر فی الکتاب و السنّة</w:t>
      </w:r>
      <w:bookmarkEnd w:id="780"/>
    </w:p>
    <w:p>
      <w:pPr>
        <w:pStyle w:val="Heading4"/>
        <w:numPr>
          <w:ilvl w:val="3"/>
          <w:numId w:val="1"/>
        </w:numPr>
        <w:rPr/>
      </w:pPr>
      <w:bookmarkStart w:id="781" w:name="__RefHeading___Toc2819906_1395250215"/>
      <w:bookmarkStart w:id="782" w:name="_Toc268"/>
      <w:bookmarkEnd w:id="781"/>
      <w:r>
        <w:rPr>
          <w:rtl w:val="true"/>
        </w:rPr>
        <w:t>اشارة</w:t>
      </w:r>
      <w:bookmarkEnd w:id="782"/>
    </w:p>
    <w:p>
      <w:pPr>
        <w:pStyle w:val="BookText"/>
        <w:rPr/>
      </w:pPr>
      <w:r>
        <w:rPr>
          <w:rFonts w:ascii="IRNazanin" w:hAnsi="IRNazanin" w:eastAsia="IRNazanin"/>
          <w:color w:val="111111"/>
          <w:sz w:val="28"/>
          <w:sz w:val="28"/>
          <w:szCs w:val="28"/>
          <w:rtl w:val="true"/>
          <w:lang w:bidi="fa-IR"/>
        </w:rPr>
        <w:t xml:space="preserve">إنّ إفاضة القول فی تعریف أئمّة أهل البیت علیهم السلام ببیان علومهم و فضائلهم و نتائج جهودهم فی مجال العلوم الدینیّة، و تربیة الشخصیات المبرزة فی مجال العلم و العمل، و ما لاقوه من اضطهاد خلفاء عصرهم یحتاج إلی موسوعة کبیرة، و لأجل ذلک طوینا الکلام عن ذلک، إلّا أن الاعتقاد بالإمام المنتظر لما کان أصلاً رصیناً من أبحاث الإمامة للشیعة، و کان الاعتقاد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 بین طوائف المسلمین، رجّحنا إلقاء الضوء علی هذا الأصل علی وجه الإجمال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کان له إلمام بالحدیث، یقف علی تواتر البشارة عن النبیّ و آله و أصحابه، بظهور المهدی فی آخر الزمان لإزالة الجهل و الظلم و نشر العلم و إقامة العدل، و إظهار الدین کلِّه و لو کره المشرکون، و قد تضافر مضمون قول الرسول الأعظم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واحد لطوّل اللّه ذلک الیوم، حتی یخرج رجل من ولدی، فیملؤها عدلاً و قسطاً کما ملئت جوراً و ظلماً</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لو وجد هنا خلاف بین طوائف المسلمین فهو الاختلاف فی ولادته، فإنّ الأکثریّة من أهل السنّة یقولون بأنّه سیولد فی آخر الزمان، لکن معتقد الشیعة بفضل الروایات الکثیرة هو أنّه ولد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سُرَّمن‌رأی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الهجرة النبویّة، و غاب بأمر اللّه سبحانه سنة وفاة والده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سوف یظهره اللّه سبحانه لیتحقّق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نکتفی فی المقام بذکر فهرس الروایات الّتی رواها السنّة و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البشارة بظهوره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أهل بیت النبیّ الأکرم صلی الله علیه و آله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أولاد الإمام علی علیه السلام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من أولاد فاطمة الزهراء علیها السلام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التاسع من أولاد الحسین علیه السلام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أولاد الإمام زین العابدین علیه السلام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أولاد الحسن العسکری علیه السلام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یملأ الأرض قسطاً و عدلاً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له غیبة طویلة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یعمر عمراً طویلاً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الثانی عشر من أئمّة أهل البیت علیهم 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یعمّ العالم کلّه بعد ظهوره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الواردة حول ولادته </w:t>
      </w:r>
      <w:r>
        <w:rPr>
          <w:rStyle w:val="FootnoteAnchor"/>
        </w:rPr>
        <w:footnoteReference w:id="553"/>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یر التضعیف لأخبار الإمام المهدی إلّا من ابن خلدون فی مقدّمته، و قد فنّد مقاله الأُستاذ أحمد محمّد صدیق برسالة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الوهم المکنون من کلام ابن خلدون</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المحقّقین من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 لمزعمة ابن خلدون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المشکلة لیست مشکلة حدیث أو حدیثین، أو روایة أو روایتین، إنّها مجموعة من الأحادیث و الآثار تبلغ الثمانین تقریباً، اجتمع علی تناقلها مئات الرواة و أکثر، من صاحب کتاب </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نردّ کلّ هذه الکمّیة؟ أ کلّها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هذا الحکم لانهار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نتیجة تطرق الشک و الظن الفاسد إلی ما عداها من سنّة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لا أجد خلافاً حول ظهور المهدی، أو حول حاجة العالم إلیه، و إنّما الخلاف حول من هو؟ حسنی، أو حسینی؟ سیکون فی آخر الزمان، أو موجود الآن؟ و لا عبرة بالمدّعین الکاذبین فلیس لهم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نظرنا إلی ظهور المهدی، نظرة مجردة، فإنّنا لا نجد حرجاً من قبولها و تصدیقها، أو علی الأقلّ عدم رفضها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یتأیّد ذلک بالأدلّة الکثیرة و الأحادیث المتعدّدة، و رواتها مسلمون مؤتمنون، و الکتب الّتی نقلتها إلینا کتب قیّمة، و الترمذی من رجال التخریج و الحکم، بالإضافة إلی أنّ أحادیث المهدی لها ما یصحّ أن یکون سنداً لها فی البخاری و مسلم، کحدیث جابر فی مسلم الّذی فیه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أمیرهم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 حدیث أبی هریرة فی البخاری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بکم إذا نزل فیکم المسیح بن مریم و إمامکم منکم</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فلا مانع من أن یکون هذا الأمیر و هذا الإمام هو المهدی</w:t>
      </w:r>
      <w:r>
        <w:rPr>
          <w:rFonts w:eastAsia="IRNazanin" w:cs="IRNazanin"/>
          <w:color w:val="111111"/>
          <w:sz w:val="28"/>
          <w:szCs w:val="28"/>
          <w:rtl w:val="true"/>
          <w:lang w:bidi="fa-IR"/>
        </w:rPr>
        <w:t xml:space="preserve">. </w:t>
      </w:r>
      <w:bookmarkStart w:id="783" w:name="pg2866_38368"/>
    </w:p>
    <w:p>
      <w:pPr>
        <w:pStyle w:val="BookText"/>
        <w:rPr/>
      </w:pPr>
      <w:bookmarkEnd w:id="783"/>
      <w:r>
        <w:rPr>
          <w:rFonts w:ascii="IRNazanin" w:hAnsi="IRNazanin" w:eastAsia="IRNazanin"/>
          <w:color w:val="111111"/>
          <w:sz w:val="28"/>
          <w:sz w:val="28"/>
          <w:szCs w:val="28"/>
          <w:rtl w:val="true"/>
          <w:lang w:bidi="fa-IR"/>
        </w:rPr>
        <w:t>یضاف إلی هذا أنّ کثیراً من السّلف رضی اللّه عنهم، لم یعارضوا هذا القول، بل جاءت شروحهم و تقریراتهم موافقة لإثبات هذه العقیدة عند المسلمین</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784" w:name="__RefHeading___Toc2819908_1395250215"/>
      <w:bookmarkStart w:id="785" w:name="_Toc269"/>
      <w:bookmarkEnd w:id="784"/>
      <w:r>
        <w:rPr>
          <w:rtl w:val="true"/>
        </w:rPr>
        <w:t>أسئلة حول المهدی المنتظر</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القول بأنّ الإمام المهدی لم یزل حیّاً منذ ولادته إلی الآن، و أنّه غائب سوف یظهر بأمر اللّه سبحانه أثار أسئلة حول حیاته و إمامته أهمّها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یکون إماماً و هو غائب؟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ذا غاب؟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أن یعیش إنسان هذه المدّة الطویلة؟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متی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العلماء المحقّقون من علماء الإمامیة بالإجابة علیها فی مؤلَّفات مستقلّة لا مجال لنقل معشار ممّا جاء فیها، و نحن نکتفی فی المقام بالبحث عنها علی وجه الإجمال، و نحیل من أراد التبسّط إلی المصادر المؤلَّفة فی هذا المجال،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إماماً و هو غائب؟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الغایة من تنصیب الإمام هی القیام بوظائف الإمامة و القیادة و هو </w:t>
      </w:r>
    </w:p>
    <w:p>
      <w:pPr>
        <w:pStyle w:val="BookText"/>
        <w:rPr/>
      </w:pPr>
      <w:r>
        <w:rPr>
          <w:rFonts w:ascii="IRNazanin" w:hAnsi="IRNazanin" w:eastAsia="IRNazanin"/>
          <w:color w:val="111111"/>
          <w:sz w:val="28"/>
          <w:sz w:val="28"/>
          <w:szCs w:val="28"/>
          <w:rtl w:val="true"/>
          <w:lang w:bidi="fa-IR"/>
        </w:rPr>
        <w:t>یتوقّف علی کونه ظاهراً بین أبناء الأُمّة، مشاهداً لهم، فکیف یکون إماماً قائداً و هو غائب عنهم؟</w:t>
      </w:r>
    </w:p>
    <w:p>
      <w:pPr>
        <w:pStyle w:val="BookText"/>
        <w:rPr/>
      </w:pPr>
      <w:r>
        <w:rPr>
          <w:rFonts w:ascii="IRNazanin" w:hAnsi="IRNazanin" w:eastAsia="IRNazanin"/>
          <w:color w:val="111111"/>
          <w:sz w:val="28"/>
          <w:sz w:val="28"/>
          <w:szCs w:val="28"/>
          <w:rtl w:val="true"/>
          <w:lang w:bidi="fa-IR"/>
        </w:rPr>
        <w:t>و الجواب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علمنا بفائدة وجوده فی زمان غیبته لا یدلّ علی انتفائها، و من أعظم الجهل فی تحلیل المسائل العلمیة أو الدینیة هو جعل عدم العلم مقام العلم بالعدم، و لا شکّ أنّ عقول البشر لا تصل إلی کثیر من الأُمور المهمّة فی عالم التکوین و التشریع، بل لا یفهم مصلحة کثیر من سنن اللّه تعالی و لکن مقتضی تنزُّه فعله سبحانه عن اللّغو و العبث هو التسلیم أمام التشریع إذا وصل إلینا بصورة صحیحة، و قد عرفت تواتر الروایات علی غیبته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الغیبة لا تلازم عدم التصرّف فی الأمر مطلقاً، و هذا مصاحب موسی کان ولیاً من أولیائه تعالی لجأ إلیه أکبر أنبیاء اللّه فی عصره کما یحکیه القرآن الکریم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مانع حینئذٍ من أن یکون للإمام الغائب فی کلّ یوم و لیلة تصرّف من هذا النمط، و یؤیّد ذلک ما دلَّت علیه الروایات من أنّه یحضر الموسم فی أشهر الحجّ، و یحجّ و یصاحب الناس و یحضر المجالس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هو عدم إمکان وصول عموم الناس إلیه فی غیبته، و أمّا عدم وصول الخواصّ إلیه، فلیس بمسلَّم بل الّذی دلَّت علیه الروایات خلافه، فالصلحاء من الأُمّة الّذین یستدرُّ بهم الغمام، لهم التشرّف بلقائه و الاستفادة من نور وجوده، و بالتالی تستفید الأُمّة منه بواسطتهم، و الحکایات من الأولیاء فی ذلک متضافرة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الإمام بالتصرّف فی الأُمور الظاهریة و شئون الحکومة لا ینحصر بالقیام به شخصاً و حضوراً، بل له تولیة غیره علی التصرّف فی الأُمور کما فعل الإمام المهدی أرواحنا له الفداء فی غیبته، ففی الغیبة الصغری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وکلاء أربعة، قاموا بحوائج الناس، و کانت الصلة بینه و بین الناس مستمرّة بهم و فی الغیبة الکبری نصب الفقهاء و العلماء العدول العالمین بالأحکام للقضاء و إجراء السیاسیات و إقامة الحدود و جعلهم حجّة علی الناس، کما جاء فی توقیعه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أحادیثنا، فإنّهم حجّتی علیکم و أنا حجّة اللّه علیهم</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إلی هذه الاجوبة أشار الإمام المهدی علیه السلام فی آخر توقیع له إلی بعض نوّابه بقوله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الانتفاع فی غیبتی، فکالانتفاع بالشمس، إذا غیَّبتها عن الأبصار، السحاب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غاب المهدی علیه السلام ؟</w:t>
      </w:r>
    </w:p>
    <w:p>
      <w:pPr>
        <w:pStyle w:val="BookText"/>
        <w:rPr/>
      </w:pPr>
      <w:r>
        <w:rPr>
          <w:rFonts w:ascii="IRNazanin" w:hAnsi="IRNazanin" w:eastAsia="IRNazanin"/>
          <w:color w:val="111111"/>
          <w:sz w:val="28"/>
          <w:sz w:val="28"/>
          <w:szCs w:val="28"/>
          <w:rtl w:val="true"/>
          <w:lang w:bidi="fa-IR"/>
        </w:rPr>
        <w:t>إنّ ظهور الإمام بین الناس، یترتّب علیه من الفائدة ما لا یترتّب علیه فی زمان الغیبة، فلما ذا غاب عن الناس، حتّی حرموا من الاستفادة من وجوده، و ما هی المصلحة الّتی أخفته عن أعین الناس؟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السؤال یجاب علیه بالنقض 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النقض، فبما ذکرناه فی الإجابة عن السؤال الأوّل، فإنّ قصور عقولنا عن إدراک أسباب غیبته، لا یجرّنا إلی إنکار المتضافرات من الروایات، فالاعتراف بقصور أفهامنا أولی من ردّ الروایات المتواترة، بل هو المتعیّن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الحلّ، فإنّ أسباب غیبته واضحة لمن أمعن فیما ورد حولها من الروایات، فإنّ الإمام المهدی علیه السلام هو آخر الأئمة الاثنی عشر الّذین وعد بهم الرسول، و أناط عزّة الإسلام بهم، و من المعلوم أنّ الحکومات الإسلامیة لم تقدرهم، بل کانت لهم بالمرصاد، تلقیهم فی السّجون، و تریق دماءهم الطاهرة، بالسّیف أو السمّ، فلو کان ظاهراً، لأقدموا علی قتله، إطفاءً لنوره، فلأجل ذلک اقتضت المصلحة أن یکون مستوراً عن أعین الناس، یراهم و یرونه و لکن لا یعرفونه إلی أن تقتضی مشیئة اللّه سبحانه ظهوره، بعد حصول استعداد خاص فی العالم لقبوله، و الانضواء تحت لواء طاعته، حتی یحقّق اللّه تعالی به ما وعد به الأُمم جمعاء من توریث الأرض للمستضعفین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ورد فی بعض الروایات إشارة إلی هذه النکتة، روی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غیبة قبل أن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 نفسه الذبح</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علیه السلام و طول عمره</w:t>
      </w:r>
    </w:p>
    <w:p>
      <w:pPr>
        <w:pStyle w:val="BookText"/>
        <w:rPr/>
      </w:pPr>
      <w:r>
        <w:rPr>
          <w:rFonts w:ascii="IRNazanin" w:hAnsi="IRNazanin" w:eastAsia="IRNazanin"/>
          <w:color w:val="111111"/>
          <w:sz w:val="28"/>
          <w:sz w:val="28"/>
          <w:szCs w:val="28"/>
          <w:rtl w:val="true"/>
          <w:lang w:bidi="fa-IR"/>
        </w:rPr>
        <w:t xml:space="preserve">إنّ من الأسئلة المطروحة حول الإمام المهدی، طول عمره فی فترة غیبته، فإنّه ولد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فیکون عمره إلی الأعصار الحاضرة أکثر من ألف و مائة و خمسین عاماً، فهل یمکن فی منطق العلم أن یعیش إنسان هذا العمر الطویل؟</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وجهین، 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فقد دلّ الذکر الحکیم علی أنّ شیخ الأنبیاء عاش قرابة ألف سنة،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قد تضمّنت التوراة أسماء جماعة کثیرة من المعمَّرین، و ذکرت أحوالهم فی سفر التکوین</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قام المسلمون بتألیف کتب حول المعمّرین،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لأبی حاتم السجستانی، کما ذکر الصدوق أسماء عدّة منهم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 العلّامة الکراجکی فی رسالته الخاصّة،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علی صحّة طول عمر الإمام صاحب الزمان علیه السلام </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الحلّ، فإنّ السؤال عن إمکان طول العمر، یعرب عن عدم التعرّف علی سعة قدرة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إذا کانت حیاته و غیبته و سائر شئونه، برعایة اللّه سبحانه، فأیّ مشکلة فی أن یمدّ اللّه سبحانه فی عمره ما شاء، و یدفع عنه عوادی المرض و یرزقه عیش الهناء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إنّ الحیاة الطویلة، إمّا ممکنة فی حدّ ذاتها أو ممتنعة، و الثانی لم یقل به أحد، فتعیّن الأوّل، فلا مانع من أن یقوم سبحانه بمدّ عمر ولیّه لتحقیق غرض من أغراض التشریع</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 ثبت فی العلم الجدید من إمکان طول عمر الإنسان إذا کان مراعیاً لقواعد حفظ الصحّة و إنّ موت الإنسان فی فترة متدنّیة، لیس لقصور الاقتضاء، بل لعوارض تمنع عن استمرار الحیاة، و لو أمکن تحصین الإنسان منها بالأدویة و المعالجات الخاصة لطال عمره ما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هناک کلمات ضافیة من مهرة علم الطب فی إمکان إطالة العمر، و تمدید حیاة البشر، نشرت فی الکتب و المجلات العلمیة المختلفة</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إذا قرأت ما تدوّنه أقلام الأطبّاء فی هذا المجال، یتّضح لک معنی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فإذا کان عیش الإنسان فی بطون الحیتان، فی أعماق المحیطات، ممکناً إلی یوم البعث، فکیف لا یعیش إنسان علی الیابسة، فی أجواء طبیعیة، تحت رعایة اللّه و عنایته، إلی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علائم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للإمام الغائب، ظهور بعد غیبة طویلة، فلا بدّ من أن یکون لظهوره علائم و أشراط، تخبر عن ظهوره، فما هی هذه العلائم؟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جاء فی کتب الأحادیث من الحوادث الواقعة قبل ظهور المهدی المنتظر عبارة عن عدّة 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النداء فی السّماء، ینادی مناد من السّماء باسم المهدی فیسمع من بالمشرق و المغرب، و المنادی هو جبرائیل روح الأمین</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الخسوف و الکسوف فی غیر مواقعهما، الکسوف فی النصف من </w:t>
      </w:r>
    </w:p>
    <w:p>
      <w:pPr>
        <w:pStyle w:val="BookText"/>
        <w:rPr/>
      </w:pPr>
      <w:r>
        <w:rPr>
          <w:rFonts w:ascii="IRNazanin" w:hAnsi="IRNazanin" w:eastAsia="IRNazanin"/>
          <w:color w:val="111111"/>
          <w:sz w:val="28"/>
          <w:sz w:val="28"/>
          <w:szCs w:val="28"/>
          <w:rtl w:val="true"/>
          <w:lang w:bidi="fa-IR"/>
        </w:rPr>
        <w:t>شهر رمضان و الخسوف فی آخره و القاعدة العکس</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الشقاق و النفاق فی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ذیوع الجور و الظلم و الهرج و المرج فی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ابتلاء الإنسان بالموت الأحمر و الأبیض، أمّا الموت الأحمر فالسیف، و أمّا الموت الأبیض فالطاعون</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النفس الزکیة، من أولاد النبیّ الأکرم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السّفیانی، و هو عثمان بن عنبسة من أولاد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ممّا جاء فی الأحادیث الإسلامیة</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هذه هی علامات ظهوره، و لکن هناک أُموراً تمهّد لظهوره، و تسهّل تحقیق أهدافه نشیر إلی 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الاستعداد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 أن المجتمع الإنسانی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شیوع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إلی حدّ، یقنط معه من تحقّق الإصلاح بید البشر، و عن طریق المنظّمات العالمیة الّتی تحمل عناوین مختلفة، و أنّ ضغط الظلم و الجور علی الإنسان یحمله علی أن یذعن و یقرَّ بأنّ الإصلاح لا یتحقّق إلّا</w:t>
      </w:r>
    </w:p>
    <w:p>
      <w:pPr>
        <w:pStyle w:val="BookText"/>
        <w:rPr/>
      </w:pPr>
      <w:r>
        <w:rPr>
          <w:rFonts w:ascii="IRNazanin" w:hAnsi="IRNazanin" w:eastAsia="IRNazanin"/>
          <w:color w:val="111111"/>
          <w:sz w:val="28"/>
          <w:sz w:val="28"/>
          <w:szCs w:val="28"/>
          <w:rtl w:val="true"/>
          <w:lang w:bidi="fa-IR"/>
        </w:rPr>
        <w:t>بظهور إعجاز إلهی و حضور قوَّة غیبیة، تدمِّر کلّ تلک التکتّلات البشریة الفاسدة، الّتی قیّدت بأسلاکها أعناق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العالمیة الموحّدة لا تتحقّق إلّا بتکامل الصّناعات البشریة، بحیث یسمع العالم کلّه صوته و نداءه، و تعالیمه و قوانینه فی یوم واحد، و زمن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فی زمان القائم، و هو بالمشرق، یری أخاه الّذی فی المغرب، و کذا الّذی فی المغرب یری أخاه الّذی بالمشرق</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الجیش الثوری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الإمام المهدی علیه السلام و إن کانت قائمة علی تکامل العقول، و لکنّ الحکومة لا تستغنی عن جیش فدائی ثائر و فعّال، یمهّد الطریق للإمام علیه السلام ، و یواکبه بعد الظهور إلی تحقّق أهدافه و غایاته المتوخّاة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2866_38380"/>
      <w:bookmarkStart w:id="787" w:name="pg2866_38380"/>
      <w:bookmarkEnd w:id="787"/>
    </w:p>
    <w:p>
      <w:pPr>
        <w:pStyle w:val="Heading3"/>
        <w:numPr>
          <w:ilvl w:val="2"/>
          <w:numId w:val="1"/>
        </w:numPr>
        <w:rPr/>
      </w:pPr>
      <w:bookmarkStart w:id="788" w:name="pg2866_38380"/>
      <w:bookmarkStart w:id="789" w:name="__RefHeading___Toc2819910_1395250215"/>
      <w:bookmarkStart w:id="790" w:name="_Toc270"/>
      <w:bookmarkEnd w:id="788"/>
      <w:bookmarkEnd w:id="789"/>
      <w:r>
        <w:rPr>
          <w:rtl w:val="true"/>
        </w:rPr>
        <w:t>الفصل التاسع</w:t>
      </w:r>
      <w:r>
        <w:rPr>
          <w:rtl w:val="true"/>
        </w:rPr>
        <w:t>:</w:t>
      </w:r>
      <w:r>
        <w:rPr>
          <w:rtl w:val="true"/>
        </w:rPr>
        <w:t>الرجعة</w:t>
      </w:r>
      <w:bookmarkEnd w:id="790"/>
    </w:p>
    <w:p>
      <w:pPr>
        <w:pStyle w:val="Heading4"/>
        <w:numPr>
          <w:ilvl w:val="3"/>
          <w:numId w:val="1"/>
        </w:numPr>
        <w:rPr/>
      </w:pPr>
      <w:bookmarkStart w:id="791" w:name="__RefHeading___Toc2819912_1395250215"/>
      <w:bookmarkStart w:id="792" w:name="_Toc271"/>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 xml:space="preserve">الرجعة فی اللّغة ترادف العودة، و تطلق اصطلاحاً علی عودة الحیاة إلی مجموعة من الأموات بعد النهضة العالمیة للإمام المهدی علیه السلام و هی ممّا تعتقد به الشیعة الإمامیة بمقتضی الأحادیث المتضافرة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عن أئمة أهل البیت علیهم السلام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یقول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یحیی قوماً من أمة محمد صلی الله علیه و آله بعد موتهم قبل یوم القیامة، و هذا مذهب تختص به آل محمد صلی الله علیه و آله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الّذی یذهب الشیعة الإمامیة إلیه أنّ اللّه تعالی بعید عن ظهور إمام الزمان المهدی علیه السلام قوماً ممّن کان قد تقدّم موته من شیعته لیفوزوا بثواب نصرته و معونته و مشاهدة دولته، و یعید أیضاً قوماً من أعدائه لینتقم منهم، فیلتذّوا بما یشاهدون من ظهور الحقّ و علوّ کلمة أهله</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الرجعة تختصّ بمن محض الإیمان و محض الکفر و النفاق من أهل الملّة، دون من سلف من الأمم الخالیة و دون ما سوی الفریقین من ملّة الإسلام</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یقع الکلام فی الرجعة فی مقامین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إمکانها، إمکان بعث الحیاة من جدید یوم القیامة، مضافاً إلی وقوع نظیرها فی الأُمم السالفة، کإحیاء جماعة من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إحیاء قتیل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عُزَیر بعد مائة عام من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إحیاء الموتی علی ید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577"/>
      </w:r>
      <w:r>
        <w:rPr>
          <w:rFonts w:ascii="IRNazanin" w:hAnsi="IRNazanin" w:eastAsia="IRNazanin"/>
          <w:color w:val="111111"/>
          <w:sz w:val="28"/>
          <w:sz w:val="28"/>
          <w:szCs w:val="28"/>
          <w:rtl w:val="true"/>
          <w:lang w:bidi="fa-IR"/>
        </w:rPr>
        <w:t>أنّ تصوّر الرجعة من قبیل التناسخ المحال عقلاً، تصور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الآیات الدالّة علی وقوع الرجعة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الآیة ترکّز علی حشر فوج من کلّ جماعة لا حشر جمیعهم، و من </w:t>
      </w:r>
    </w:p>
    <w:p>
      <w:pPr>
        <w:pStyle w:val="BookText"/>
        <w:rPr/>
      </w:pPr>
      <w:r>
        <w:rPr>
          <w:rFonts w:ascii="Amiri" w:hAnsi="Amiri" w:eastAsia="Amiri" w:cs="Amiri"/>
          <w:color w:val="111111"/>
          <w:sz w:val="28"/>
          <w:sz w:val="28"/>
          <w:szCs w:val="28"/>
          <w:rtl w:val="true"/>
          <w:lang w:bidi="ar-SA"/>
        </w:rPr>
        <w:t>المعلوم أنّ الحشر لیوم القیامة یتعلّق بالجمیع لا بالبعض،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نُسَیِّرُ الْجِبٰالَ وَ تَرَی الْأَرْضَ بٰارِزَةً 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فأخبر سبحانه أنّ الحشر حشران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وقوع الرجعة و خصوصیاتها فلم یتحدّث عنها القرآن، کما هو الحال فی تحدّثه عن البرزخ و الحیاة البرزخیة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وقوع الرجعة فی هذه الأُمّة وقوعها فی الأُمم السابقة کما عرفت، و قد روی الفریقان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 فی هذه الأُمّة السنن الواقعة فی الأُمم السابقة</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بما أنّ الرجعة من الحوادث المهمّة فی الأُمم السابقة، فیجب أن یقع نظیرها فی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 المأمون العباسی الإمام الرضا علیه السلام عن الرجعة فأجابه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حقّ، قد کانت فی الأُمم السابقة، و نطق بها القرآن 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 الأُمّة کلّ ما کان فی الأُمم السالفة حذو النعل بالنعل و القذة بالقذة</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محصّل الکلام فی حقیقة الرجعة و دلائلها، و لا یدّعی المعتقدون بها أنّ الاعتقاد بها فی مرتبة الاعتقاد باللّه و توحیده، و النبوّة و المعاد، بل أنّها </w:t>
      </w:r>
      <w:bookmarkStart w:id="793" w:name="pg2866_38384"/>
    </w:p>
    <w:p>
      <w:pPr>
        <w:pStyle w:val="BookText"/>
        <w:rPr/>
      </w:pPr>
      <w:bookmarkEnd w:id="793"/>
      <w:r>
        <w:rPr>
          <w:rFonts w:ascii="IRNazanin" w:hAnsi="IRNazanin" w:eastAsia="IRNazanin"/>
          <w:color w:val="111111"/>
          <w:sz w:val="28"/>
          <w:sz w:val="28"/>
          <w:szCs w:val="28"/>
          <w:rtl w:val="true"/>
          <w:lang w:bidi="fa-IR"/>
        </w:rPr>
        <w:t>تعدّ من المسلّمات القطعیة، و لا ینکرها إلّا من لم یمعن النظر فی أدلّتها</w:t>
      </w:r>
      <w:r>
        <w:rPr>
          <w:rFonts w:eastAsia="IRNazanin" w:cs="IRNazanin"/>
          <w:color w:val="111111"/>
          <w:sz w:val="28"/>
          <w:szCs w:val="28"/>
          <w:rtl w:val="true"/>
          <w:lang w:bidi="fa-IR"/>
        </w:rPr>
        <w:t>.</w:t>
      </w:r>
    </w:p>
    <w:p>
      <w:pPr>
        <w:pStyle w:val="Heading4"/>
        <w:numPr>
          <w:ilvl w:val="3"/>
          <w:numId w:val="1"/>
        </w:numPr>
        <w:rPr/>
      </w:pPr>
      <w:bookmarkStart w:id="794" w:name="__RefHeading___Toc2819914_1395250215"/>
      <w:bookmarkStart w:id="795" w:name="_Toc272"/>
      <w:bookmarkEnd w:id="794"/>
      <w:r>
        <w:rPr>
          <w:rtl w:val="true"/>
        </w:rPr>
        <w:t>أسئلة و أجوبتها</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الاعتقاد بالرجعة یعارض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الآیة تنفی رجوعهم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مختصة بالظالمین من الأُمم السّابقة الّذین أهلکوا بعذابات إلهیّة و لا تنافی الرجعة لطائفة من الأمّة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القول بالرجعة ینافی ظاهر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تحکی عن قانون کلّی قابل للتخصیص بدلیل منفصل، و الدلیل علی ذلک ما عرفت من إحیاء الموتی فی الأُمم السّالفة، و مفاد الآیة أنّ الموت بطبعه لیس بعده رجوع، و هذا لا ینافی الرجوع فی مورد أو موارد لمصالح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لا یجوز أن یکون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ناظراً إلی یوم القیامة، و المراد من الفوج من کلّ أمّة هو الملأ الظالمین و رؤسائهم؟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الآیات أنّ هناک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حشر فوج من کلّ أمّة، و یوم ینفخ فی الصور، و جعل الأوّل من متمّمات القیامة، یستلزم وحدة الیومین و هو علی خلاف الظاهر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یظهر سقوط کثیر ممّا ذکره الآلوسی فی تفسیره عند البحث عن الآیة</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2866_38387"/>
      <w:bookmarkStart w:id="797" w:name="pg2866_38387"/>
      <w:bookmarkEnd w:id="797"/>
    </w:p>
    <w:p>
      <w:pPr>
        <w:pStyle w:val="Heading2"/>
        <w:numPr>
          <w:ilvl w:val="1"/>
          <w:numId w:val="1"/>
        </w:numPr>
        <w:rPr/>
      </w:pPr>
      <w:bookmarkStart w:id="798" w:name="pg2866_38387"/>
      <w:bookmarkStart w:id="799" w:name="__RefHeading___Toc2819916_1395250215"/>
      <w:bookmarkStart w:id="800" w:name="_Toc273"/>
      <w:bookmarkEnd w:id="798"/>
      <w:bookmarkEnd w:id="799"/>
      <w:r>
        <w:rPr>
          <w:rtl w:val="true"/>
        </w:rPr>
        <w:t>الباب الثامن</w:t>
      </w:r>
      <w:r>
        <w:rPr>
          <w:rtl w:val="true"/>
        </w:rPr>
        <w:t>:</w:t>
      </w:r>
      <w:r>
        <w:rPr>
          <w:rtl w:val="true"/>
        </w:rPr>
        <w:t>فی المعاد و فیه عشرة فصول</w:t>
      </w:r>
      <w:r>
        <w:rPr>
          <w:rtl w:val="true"/>
        </w:rPr>
        <w:t>:</w:t>
      </w:r>
      <w:bookmarkEnd w:id="800"/>
    </w:p>
    <w:p>
      <w:pPr>
        <w:pStyle w:val="Heading3"/>
        <w:numPr>
          <w:ilvl w:val="2"/>
          <w:numId w:val="1"/>
        </w:numPr>
        <w:rPr/>
      </w:pPr>
      <w:bookmarkStart w:id="801" w:name="__RefHeading___Toc2819918_1395250215"/>
      <w:bookmarkStart w:id="802" w:name="_Toc274"/>
      <w:bookmarkEnd w:id="801"/>
      <w:r>
        <w:rPr>
          <w:rtl w:val="true"/>
        </w:rPr>
        <w:t>اشارة</w:t>
      </w:r>
      <w:bookmarkEnd w:id="8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براهین إثبات المعاد؛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براهین تجرد النفس الناطقة؛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 الجسمانی و الروحانی؛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براهین بطلان التناسخ؛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القبر و البرزخ؛</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الحساب و الشهود؛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و الصراط؛</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الشفاعة فی القیامة؛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الإحباط و التکفیر؛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عن أسئلة حول المعاد؛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2866_38390"/>
      <w:bookmarkStart w:id="804" w:name="pg2866_38390"/>
      <w:bookmarkEnd w:id="804"/>
    </w:p>
    <w:p>
      <w:pPr>
        <w:pStyle w:val="Heading3"/>
        <w:numPr>
          <w:ilvl w:val="2"/>
          <w:numId w:val="1"/>
        </w:numPr>
        <w:rPr/>
      </w:pPr>
      <w:bookmarkStart w:id="805" w:name="pg2866_38390"/>
      <w:bookmarkStart w:id="806" w:name="__RefHeading___Toc2819920_1395250215"/>
      <w:bookmarkStart w:id="807" w:name="_Toc275"/>
      <w:bookmarkEnd w:id="805"/>
      <w:bookmarkEnd w:id="806"/>
      <w:r>
        <w:rPr>
          <w:rtl w:val="true"/>
        </w:rPr>
        <w:t>الفصل الأوّل</w:t>
      </w:r>
      <w:r>
        <w:rPr>
          <w:rtl w:val="true"/>
        </w:rPr>
        <w:t>:</w:t>
      </w:r>
      <w:r>
        <w:rPr>
          <w:rtl w:val="true"/>
        </w:rPr>
        <w:t>براهین إثبات المعاد</w:t>
      </w:r>
      <w:bookmarkEnd w:id="807"/>
    </w:p>
    <w:p>
      <w:pPr>
        <w:pStyle w:val="Heading4"/>
        <w:numPr>
          <w:ilvl w:val="3"/>
          <w:numId w:val="1"/>
        </w:numPr>
        <w:rPr/>
      </w:pPr>
      <w:bookmarkStart w:id="808" w:name="__RefHeading___Toc2819922_1395250215"/>
      <w:bookmarkStart w:id="809" w:name="_Toc276"/>
      <w:bookmarkEnd w:id="808"/>
      <w:r>
        <w:rPr>
          <w:rtl w:val="true"/>
        </w:rPr>
        <w:t>اشارة</w:t>
      </w:r>
      <w:bookmarkEnd w:id="809"/>
    </w:p>
    <w:p>
      <w:pPr>
        <w:pStyle w:val="BookText"/>
        <w:rPr/>
      </w:pPr>
      <w:r>
        <w:rPr>
          <w:rFonts w:ascii="IRNazanin" w:hAnsi="IRNazanin" w:eastAsia="IRNazanin"/>
          <w:color w:val="111111"/>
          <w:sz w:val="28"/>
          <w:sz w:val="28"/>
          <w:szCs w:val="28"/>
          <w:rtl w:val="true"/>
          <w:lang w:bidi="fa-IR"/>
        </w:rPr>
        <w:t>الاعتقاد بالمعاد عنصر أساسیّ فی کلّ شریعة لها صلة بالسّماء بحیث تصبح الشرائع بدونه مسالک بشریة مادّیة لا تمتُّ إلی اللّه بصلة، و قد بیَّن الذکر الحکیم وجود تلک العقیدة فی الشرائع السّماویة من لدن آدم إلی المسیح</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 قد اهتمّ به القرآن الکریم اهتماماً بالغاً یکشف عنه کثرة الآیات الواردة فی مجال المعاد، و قد قام بعضهم بإحصاء ما یرجع إلیه فی القرآن فبلغ زهاء ألف و أربعمائة آیة، و کان السیّد العلاّمة الطباطبائی قدس سره یقول بأنّه ورد البحث عن المعاد فی القرآن فی آیات تربو علی الألفین، و لعلّه ضمّ الإشارة إلیه إلی التصریح به، و علی کلّ تقدیر فهذه الآیات الهائلة تعرب عن شدّة اهتمام القرآن به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المعاد أمر ممکن فی ذاته و إنّما الکلام فی وجوب وقوعه، و هناک وجوه عقلیة تدلّ علی ضرورة وجود نشأة الآخرة هدانا إلیها القرآن الکریم</w:t>
      </w:r>
      <w:r>
        <w:rPr>
          <w:rFonts w:eastAsia="IRNazanin" w:cs="IRNazanin"/>
          <w:color w:val="111111"/>
          <w:sz w:val="28"/>
          <w:szCs w:val="28"/>
          <w:rtl w:val="true"/>
          <w:lang w:bidi="fa-IR"/>
        </w:rPr>
        <w:t xml:space="preserve">. </w:t>
      </w:r>
      <w:bookmarkStart w:id="810" w:name="pg2866_38391"/>
    </w:p>
    <w:p>
      <w:pPr>
        <w:pStyle w:val="Heading4"/>
        <w:numPr>
          <w:ilvl w:val="3"/>
          <w:numId w:val="1"/>
        </w:numPr>
        <w:rPr/>
      </w:pPr>
      <w:bookmarkStart w:id="811" w:name="__RefHeading___Toc2819924_1395250215"/>
      <w:bookmarkStart w:id="812" w:name="_Toc277"/>
      <w:bookmarkEnd w:id="810"/>
      <w:bookmarkEnd w:id="811"/>
      <w:r>
        <w:rPr>
          <w:rtl w:val="true"/>
        </w:rPr>
        <w:t>الأوّل</w:t>
      </w:r>
      <w:r>
        <w:rPr>
          <w:rtl w:val="true"/>
        </w:rPr>
        <w:t xml:space="preserve">: </w:t>
      </w:r>
      <w:r>
        <w:rPr>
          <w:rtl w:val="true"/>
        </w:rPr>
        <w:t>صیانة الخلقة عن العبث</w:t>
      </w:r>
      <w:bookmarkEnd w:id="812"/>
    </w:p>
    <w:p>
      <w:pPr>
        <w:pStyle w:val="BookText"/>
        <w:rPr/>
      </w:pPr>
      <w:r>
        <w:rPr>
          <w:rFonts w:ascii="IRNazanin" w:hAnsi="IRNazanin" w:eastAsia="IRNazanin"/>
          <w:color w:val="111111"/>
          <w:sz w:val="28"/>
          <w:sz w:val="28"/>
          <w:szCs w:val="28"/>
          <w:rtl w:val="true"/>
          <w:lang w:bidi="fa-IR"/>
        </w:rPr>
        <w:t>یستدلّ الذکر الحکیم علی لزوم المعاد بأنّ الحیاة الأُخرویة هی الغایة من خلق الإنسان و أنّه لولاها لصارت حیاته منحصرة فی إطار الدنیا، و لأصبح إیجاده و خلقه عبثاً و باطلاً، و اللّه سبحانه منزَّه عن فعل العبث،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لطیف البیان فی هذا المجال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تری أنّه یذکر یوم الفصل بعد نفی کون الخلقة لعباً، و ذلک یعرب عن أنّ النشأة الأُخرویة تصون الخلقة عن اللّغو و اللّعب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یقرب من ذلک الآیات الّتی تصفه تعالی بأنّه الحقّ، ثمّ یرتّب علیه إحیاء الموتی و النشأة الآخرة،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 أَنَّهُ یُحْیِ الْمَوْتیٰ</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 xml:space="preserve">. </w:t>
      </w:r>
      <w:r>
        <w:rPr>
          <w:rStyle w:val="FootnoteAnchor"/>
          <w:rtl w:val="true"/>
        </w:rPr>
        <w:footnoteReference w:id="588"/>
      </w:r>
      <w:bookmarkStart w:id="813" w:name="pg2866_38392"/>
    </w:p>
    <w:p>
      <w:pPr>
        <w:pStyle w:val="Heading4"/>
        <w:numPr>
          <w:ilvl w:val="3"/>
          <w:numId w:val="1"/>
        </w:numPr>
        <w:rPr/>
      </w:pPr>
      <w:bookmarkStart w:id="814" w:name="__RefHeading___Toc2819926_1395250215"/>
      <w:bookmarkStart w:id="815" w:name="_Toc278"/>
      <w:bookmarkEnd w:id="813"/>
      <w:bookmarkEnd w:id="814"/>
      <w:r>
        <w:rPr>
          <w:rtl w:val="true"/>
        </w:rPr>
        <w:t>الثانی</w:t>
      </w:r>
      <w:r>
        <w:rPr>
          <w:rtl w:val="true"/>
        </w:rPr>
        <w:t xml:space="preserve">: </w:t>
      </w:r>
      <w:r>
        <w:rPr>
          <w:rtl w:val="true"/>
        </w:rPr>
        <w:t>المعاد مقتضی العدل الإلهی</w:t>
      </w:r>
      <w:bookmarkEnd w:id="815"/>
    </w:p>
    <w:p>
      <w:pPr>
        <w:pStyle w:val="BookText"/>
        <w:rPr/>
      </w:pPr>
      <w:r>
        <w:rPr>
          <w:rFonts w:ascii="IRNazanin" w:hAnsi="IRNazanin" w:eastAsia="IRNazanin"/>
          <w:color w:val="111111"/>
          <w:sz w:val="28"/>
          <w:sz w:val="28"/>
          <w:szCs w:val="28"/>
          <w:rtl w:val="true"/>
          <w:lang w:bidi="fa-IR"/>
        </w:rPr>
        <w:t>إنّ العباد 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و عاص، و التسویة بینهما بصورها </w:t>
      </w:r>
      <w:r>
        <w:rPr>
          <w:rStyle w:val="FootnoteAnchor"/>
          <w:rtl w:val="true"/>
        </w:rPr>
        <w:footnoteReference w:id="589"/>
      </w:r>
      <w:r>
        <w:rPr>
          <w:rFonts w:ascii="IRNazanin" w:hAnsi="IRNazanin" w:eastAsia="IRNazanin"/>
          <w:color w:val="111111"/>
          <w:sz w:val="28"/>
          <w:sz w:val="28"/>
          <w:szCs w:val="28"/>
          <w:rtl w:val="true"/>
          <w:lang w:bidi="fa-IR"/>
        </w:rPr>
        <w:t>المختلفة خلاف العدل، فهنا یستقلّ العقل بأنّه یجب التفریق بینهما من حیث الثواب و العقاب، و بما أنّ هذا غیر متحقّق فی النشأة الدنیویة، فیجب أن یکون هناک نشأة أخری یتحقّق فیها ذلک التفریق، و إلی هذا البیان یشیر المحقّق البحرانی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نری المطیع و العاصی یدرکهما الموت من غیر أن یصل إلی أحد منهما ما یستحقّه من ثواب أو عقاب، فإن لم یحشروا لیوصل إلیهما ذلک المستحق لزم بطلانه أصلاً</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إلی هذا الدلیل العقلی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bookmarkStart w:id="816" w:name="pg2866_38393"/>
    </w:p>
    <w:p>
      <w:pPr>
        <w:pStyle w:val="BookText"/>
        <w:rPr/>
      </w:pPr>
      <w:bookmarkEnd w:id="8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قیام القیامة تحقیق لمسألة الثّواب و العقاب اللّذین هما مقتضی العدل الإلهی</w:t>
      </w:r>
      <w:r>
        <w:rPr>
          <w:rFonts w:eastAsia="IRNazanin" w:cs="IRNazanin"/>
          <w:color w:val="111111"/>
          <w:sz w:val="28"/>
          <w:szCs w:val="28"/>
          <w:rtl w:val="true"/>
          <w:lang w:bidi="fa-IR"/>
        </w:rPr>
        <w:t>.</w:t>
      </w:r>
    </w:p>
    <w:p>
      <w:pPr>
        <w:pStyle w:val="Heading4"/>
        <w:numPr>
          <w:ilvl w:val="3"/>
          <w:numId w:val="1"/>
        </w:numPr>
        <w:rPr/>
      </w:pPr>
      <w:bookmarkStart w:id="817" w:name="__RefHeading___Toc2819928_1395250215"/>
      <w:bookmarkStart w:id="818" w:name="_Toc279"/>
      <w:bookmarkEnd w:id="817"/>
      <w:r>
        <w:rPr>
          <w:rtl w:val="true"/>
        </w:rPr>
        <w:t>الثالث</w:t>
      </w:r>
      <w:r>
        <w:rPr>
          <w:rtl w:val="true"/>
        </w:rPr>
        <w:t xml:space="preserve">: </w:t>
      </w:r>
      <w:r>
        <w:rPr>
          <w:rtl w:val="true"/>
        </w:rPr>
        <w:t>المعاد مجلی لتحقّق مواعیده تعالی</w:t>
      </w:r>
      <w:bookmarkEnd w:id="818"/>
    </w:p>
    <w:p>
      <w:pPr>
        <w:pStyle w:val="BookText"/>
        <w:rPr/>
      </w:pPr>
      <w:r>
        <w:rPr>
          <w:rFonts w:ascii="IRNazanin" w:hAnsi="IRNazanin" w:eastAsia="IRNazanin"/>
          <w:color w:val="111111"/>
          <w:sz w:val="28"/>
          <w:sz w:val="28"/>
          <w:szCs w:val="28"/>
          <w:rtl w:val="true"/>
          <w:lang w:bidi="fa-IR"/>
        </w:rPr>
        <w:t>أنّه سبحانه قد وعد المطیعین بالثواب فی آیات متضافرة، و لا شکّ أنّ إنجاز الوعد حسن و التخلّف عنه قبیح، فالوفاء بالوعد یقتضی وقوع المعاد، قال المحقّق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وجوب إیفاء الوعد و الحکمة یقتضی وجوب البعث</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إلی هذا البرهان یشیر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القرآن الکریم أکَّد بوجه بلیغ علی قدرة الخالق و علمه فیما أجاب عن شبهات المخالفین، و الوجه فی ذلک واضح، لأنّ جلّ شبهاتهم ناشئة عن الغفلة أو الجهل بالقدرة المطلقة و العلم الوسیع للّه تعالی، فإنّ إحیاء </w:t>
      </w:r>
    </w:p>
    <w:p>
      <w:pPr>
        <w:pStyle w:val="BookText"/>
        <w:rPr/>
      </w:pPr>
      <w:r>
        <w:rPr>
          <w:rFonts w:ascii="IRNazanin" w:hAnsi="IRNazanin" w:eastAsia="IRNazanin"/>
          <w:color w:val="111111"/>
          <w:sz w:val="28"/>
          <w:sz w:val="28"/>
          <w:szCs w:val="28"/>
          <w:rtl w:val="true"/>
          <w:lang w:bidi="fa-IR"/>
        </w:rPr>
        <w:t>الموتی لیس من المحالات الذاتیة و إنّما ینکر من ینکر أو یستبعده لجهله بقدرة اللّه المطلقة و علمه الشامل و إلیک فیما یلی نماذج من الآیات 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یَبْدَؤُا الْخَلْقَ ثُمَّ یُعِیدُهُ وَ هُوَ أَهْوَنُ عَلَیْهِ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کِتٰابٌ حَفِیظٌ</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2866_38397"/>
      <w:bookmarkStart w:id="820" w:name="pg2866_38397"/>
      <w:bookmarkEnd w:id="820"/>
    </w:p>
    <w:p>
      <w:pPr>
        <w:pStyle w:val="Heading3"/>
        <w:numPr>
          <w:ilvl w:val="2"/>
          <w:numId w:val="1"/>
        </w:numPr>
        <w:rPr/>
      </w:pPr>
      <w:bookmarkStart w:id="821" w:name="pg2866_38397"/>
      <w:bookmarkStart w:id="822" w:name="__RefHeading___Toc2819930_1395250215"/>
      <w:bookmarkStart w:id="823" w:name="_Toc280"/>
      <w:bookmarkEnd w:id="821"/>
      <w:bookmarkEnd w:id="822"/>
      <w:r>
        <w:rPr>
          <w:rtl w:val="true"/>
        </w:rPr>
        <w:t>الفصل الثانی</w:t>
      </w:r>
      <w:r>
        <w:rPr>
          <w:rtl w:val="true"/>
        </w:rPr>
        <w:t>:</w:t>
      </w:r>
      <w:r>
        <w:rPr>
          <w:rtl w:val="true"/>
        </w:rPr>
        <w:t>بقاء النفس الإنسانیة بعد الموت</w:t>
      </w:r>
      <w:bookmarkEnd w:id="823"/>
    </w:p>
    <w:p>
      <w:pPr>
        <w:pStyle w:val="Heading4"/>
        <w:numPr>
          <w:ilvl w:val="3"/>
          <w:numId w:val="1"/>
        </w:numPr>
        <w:rPr/>
      </w:pPr>
      <w:bookmarkStart w:id="824" w:name="__RefHeading___Toc2819932_1395250215"/>
      <w:bookmarkStart w:id="825" w:name="_Toc281"/>
      <w:bookmarkEnd w:id="824"/>
      <w:r>
        <w:rPr>
          <w:rtl w:val="true"/>
        </w:rPr>
        <w:t>اشارة</w:t>
      </w:r>
      <w:bookmarkEnd w:id="825"/>
    </w:p>
    <w:p>
      <w:pPr>
        <w:pStyle w:val="BookText"/>
        <w:rPr/>
      </w:pPr>
      <w:r>
        <w:rPr>
          <w:rFonts w:ascii="IRNazanin" w:hAnsi="IRNazanin" w:eastAsia="IRNazanin"/>
          <w:color w:val="111111"/>
          <w:sz w:val="28"/>
          <w:sz w:val="28"/>
          <w:szCs w:val="28"/>
          <w:rtl w:val="true"/>
          <w:lang w:bidi="fa-IR"/>
        </w:rPr>
        <w:t>إنّ بعض شبهات منکری المعاد ناشٍ عن توهّم أنّ الإنسان لیس إلّا مجموعة خلایا و عروق و أعصاب و عظام و جلود تعمل بانتظام، فإذا مات الإنسان صار تراباً و لا یبقی من شخصیته شیء ، فکیف یمکن أن یکون الإنسان المُعاد هو نفس الإنسان فی الدنیا؟ و علیه فلا یتحقّق المقصود من المَعاد و هو تحقیق العدل الإلهی بإثابة المطیع و عقوبة العاصی، و لعلّه إلی هذه الشبهة یشیر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ضَلَلْنٰا فِی الْأَرْضِ أَ إِنّٰا لَفِی خَلْقٍ جَدِیدٍ</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سبحانه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یعنی أن شخصیتکم الحقیقیة لا تضلّ أبداً فی الأرض، فإنّها محفوظة لا تتغیّر و لا تضلّ، و تلک الشخصیة هی ملاک وحدة الإنسان المحشور فی الآخرة و الإنسان الدنیوی، فالآیة تعرب عن </w:t>
      </w:r>
      <w:bookmarkStart w:id="826" w:name="pg2866_38398"/>
    </w:p>
    <w:p>
      <w:pPr>
        <w:pStyle w:val="BookText"/>
        <w:rPr/>
      </w:pPr>
      <w:bookmarkEnd w:id="826"/>
      <w:r>
        <w:rPr>
          <w:rFonts w:ascii="IRNazanin" w:hAnsi="IRNazanin" w:eastAsia="IRNazanin"/>
          <w:color w:val="111111"/>
          <w:sz w:val="28"/>
          <w:sz w:val="28"/>
          <w:szCs w:val="28"/>
          <w:rtl w:val="true"/>
          <w:lang w:bidi="fa-IR"/>
        </w:rPr>
        <w:t>بقاء الروح بعد الموت و هذا الجواب هو الأساس لدفع أکثر الشبهات حول المعاد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شغل أمر تجرّد الروح و بقائه بال المفکّرین، و استدلّوا علیه بوجوه عقلیة، کما اهتمّ القرآن الکریم ببیانه فی لفیف من آیاته، و فیما یلی نسلک فی البحث عن تجرّد الروح هذین الطریقین؛ العقلی و النقلی</w:t>
      </w:r>
      <w:r>
        <w:rPr>
          <w:rFonts w:eastAsia="IRNazanin" w:cs="IRNazanin"/>
          <w:color w:val="111111"/>
          <w:sz w:val="28"/>
          <w:szCs w:val="28"/>
          <w:rtl w:val="true"/>
          <w:lang w:bidi="fa-IR"/>
        </w:rPr>
        <w:t>:</w:t>
      </w:r>
    </w:p>
    <w:p>
      <w:pPr>
        <w:pStyle w:val="Heading4"/>
        <w:numPr>
          <w:ilvl w:val="3"/>
          <w:numId w:val="1"/>
        </w:numPr>
        <w:rPr/>
      </w:pPr>
      <w:bookmarkStart w:id="827" w:name="__RefHeading___Toc2819934_1395250215"/>
      <w:bookmarkStart w:id="828" w:name="_Toc282"/>
      <w:bookmarkEnd w:id="827"/>
      <w:r>
        <w:rPr>
          <w:rtl w:val="true"/>
        </w:rPr>
        <w:t>أ</w:t>
      </w:r>
      <w:r>
        <w:rPr>
          <w:rtl w:val="true"/>
        </w:rPr>
        <w:t xml:space="preserve">) </w:t>
      </w:r>
      <w:r>
        <w:rPr>
          <w:rtl w:val="true"/>
        </w:rPr>
        <w:t>البراهین العقلیة</w:t>
      </w:r>
      <w:bookmarkEnd w:id="828"/>
    </w:p>
    <w:p>
      <w:pPr>
        <w:pStyle w:val="BookText"/>
        <w:rPr/>
      </w:pPr>
      <w:r>
        <w:rPr>
          <w:rFonts w:ascii="IRNazanin" w:hAnsi="IRNazanin" w:eastAsia="IRNazanin"/>
          <w:color w:val="111111"/>
          <w:sz w:val="28"/>
          <w:sz w:val="28"/>
          <w:szCs w:val="28"/>
          <w:rtl w:val="true"/>
          <w:lang w:bidi="fa-IR"/>
        </w:rPr>
        <w:t>إنّ البحث العقلی فی تجرّد الروح مترامی الأطراف، مختلف البراهین، نکتفی من ذلک ببیان برهانین، و من أراد التبسّط فلیرجع إلی الکتب المعدّة لذلک</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الشخصیة الإنسانیة فی دوامة التغیّرات الجسدیّة</w:t>
      </w:r>
    </w:p>
    <w:p>
      <w:pPr>
        <w:pStyle w:val="BookText"/>
        <w:rPr/>
      </w:pPr>
      <w:r>
        <w:rPr>
          <w:rFonts w:ascii="IRNazanin" w:hAnsi="IRNazanin" w:eastAsia="IRNazanin"/>
          <w:color w:val="111111"/>
          <w:sz w:val="28"/>
          <w:sz w:val="28"/>
          <w:szCs w:val="28"/>
          <w:rtl w:val="true"/>
          <w:lang w:bidi="fa-IR"/>
        </w:rPr>
        <w:t>لقد أثبت العلم أنّ التغیّر و التحوّل من الآثار اللازمة للموجودات المادیّة، فلا تنفک الخلایا الّتی یتکوّن منها الجسم البشری عن التغیّر و التبدّل، و قد حسب العلماء معدّل هذا التجدّد فظهر لهم أنّه یحدث بصورة شاملة فی البدن مرَّة کلّ عشر سنین، هذا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کلّ واحد منّا یحسّ بأنّ نفسه باقیة ثابتة فی دوامة تلک التغیّرات الجسمیّة، و یجد أنّ هناک شیئاً یسند إلیه جمیع حالاته من الطفولیة </w:t>
      </w:r>
      <w:bookmarkStart w:id="829" w:name="pg2866_38399"/>
    </w:p>
    <w:p>
      <w:pPr>
        <w:pStyle w:val="BookText"/>
        <w:rPr/>
      </w:pPr>
      <w:bookmarkEnd w:id="829"/>
      <w:r>
        <w:rPr>
          <w:rFonts w:ascii="IRNazanin" w:hAnsi="IRNazanin" w:eastAsia="IRNazanin"/>
          <w:color w:val="111111"/>
          <w:sz w:val="28"/>
          <w:sz w:val="28"/>
          <w:szCs w:val="28"/>
          <w:rtl w:val="true"/>
          <w:lang w:bidi="fa-IR"/>
        </w:rPr>
        <w:t>و الصباوة و الشّباب، و الکهولة، فهناک وراء بدن الإنسان و تحوّلاته البدنیّة حقیقة باقیة ثابتة رغم تغیّر الأحوال و تصرّم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تلک الحقیقة الّتی یحمل علیها تلک الصفات أمراً مادّیّاً مشمولاً لسنّة التغیّر و التحوّل لم یصحّ حمل تلک الصفات علی شیء واحد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کتبت هذا الخط یوم کنت صبیّاً أو شابّا، و أنا الّذی فعلت کذا و کذا فی تلک الحالة و ذلک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الانقسام آیة التجرّد</w:t>
      </w:r>
    </w:p>
    <w:p>
      <w:pPr>
        <w:pStyle w:val="BookText"/>
        <w:rPr/>
      </w:pPr>
      <w:r>
        <w:rPr>
          <w:rFonts w:ascii="IRNazanin" w:hAnsi="IRNazanin" w:eastAsia="IRNazanin"/>
          <w:color w:val="111111"/>
          <w:sz w:val="28"/>
          <w:sz w:val="28"/>
          <w:szCs w:val="28"/>
          <w:rtl w:val="true"/>
          <w:lang w:bidi="fa-IR"/>
        </w:rPr>
        <w:t>الانقسام و التجزّؤ من لوازم المادّة، و لکن کلّ واحد منّا إذا رجع إلی ما یشاهده فی صمیم ذاته، 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معنی بسیطاً غیر قابل للانقسام و التجزّی، فارتفاع أحکام المادّة، دلیل علی أنّه لیس بمادّی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الانقسام لا یختصّ بالنفس بل هو سائد علی الصفات النفسانیة من الحبّ و البغض و الإرادة و الکراهة و الإذعان و نحو ذلک، اعطف نظرک إلی حبّک لولدک و بغضک لعدوّک فهل تجد فیهما ترکّباً، و هل ینقسمان إلی أجزاء؟ کلّا، 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الروح و آثارها، و النفس و النفسانیات کلّها موجودات واقعیة خارجة عن إطار المادة</w:t>
      </w:r>
      <w:r>
        <w:rPr>
          <w:rFonts w:eastAsia="IRNazanin" w:cs="IRNazanin"/>
          <w:color w:val="111111"/>
          <w:sz w:val="28"/>
          <w:szCs w:val="28"/>
          <w:rtl w:val="true"/>
          <w:lang w:bidi="fa-IR"/>
        </w:rPr>
        <w:t>.</w:t>
      </w:r>
    </w:p>
    <w:p>
      <w:pPr>
        <w:pStyle w:val="Heading4"/>
        <w:numPr>
          <w:ilvl w:val="3"/>
          <w:numId w:val="1"/>
        </w:numPr>
        <w:rPr/>
      </w:pPr>
      <w:bookmarkStart w:id="830" w:name="__RefHeading___Toc2819936_1395250215"/>
      <w:bookmarkStart w:id="831" w:name="_Toc283"/>
      <w:bookmarkEnd w:id="830"/>
      <w:r>
        <w:rPr>
          <w:rtl w:val="true"/>
        </w:rPr>
        <w:t>ب</w:t>
      </w:r>
      <w:r>
        <w:rPr>
          <w:rtl w:val="true"/>
        </w:rPr>
        <w:t xml:space="preserve">) </w:t>
      </w:r>
      <w:r>
        <w:rPr>
          <w:rtl w:val="true"/>
        </w:rPr>
        <w:t>القرآن و تجرّد النفس</w:t>
      </w:r>
      <w:bookmarkEnd w:id="83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القرآنیة الدالّة علی بقاء النفس بعد الموت تصریحاً أو تلویحاً کثیرة نأتی بنماذج منها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لفظة التوفّی بمعنی القبض و الأخذ لا الإماتة، و علی ذلک فالآیة تدلّ علی أنّ للإنسان وراء البدن شیئاً یأخذه اللّه سبحانه حین الموت و النوم، فیمسکه إن کتب علیه الموت، و یرسله إن لم یکتب علیه ذلک إلی أجل مسمّی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صراحة الآیة فی الدلالة علی حیاة الشهداء غیر قابلة للإنکار، فإنّها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أحیاء أوّلاً، و یرزقون ثانیاً، و إنّ لهم آثاراً نفسانیة یفرحون و یستبشرون ثالثاً، و تفسیر الحیاة، بالحیاة فی شعور الناس و ضمائرهم و قلوبهم، و فی الأندیة و المحافل تفسیر مادّی للآیة مخالف لما ذکر للحیاة من الأوصاف الحقیقیة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 بالآیة علی المقصود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المخاطب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لما ذکر بعده من التمنّی هو مؤمن آل یس و اسمه حبیب النجّار کما ورد فی الروایات، و قصّته معروفة، و الآیة تدل علی أنّه باق بعد الموت یرزق فی الجنّة، و یتمنّی أنّ یعلم قومه بما رزق من الکرامة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2866_38403"/>
      <w:bookmarkStart w:id="833" w:name="pg2866_38403"/>
      <w:bookmarkEnd w:id="833"/>
    </w:p>
    <w:p>
      <w:pPr>
        <w:pStyle w:val="Heading3"/>
        <w:numPr>
          <w:ilvl w:val="2"/>
          <w:numId w:val="1"/>
        </w:numPr>
        <w:rPr/>
      </w:pPr>
      <w:bookmarkStart w:id="834" w:name="pg2866_38403"/>
      <w:bookmarkStart w:id="835" w:name="__RefHeading___Toc2819938_1395250215"/>
      <w:bookmarkStart w:id="836" w:name="_Toc284"/>
      <w:bookmarkEnd w:id="834"/>
      <w:bookmarkEnd w:id="835"/>
      <w:r>
        <w:rPr>
          <w:rtl w:val="true"/>
        </w:rPr>
        <w:t>الفصل الثالث</w:t>
      </w:r>
      <w:r>
        <w:rPr>
          <w:rtl w:val="true"/>
        </w:rPr>
        <w:t>:</w:t>
      </w:r>
      <w:r>
        <w:rPr>
          <w:rtl w:val="true"/>
        </w:rPr>
        <w:t>المعاد الجسمانی و الروحانی فی القرآن الکریم</w:t>
      </w:r>
      <w:bookmarkEnd w:id="836"/>
    </w:p>
    <w:p>
      <w:pPr>
        <w:pStyle w:val="Heading4"/>
        <w:numPr>
          <w:ilvl w:val="3"/>
          <w:numId w:val="1"/>
        </w:numPr>
        <w:rPr/>
      </w:pPr>
      <w:bookmarkStart w:id="837" w:name="__RefHeading___Toc2819940_1395250215"/>
      <w:bookmarkStart w:id="838" w:name="_Toc285"/>
      <w:bookmarkEnd w:id="837"/>
      <w:r>
        <w:rPr>
          <w:rtl w:val="true"/>
        </w:rPr>
        <w:t>اشارة</w:t>
      </w:r>
      <w:bookmarkEnd w:id="838"/>
    </w:p>
    <w:p>
      <w:pPr>
        <w:pStyle w:val="BookText"/>
        <w:rPr/>
      </w:pPr>
      <w:r>
        <w:rPr>
          <w:rFonts w:ascii="IRNazanin" w:hAnsi="IRNazanin" w:eastAsia="IRNazanin"/>
          <w:color w:val="111111"/>
          <w:sz w:val="28"/>
          <w:sz w:val="28"/>
          <w:szCs w:val="28"/>
          <w:rtl w:val="true"/>
          <w:lang w:bidi="fa-IR"/>
        </w:rPr>
        <w:t>إنّ القول بالمعاد الجسمانی و الروحانی معاً یتوقّف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بتجرّد الروح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 الروح یعود إلی البدن عند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آلاماً و لذائذ جزئیة و کلیة، جسمانیة و روحانیة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أمعن النظر فی الآیات الواردة حول المعاد یقف علی أنّ المعاد الّذی یصرُّ علیه القرآن هو عود البدن الّذی کان الإنسان یعیش به فی الدنیا و تعلّق الروح إلیه مرّة أخری و لا یکتفی بحیاة الروح فی عالم الآخرة، کما أنّه لا یخصّ الثواب و العقاب بالجسمانیة منهما بل یثبت أیضاً ثواباً و عقاباً روحانیّین غیر حسیّین، و إلیک فیما یلی نماذج من عناوین الآیات فی هذین المجالین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فی قصّة إبراهیم، و إحیاء عزیر، و بقرة بنی إسرائیل، و نحو ذلک</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یصرّح علی أنّ الإنسان خلق من الأرض و إلیها یعاد و منها یخرج</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یدلّ علی أنّ الحشر عبارة عن الخروج من الأجداث و القبور</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یدلّ علی شهادة الأعضاء یوم القیامة</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یدلّ علی تبدیل الجلود بعد نضجها و تقطع الأمعاء</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هذا کلّه بالنسبة إلی الملاک الأوّل، و أمّا بالنسبة إلی الملاک الثانی، فالآیات الراجعة إلی الآلام و اللّذائذ الحسّیة أکثر من أن تحصی و یکفی نموذجاً لذلک فی سورتی الواقعة 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فلنقتصر بالإشارة إلی نماذج من الآیات الناظرة إلی الآلام و اللّذائذ العقلیة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أنّه سبحانه یجعل رضوان اللّه فی</w:t>
      </w:r>
    </w:p>
    <w:p>
      <w:pPr>
        <w:pStyle w:val="BookText"/>
        <w:rPr/>
      </w:pPr>
      <w:r>
        <w:rPr>
          <w:rFonts w:ascii="IRNazanin" w:hAnsi="IRNazanin" w:eastAsia="IRNazanin"/>
          <w:color w:val="111111"/>
          <w:sz w:val="28"/>
          <w:sz w:val="28"/>
          <w:szCs w:val="28"/>
          <w:rtl w:val="true"/>
          <w:lang w:bidi="fa-IR"/>
        </w:rPr>
        <w:t>مقابل سائر اللّذات الجسمانیة و یصفه بکونه أکبر من الأُولی و أنّه هو الفوز العظیم، و من المعلوم أنّ هذا النوع من اللّذة لا یرجع إلی الجسم و البدن، بل هی لذَّة تدرک بالعقل و الروح فی درجتها القصوی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 وَ لَعَنَهُمُ اللّٰهُ وَ لَهُمْ عَذٰابٌ مُقِیمٌ</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یظهر عظم هذا الألم بوقوع هذه الآیة قبل آیة الرضوان، فکأنَّ الآیتین تعربان عن اللَّذات و الآلام العقلیة الّتی تدرکها الروح بلا حاجة إلی الجسم و البدن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سبحانه فی وصف أصحاب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إنّ عذاب الحسرة أشدّ علی النفس ممّا یحلّ بها من عذاب البدن، و لأجل ذلک یسمّی یوم القیامة، یوم الحسرة،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نختم الکلام بما أفاده المحقّق الطوسی فی المقام حیث 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الأنبیاء المتقدّمون علی محمّد صلی الله علیه و آله فالظاهر من کلام أُممهم أنّ موسی علیه السلام لم یذکر المعاد البدنی، و لا أنزل علیه فی التوراة لکن جاء ذلک فی کتب الأنبیاء الّذین جاءوا بعده، کحزقیل و أشعیا علیهما السلام و لذلک أقرّ الیهود به، و أمّا فی الإنجیل فقد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الأخیار یصیرون کالملائکة و تکون لهم الحیاة الأبدیة، </w:t>
      </w:r>
    </w:p>
    <w:p>
      <w:pPr>
        <w:pStyle w:val="BookText"/>
        <w:rPr/>
      </w:pPr>
      <w:r>
        <w:rPr>
          <w:rFonts w:ascii="IRNazanin" w:hAnsi="IRNazanin" w:eastAsia="IRNazanin"/>
          <w:color w:val="111111"/>
          <w:sz w:val="28"/>
          <w:sz w:val="28"/>
          <w:szCs w:val="28"/>
          <w:rtl w:val="true"/>
          <w:lang w:bidi="fa-IR"/>
        </w:rPr>
        <w:t>و السعادة العظیمة، و الأظهر أنّ المذکور فیه المعاد 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القرآن فقد جاء فیه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الروحانی ففی مثل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الجسمانی فقد جاء أکثر من أن یعدّ، و أکثره ممّا لا یقبل التأویل، مثل 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مِنَ الْأَجْدٰاثِ إِلیٰ رَبِّهِمْ یَنْسِلُونَ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إِلَی الْعِظٰامِ کَیْفَ نُنْشِزُهٰا ثُمَّ نَکْسُوهٰا لَحْماً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لِجُلُودِهِمْ لِمَ شَهِدْتُمْ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ردّ نظریة التأویل فی آیات المعاد الجسمانی قیاساً بالآیات الواردة فی الصفات الدالّة بظاهرها علی التشبیه و قال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القیاس علی التشبیه فغیر صحیح، لأنّ التشبیه مخالف للدلیل العقلی الدالّ علی امتناعه، فوجب فیه الرجوع إلی التأویل ، و أمّا المعاد البدنی فلم یقم دلیل، لا عقلی و لا نقلی </w:t>
      </w:r>
      <w:bookmarkStart w:id="839" w:name="pg2866_38408"/>
    </w:p>
    <w:p>
      <w:pPr>
        <w:pStyle w:val="BookText"/>
        <w:rPr/>
      </w:pPr>
      <w:bookmarkEnd w:id="839"/>
      <w:r>
        <w:rPr>
          <w:rFonts w:ascii="IRNazanin" w:hAnsi="IRNazanin" w:eastAsia="IRNazanin"/>
          <w:color w:val="111111"/>
          <w:sz w:val="28"/>
          <w:sz w:val="28"/>
          <w:szCs w:val="28"/>
          <w:rtl w:val="true"/>
          <w:lang w:bidi="fa-IR"/>
        </w:rPr>
        <w:t>علی امتناعه، فوجب إجراء النصوص الواردة فیه علی مقتضی ظواهرها</w:t>
      </w:r>
      <w:r>
        <w:rPr>
          <w:rFonts w:eastAsia="IRNazanin" w:cs="IRNazanin"/>
          <w:color w:val="111111"/>
          <w:sz w:val="28"/>
          <w:szCs w:val="28"/>
          <w:rtl w:val="true"/>
          <w:lang w:bidi="fa-IR"/>
        </w:rPr>
        <w:t xml:space="preserve">. </w:t>
      </w:r>
      <w:r>
        <w:rPr>
          <w:rStyle w:val="FootnoteAnchor"/>
          <w:rtl w:val="true"/>
        </w:rPr>
        <w:footnoteReference w:id="614"/>
      </w:r>
    </w:p>
    <w:p>
      <w:pPr>
        <w:pStyle w:val="Heading4"/>
        <w:numPr>
          <w:ilvl w:val="3"/>
          <w:numId w:val="1"/>
        </w:numPr>
        <w:rPr/>
      </w:pPr>
      <w:bookmarkStart w:id="840" w:name="__RefHeading___Toc2819942_1395250215"/>
      <w:bookmarkStart w:id="841" w:name="_Toc286"/>
      <w:bookmarkEnd w:id="840"/>
      <w:r>
        <w:rPr>
          <w:rtl w:val="true"/>
        </w:rPr>
        <w:t>شبهة الآکل و المأکول</w:t>
      </w:r>
      <w:bookmarkEnd w:id="841"/>
    </w:p>
    <w:p>
      <w:pPr>
        <w:pStyle w:val="BookText"/>
        <w:rPr/>
      </w:pPr>
      <w:r>
        <w:rPr>
          <w:rFonts w:ascii="IRNazanin" w:hAnsi="IRNazanin" w:eastAsia="IRNazanin"/>
          <w:color w:val="111111"/>
          <w:sz w:val="28"/>
          <w:sz w:val="28"/>
          <w:szCs w:val="28"/>
          <w:rtl w:val="true"/>
          <w:lang w:bidi="fa-IR"/>
        </w:rPr>
        <w:t>إنّ هذه الشبهة من أقدم الشبهات الّتی وردت فی الکتب الکلامیة حول المعاد الجسمانی و قد اعتنی بدفعها المتکلّمون و الفلاسفة الإلهیّون عنایة بالغة، و الإشکال یقرّر بصورتین نأتی بهما مع الإجابة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أکل إنسان کافر إنساناً مؤمناً صار بدنه أو جزء منه جزءاً من بدن الکافر، و الکافر یعذّب فیلزم تعذیب المؤمن و هو ظلم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فإنّ المدرک للآلام و اللذائذ هو الروح، و البدن وسیلة لإدراک ما هو المحسوس منهما، و علیه فصیرورة بدن المؤمن جزءاً من بدن الکافر لا یلازم تعذیب المؤمن، لأنّ المعذّب فی الحقیقة هو روح الکافر و نفسه، لا روح المؤمن، و هذا نظیر أخذ کُلْیَة الإنسان الحیّ و وصلها بإنسان آخر، فلو عذّب هذا الأخیر أو نعمّ، فالمعذّب و المنعَّم هو هو، و لا صلة بینه و بین من وهب کُلْیَته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أکل إنسان إنساناً یصیر بدنه المأکول أو جزء منه، جزء البدن الآکل، </w:t>
      </w:r>
    </w:p>
    <w:p>
      <w:pPr>
        <w:pStyle w:val="BookText"/>
        <w:rPr/>
      </w:pPr>
      <w:r>
        <w:rPr>
          <w:rFonts w:ascii="IRNazanin" w:hAnsi="IRNazanin" w:eastAsia="IRNazanin"/>
          <w:color w:val="111111"/>
          <w:sz w:val="28"/>
          <w:sz w:val="28"/>
          <w:szCs w:val="28"/>
          <w:rtl w:val="true"/>
          <w:lang w:bidi="fa-IR"/>
        </w:rPr>
        <w:t>و تلک الأجزاء إمّا یعاد مع بدن الآکل، و إمّا یعاد مع بدن المأکول، أو لا یعاد أصلاً</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 لازم الجمیع عدم عود البدن بتمامه و بعینه، أمّا فی أحدهما کما فی الفرضین الأوّلین، أو فی کلیهما کما فی الفرض الأخیر، فالمعاد الجسمانی بمعنی حشر الأبدان بعینها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عند المتکلّمین فی الإجابة عنه هو أنّ بدن الإنسان مرکب من الأجزاء الأصلیّة و الفاضلة، و الأجزاء الأصلیّة باقیة بعد الموت، و عند الإعادة تؤلّف و تضمّ معها أجزاء أخری زائدة، و المعتبر فی المعاد الجسمانی هو إعادة تلک الأجزاء الأصلیّة، و الأجزاء الأصلیّة فی کلّ بدن تکون فاضلة فی غیره </w:t>
      </w:r>
      <w:r>
        <w:rPr>
          <w:rStyle w:val="FootnoteAnchor"/>
          <w:rtl w:val="true"/>
        </w:rPr>
        <w:footnoteReference w:id="616"/>
      </w:r>
      <w:r>
        <w:rPr>
          <w:rFonts w:ascii="IRNazanin" w:hAnsi="IRNazanin" w:eastAsia="IRNazanin"/>
          <w:color w:val="111111"/>
          <w:sz w:val="28"/>
          <w:sz w:val="28"/>
          <w:szCs w:val="28"/>
          <w:rtl w:val="true"/>
          <w:lang w:bidi="fa-IR"/>
        </w:rPr>
        <w:t>و إلیه أشار المحقّق الطوسی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إعادة فواضل المکلّف</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الجسمانی لا یتوقّف علی کون البدن المحشور نفس البدن الدنیوی حتّی فی المادّة الترابیة بل لو تکوّن بدن الإنسان المعاد من أیّة مادّة ترابیة کانت و تعلّقت به الروح و کان من حیث الصورة متّحداً مع البدن الدنیوی یصدق علی المعاد أنّه هو المنشأ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یؤیّد ذلک قول الإمام الصادق علیه السلام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قبضه اللّه إلیه صیَّر تلک الروح إلی الجنّة فی صورة کصورته فیأکلون و یشربون، فإذا قدم علیهم القادم، عرفهم </w:t>
      </w:r>
    </w:p>
    <w:p>
      <w:pPr>
        <w:pStyle w:val="BookText"/>
        <w:rPr/>
      </w:pPr>
      <w:r>
        <w:rPr>
          <w:rFonts w:ascii="IRNazanin" w:hAnsi="IRNazanin" w:eastAsia="IRNazanin"/>
          <w:color w:val="111111"/>
          <w:sz w:val="28"/>
          <w:sz w:val="28"/>
          <w:szCs w:val="28"/>
          <w:rtl w:val="true"/>
          <w:lang w:bidi="fa-IR"/>
        </w:rPr>
        <w:t>بتلک الصورة الّتی کانت فی الدنیا</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فتری أنّ الإمام علیه السلام یذکر کلمة الصورة، و لعلّ فیه تذکیر بأنّه یکفی فی المعاد الجسمانی کون المُعاد متّحداً مع المبتدأ فی الصورة من غیر حاجة إلی أن یکون هناک وحدة فی المادة الترابیة بحیث إذا طرأ مانع من خلق الإنسان منه، فشل المعاد الجسمانی و 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یستظهر ذلک أیضاً من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الَّذِی خَلَقَ السَّمٰاوٰاتِ وَ الْأَرْضَ بِقٰادِرٍ عَلیٰ أَنْ یَخْلُقَ مِثْلَهُمْ</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یمیل کلام الغزالی و کلام کثیر من القائلین بالمعادین إلی أنّ معنی ذلک أن یخلق اللّه تعالی من الأجزاء بعد خراب البدن، و لا یضرّنا کونه غیر البدن الأوّل بحسب الشخص لامتناع إعادة المعدوم بعینه، و ما شهد به النصوص من کون أهل الجنّة جرداً مرداً، و کون ضرس الکافر مثل جبل أُحد یعضد ذلک، 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یبعد أن یکون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لَیْسَ الَّذِی خَلَقَ السَّمٰاوٰاتِ </w:t>
      </w:r>
    </w:p>
    <w:p>
      <w:pPr>
        <w:pStyle w:val="BookText"/>
        <w:rPr/>
      </w:pPr>
      <w:r>
        <w:rPr>
          <w:rFonts w:ascii="Amiri" w:hAnsi="Amiri" w:eastAsia="Amiri" w:cs="Amiri"/>
          <w:color w:val="111111"/>
          <w:sz w:val="28"/>
          <w:sz w:val="28"/>
          <w:szCs w:val="28"/>
          <w:rtl w:val="true"/>
          <w:lang w:bidi="ar-SA"/>
        </w:rPr>
        <w:t>وَ الْأَرْضَ بِقٰادِرٍ عَلیٰ أَنْ یَخْلُقَ مِثْلَهُمْ</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الی هذا</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 قال العلاّمة الطباطبائی قدس سره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 اللاحق من الإنسان إذا اعتبر بالقیاس إلی البدن السابق منه کان مثله لا عینه، لکنّ الإنسان ذا البدن اللاحق إذا قیس إلی الإنسان ذی البدن السابق، کان عینه لا مثله، لأنّ الشخصیّة بالنفس و هی واحدة بعینها</w:t>
      </w:r>
      <w:r>
        <w:rPr>
          <w:rFonts w:eastAsia="IRNazanin" w:cs="IRNazanin"/>
          <w:color w:val="111111"/>
          <w:sz w:val="28"/>
          <w:szCs w:val="28"/>
          <w:rtl w:val="true"/>
          <w:lang w:bidi="fa-IR"/>
        </w:rPr>
        <w:t xml:space="preserve">. </w:t>
      </w:r>
      <w:r>
        <w:rPr>
          <w:rStyle w:val="FootnoteAnchor"/>
          <w:rtl w:val="true"/>
        </w:rPr>
        <w:footnoteReference w:id="623"/>
      </w:r>
      <w:bookmarkStart w:id="842" w:name="pg2866_38413"/>
    </w:p>
    <w:p>
      <w:pPr>
        <w:pStyle w:val="Heading3"/>
        <w:numPr>
          <w:ilvl w:val="2"/>
          <w:numId w:val="1"/>
        </w:numPr>
        <w:rPr/>
      </w:pPr>
      <w:bookmarkStart w:id="843" w:name="__RefHeading___Toc2819944_1395250215"/>
      <w:bookmarkStart w:id="844" w:name="_Toc287"/>
      <w:bookmarkEnd w:id="842"/>
      <w:bookmarkEnd w:id="843"/>
      <w:r>
        <w:rPr>
          <w:rtl w:val="true"/>
        </w:rPr>
        <w:t>الفصل الرابع</w:t>
      </w:r>
      <w:r>
        <w:rPr>
          <w:rtl w:val="true"/>
        </w:rPr>
        <w:t>:</w:t>
      </w:r>
      <w:r>
        <w:rPr>
          <w:rtl w:val="true"/>
        </w:rPr>
        <w:t>براهین بطلان التناسخ</w:t>
      </w:r>
      <w:bookmarkEnd w:id="844"/>
    </w:p>
    <w:p>
      <w:pPr>
        <w:pStyle w:val="Heading4"/>
        <w:numPr>
          <w:ilvl w:val="3"/>
          <w:numId w:val="1"/>
        </w:numPr>
        <w:rPr/>
      </w:pPr>
      <w:bookmarkStart w:id="845" w:name="__RefHeading___Toc2819946_1395250215"/>
      <w:bookmarkStart w:id="846" w:name="_Toc288"/>
      <w:bookmarkEnd w:id="845"/>
      <w:r>
        <w:rPr>
          <w:rtl w:val="true"/>
        </w:rPr>
        <w:t>اشارة</w:t>
      </w:r>
      <w:bookmarkEnd w:id="846"/>
    </w:p>
    <w:p>
      <w:pPr>
        <w:pStyle w:val="BookText"/>
        <w:rPr/>
      </w:pPr>
      <w:r>
        <w:rPr>
          <w:rFonts w:ascii="IRNazanin" w:hAnsi="IRNazanin" w:eastAsia="IRNazanin"/>
          <w:color w:val="111111"/>
          <w:sz w:val="28"/>
          <w:sz w:val="28"/>
          <w:szCs w:val="28"/>
          <w:rtl w:val="true"/>
          <w:lang w:bidi="fa-IR"/>
        </w:rPr>
        <w:t>التناسخ هو انتقال النفس من بدن إلی بدن آخر فی هذه النشأة، بلا توقّف أبداً، فالقائلون بالتّناسخ ینکرون عالم الآخرة و یفسّرون الثواب و العقاب باللّذات و الآلام الدنیویة فی هذه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التناسخ هو أن یتکرّر الأکوار و الأدوار إلی ما لا نهایة له، و یحدث فی کل دور مثل ما حدث فی الأوّل و الثواب و العقاب فی هذه الدار، لا فی دار أخری لا عمل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الأعمال التی نحن فیها إنما هی أجزیة علی أعمال سلفت منّا فی الأدوار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فالراحة و السرور و الفرح و الدعة الّتی نجدها هی مرتّبة علی أعمال البرّ الّتی سلفت منّا فی الأدوار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الغمّ و الحزن و الضنک و الکلفة التی نجدها هی مرتّبة علی أعمال الفجور التی سبقت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کان فی الأوّل و کذا یکون فی الآخرة</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یرد علی القول بالتناسخ أمور 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المصائب و الآلام الّتی تبتلی بها طائفة من الناس هی فی الحقیقة جزاء لما صنعوا فی حیاتهم السّابقة من الذنوب عند ما کانت أرواحهم متعلّقة بأبدان أخری، کما أنّ النعم و اللّذائذ الّتی تلتذّ بها جماعة أخری من الناس هی أیضاً جزاء أعمالهم الحسنة فی حیاتهم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هذا فکلٌّ یستحقّ لما هو حاصل له، فلا ینبغی الاعتراض علی المستکبرین و المترفین، کما لا ینبغی القیام بالانتصاف من المظلومین و المستضعفین، و بذلک تنهدم الأخلاق من أساسها و لا یبقی للفضائل الإنسانیة مجال، و هذه العقیدة خیر وسیلة للمفسدین و الطغاة لتبریر أعمالهم الشنیعة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العقیدة معارضة للقول بالمعاد الّذی أُقیم البرهان العقلی علی وجوبه، و من الواضح أنّ الّذی ینافی البرهان الصحیح فهو باطل، فالقول بالتناسخ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لازم القول بالتناسخ هو اجتماع نفسین فی بدن واحد،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إنّه متی حصل فی البدن مزاج صالح لقبول تعلّق النفس المدبّرة له، فبالضرورة تفاض علیه النفس من الواهب من غیر مهلة و تراخ، قضاءً للحکمة الإلهیة الّتی شاءت إبلاغ کلّ ممکن إلی کماله الخاص به، فإذا تعلّقت النفس المستنسخة به أیضاً کما هو مقتضی القول بالتناسخ، لزم اجتماع نفسین فی بدن واحد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بطلان اللازم فلأنّ تشخّص کلّ فرد من الأنواع بنفسه و صورته </w:t>
      </w:r>
      <w:bookmarkStart w:id="847" w:name="pg2866_38415"/>
    </w:p>
    <w:p>
      <w:pPr>
        <w:pStyle w:val="BookText"/>
        <w:rPr/>
      </w:pPr>
      <w:bookmarkEnd w:id="847"/>
      <w:r>
        <w:rPr>
          <w:rFonts w:ascii="IRNazanin" w:hAnsi="IRNazanin" w:eastAsia="IRNazanin"/>
          <w:color w:val="111111"/>
          <w:sz w:val="28"/>
          <w:sz w:val="28"/>
          <w:szCs w:val="28"/>
          <w:rtl w:val="true"/>
          <w:lang w:bidi="fa-IR"/>
        </w:rPr>
        <w:t>النوعیة، ففرض نفسین فی بدن واحد مساوق لفرض ذاتین لذات واحدة و شخصین فی شخص واحد، و هذا محال، علی أنّ ذلک مخالف لما یجده کلّ إنسان فی صمیم وجوده و باطن ضمیره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النفس المنسوخة إذا کان مقارناً لصلاحیة البدن لإفاضة نفس علیه، یمنع عن إفاضتها علیه، فلا یلزم اجتماع نفسین فی بدن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استعداد المادّة البدنیة لقبول النفس من واهب الصور یجری مجری استعداد الجدار لقبول نور الشّمس مباشرة و انعکاساً، فلا یکون أحدهما مانعاً عن الآخر، غیر أنّ اجتماع النفسین فی بدن واحد ممتنع عقلاً، و الامتناع ناشٍ من فرض التناسخ کما لا یخفی</w:t>
      </w:r>
      <w:r>
        <w:rPr>
          <w:rFonts w:eastAsia="IRNazanin" w:cs="IRNazanin"/>
          <w:color w:val="111111"/>
          <w:sz w:val="28"/>
          <w:szCs w:val="28"/>
          <w:rtl w:val="true"/>
          <w:lang w:bidi="fa-IR"/>
        </w:rPr>
        <w:t>.</w:t>
      </w:r>
    </w:p>
    <w:p>
      <w:pPr>
        <w:pStyle w:val="Heading4"/>
        <w:numPr>
          <w:ilvl w:val="3"/>
          <w:numId w:val="1"/>
        </w:numPr>
        <w:rPr/>
      </w:pPr>
      <w:bookmarkStart w:id="848" w:name="__RefHeading___Toc2819948_1395250215"/>
      <w:bookmarkStart w:id="849" w:name="_Toc289"/>
      <w:bookmarkEnd w:id="848"/>
      <w:r>
        <w:rPr>
          <w:rtl w:val="true"/>
        </w:rPr>
        <w:t>التناسخ و المسخ</w:t>
      </w:r>
      <w:bookmarkEnd w:id="849"/>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التناسخ ممتنعاً فکیف وقع المسخ فی الأُمم السّالفة، کما صرّح به الذکر الحکیم؟</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محذور التناسخ المحال،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نفسین فی بدن واحد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 النفس الإنسانیة من کمالها إلی الحدّ الّذی یناسب بدنها المتعلّقة به</w:t>
      </w:r>
      <w:r>
        <w:rPr>
          <w:rFonts w:eastAsia="IRNazanin" w:cs="IRNazanin"/>
          <w:color w:val="111111"/>
          <w:sz w:val="28"/>
          <w:szCs w:val="28"/>
          <w:rtl w:val="true"/>
          <w:lang w:bidi="fa-IR"/>
        </w:rPr>
        <w:t xml:space="preserve">. </w:t>
      </w:r>
      <w:bookmarkStart w:id="850" w:name="pg2866_38416"/>
    </w:p>
    <w:p>
      <w:pPr>
        <w:pStyle w:val="BookText"/>
        <w:rPr/>
      </w:pPr>
      <w:bookmarkEnd w:id="850"/>
      <w:r>
        <w:rPr>
          <w:rFonts w:ascii="IRNazanin" w:hAnsi="IRNazanin" w:eastAsia="IRNazanin"/>
          <w:color w:val="111111"/>
          <w:sz w:val="28"/>
          <w:sz w:val="28"/>
          <w:szCs w:val="28"/>
          <w:rtl w:val="true"/>
          <w:lang w:bidi="fa-IR"/>
        </w:rPr>
        <w:t>و المحذوران منتفیان فی المقام، فإنّ حقیقة مسخ الأُمّة المغضوبة و الملعونة هی تلبّس نفوسهم الخبیثة لباس الخنزیر و القرد، لا تبدّل نفوسهم الانسانیة إلی نفوس القردة و الخنازیر، قال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المتنازع هو أنّ النفوس بعد مفارقتها الأبدان، تتعلّق فی الدنیا بأبدان أخر للتدبیر و التصرّف و الاکتساب لا أن تتبدّل صور الأبدان کما فی المسخ</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الممسوخ من الإنسان، إنسان ممسوخ لا أنّه ممسوخ فاقد للإنسانیة</w:t>
      </w:r>
      <w:r>
        <w:rPr>
          <w:rFonts w:eastAsia="IRNazanin" w:cs="IRNazanin"/>
          <w:color w:val="111111"/>
          <w:sz w:val="28"/>
          <w:szCs w:val="28"/>
          <w:rtl w:val="true"/>
          <w:lang w:bidi="fa-IR"/>
        </w:rPr>
        <w:t xml:space="preserve">». </w:t>
      </w:r>
      <w:r>
        <w:rPr>
          <w:rStyle w:val="FootnoteAnchor"/>
          <w:rtl w:val="true"/>
        </w:rPr>
        <w:footnoteReference w:id="627"/>
      </w:r>
    </w:p>
    <w:p>
      <w:pPr>
        <w:pStyle w:val="Heading4"/>
        <w:numPr>
          <w:ilvl w:val="3"/>
          <w:numId w:val="1"/>
        </w:numPr>
        <w:rPr/>
      </w:pPr>
      <w:bookmarkStart w:id="851" w:name="__RefHeading___Toc2819950_1395250215"/>
      <w:bookmarkStart w:id="852" w:name="_Toc290"/>
      <w:bookmarkEnd w:id="851"/>
      <w:r>
        <w:rPr>
          <w:rtl w:val="true"/>
        </w:rPr>
        <w:t>التناسخ و الرجعة</w:t>
      </w:r>
      <w:bookmarkEnd w:id="852"/>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التناسخ الباطل و القول بالرجعة علی ما علیه الإمامیة؟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واضح بعد الوقوف علی ما تقدّم، فإنّ الرجعة لا تستلزم انتقال النفس من بدن إلی بدن آخر، و لا اجتماع نفسین فی بدن واحد، و لا تراجع النفس عن کمالها الحاصل لها، و بذلک تعرف قیمة کلمة أحمد أمین المصری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تحت التشیّع ظهر القول بتناسخ الأرواح</w:t>
      </w:r>
      <w:r>
        <w:rPr>
          <w:rFonts w:eastAsia="IRNazanin" w:cs="IRNazanin"/>
          <w:color w:val="111111"/>
          <w:sz w:val="28"/>
          <w:szCs w:val="28"/>
          <w:rtl w:val="true"/>
          <w:lang w:bidi="fa-IR"/>
        </w:rPr>
        <w:t xml:space="preserve">». </w:t>
      </w:r>
      <w:r>
        <w:rPr>
          <w:rStyle w:val="FootnoteAnchor"/>
          <w:rtl w:val="true"/>
        </w:rPr>
        <w:footnoteReference w:id="628"/>
      </w:r>
      <w:bookmarkStart w:id="853" w:name="pg2866_38417"/>
    </w:p>
    <w:p>
      <w:pPr>
        <w:pStyle w:val="Heading3"/>
        <w:numPr>
          <w:ilvl w:val="2"/>
          <w:numId w:val="1"/>
        </w:numPr>
        <w:rPr/>
      </w:pPr>
      <w:bookmarkStart w:id="854" w:name="__RefHeading___Toc2819952_1395250215"/>
      <w:bookmarkStart w:id="855" w:name="_Toc291"/>
      <w:bookmarkEnd w:id="853"/>
      <w:bookmarkEnd w:id="854"/>
      <w:r>
        <w:rPr>
          <w:rtl w:val="true"/>
        </w:rPr>
        <w:t>الفصل الخامس</w:t>
      </w:r>
      <w:r>
        <w:rPr>
          <w:rtl w:val="true"/>
        </w:rPr>
        <w:t>:</w:t>
      </w:r>
      <w:r>
        <w:rPr>
          <w:rtl w:val="true"/>
        </w:rPr>
        <w:t>القبر و البرزخ</w:t>
      </w:r>
      <w:bookmarkEnd w:id="855"/>
    </w:p>
    <w:p>
      <w:pPr>
        <w:pStyle w:val="Heading4"/>
        <w:numPr>
          <w:ilvl w:val="3"/>
          <w:numId w:val="1"/>
        </w:numPr>
        <w:rPr/>
      </w:pPr>
      <w:bookmarkStart w:id="856" w:name="__RefHeading___Toc2819954_1395250215"/>
      <w:bookmarkStart w:id="857" w:name="_Toc292"/>
      <w:bookmarkEnd w:id="856"/>
      <w:r>
        <w:rPr>
          <w:rtl w:val="true"/>
        </w:rPr>
        <w:t>اشارة</w:t>
      </w:r>
      <w:bookmarkEnd w:id="857"/>
    </w:p>
    <w:p>
      <w:pPr>
        <w:pStyle w:val="BookText"/>
        <w:rPr/>
      </w:pPr>
      <w:r>
        <w:rPr>
          <w:rFonts w:ascii="IRNazanin" w:hAnsi="IRNazanin" w:eastAsia="IRNazanin"/>
          <w:color w:val="111111"/>
          <w:sz w:val="28"/>
          <w:sz w:val="28"/>
          <w:szCs w:val="28"/>
          <w:rtl w:val="true"/>
          <w:lang w:bidi="fa-IR"/>
        </w:rPr>
        <w:t>البرزخ هو المنزل الأوّل للإنسان بعد الموت، و قد صرّح القرآن علی أنّ أمام الإنسان بعد موته برزخ إلی یوم القیامة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وَرٰائِهِمْ </w:t>
      </w:r>
      <w:r>
        <w:rPr>
          <w:rStyle w:val="FootnoteAnchor"/>
          <w:rtl w:val="true"/>
        </w:rPr>
        <w:footnoteReference w:id="629"/>
      </w:r>
      <w:r>
        <w:rPr>
          <w:rFonts w:ascii="Amiri" w:hAnsi="Amiri" w:eastAsia="Amiri" w:cs="Amiri"/>
          <w:color w:val="111111"/>
          <w:sz w:val="28"/>
          <w:sz w:val="28"/>
          <w:szCs w:val="28"/>
          <w:rtl w:val="true"/>
          <w:lang w:bidi="ar-SA"/>
        </w:rPr>
        <w:t>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لکنّ الآیة لا تدلّ علی وجود حیاة فی تلک الفاصلة، نعم هناک آیات یستفاد منها وجود حیاة واقعیة للإنسان فی تلک النشأة نأتی ببعضها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من الإحیاءین و الإماتتین ما یلی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الإماتة الأولی هی الإماتة عن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الإحیاء الأوّل هو الإحیاء فی البرزخ، و تستمرّ هذه الحیاة إلی نفخ الصور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الاماتة الثانیة، عند نفخ الصور الأوّل،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 الإحیاء الثانی، عند نفخ الصور الثانی،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تعدّد نفخ الصّور یستفاد من الآیتین، فیترتّب علی الأوّل هلاک من فی السّماوات و من فی الأرض، إلّا من شاء اللّه، و علی الثانی قیام الناس من أجداثهم، و فی أمر النفخ الثانی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فَجَمَعْنٰاهُمْ جَمْعاً</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الآثار یدلّ علی تعدّد النفخ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فللإنسان حیاة بعد الإماتة من الحیاة الدنیا، و هی حیاة برزخیة متوسطة بین النشأتین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 هذه الآیة تدلّ علی أنّهم دخلوا النار بعد الغرق بلا فصل للفاء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فَأُدْخِلُوا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تحکی عرض آل فرعون علی النار صباحاً و مساءً، قبل یوم القیامة، بشهادة قوله بعد العرض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عبّر عن العذاب الأوّل بالعرض علی النّار، و عن العذاب فی الآخرة، بإدخال آل فرعون أشدّ العذاب، حاکیاً عن کون العذاب فی البرزخ، أخفّ وطأً من عذاب یوم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آیات تدلّ علی حیاة الإنسان فی هذا الحدّ الفاصل بین الدنیا و البعث، حیاة تناسب هذا الظرف، تقدّم ذکرها عند البحث عن تجرّد النفس، و نکتفی هنا بهذا المقدار، حذراً من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السنّة، فنکتفی بما جاء عن الصادق علیه السلام ، عند ما سُئِلَ عن أرواح المؤمنین،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حجرات فی الجنّة، یأکلون من طعامها، و یشربون من شرابها، و یقولون ربّنا أتمم لنا السّاعة و أنجز ما وعدتنا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عن أرواح المشرکین،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النّار یعذّبون، یقولون لا تقم لنا السّاعة، و لا تنجز لنا ما وعدتنا</w:t>
      </w:r>
      <w:r>
        <w:rPr>
          <w:rFonts w:eastAsia="IRNazanin" w:cs="IRNazanin"/>
          <w:color w:val="111111"/>
          <w:sz w:val="28"/>
          <w:szCs w:val="28"/>
          <w:rtl w:val="true"/>
          <w:lang w:bidi="fa-IR"/>
        </w:rPr>
        <w:t xml:space="preserve">». </w:t>
      </w:r>
      <w:r>
        <w:rPr>
          <w:rStyle w:val="FootnoteAnchor"/>
          <w:rtl w:val="true"/>
        </w:rPr>
        <w:footnoteReference w:id="638"/>
      </w:r>
      <w:bookmarkStart w:id="858" w:name="pg2866_38421"/>
    </w:p>
    <w:p>
      <w:pPr>
        <w:pStyle w:val="Heading4"/>
        <w:numPr>
          <w:ilvl w:val="3"/>
          <w:numId w:val="1"/>
        </w:numPr>
        <w:rPr/>
      </w:pPr>
      <w:bookmarkStart w:id="859" w:name="__RefHeading___Toc2819956_1395250215"/>
      <w:bookmarkStart w:id="860" w:name="_Toc293"/>
      <w:bookmarkEnd w:id="858"/>
      <w:bookmarkEnd w:id="859"/>
      <w:r>
        <w:rPr>
          <w:rtl w:val="true"/>
        </w:rPr>
        <w:t>السؤال فی القبر و عذابه و نعیمه</w:t>
      </w:r>
      <w:bookmarkEnd w:id="860"/>
    </w:p>
    <w:p>
      <w:pPr>
        <w:pStyle w:val="BookText"/>
        <w:rPr/>
      </w:pPr>
      <w:r>
        <w:rPr>
          <w:rFonts w:ascii="IRNazanin" w:hAnsi="IRNazanin" w:eastAsia="IRNazanin"/>
          <w:color w:val="111111"/>
          <w:sz w:val="28"/>
          <w:sz w:val="28"/>
          <w:szCs w:val="28"/>
          <w:rtl w:val="true"/>
          <w:lang w:bidi="fa-IR"/>
        </w:rPr>
        <w:t>إذا کانت الحیاة البرزخیة هی المرحلة الأُولی من الحیاة بعد الدنیا، یظهر لنا أنّ ما اتّفق علیه المسلمون من سؤال المیّت فی قبره، و عذابه إن کان طالحاً، و إنعامه إن کان مؤمناً صالحاً، صحیح لا غبار علیه، و أنّ الإنسان الحیّ فی البرزخ مسئول عن أمور، ثمّ معذّب أو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اعتقادنا فی المسألة فی القبر أنّها حق لا بدّ منها، و من أجاب الصواب، فاز بروحٍ و ریحان فی قبره، و بجنّة النعیم فی الآخرة، و من لم یجب بالصواب، فله نُزُلٌ من حمیم فی قبره، و تصلیة جحیم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الآثار الصحیحة عن النبیّ أنّ الملائکة تنزل علی المقبورین فتسألهم عن أدیانهم، و ألفاظ الأخبار بذلک متقاربة، فمنها أنّ ملکین للّه تعالی، یقال لهما ناکر و نکیر، ینزلان علی المیت فیسألانه عن ربّه و نبیّه و دینه و إمامه، فإن أجاب بالحقّ، سلّموه إلی ملائکة النعیم، و إن ارتج سلّموه إلی ملائکة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أنّ اسمی الملکین اللذین ینزلان علی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 و نکیر، و اسمی الملکین اللذین ینزلان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و بشیر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ینزل الملکان إلّا علی حی، و لا یسألان إلّا من یفهم المسألة و یعرف معناها، و هذا یدلّ علی أنّ اللّه تعالی یحیی العبد بعد موته للمسألة، و یدیم حیاته لنعیم إن کان یستحقّه، أو لعذاب إن کان یستحقّه</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الظاهر اتفاق المسلمین علی ذلک، یقول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عذاب القبر حق، یسأل العبد عن دینه و عن ربّه، و یری مقعده من النار و الجنّة، و منکر و نکیر حق</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قد نسب إلی المعتزلة إنکار عذاب القبر، و النسبة فی غیر محلّها، و إنّما المنکر واحد منهم، هو ضرار بن عمرو، و قد انفصل عن المعتزلة، صرّح بذلک القاضی عبد الجبار المعتزلی</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ممّا لا ریب فیه، إنّما الکلام فیما هو المراد هنا من القبر، و الإمعان فی الآیات الماضیة الّتی استدللنا بها علی الحیاة البرزخیة، و الروایات الواردة حول البرزخ، تعرب بوضوح عن أنّ المراد من القبر، لیس هو المکان الّذی یدفن فیه الإنسان، و لا یتجاوز جثَّته فی السَّعة، و إنّما المراد منه هو النشأة الّتی یعیش فیها الإنسان بعد الموت و قبل البعث، و إنّما </w:t>
      </w:r>
    </w:p>
    <w:p>
      <w:pPr>
        <w:pStyle w:val="BookText"/>
        <w:rPr/>
      </w:pPr>
      <w:r>
        <w:rPr>
          <w:rFonts w:ascii="IRNazanin" w:hAnsi="IRNazanin" w:eastAsia="IRNazanin"/>
          <w:color w:val="111111"/>
          <w:sz w:val="28"/>
          <w:sz w:val="28"/>
          <w:szCs w:val="28"/>
          <w:rtl w:val="true"/>
          <w:lang w:bidi="fa-IR"/>
        </w:rPr>
        <w:t>کنّی بالقبر عنها، لأنّ النزول إلی القبر یلازم أو یکون بدءاً لوقوع الإنسان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الروایات تعلّق الروح بأبدان تماثل الأبدان الدنیویة، لکن بلطافة تناسب الحیاة فی تلک النشأة، و لیس التعلّق بها ملازماً لتجویز التناسخ، لأنّ المراد من التناسخ هو رجوع الشیء من الفعلیة إلی القوّة، أعنی عودة الروح إلی الدنیا عن طریق النطفة، فالعلقة، فالمضغة إلی أن تصیر إنساناً کاملاً، و هذا منفی عقلاً و شرعاً، کما تقدّم، و لا یلزم هذا فی تعلّقها ببدن ألطف من البدن المادی، فی النشأة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یتوهّم أنّ القول بتعلّق الأرواح، بعد مفارقة أبدانها العنصریة، بأشباح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دلّت علیه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بالتناسخ، و هذا توهّم سخیف، لأنّ التناسخ الّذی أطبق المسلمون علی بطلانه، هو تعلّق الأرواح بعد خراب أجسادها، بأجسام أخر فی هذا العالم، و أمّا القول بتعلّقها فی عالم آخر، بأبدان مثالیة، مدّة البرزخ، إلی أن تقوم قیامتها الکبری، فتعود إلی أبدانها الأولیّة بإذن مُبدعها، فلیس من التناسخ فی شیء</w:t>
      </w:r>
      <w:r>
        <w:rPr>
          <w:rFonts w:eastAsia="IRNazanin" w:cs="IRNazanin"/>
          <w:color w:val="111111"/>
          <w:sz w:val="28"/>
          <w:szCs w:val="28"/>
          <w:rtl w:val="true"/>
          <w:lang w:bidi="fa-IR"/>
        </w:rPr>
        <w:t xml:space="preserve">. </w:t>
      </w:r>
      <w:r>
        <w:rPr>
          <w:rStyle w:val="FootnoteAnchor"/>
          <w:rtl w:val="true"/>
        </w:rPr>
        <w:footnoteReference w:id="642"/>
      </w:r>
      <w:bookmarkStart w:id="861" w:name="pg2866_38424"/>
    </w:p>
    <w:p>
      <w:pPr>
        <w:pStyle w:val="Heading3"/>
        <w:numPr>
          <w:ilvl w:val="2"/>
          <w:numId w:val="1"/>
        </w:numPr>
        <w:rPr/>
      </w:pPr>
      <w:bookmarkStart w:id="862" w:name="__RefHeading___Toc2819958_1395250215"/>
      <w:bookmarkStart w:id="863" w:name="_Toc294"/>
      <w:bookmarkEnd w:id="861"/>
      <w:bookmarkEnd w:id="862"/>
      <w:r>
        <w:rPr>
          <w:rtl w:val="true"/>
        </w:rPr>
        <w:t>الفصل السادس</w:t>
      </w:r>
      <w:r>
        <w:rPr>
          <w:rtl w:val="true"/>
        </w:rPr>
        <w:t>:</w:t>
      </w:r>
      <w:r>
        <w:rPr>
          <w:rtl w:val="true"/>
        </w:rPr>
        <w:t>الحساب و الشهود</w:t>
      </w:r>
      <w:r>
        <w:rPr>
          <w:rtl w:val="true"/>
        </w:rPr>
        <w:t>:</w:t>
      </w:r>
      <w:bookmarkEnd w:id="863"/>
    </w:p>
    <w:p>
      <w:pPr>
        <w:pStyle w:val="Heading4"/>
        <w:numPr>
          <w:ilvl w:val="3"/>
          <w:numId w:val="1"/>
        </w:numPr>
        <w:rPr/>
      </w:pPr>
      <w:bookmarkStart w:id="864" w:name="__RefHeading___Toc2819960_1395250215"/>
      <w:bookmarkStart w:id="865" w:name="_Toc295"/>
      <w:bookmarkEnd w:id="864"/>
      <w:r>
        <w:rPr>
          <w:rtl w:val="true"/>
        </w:rPr>
        <w:t>أ</w:t>
      </w:r>
      <w:r>
        <w:rPr>
          <w:rtl w:val="true"/>
        </w:rPr>
        <w:t xml:space="preserve">. </w:t>
      </w:r>
      <w:r>
        <w:rPr>
          <w:rtl w:val="true"/>
        </w:rPr>
        <w:t>الحساب یوم القیامة</w:t>
      </w:r>
      <w:bookmarkEnd w:id="865"/>
    </w:p>
    <w:p>
      <w:pPr>
        <w:pStyle w:val="BookText"/>
        <w:rPr/>
      </w:pPr>
      <w:r>
        <w:rPr>
          <w:rFonts w:ascii="IRNazanin" w:hAnsi="IRNazanin" w:eastAsia="IRNazanin"/>
          <w:color w:val="111111"/>
          <w:sz w:val="28"/>
          <w:sz w:val="28"/>
          <w:szCs w:val="28"/>
          <w:rtl w:val="true"/>
          <w:lang w:bidi="fa-IR"/>
        </w:rPr>
        <w:t xml:space="preserve">إنّ من أسماء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یحکی القرآن الکریم دعاء إبراهیم علیه السلام إلی اللّه تعالی،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یحکی أنّ موسی علیه السلام فیما أجاب فرعون حینما هدده بالقتل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عُذْتُ بِرَبِّی وَ رَبِّکُمْ مِنْ کُلِّ مُتَکَبِّرٍ لاٰ یُؤْمِنُ بِیَوْمِ الْحِسٰابِ</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الغرض من الحساب لیس هو وقوفه سبحانه علی ما یستحقّه العباد من الثواب و العقاب، بالوقوف علی أعمالهم الصالحة و الطالحة و هذا واضح، بل الغرض منه الاحتجاج علی العاصین، و إبراز عدله تعالی علی العباد فی مقام الجزاء، و لأجل ذلک یقیم علیهم شهوداً مختلفة، و للشیخ الصدوق کلام مبسوط فی المقام نأتی به إیضاحاً للمقصود، قال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اعتقادنا فی الحساب أنّه حقّ، منه ما یتولاّه اللّه عزّ و جلّ، و منه </w:t>
      </w:r>
    </w:p>
    <w:p>
      <w:pPr>
        <w:pStyle w:val="BookText"/>
        <w:rPr/>
      </w:pPr>
      <w:r>
        <w:rPr>
          <w:rFonts w:ascii="IRNazanin" w:hAnsi="IRNazanin" w:eastAsia="IRNazanin"/>
          <w:color w:val="111111"/>
          <w:sz w:val="28"/>
          <w:sz w:val="28"/>
          <w:szCs w:val="28"/>
          <w:rtl w:val="true"/>
          <w:lang w:bidi="fa-IR"/>
        </w:rPr>
        <w:t>ما یتولاّه حججه، فحساب الأنبیاء و الأئمة علیهم السلام یتولاّه عزّ و جلّ، و یتولّی کلّ نبی حساب أوصیائه و یتولّی الأوصیاء حساب الأُمم، و اللّه تبارک و تعالی هو الشهید علی الأنبیاء و الرسل، و هم الشهداء علی الأوصیاء، و الأئمّة شهداء علی الناس، و ذلک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الشاهد أمیر المؤمنین علیه السلام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الخلق من یدخل الجنّة بغیر حساب، و أمّا السؤال فهو واقع علی جمیع الخلق لقول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عن الدّین، و کلّ محاسب معذّب و لو بطول الوقوف، و لا ینجو </w:t>
      </w:r>
      <w:bookmarkStart w:id="866" w:name="pg2866_38426"/>
    </w:p>
    <w:p>
      <w:pPr>
        <w:pStyle w:val="BookText"/>
        <w:rPr/>
      </w:pPr>
      <w:bookmarkEnd w:id="866"/>
      <w:r>
        <w:rPr>
          <w:rFonts w:ascii="IRNazanin" w:hAnsi="IRNazanin" w:eastAsia="IRNazanin"/>
          <w:color w:val="111111"/>
          <w:sz w:val="28"/>
          <w:sz w:val="28"/>
          <w:szCs w:val="28"/>
          <w:rtl w:val="true"/>
          <w:lang w:bidi="fa-IR"/>
        </w:rPr>
        <w:t>من النار و لا یدخل الجنّة أحد بعمله إلّا برحمة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تبارک و تعالی یخاطب عباده من الأوّلین و الآخرین بمجمل حساب عملهم مخاطبة واحدة یسمع منها کلّ واحد قضیته دون غیرها، و یظنّ أنّه المخاطب دون غیره، و لا تشغله تعالی مخاطبة عن 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اللّه تعالی لکلّ إنسان کتاباً یلقاه منشوراً، ینطق علیه بجمیع أعماله، لا یغادر صغیرة و لا کبیرة إلّا أحصاها، فیجعله اللّه محاسب نفسه و الحاکم علیها بأن یقال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یختم اللّه تبارک و تعالی علی قوم علی أفواههم و تشهد أیدیهم و أرجلهم و جمیع جوارحهم بما کانوا یکتمون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Heading4"/>
        <w:numPr>
          <w:ilvl w:val="3"/>
          <w:numId w:val="1"/>
        </w:numPr>
        <w:rPr/>
      </w:pPr>
      <w:bookmarkStart w:id="867" w:name="__RefHeading___Toc2819962_1395250215"/>
      <w:bookmarkStart w:id="868" w:name="_Toc296"/>
      <w:bookmarkEnd w:id="867"/>
      <w:r>
        <w:rPr>
          <w:rtl w:val="true"/>
        </w:rPr>
        <w:t>ب</w:t>
      </w:r>
      <w:r>
        <w:rPr>
          <w:rtl w:val="true"/>
        </w:rPr>
        <w:t xml:space="preserve">. </w:t>
      </w:r>
      <w:r>
        <w:rPr>
          <w:rtl w:val="true"/>
        </w:rPr>
        <w:t>الشهود یوم القیامة</w:t>
      </w:r>
      <w:bookmarkEnd w:id="86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آیات الذکر الحکیم أنّ الشهود فی یوم الحساب علی أصناف، و 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یَفْصِلُ بَیْنَهُمْ یَوْمَ الْقِیٰامَةِ إِنَّ اللّٰهَ عَلیٰ کُلِّ شَیْءٍ شَهِیدٌ</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تَکْفُرُونَ بِآیٰاتِ اللّٰهِ وَ اللّٰهُ شَهِیدٌ عَلیٰ مٰا تَعْمَلُونَ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نبیّ کلّ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 عَلَیْهِمْ مِنْ أَنْفُسِهِمْ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کُلِّ أُمَّةٍ شَهِیداً</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الشاهد من کلّ أمّة هو نبیُّهم، و إن لم یصرّح به فی الآیات، و ذلک للزوم کون الشهادة القائمة هناک مشتملة علی حقائق لا سبیل للمناقشة فیها، فیجب أن یکون هذا الشاهد عالماً بحقائق الأعمال الّتی یشهد علیها، و لا یکون هذا إلّا بأن یستوی عنده الحاضر و الغائب، و لا یتصوّر هذا المقام إلّا لنبی کلّ أمّة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الأُمّة الإسلامیة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الخطاب فی الآیة و إن کان للأمّة الإسلامیة، لکنّ المراد بعضهم،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لبنی إسرائیل، و المراد بعضهم، و الدلیل علی أنّ المراد بعض الأُمّة، هو أنّ أکثر أبنائها لیس لهم معرفة بالأعمال إلّا بصورها إذا کانوا فی محضر المشهود علیهم، و هو لا یفی فی مقام الشهادة، لأنّ المراد منها هو الشهادة علی حقائق الأعمال و المعانی النفسانیة من الکفر و الإیمان، و علی کلّ ما خفی عن الحسّ و مستبطن عن الإنسان ممّا تکسبه القلوب الّذی یدور علیه حساب ربّ العالمین یقول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یُؤٰاخِذُکُمْ بِمٰا کَسَبَتْ قُلُوبُکُمْ </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ذلک فی وسع الإنسان العادی إذا کان حاضراً عند المشهود علیه، فضلاً عن کونه غائباً، و هذا یدلّنا علی أنّ المراد رجال من الأُمّة لهم </w:t>
      </w:r>
    </w:p>
    <w:p>
      <w:pPr>
        <w:pStyle w:val="BookText"/>
        <w:rPr/>
      </w:pPr>
      <w:r>
        <w:rPr>
          <w:rFonts w:ascii="IRNazanin" w:hAnsi="IRNazanin" w:eastAsia="IRNazanin"/>
          <w:color w:val="111111"/>
          <w:sz w:val="28"/>
          <w:sz w:val="28"/>
          <w:szCs w:val="28"/>
          <w:rtl w:val="true"/>
          <w:lang w:bidi="fa-IR"/>
        </w:rPr>
        <w:t>تلک القابلیّة بعنایةٍ من اللّه تعالی، فیقفون علی حقائق أعمال الناس المشهود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أقلّ ما یعتبر فی الشهود هو العدالة و التقوی، و الصدق و الأمانة، و الأکثریة الساحقة من الأُمّة یفقدون ذلک و هم لا تقبل شهادتهم علی صاع من تمرٍ أو باقة من بقل، فکیف تقبل شهادتهم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تشیر روایة الزبیری عن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فَتَری أنّ من لا تجوّز شهادته فی الدنیا علی صاع من تمر، یطلب اللّه شهادته یوم القیامة و یقبلها منه بحضرة جمیع الأُمم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 یعن اللّه مثل هذا من خلقه</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الأعضاء و 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أمّا کیفیة الشهادة فهی من الأُمور الغیبیة نؤمن بها، و ما إنطاقها علی اللّه بعزیز، و قد وسعت قدرته تعالی کلّ شیء ، کما یشیر إلیه قوله تعالی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869" w:name="pg2866_38431"/>
    </w:p>
    <w:p>
      <w:pPr>
        <w:pStyle w:val="Heading3"/>
        <w:numPr>
          <w:ilvl w:val="2"/>
          <w:numId w:val="1"/>
        </w:numPr>
        <w:rPr/>
      </w:pPr>
      <w:bookmarkStart w:id="870" w:name="__RefHeading___Toc2819964_1395250215"/>
      <w:bookmarkStart w:id="871" w:name="_Toc297"/>
      <w:bookmarkEnd w:id="869"/>
      <w:bookmarkEnd w:id="870"/>
      <w:r>
        <w:rPr>
          <w:rtl w:val="true"/>
        </w:rPr>
        <w:t>الفصل السابع</w:t>
      </w:r>
      <w:r>
        <w:rPr>
          <w:rtl w:val="true"/>
        </w:rPr>
        <w:t>:</w:t>
      </w:r>
      <w:r>
        <w:rPr>
          <w:rtl w:val="true"/>
        </w:rPr>
        <w:t>المیزان و الصراط</w:t>
      </w:r>
      <w:bookmarkEnd w:id="871"/>
    </w:p>
    <w:p>
      <w:pPr>
        <w:pStyle w:val="Heading4"/>
        <w:numPr>
          <w:ilvl w:val="3"/>
          <w:numId w:val="1"/>
        </w:numPr>
        <w:rPr/>
      </w:pPr>
      <w:bookmarkStart w:id="872" w:name="__RefHeading___Toc2819966_1395250215"/>
      <w:bookmarkStart w:id="873" w:name="_Toc298"/>
      <w:bookmarkEnd w:id="872"/>
      <w:r>
        <w:rPr>
          <w:rtl w:val="true"/>
        </w:rPr>
        <w:t>اشارة</w:t>
      </w:r>
      <w:bookmarkEnd w:id="873"/>
    </w:p>
    <w:p>
      <w:pPr>
        <w:pStyle w:val="BookText"/>
        <w:rPr/>
      </w:pPr>
      <w:r>
        <w:rPr>
          <w:rFonts w:ascii="IRNazanin" w:hAnsi="IRNazanin" w:eastAsia="IRNazanin"/>
          <w:color w:val="111111"/>
          <w:sz w:val="28"/>
          <w:sz w:val="28"/>
          <w:szCs w:val="28"/>
          <w:rtl w:val="true"/>
          <w:lang w:bidi="fa-IR"/>
        </w:rPr>
        <w:t>من الأبحاث الکلامیة الراجعة إلی المعاد هو البحث حول المیزان و الصراط، و لا اختلاف بین المسلمین فی الاعتقاد بهما، و إنّما الاختلاف فی المقصود منهما، و نحن نذکر الأقوال فی هذا المجال أوّلاً، ثمّ نبیّن ما هو الصحیح عندنا فنقول</w:t>
      </w:r>
      <w:r>
        <w:rPr>
          <w:rFonts w:eastAsia="IRNazanin" w:cs="IRNazanin"/>
          <w:color w:val="111111"/>
          <w:sz w:val="28"/>
          <w:szCs w:val="28"/>
          <w:rtl w:val="true"/>
          <w:lang w:bidi="fa-IR"/>
        </w:rPr>
        <w:t>:</w:t>
      </w:r>
    </w:p>
    <w:p>
      <w:pPr>
        <w:pStyle w:val="Heading4"/>
        <w:numPr>
          <w:ilvl w:val="3"/>
          <w:numId w:val="1"/>
        </w:numPr>
        <w:rPr/>
      </w:pPr>
      <w:bookmarkStart w:id="874" w:name="__RefHeading___Toc2819968_1395250215"/>
      <w:bookmarkStart w:id="875" w:name="_Toc299"/>
      <w:bookmarkEnd w:id="874"/>
      <w:r>
        <w:rPr>
          <w:rtl w:val="true"/>
        </w:rPr>
        <w:t>أ</w:t>
      </w:r>
      <w:r>
        <w:rPr>
          <w:rtl w:val="true"/>
        </w:rPr>
        <w:t xml:space="preserve">) </w:t>
      </w:r>
      <w:r>
        <w:rPr>
          <w:rtl w:val="true"/>
        </w:rPr>
        <w:t>المیزان</w:t>
      </w:r>
      <w:bookmarkEnd w:id="875"/>
    </w:p>
    <w:p>
      <w:pPr>
        <w:pStyle w:val="BookText"/>
        <w:rPr/>
      </w:pPr>
      <w:r>
        <w:rPr>
          <w:rFonts w:ascii="IRNazanin" w:hAnsi="IRNazanin" w:eastAsia="IRNazanin"/>
          <w:color w:val="111111"/>
          <w:sz w:val="28"/>
          <w:sz w:val="28"/>
          <w:szCs w:val="28"/>
          <w:rtl w:val="true"/>
          <w:lang w:bidi="fa-IR"/>
        </w:rPr>
        <w:t>اختلفوا فی کیفیة المیزان یوم القیامة، فقال شیوخ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یوضع میزان حقیقی له کفّتان یوزن به ما یتبیّن من حال المکلّفین فی ذلک الوقت لأهل الموقف، بأن یوضع کتاب الطاعات فی کفّة الخیر و یوضع کتاب المعاصی فی کفّة الشرّ، و یجعل رجحان أحدهما دلیلاً علی إحدی الحالتین، أو بنحو من ذلک لورود المیزان سمعاً و الأصل فی الکلام الحقیقة مع إمکانها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عبّاد و جماعة من البصریین و آخرون من البغدادیین المراد بالموازین، العدل دون الحقیقة</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النشأة الآخرة، أکمل من هذه النشأة و أنّه لا طریق لتفهیم الإنسان حقائق ذاک العالم و غیوبه المستورة عنّا إلّا باستخدام الألفاظ الّتی یستعملها الإنسان فی الأُمور الحسّیة، و علی ذلک فلا وجه لحمل المیزان علی المیزان المتعارف، خصوصاً بعد استعماله فی القرآن فی غیر هذا المیزان المحسوس،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لتخصیص المیزان هنا بما توزن به الأثقال، مع أنّ الهدف هو قیام الناس بالقسط فی جمیع شئونهم العقیدیّة و السیاسیة و الاجتماعیة و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تفسیر المیزان بالعدل، أو بالنبیّ، أو بالقرآن کلّها تفاسیر بالمصداق، فلیس للمیزان إلّا معنی واحد هو ما یوزن به الشیء ، و هو یختلف حسب إختلاف الموزون من کونه جسماً أو حرارة أو نوراً أو ضغطاً أو رطوبة أو غیر ذلک، قال صدر المتألهین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میزان کلّ شیء یکون من جنسه، فالموازین مختلفة، و المیزان المذکور فی القرآن ینبغی أن یحمل علی أشرف الموازین، و هو میزان یوم الحساب، کما 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میزان العلوم و میزان </w:t>
      </w:r>
    </w:p>
    <w:p>
      <w:pPr>
        <w:pStyle w:val="BookText"/>
        <w:rPr/>
      </w:pPr>
      <w:r>
        <w:rPr>
          <w:rFonts w:ascii="IRNazanin" w:hAnsi="IRNazanin" w:eastAsia="IRNazanin"/>
          <w:color w:val="111111"/>
          <w:sz w:val="28"/>
          <w:sz w:val="28"/>
          <w:szCs w:val="28"/>
          <w:rtl w:val="true"/>
          <w:lang w:bidi="fa-IR"/>
        </w:rPr>
        <w:t>الأعمال القلبیة الناشئة من الأعمال البدنیة</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لسیّدنا الأُستاذ العلاّمة الطباطبائی قدس سره فی المقام تحقیق لطیف استظهره من الآیات القرآنیة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ظاهر آیات المیزان </w:t>
      </w:r>
      <w:r>
        <w:rPr>
          <w:rStyle w:val="FootnoteAnchor"/>
          <w:rtl w:val="true"/>
        </w:rPr>
        <w:footnoteReference w:id="667"/>
      </w:r>
      <w:r>
        <w:rPr>
          <w:rFonts w:ascii="IRNazanin" w:hAnsi="IRNazanin" w:eastAsia="IRNazanin"/>
          <w:color w:val="111111"/>
          <w:sz w:val="28"/>
          <w:sz w:val="28"/>
          <w:szCs w:val="28"/>
          <w:rtl w:val="true"/>
          <w:lang w:bidi="fa-IR"/>
        </w:rPr>
        <w:t>هو أنّ الحسنات توجب ثقل المیزان و السیئات خفَّته فإنّها تثبت الثقل فی جانب الحسنات دائماً و الخفّة فی جانب السیئات دائماً، لا أن توزن الحسنات فیؤخذ ما لها من الثقل ثمّ السیّئات و یؤخذ ما لها من الثقل، ثمّ یقاس الثقلان فأیّهما کان أکثر کان القضاء له، و لازمه صحّة فرض أن یتعادل الثقلان کما فی الموازین الدائرة بیننا من ذی الکفّتین و القبّان و غیرهما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یتأیّد فی النظر أنّ هناک أمراً آخر تقاس به الأعمال، و الثقل له، فما کان منها حسنة انطبق علیه و وزن به و هو ثقل المیزان، و ما کان منها سیئة لم ینطبق علیه و لم یوزن به و هو خفة المیزان، کما نشاهده فیما عندنا من الموازین، فإنّ فیها مقیاساً و هو الواحد من الثقل کالمثقال یوضع فی إحدی الکفتین ثمّ یوضع المتاع فی الکفة الأخری، فإن عادل المثقال وزناً بوجه علی ما یدل علیه المیزان أخذ به و إلّا فهو الترک لا محالة و المثقال فی الحقیقة هو المیزان الّذی یوزن به، و أمّا </w:t>
      </w:r>
      <w:bookmarkStart w:id="876" w:name="pg2866_38434"/>
    </w:p>
    <w:p>
      <w:pPr>
        <w:pStyle w:val="BookText"/>
        <w:rPr/>
      </w:pPr>
      <w:bookmarkEnd w:id="876"/>
      <w:r>
        <w:rPr>
          <w:rFonts w:ascii="IRNazanin" w:hAnsi="IRNazanin" w:eastAsia="IRNazanin"/>
          <w:color w:val="111111"/>
          <w:sz w:val="28"/>
          <w:sz w:val="28"/>
          <w:szCs w:val="28"/>
          <w:rtl w:val="true"/>
          <w:lang w:bidi="fa-IR"/>
        </w:rPr>
        <w:t>القبّان، و ذو الکفّتین و نظائرهما فهی مقدّمة لما یبیّنه المثقال من حال المتاع الموزون به ثقلاً و 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الأعمال واحد مقیاس توزن به، فللصلاة مثلاً میزان توزن به و هی الصلاة التامّة الّتی هی حقّ الصلاة، و للزکاة و الإنفاق نظیر ذلک، و للکلام و القول حقّ القول الّذی لا یشتمل علی باطل، و هکذا کما یشیر إلیه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سبحانه یزن الأعمال یوم القیامة بالحقّ، فما اشتمل علیه العمل من الحقّ فهو وزنه و 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فالوزن فی الآیة بمعنی الثقل دون المعنی المصدری، و إنّما عبّر بالموازین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لکلّ أحد موازین کثیرة من جهة اختلاف الحقّ الّذی یوزن به بإختلاف الأعمال، فالحقّ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حقّ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 فی الزکاة و الصیام و الحج و غیرها و هو ظاهر</w:t>
      </w:r>
      <w:r>
        <w:rPr>
          <w:rFonts w:eastAsia="IRNazanin" w:cs="IRNazanin"/>
          <w:color w:val="111111"/>
          <w:sz w:val="28"/>
          <w:szCs w:val="28"/>
          <w:rtl w:val="true"/>
          <w:lang w:bidi="fa-IR"/>
        </w:rPr>
        <w:t xml:space="preserve">. </w:t>
      </w:r>
      <w:r>
        <w:rPr>
          <w:rStyle w:val="FootnoteAnchor"/>
          <w:rtl w:val="true"/>
        </w:rPr>
        <w:footnoteReference w:id="669"/>
      </w:r>
    </w:p>
    <w:p>
      <w:pPr>
        <w:pStyle w:val="Heading4"/>
        <w:numPr>
          <w:ilvl w:val="3"/>
          <w:numId w:val="1"/>
        </w:numPr>
        <w:rPr/>
      </w:pPr>
      <w:bookmarkStart w:id="877" w:name="__RefHeading___Toc2819970_1395250215"/>
      <w:bookmarkStart w:id="878" w:name="_Toc300"/>
      <w:bookmarkEnd w:id="877"/>
      <w:r>
        <w:rPr>
          <w:rtl w:val="true"/>
        </w:rPr>
        <w:t>ب</w:t>
      </w:r>
      <w:r>
        <w:rPr>
          <w:rtl w:val="true"/>
        </w:rPr>
        <w:t xml:space="preserve">) </w:t>
      </w:r>
      <w:r>
        <w:rPr>
          <w:rtl w:val="true"/>
        </w:rPr>
        <w:t>الصراط</w:t>
      </w:r>
      <w:bookmarkEnd w:id="87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یستظهر من الذکر الحکیم، و یدلّ علیه صریح الروایات، وجود صراط فی النشأة الأخرویة یسلکه کلّ مؤمن و کافر یقول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رَبِّکَ </w:t>
      </w:r>
    </w:p>
    <w:p>
      <w:pPr>
        <w:pStyle w:val="BookText"/>
        <w:rPr/>
      </w:pPr>
      <w:r>
        <w:rPr>
          <w:rFonts w:ascii="Amiri" w:hAnsi="Amiri" w:eastAsia="Amiri" w:cs="Amiri"/>
          <w:color w:val="111111"/>
          <w:sz w:val="28"/>
          <w:sz w:val="28"/>
          <w:szCs w:val="28"/>
          <w:rtl w:val="true"/>
          <w:lang w:bidi="ar-SA"/>
        </w:rPr>
        <w:t xml:space="preserve">لَنَحْشُرَنَّهُمْ وَ الشَّیٰاطِینَ ثُمَّ لَنُحْضِرَنَّهُمْ حَوْلَ جَهَنَّمَ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 کٰانَ عَلیٰ رَبِّکَ حَتْماً مَقْضِیًّا</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المفسّرون فی معنی الورود، بین قائل بأنّ المراد منه هو الوصول إلیها، و الإشراف علیها لا الدخول، و قائل بأنّ المراد دخولها، و علی کلّ تقدیر فلا مناص للمسلم من الاعتقاد بوجود صراط فی النشأة الأخرویة و هو طریق المؤمن إلی الجنّة و الکافر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اختلفوا فی أنّ الصراط هل هو واحد یمرّ علیه الفریقان، أو أنّ لکلّ من أصحاب الجنّة و النار طریقاً یختصّ به؟ قال العلاّمة الحلّی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الصراط فقد قیل إنّ فی الآخرة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إلی الجنة یهدی اللّه تعالی إلیها أهل الجنة و الأخری إلی النّار یهدی اللّه تعالی أهل النّار إلیها، کما قال تعالی فی أهل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فَاهْدُوهُمْ إِلیٰ صِرٰاطِ الْجَحِیمِ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هناک طریقاً واحداً علی جهنّم یکلّف الجمیع المرور علیه و یکون أدقّ من الشعر و أحدّ من السیف، فأهل الجنّة یمرّون علیه لا یلحقهم خوف و لا غمّ، و الکفّار یمرّون علیه عقوبة لهم و زیادة فی خوفهم، فإذا بلغ </w:t>
      </w:r>
    </w:p>
    <w:p>
      <w:pPr>
        <w:pStyle w:val="BookText"/>
        <w:rPr/>
      </w:pPr>
      <w:r>
        <w:rPr>
          <w:rFonts w:ascii="IRNazanin" w:hAnsi="IRNazanin" w:eastAsia="IRNazanin"/>
          <w:color w:val="111111"/>
          <w:sz w:val="28"/>
          <w:sz w:val="28"/>
          <w:szCs w:val="28"/>
          <w:rtl w:val="true"/>
          <w:lang w:bidi="fa-IR"/>
        </w:rPr>
        <w:t>کلّ واحد إلی مستقره من النّار سقط من ذلک الصراط</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 قال الشیخ المفید فی تفسیر کون الصراط أدقّ من الشعرة و أحدّ من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بذلک أنّه لا یثبت لکافر قدم علی الصراط یوم القیامة من شدّة ما یلحقهم من أهوال یوم القیامة و مخاوفها فهم یمشون علیه کالذی یمشی علی الشیء الّذی هو أدقّ من الشعرة و أحدّ من السیف، و هذا مثل مضروب لما یلحق الکافر من الشدّة فی عبوره علی الصّراط</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هناک صلة بین الصراط الدنیوی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الشرعیة الّتی فرضها اللّه سبحانه علی عباده و هداهم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الأُخروی، و القیام بالوظائف الإلهیة، الّذی هو سلوک الصراط الدنیوی، أمر صعب أشبه بسلوک طریق أدقّ من الشعر و أحدّ من السیف، فکم من إنسان ضلّ فی طریق العقیدة، و عبد النفس و الشیطان و الهوی، مکان عبادة اللّه سبحانه، و کم من إنسان فشل فی مقام الطاعة و العمل بالوظائف الإلهیّة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هذا حال الصراط الدنیوی من حیث الصعوبة و الدقّة، فهکذا حال الصراط الأخروی، و لأجل ذلک تضافرت روایات عن الفریقین بإختلاف مرور الناس حسب اختلافهم فی سلوک صراط الدنیا، قال الإمام الصادق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یمرّون علی الصراط طبقات، فمنهم من یمرُّ مثل البرق، و منهم مثل عدو الفرس، و منهم من یمرُّ حبواً، و منهم من یمرُّ مشیاً، و منهم من یمرُّ متعلّقاً قد تأخذ النار منه شیئاً و تترک شیئاً</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9" w:name="pg2866_38440"/>
      <w:bookmarkStart w:id="880" w:name="pg2866_38440"/>
      <w:bookmarkEnd w:id="880"/>
    </w:p>
    <w:p>
      <w:pPr>
        <w:pStyle w:val="Heading3"/>
        <w:numPr>
          <w:ilvl w:val="2"/>
          <w:numId w:val="1"/>
        </w:numPr>
        <w:rPr/>
      </w:pPr>
      <w:bookmarkStart w:id="881" w:name="pg2866_38440"/>
      <w:bookmarkStart w:id="882" w:name="__RefHeading___Toc2819972_1395250215"/>
      <w:bookmarkStart w:id="883" w:name="_Toc301"/>
      <w:bookmarkEnd w:id="881"/>
      <w:bookmarkEnd w:id="882"/>
      <w:r>
        <w:rPr>
          <w:rtl w:val="true"/>
        </w:rPr>
        <w:t>الفصل الثامن</w:t>
      </w:r>
      <w:r>
        <w:rPr>
          <w:rtl w:val="true"/>
        </w:rPr>
        <w:t>:</w:t>
      </w:r>
      <w:r>
        <w:rPr>
          <w:rtl w:val="true"/>
        </w:rPr>
        <w:t>الشفاعة فی القیامة</w:t>
      </w:r>
      <w:bookmarkEnd w:id="883"/>
    </w:p>
    <w:p>
      <w:pPr>
        <w:pStyle w:val="Heading4"/>
        <w:numPr>
          <w:ilvl w:val="3"/>
          <w:numId w:val="1"/>
        </w:numPr>
        <w:rPr/>
      </w:pPr>
      <w:bookmarkStart w:id="884" w:name="__RefHeading___Toc2819974_1395250215"/>
      <w:bookmarkStart w:id="885" w:name="_Toc302"/>
      <w:bookmarkEnd w:id="884"/>
      <w:r>
        <w:rPr>
          <w:rtl w:val="true"/>
        </w:rPr>
        <w:t>اشارة</w:t>
      </w:r>
      <w:bookmarkEnd w:id="885"/>
    </w:p>
    <w:p>
      <w:pPr>
        <w:pStyle w:val="BookText"/>
        <w:rPr/>
      </w:pPr>
      <w:r>
        <w:rPr>
          <w:rFonts w:ascii="IRNazanin" w:hAnsi="IRNazanin" w:eastAsia="IRNazanin"/>
          <w:color w:val="111111"/>
          <w:sz w:val="28"/>
          <w:sz w:val="28"/>
          <w:szCs w:val="28"/>
          <w:rtl w:val="true"/>
          <w:lang w:bidi="fa-IR"/>
        </w:rPr>
        <w:t>المراد من الشفاعة فی مصطلح المتکلّمین هو أن تصل رحمته سبحانه و مغفرته إلی عباده من طریق أولیائه و صفوة عباده، و وزان الشفاعة فی کونها سبباً لإفاضة رحمته تعالی علی العباد وزان الدعاء فی ذلک،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تتّضح هذه الحقیقة إذا وقفنا علی أنّ الدعاء بقول مطلق، و بخاصّة دعاء الصالحین، من المؤثِّرات الواقعة فی سلسلة نظام الأسباب و المسبّبات الکونیة، و علی هذا ترجع الشفاعة المصطلحة إلی الشفاعة التکوینیة بمعنی تأثیر دعاء النبیّ صلی الله علیه و آله فی جلب المغفرة الإلهیّة إلی العباد</w:t>
      </w:r>
      <w:r>
        <w:rPr>
          <w:rFonts w:eastAsia="IRNazanin" w:cs="IRNazanin"/>
          <w:color w:val="111111"/>
          <w:sz w:val="28"/>
          <w:szCs w:val="28"/>
          <w:rtl w:val="true"/>
          <w:lang w:bidi="fa-IR"/>
        </w:rPr>
        <w:t>.</w:t>
      </w:r>
    </w:p>
    <w:p>
      <w:pPr>
        <w:pStyle w:val="Heading4"/>
        <w:numPr>
          <w:ilvl w:val="3"/>
          <w:numId w:val="1"/>
        </w:numPr>
        <w:rPr/>
      </w:pPr>
      <w:bookmarkStart w:id="886" w:name="__RefHeading___Toc2819976_1395250215"/>
      <w:bookmarkStart w:id="887" w:name="_Toc303"/>
      <w:bookmarkEnd w:id="886"/>
      <w:r>
        <w:rPr>
          <w:rtl w:val="true"/>
        </w:rPr>
        <w:t>الشفاعة فی الکتاب و السنّة</w:t>
      </w:r>
      <w:bookmarkEnd w:id="88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 ذکر الشفاعة فی الکتاب الحکیم فی سور مختلفة لمناسبات شتّی </w:t>
      </w:r>
    </w:p>
    <w:p>
      <w:pPr>
        <w:pStyle w:val="BookText"/>
        <w:rPr/>
      </w:pPr>
      <w:r>
        <w:rPr>
          <w:rFonts w:ascii="IRNazanin" w:hAnsi="IRNazanin" w:eastAsia="IRNazanin"/>
          <w:color w:val="111111"/>
          <w:sz w:val="28"/>
          <w:sz w:val="28"/>
          <w:szCs w:val="28"/>
          <w:rtl w:val="true"/>
          <w:lang w:bidi="fa-IR"/>
        </w:rPr>
        <w:t>کما وقعت مورد اهتمام بلیغ فی الحدیث النبویّ و أحادیث العترة الطاهرة، و الآیات القرآنیة فی هذا المجال علی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ینفی الشفاعة فی بادئ الأمر،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وَ الْکٰافِرُونَ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ینفی شمول الشفاعة للکفّار، یقول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حاکیاً عن الکفّار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ینفی صلاحیة الأصنام للشفاعة،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ینفی الشفاعة عن غیره تعالی،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یثبت الشفاعة لغیره تعالی بإذنه،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الصنف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یبیّن من تناله شفاعة الشافعین،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یَشْفَعُونَ إِلاّٰ لِمَنِ ارْتَضیٰ وَ هُمْ مِنْ خَشْیَتِهِ مُشْفِقُونَ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نظرة إجمالیّة إلی آیات الشفاعة، و أما السنّة فمن لاحظ الصحاح و المسانید و الجوامع الحدیثیة یقف علی مجموعة کبیرة من الأحادیث الواردة فی الشفاعة توجب الإذعان بأنّها من الأُصول المسلّمة فی الشریعة الإسلامیة، و إلیک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دعوة مستجابة، فتعجّل کلّ نبیّ دعوته، و إنّی اختبأت دعوتی شفاعة لأُمتی، و هی نائلة من مات منهم لا یشرک باللّه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خمساً و أعطیت الشفاعة، فادّخرتها لأُمتی، فهی لمن لا یشرک باللّه</w:t>
      </w:r>
      <w:r>
        <w:rPr>
          <w:rFonts w:eastAsia="IRNazanin" w:cs="IRNazanin"/>
          <w:color w:val="111111"/>
          <w:sz w:val="28"/>
          <w:szCs w:val="28"/>
          <w:rtl w:val="true"/>
          <w:lang w:bidi="fa-IR"/>
        </w:rPr>
        <w:t xml:space="preserve">». </w:t>
      </w:r>
      <w:r>
        <w:rPr>
          <w:rStyle w:val="FootnoteAnchor"/>
          <w:rtl w:val="true"/>
        </w:rPr>
        <w:footnoteReference w:id="687"/>
      </w:r>
      <w:bookmarkStart w:id="888" w:name="pg2866_38443"/>
    </w:p>
    <w:p>
      <w:pPr>
        <w:pStyle w:val="BookText"/>
        <w:rPr/>
      </w:pPr>
      <w:bookmarkEnd w:id="888"/>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شفاعتی لأهل الکبائر من أمّتی</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یشفعون إلی اللّه عزّ و 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ثمّ العلماء، ثمّ الشهداء</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قال الإمام زین العابدین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 شرِّف بنیانه، و عظِّم برهانه، و ثقِّل میزانه، و تقبَّل شفاعته</w:t>
      </w:r>
      <w:r>
        <w:rPr>
          <w:rFonts w:eastAsia="Amiri" w:cs="Amiri" w:ascii="Amiri" w:hAnsi="Amiri"/>
          <w:color w:val="111111"/>
          <w:sz w:val="28"/>
          <w:szCs w:val="28"/>
          <w:rtl w:val="true"/>
          <w:lang w:bidi="ar-SA"/>
        </w:rPr>
        <w:t xml:space="preserve">». </w:t>
      </w:r>
      <w:r>
        <w:rPr>
          <w:rStyle w:val="FootnoteAnchor"/>
          <w:rtl w:val="true"/>
        </w:rPr>
        <w:footnoteReference w:id="690"/>
      </w:r>
    </w:p>
    <w:p>
      <w:pPr>
        <w:pStyle w:val="Heading4"/>
        <w:numPr>
          <w:ilvl w:val="3"/>
          <w:numId w:val="1"/>
        </w:numPr>
        <w:rPr/>
      </w:pPr>
      <w:bookmarkStart w:id="889" w:name="__RefHeading___Toc2819978_1395250215"/>
      <w:bookmarkStart w:id="890" w:name="_Toc304"/>
      <w:bookmarkEnd w:id="889"/>
      <w:r>
        <w:rPr>
          <w:rtl w:val="true"/>
        </w:rPr>
        <w:t>الشفاعة المطلقة و المحدودة</w:t>
      </w:r>
      <w:bookmarkEnd w:id="890"/>
    </w:p>
    <w:p>
      <w:pPr>
        <w:pStyle w:val="BookText"/>
        <w:rPr/>
      </w:pPr>
      <w:r>
        <w:rPr>
          <w:rFonts w:ascii="IRNazanin" w:hAnsi="IRNazanin" w:eastAsia="IRNazanin"/>
          <w:color w:val="111111"/>
          <w:sz w:val="28"/>
          <w:sz w:val="28"/>
          <w:szCs w:val="28"/>
          <w:rtl w:val="true"/>
          <w:lang w:bidi="fa-IR"/>
        </w:rPr>
        <w:t>تتصوّر الشفاعة بوجهین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یستفید العاصی من الشفاعة یوم القیامة و إن فعل ما فعل، و هذا مرفوض فی منطق العقل و 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تکون مشروطة بأُمور فی المشفوع له، و مجمل تلک الشروط أن لا یقطع الإنسان جمیع علاقاته العبودیة مع اللّه و وشائجه الروحیة مع الشافعین، و هذا هو الّذی مقبول عند العقل و الوحی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یتضح الجواب عمّا یعترض علی الشفاعة من کونها توجب الجرأة و تحیی روح التمرّد فی العصاة و المجرمین، فإنّ ذلک من لوازم الشفاعة المطلقة المرفوضة، لا المحدودة المقبولة</w:t>
      </w:r>
      <w:r>
        <w:rPr>
          <w:rFonts w:eastAsia="IRNazanin" w:cs="IRNazanin"/>
          <w:color w:val="111111"/>
          <w:sz w:val="28"/>
          <w:szCs w:val="28"/>
          <w:rtl w:val="true"/>
          <w:lang w:bidi="fa-IR"/>
        </w:rPr>
        <w:t xml:space="preserve">. </w:t>
      </w:r>
      <w:bookmarkStart w:id="891" w:name="pg2866_38444"/>
    </w:p>
    <w:p>
      <w:pPr>
        <w:pStyle w:val="BookText"/>
        <w:rPr/>
      </w:pPr>
      <w:bookmarkEnd w:id="891"/>
      <w:r>
        <w:rPr>
          <w:rFonts w:ascii="IRNazanin" w:hAnsi="IRNazanin" w:eastAsia="IRNazanin"/>
          <w:color w:val="111111"/>
          <w:sz w:val="28"/>
          <w:sz w:val="28"/>
          <w:szCs w:val="28"/>
          <w:rtl w:val="true"/>
          <w:lang w:bidi="fa-IR"/>
        </w:rPr>
        <w:t>و الغرض من تشریع الشفاعة هو الغرض من تشریع التوبة الّتی اتّفقت الأُمّة علی صحّتها، و هو منع المذنبین عن القنوط من رحمة اللّه و بعثهم نحو الابتهال و التضرّع إلی اللّه رجاء شمول رحمته إلیهم، فإنّ المجرم لو اعتقد بأنّ عصیانه لا یغفر قطّ، فلا شکّ أنّه یتمادی فی اقتراف السیئات باعتقاد أنّ ترک العصیان لا ینفعه فی شیء ، و هذا بخلاف ما إذا أیقن بأنّ رجوعه عن المعصیة یغیّر مصیره فی الآخرة، فإنّه یبعثه إلی ترک العصیان و الرجوع إلی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الشفاعة، فإذا اعتقد العاصی بأنّ أولیاء اللّه قد یشفعون فی حقّه إذا لم یهتک الستر و لم یبلغ إلی الحدّ الّذی یحرم من الشفاعة، فعند ذلک ربّما یحاول تطبیق حیاته علی شرائط الشفاعة حتی لا یحرمها</w:t>
      </w:r>
      <w:r>
        <w:rPr>
          <w:rFonts w:eastAsia="IRNazanin" w:cs="IRNazanin"/>
          <w:color w:val="111111"/>
          <w:sz w:val="28"/>
          <w:szCs w:val="28"/>
          <w:rtl w:val="true"/>
          <w:lang w:bidi="fa-IR"/>
        </w:rPr>
        <w:t>.</w:t>
      </w:r>
    </w:p>
    <w:p>
      <w:pPr>
        <w:pStyle w:val="Heading4"/>
        <w:numPr>
          <w:ilvl w:val="3"/>
          <w:numId w:val="1"/>
        </w:numPr>
        <w:rPr/>
      </w:pPr>
      <w:bookmarkStart w:id="892" w:name="__RefHeading___Toc2819980_1395250215"/>
      <w:bookmarkStart w:id="893" w:name="_Toc305"/>
      <w:bookmarkEnd w:id="892"/>
      <w:r>
        <w:rPr>
          <w:rtl w:val="true"/>
        </w:rPr>
        <w:t>شرائط شمول الشفاعة</w:t>
      </w:r>
      <w:bookmarkEnd w:id="893"/>
    </w:p>
    <w:p>
      <w:pPr>
        <w:pStyle w:val="BookText"/>
        <w:rPr/>
      </w:pPr>
      <w:r>
        <w:rPr>
          <w:rFonts w:ascii="IRNazanin" w:hAnsi="IRNazanin" w:eastAsia="IRNazanin"/>
          <w:color w:val="111111"/>
          <w:sz w:val="28"/>
          <w:sz w:val="28"/>
          <w:szCs w:val="28"/>
          <w:rtl w:val="true"/>
          <w:lang w:bidi="fa-IR"/>
        </w:rPr>
        <w:t>قد تعرّفت علی أنّ الشفاعة المشروعة هی الشفاعة المحدودة بشروط، و قد عرفت مجمل تلک الشروط، و ینبغی لنا أن نذکر بعض تلک الشروط تفصیلاً علی ما ورد فی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عدم الإشراک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ذلک فیما نقلناه من أحادیث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الإخلاص فی الشهادة بالتوحید</w:t>
      </w:r>
      <w:r>
        <w:rPr>
          <w:rFonts w:eastAsia="IRNazanin" w:cs="IRNazanin"/>
          <w:color w:val="111111"/>
          <w:sz w:val="28"/>
          <w:szCs w:val="28"/>
          <w:rtl w:val="true"/>
          <w:lang w:bidi="fa-IR"/>
        </w:rPr>
        <w:t>:</w:t>
      </w:r>
      <w:bookmarkStart w:id="894" w:name="pg2866_38445"/>
    </w:p>
    <w:p>
      <w:pPr>
        <w:pStyle w:val="BookText"/>
        <w:rPr/>
      </w:pPr>
      <w:bookmarkEnd w:id="894"/>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لمن شهد أن لا إله إلّا اللّه مخلصاً، یصدِّق قلبه لسانه، و لسانه قلبه</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کونه ناصبیاً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لیشفع لحمیمه إلّا أن یکون ناصباً، و لو أنّ ناصباً شفع له کلّ نبیّ مرسل و ملک مقرّب ما شفعوا</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الاستخفاف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ینال شفاعتنا من استخف بالصلاة</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التکذیب بشفاعة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بشفاعة رسول اللّه لم تنله</w:t>
      </w:r>
      <w:r>
        <w:rPr>
          <w:rFonts w:eastAsia="IRNazanin" w:cs="IRNazanin"/>
          <w:color w:val="111111"/>
          <w:sz w:val="28"/>
          <w:szCs w:val="28"/>
          <w:rtl w:val="true"/>
          <w:lang w:bidi="fa-IR"/>
        </w:rPr>
        <w:t xml:space="preserve">». </w:t>
      </w:r>
      <w:r>
        <w:rPr>
          <w:rStyle w:val="FootnoteAnchor"/>
          <w:rtl w:val="true"/>
        </w:rPr>
        <w:footnoteReference w:id="694"/>
      </w:r>
    </w:p>
    <w:p>
      <w:pPr>
        <w:pStyle w:val="Heading4"/>
        <w:numPr>
          <w:ilvl w:val="3"/>
          <w:numId w:val="1"/>
        </w:numPr>
        <w:rPr/>
      </w:pPr>
      <w:bookmarkStart w:id="895" w:name="__RefHeading___Toc2819982_1395250215"/>
      <w:bookmarkStart w:id="896" w:name="_Toc306"/>
      <w:bookmarkEnd w:id="895"/>
      <w:r>
        <w:rPr>
          <w:rtl w:val="true"/>
        </w:rPr>
        <w:t>ما هو أثر الشفاعة؟</w:t>
      </w:r>
      <w:bookmarkEnd w:id="896"/>
    </w:p>
    <w:p>
      <w:pPr>
        <w:pStyle w:val="BookText"/>
        <w:rPr/>
      </w:pPr>
      <w:r>
        <w:rPr>
          <w:rFonts w:ascii="IRNazanin" w:hAnsi="IRNazanin" w:eastAsia="IRNazanin"/>
          <w:color w:val="111111"/>
          <w:sz w:val="28"/>
          <w:sz w:val="28"/>
          <w:szCs w:val="28"/>
          <w:rtl w:val="true"/>
          <w:lang w:bidi="fa-IR"/>
        </w:rPr>
        <w:t xml:space="preserve">إنّ الشفاعة عند الأُمم، مرفوضها و مقبولها یراد منها حطّ الذنوب و رفع العقاب، و هی کذلک عند الإسلام کما یوضحه قوله صلی الله علیه و آله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إدّخرت شفاعتی لأهل الکبائر من أمّتی</w:t>
      </w:r>
      <w:r>
        <w:rPr>
          <w:rFonts w:eastAsia="IRNazanin" w:cs="IRNazanin"/>
          <w:color w:val="111111"/>
          <w:sz w:val="28"/>
          <w:szCs w:val="28"/>
          <w:rtl w:val="true"/>
          <w:lang w:bidi="fa-IR"/>
        </w:rPr>
        <w:t xml:space="preserve">». </w:t>
      </w:r>
      <w:r>
        <w:rPr>
          <w:rStyle w:val="FootnoteAnchor"/>
          <w:rtl w:val="true"/>
        </w:rPr>
        <w:footnoteReference w:id="695"/>
      </w:r>
      <w:bookmarkStart w:id="897" w:name="pg2866_38446"/>
    </w:p>
    <w:p>
      <w:pPr>
        <w:pStyle w:val="BookText"/>
        <w:rPr/>
      </w:pPr>
      <w:bookmarkEnd w:id="897"/>
      <w:r>
        <w:rPr>
          <w:rFonts w:ascii="IRNazanin" w:hAnsi="IRNazanin" w:eastAsia="IRNazanin"/>
          <w:color w:val="111111"/>
          <w:sz w:val="28"/>
          <w:sz w:val="28"/>
          <w:szCs w:val="28"/>
          <w:rtl w:val="true"/>
          <w:lang w:bidi="fa-IR"/>
        </w:rPr>
        <w:t>و لکنّ المعتزلة ذهبت إلی أنّ أثرها ینحصر فی رفع الدرجة و زیادة الثواب، فهی تختصّ بأهل الطاعة، و ما هذا التأویل فی آیات الشفاعة إلّا لأجل موقف مسبق لهم فی مرتکب الکبیرة، حیث حکموا بخلوده فی النار إذا مات بلا توبة، فلمّا رأوا أنّ القول بالشفاعة الّتی أثرها هو إسقاط العقاب، ینافی ذلک المبنی، أوّلوا آیات اللّه فقالوا إنّ أثر الشفاعة إنّما هو زیادة الثواب و خالفوا فی ذلک جمیع المسلمین</w:t>
      </w:r>
      <w:r>
        <w:rPr>
          <w:rFonts w:eastAsia="IRNazanin" w:cs="IRNazanin"/>
          <w:color w:val="111111"/>
          <w:sz w:val="28"/>
          <w:szCs w:val="28"/>
          <w:rtl w:val="true"/>
          <w:lang w:bidi="fa-IR"/>
        </w:rPr>
        <w:t xml:space="preserve">. </w:t>
      </w:r>
      <w:r>
        <w:rPr>
          <w:rStyle w:val="FootnoteAnchor"/>
          <w:rtl w:val="true"/>
        </w:rPr>
        <w:footnoteReference w:id="696"/>
      </w:r>
    </w:p>
    <w:p>
      <w:pPr>
        <w:pStyle w:val="Heading4"/>
        <w:numPr>
          <w:ilvl w:val="3"/>
          <w:numId w:val="1"/>
        </w:numPr>
        <w:rPr/>
      </w:pPr>
      <w:bookmarkStart w:id="898" w:name="__RefHeading___Toc2819984_1395250215"/>
      <w:bookmarkStart w:id="899" w:name="_Toc307"/>
      <w:bookmarkEnd w:id="898"/>
      <w:r>
        <w:rPr>
          <w:rtl w:val="true"/>
        </w:rPr>
        <w:t>هل یجوز طلب الشفاعة؟</w:t>
      </w:r>
      <w:bookmarkEnd w:id="899"/>
    </w:p>
    <w:p>
      <w:pPr>
        <w:pStyle w:val="BookText"/>
        <w:rPr/>
      </w:pPr>
      <w:r>
        <w:rPr>
          <w:rFonts w:ascii="IRNazanin" w:hAnsi="IRNazanin" w:eastAsia="IRNazanin"/>
          <w:color w:val="111111"/>
          <w:sz w:val="28"/>
          <w:sz w:val="28"/>
          <w:szCs w:val="28"/>
          <w:rtl w:val="true"/>
          <w:lang w:bidi="fa-IR"/>
        </w:rPr>
        <w:t xml:space="preserve">ذهب ابن تیمیة، و تبعه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مخالفَین الأُمّة الإسلامیّة جمعاء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یجوز طلب الشفاعة من الأولیاء فی هذه النشأة و لا یجوز للمؤمن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اشفع 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یجوز له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شفّع نبیّنا محمّداً فینا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استدلا علی ذلک بوجوه 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من أقسام الشرک، أی الشرک بالعبادة، و القائل بهذا الکلام یعبد الولی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ظاهر، بما قدّمناه فی حقیقة الشّرک فی العبادة، و هی أن یکون الخضوع و التذلّل لغیره تعالی باعتقاد أنّه إله أو ربّ، أو أنّه مفوّض إلیه </w:t>
      </w:r>
    </w:p>
    <w:p>
      <w:pPr>
        <w:pStyle w:val="BookText"/>
        <w:rPr/>
      </w:pPr>
      <w:r>
        <w:rPr>
          <w:rFonts w:ascii="IRNazanin" w:hAnsi="IRNazanin" w:eastAsia="IRNazanin"/>
          <w:color w:val="111111"/>
          <w:sz w:val="28"/>
          <w:sz w:val="28"/>
          <w:szCs w:val="28"/>
          <w:rtl w:val="true"/>
          <w:lang w:bidi="fa-IR"/>
        </w:rPr>
        <w:t>فعل الخالق و تدبیره و شئونه، لا مطلق الخضوع و التذلّل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طلب الشفاعة من النبیّ یشبه عمل عبدة الأصنام فی طلبهم الشفاعة من آلهتهم الکاذبة،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ذلک فالاستشفاع من غیره سبحانه عبادة لهذا الغیر</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یردّه أنّ المعیار فی القضاء لیس هو التشابه الصوری، بل المعیار هو البواطن و العزائم، و إلّا لوجب أن یکون السعی بین الصفا و المروة و الطواف حول البیت شرکاً، لقیام المشرکین به فی الجاهلیة، و هؤلاء المشرکون کانوا یطلبون الشفاعة من الأوثان باعتقاد أنّها آلهة أو أشیاء فوّض إلیها أفعال اللّه سبحانه من المغفرة و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هذا ممّن طلب الشفاعة من الأنبیاء و الأولیاء بما أنّهم عباد اللّه الصالحون، فعطف هذا علی ذلک جور فی القضاء و عناد فی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طلب الشفاعة من الغیر دعاء له و دعاء غیره سبحانه حرام، یقول سبحانه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یردّه أنّ مطلق دعاء الغیر لیس محرّماً و هو واضح، و إنّما الحرام منه ما یکون عبادة له بأن یعتقد الأُلوهیة و الربوبیّة فی المدعوّ، و الآیة ناظرة إلی هذا القسم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بأن یکون دعاء الغیر علی وزان دعائه تعالی و فی مرتبته، و یدلّ علیه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حاکیاً قولهم 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طلب الشفاعة من المیّت أمر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إنّ الإشکال ناجم من عدم التعرّف علی مقام الأولیاء فی کتاب اللّه الحکیم، و قد عرفت فی الفصول السابقة إنّ القرآن یصرّح بحیاة جموع کثیرة من الشهداء، و غیرهم، و لو لم یکن للنبی صلی الله علیه و آله حیاة فما معنی التسلیم علیه فی کلّ صباح و مساء و فی تشهّد کلّ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المؤمنون لا یطلبون الشفاعة من أجساد الصالحین و أبدانهم، بل یطلبونها من أرواحهم المقدّسة الحیّة عند اللّه سبحانه، بأبدان برزخیة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0" w:name="pg2866_38451"/>
      <w:bookmarkStart w:id="901" w:name="pg2866_38451"/>
      <w:bookmarkEnd w:id="901"/>
    </w:p>
    <w:p>
      <w:pPr>
        <w:pStyle w:val="Heading3"/>
        <w:numPr>
          <w:ilvl w:val="2"/>
          <w:numId w:val="1"/>
        </w:numPr>
        <w:rPr/>
      </w:pPr>
      <w:bookmarkStart w:id="902" w:name="pg2866_38451"/>
      <w:bookmarkStart w:id="903" w:name="__RefHeading___Toc2819986_1395250215"/>
      <w:bookmarkStart w:id="904" w:name="_Toc308"/>
      <w:bookmarkEnd w:id="902"/>
      <w:bookmarkEnd w:id="903"/>
      <w:r>
        <w:rPr>
          <w:rtl w:val="true"/>
        </w:rPr>
        <w:t>الفصل التاسع</w:t>
      </w:r>
      <w:r>
        <w:rPr>
          <w:rtl w:val="true"/>
        </w:rPr>
        <w:t>:</w:t>
      </w:r>
      <w:r>
        <w:rPr>
          <w:rtl w:val="true"/>
        </w:rPr>
        <w:t>الإحباط و التکفیر</w:t>
      </w:r>
      <w:bookmarkEnd w:id="904"/>
    </w:p>
    <w:p>
      <w:pPr>
        <w:pStyle w:val="BookText"/>
        <w:rPr/>
      </w:pPr>
      <w:r>
        <w:rPr>
          <w:rFonts w:ascii="Amiri" w:hAnsi="Amiri" w:eastAsia="Amiri" w:cs="Amiri"/>
          <w:color w:val="111111"/>
          <w:sz w:val="28"/>
          <w:sz w:val="28"/>
          <w:szCs w:val="28"/>
          <w:rtl w:val="true"/>
          <w:lang w:bidi="ar-SA"/>
        </w:rPr>
        <w:t>الإحباط فی اللّغة بمعنی الإبطال،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عمل الکافر أی 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التکفیر بمعنی التغطیة،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کافر، لأنّه یغطّی الحَبّ بتراب الأرض،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غَیْثٍ أَعْجَبَ الْکُفّٰارَ نَبٰاتُهُ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الکفر ضدّ الإیمان، سمّی بذلک لأنّه تغطیة الحقّ</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المراد من الحبط فی اصطلاح المتکلّمین هو سقوط ثواب العمل الصالح بالمعصیة المتأخّرة، کما أنّ المراد من التکفیر هو سقوط الذنوب المتقدّمة بالطاعة المتأخّرة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المتکلّمون هنا، فقال جماعة من المعتزلة بالإحباط و التکفیر، و نفاهما المحقّقون، ثمّ القائلون بهما اختلفوا، فقال أبو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المتأخّر یسقط المتقدّم و یبقی علی حاله، و 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ینتفی الأقل بالأکثر، و ینتفی من الأکثر بالأقلّ ما ساواه، و یبقی الزائد مستحقّاً، و هذا هو الموازنة</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یبطل القول الأوّل أنّه یستلزم الظلم، لأنّ من أساء و أطاع و کانت إساءته أکثر، یکون بمنزلة من لم یحسن، و إن کان إحسانه أکثر، یکون بمنزلة من لم یسیء ، و إن تساویا یکون مساویاً لمن لم یصدر عنه أحدهما و لیس کذلک عند العقلاء</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أیضاً ینافی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قول أبی هاشم ما ذکره المحقّق الطوسی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لعدم الأولویّة إذا کان الأخر ضعفاً، و حصول المتناقضین مع التساوی</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فرضنا استحقاق المکلّف خمسة أجزاء من الثواب و عشرة أجزاء من العقاب، و لیس إسقاط إحدی الخمستین من العقاب بالخمسة من الثواب أولی من الأخری، فإمّا أن یسقطا معاً و هو خلاف مذهبه، أو لا یسقط شیء منهما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فرضنا أنّه فعل خمسة أجزاء من الثواب و خمسة أجزاء من العقاب، فإن تقدّم إسقاط أحدهما </w:t>
      </w:r>
    </w:p>
    <w:p>
      <w:pPr>
        <w:pStyle w:val="BookText"/>
        <w:rPr/>
      </w:pPr>
      <w:r>
        <w:rPr>
          <w:rFonts w:ascii="IRNazanin" w:hAnsi="IRNazanin" w:eastAsia="IRNazanin"/>
          <w:color w:val="111111"/>
          <w:sz w:val="28"/>
          <w:sz w:val="28"/>
          <w:szCs w:val="28"/>
          <w:rtl w:val="true"/>
          <w:lang w:bidi="fa-IR"/>
        </w:rPr>
        <w:t>للآخر لم یسقط الباقی بالمعدوم لاستحالة صیرورة المعدوم و المغلوب غالباً و مؤثّراً، و إن تقارنا لزم وجودهما معاً، لأنّ وجود کلّ منهما ینفی وجود الآخر فیلزم وجودهما حال عدمهما، و ذلک جمع بین النقیضین</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الإحباط باطلاً فما هو المخلص فیما یدلّ علی حبط العمل فی غیر مورد من الآیات الّتی ورد فیها أنّ الکفر و الارتداد و الشرک و الإساءة إلی النبیّ و غیرها ممّا یحبط الحسنات؟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القائلین ببطلان الإحباط یفسّرون الآیات بأنّ استحقاق الثواب فی مواردها کان مشروطاً بعدم لحوق العصیان بالطاعات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الاستحقاق فی بدء صدور الطاعات لم یکن مشروطاً بعدم لحوق العصیان، بل کان استقراره و بقاؤه هو المشروط بعدم لحوق المعصیة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یَکْفُرْ بِالْإِیمٰانِ فَقَدْ حَبِطَ عَمَلُهُ وَ 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دلالة علی أنّ حبوط الأعمال لا یترتّب علی ثبوت الثواب، فإنّ الکافر لا یکون له عمل قد ثبت علیه ثواب، و إنّما یکون له عمل فی الظاهر لو لا کفره لکان یستحقّ الثواب علیه، فعبّر سبحانه عن هذا العمل بأنّه حبط، فهو حقیقة معناه</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بما ذکره الطبرسی یظهر جواب سؤال آخر، و هو أنّه إذا کان الاستحقاق مشروطاً بعدم صدور العصیان فکیف یطلق علیه الإحباط، إذ الإحباط إبطال و إسقاط و لم یکن هناک شیء یبطل أو یسقط؟</w:t>
      </w:r>
    </w:p>
    <w:p>
      <w:pPr>
        <w:pStyle w:val="BookText"/>
        <w:rPr/>
      </w:pPr>
      <w:r>
        <w:rPr>
          <w:rFonts w:ascii="IRNazanin" w:hAnsi="IRNazanin" w:eastAsia="IRNazanin"/>
          <w:color w:val="111111"/>
          <w:sz w:val="28"/>
          <w:sz w:val="28"/>
          <w:szCs w:val="28"/>
          <w:rtl w:val="true"/>
          <w:lang w:bidi="fa-IR"/>
        </w:rPr>
        <w:t>و ذلک لأنّ نفس العمل فی الظاهر سبب و مقتضٍ، فالإبطال و الإسقاط کما یصدقان مع وجود العلّة التامّة، فهکذا یصدقان مع وجود المقتضی الّذی هو جزء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الإحباط، و أمّا التکفیر فهو لا یعدّ ظلماً لأنّ العقاب حقّ للمولی و إسقاط الحقّ لیس ظلماً بل إحسان، و خلف الوعید لیس بقبیح عقلاً، و إنّما القبیح خلف الوعد، فلأجل ذلک لا حاجة إلی تقیید استحقاق العقاب أو استمراره بعدم تعقّب الطاعات، بل هو ثابت غیر أنّ المولی سبحانه عفی عبده لما فعله من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یصحّ القول بالإحباط و التکفیر فی کلّ الأعمال، بل یجب تتّبع النصوص و الاقتصار بها فی ذلک</w:t>
      </w:r>
      <w:r>
        <w:rPr>
          <w:rFonts w:eastAsia="IRNazanin" w:cs="IRNazanin"/>
          <w:color w:val="111111"/>
          <w:sz w:val="28"/>
          <w:szCs w:val="28"/>
          <w:rtl w:val="true"/>
          <w:lang w:bidi="fa-IR"/>
        </w:rPr>
        <w:t xml:space="preserve">. </w:t>
      </w:r>
      <w:bookmarkStart w:id="905" w:name="pg2866_38456"/>
    </w:p>
    <w:p>
      <w:pPr>
        <w:pStyle w:val="Heading3"/>
        <w:numPr>
          <w:ilvl w:val="2"/>
          <w:numId w:val="1"/>
        </w:numPr>
        <w:rPr/>
      </w:pPr>
      <w:bookmarkStart w:id="906" w:name="__RefHeading___Toc2819988_1395250215"/>
      <w:bookmarkStart w:id="907" w:name="_Toc309"/>
      <w:bookmarkEnd w:id="905"/>
      <w:bookmarkEnd w:id="906"/>
      <w:r>
        <w:rPr>
          <w:rtl w:val="true"/>
        </w:rPr>
        <w:t>الفصل العاشر</w:t>
      </w:r>
      <w:r>
        <w:rPr>
          <w:rtl w:val="true"/>
        </w:rPr>
        <w:t>:</w:t>
      </w:r>
      <w:r>
        <w:rPr>
          <w:rtl w:val="true"/>
        </w:rPr>
        <w:t>الإجابة عن أسئلة حول المعاد</w:t>
      </w:r>
      <w:bookmarkEnd w:id="907"/>
    </w:p>
    <w:p>
      <w:pPr>
        <w:pStyle w:val="Heading4"/>
        <w:numPr>
          <w:ilvl w:val="3"/>
          <w:numId w:val="1"/>
        </w:numPr>
        <w:rPr/>
      </w:pPr>
      <w:bookmarkStart w:id="908" w:name="__RefHeading___Toc2819990_1395250215"/>
      <w:bookmarkStart w:id="909" w:name="_Toc310"/>
      <w:bookmarkEnd w:id="908"/>
      <w:r>
        <w:rPr>
          <w:rtl w:val="true"/>
        </w:rPr>
        <w:t>اشارة</w:t>
      </w:r>
      <w:bookmarkEnd w:id="909"/>
    </w:p>
    <w:p>
      <w:pPr>
        <w:pStyle w:val="BookText"/>
        <w:rPr/>
      </w:pPr>
      <w:r>
        <w:rPr>
          <w:rFonts w:ascii="IRNazanin" w:hAnsi="IRNazanin" w:eastAsia="IRNazanin"/>
          <w:color w:val="111111"/>
          <w:sz w:val="28"/>
          <w:sz w:val="28"/>
          <w:szCs w:val="28"/>
          <w:rtl w:val="true"/>
          <w:lang w:bidi="fa-IR"/>
        </w:rPr>
        <w:t>نختم مباحث المعاد بالإجابة عن أسئلة طرحت فی هذا المجال</w:t>
      </w:r>
      <w:r>
        <w:rPr>
          <w:rFonts w:eastAsia="IRNazanin" w:cs="IRNazanin"/>
          <w:color w:val="111111"/>
          <w:sz w:val="28"/>
          <w:szCs w:val="28"/>
          <w:rtl w:val="true"/>
          <w:lang w:bidi="fa-IR"/>
        </w:rPr>
        <w:t>:</w:t>
      </w:r>
    </w:p>
    <w:p>
      <w:pPr>
        <w:pStyle w:val="Heading4"/>
        <w:numPr>
          <w:ilvl w:val="3"/>
          <w:numId w:val="1"/>
        </w:numPr>
        <w:rPr/>
      </w:pPr>
      <w:bookmarkStart w:id="910" w:name="__RefHeading___Toc2819992_1395250215"/>
      <w:bookmarkStart w:id="911" w:name="_Toc311"/>
      <w:bookmarkEnd w:id="910"/>
      <w:r>
        <w:rPr/>
        <w:t>1</w:t>
      </w:r>
      <w:r>
        <w:rPr>
          <w:rtl w:val="true"/>
        </w:rPr>
        <w:t xml:space="preserve">. </w:t>
      </w:r>
      <w:r>
        <w:rPr>
          <w:rtl w:val="true"/>
        </w:rPr>
        <w:t>کیف یخلّد الإنسان فی الآخرة مع أنّ المادّة تفنی؟</w:t>
      </w:r>
      <w:bookmarkEnd w:id="911"/>
    </w:p>
    <w:p>
      <w:pPr>
        <w:pStyle w:val="BookText"/>
        <w:rPr/>
      </w:pPr>
      <w:r>
        <w:rPr>
          <w:rFonts w:ascii="IRNazanin" w:hAnsi="IRNazanin" w:eastAsia="IRNazanin"/>
          <w:color w:val="111111"/>
          <w:sz w:val="28"/>
          <w:sz w:val="28"/>
          <w:szCs w:val="28"/>
          <w:rtl w:val="true"/>
          <w:lang w:bidi="fa-IR"/>
        </w:rPr>
        <w:t>دلّت الآیات و الروایات علی خلود الإنسان فی الآخرة، إمّا فی جنّتها و نعیمها، أو فی جحیمها و عذابها مع أنّ القوانین العلمیة دلّت علی أنّ المادّة حسب تفجُّر طاقاتها، علی مدی أزمنة طویلة، تبلغ إلی حدّ تنفد طاقتها، فلا یمکن أن یکون للجنّة و النار بقاء، و للإنسان خلود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 السؤال ناش من مقایسة الآخرة بالدنیا و هو خطأ فادح، لأنّ التجارب العلمیة لا تتجاوز نتائجها المادّة الدنیویة، و إسراء حکم هذا العالم إلی العالم الآخر، و إن کان مادیّاً، قیاس بلا دلیل، فللآخرة أحکام تخصّها لا یقاس بها أحکام هذه النشأة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912" w:name="pg2866_38457"/>
    </w:p>
    <w:p>
      <w:pPr>
        <w:pStyle w:val="BookText"/>
        <w:rPr/>
      </w:pPr>
      <w:bookmarkEnd w:id="912"/>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من التبدّل أنّ حقیقة الأرض و السماء و ما فیهما یومئذ هی هی، غیر أنّ النظام الجاری فیهما یومئذ غیر النظام الجاری فیهما فی الدنیا</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قد تعلّقت مشیئته تعالی بإخلاد الجنّة و النار و الحیاة الأُخرویة، و له إفاضة الطاقة، إفاضة بعد إفاضة علی العالم الأُخروی و یعرب عن ذلک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2819994_1395250215"/>
      <w:bookmarkStart w:id="914" w:name="_Toc312"/>
      <w:bookmarkEnd w:id="913"/>
      <w:r>
        <w:rPr/>
        <w:t>2</w:t>
      </w:r>
      <w:r>
        <w:rPr>
          <w:rtl w:val="true"/>
        </w:rPr>
        <w:t xml:space="preserve">. </w:t>
      </w:r>
      <w:r>
        <w:rPr>
          <w:rtl w:val="true"/>
        </w:rPr>
        <w:t>ما هو الغرض من عقاب المجرم؟</w:t>
      </w:r>
      <w:bookmarkEnd w:id="914"/>
    </w:p>
    <w:p>
      <w:pPr>
        <w:pStyle w:val="BookText"/>
        <w:rPr/>
      </w:pPr>
      <w:r>
        <w:rPr>
          <w:rFonts w:ascii="IRNazanin" w:hAnsi="IRNazanin" w:eastAsia="IRNazanin"/>
          <w:color w:val="111111"/>
          <w:sz w:val="28"/>
          <w:sz w:val="28"/>
          <w:szCs w:val="28"/>
          <w:rtl w:val="true"/>
          <w:lang w:bidi="fa-IR"/>
        </w:rPr>
        <w:t>إنّ الحکیم لا یعاقب إلّا لغایة، و غایة العقوبة إمّا التشفّی کما فی قصاص المجرم، و هو محال علی اللّه، أو تأدیب المجرم، أو اعتبار الآخرین، و هما یختصّان بالنشأة الدنیویة، فتعذیب المجرم فی الآخرة عبث</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المعاد من ضروریات العقل و من غایاته تحقّق العدل الإلهی بوجه کامل فی مورد المکلّفین، و یتوقّف ذلک علی عقوبة المجرمین و إثابة المطیعین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915" w:name="pg2866_38458"/>
    </w:p>
    <w:p>
      <w:pPr>
        <w:pStyle w:val="Heading4"/>
        <w:numPr>
          <w:ilvl w:val="3"/>
          <w:numId w:val="1"/>
        </w:numPr>
        <w:rPr/>
      </w:pPr>
      <w:bookmarkStart w:id="916" w:name="__RefHeading___Toc2819996_1395250215"/>
      <w:bookmarkStart w:id="917" w:name="_Toc313"/>
      <w:bookmarkEnd w:id="915"/>
      <w:bookmarkEnd w:id="916"/>
      <w:r>
        <w:rPr/>
        <w:t>3</w:t>
      </w:r>
      <w:r>
        <w:rPr>
          <w:rtl w:val="true"/>
        </w:rPr>
        <w:t xml:space="preserve">. </w:t>
      </w:r>
      <w:r>
        <w:rPr>
          <w:rtl w:val="true"/>
        </w:rPr>
        <w:t>هل یجوز العفو عن المسیء ؟</w:t>
      </w:r>
      <w:bookmarkEnd w:id="917"/>
    </w:p>
    <w:p>
      <w:pPr>
        <w:pStyle w:val="BookText"/>
        <w:rPr/>
      </w:pPr>
      <w:r>
        <w:rPr>
          <w:rFonts w:ascii="IRNazanin" w:hAnsi="IRNazanin" w:eastAsia="IRNazanin"/>
          <w:color w:val="111111"/>
          <w:sz w:val="28"/>
          <w:sz w:val="28"/>
          <w:szCs w:val="28"/>
          <w:rtl w:val="true"/>
          <w:lang w:bidi="fa-IR"/>
        </w:rPr>
        <w:t>و الجواب مثبت، لأنّ التعذیب حقّ للمولی سبحانه و له إسقاط حقّه، فیجوز ذلک إذا اقتضته الحکمة الإلهیّة و لم یکن هناک 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معتزلة بغداد فی ذلک، فلم یجوّزوا العفو عن العصاة عقلاً، و استدلّوا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المکلّف متی علم أنّه یفعل به ما یستحقّه من العقوبة علی کلّ وجه، کان أقرب إلی أداء الواجبات و اجتناب الکبائر</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لوجب سدّ باب التوبة، لإمکان أن یقال إنّ المکلّف متی علم أنّه لا تقبل توبته کان أقرب إلی الطاعة و أبعد من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للرجاء آثاراً بنّاءة فی حیاة الإنسان، و للیأس آثاراً سلبیة فی الإدامة علی الموبقات، و لأجل ذلک جاء الذکر الحکیم بالترغیب و الترهیب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الکلام فی جواز العفو لا فی حتمیته، و الأثر السّلبی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الثانی دون الأوّل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أوعد مرتکب الکبیرة بالعقاب، فلو لم یعاقب، للزم الخلف فی وعیده و الکذب فی خبره و هما محالان</w:t>
      </w:r>
      <w:r>
        <w:rPr>
          <w:rFonts w:eastAsia="IRNazanin" w:cs="IRNazanin"/>
          <w:color w:val="111111"/>
          <w:sz w:val="28"/>
          <w:szCs w:val="28"/>
          <w:rtl w:val="true"/>
          <w:lang w:bidi="fa-IR"/>
        </w:rPr>
        <w:t xml:space="preserve">. </w:t>
      </w:r>
      <w:r>
        <w:rPr>
          <w:rStyle w:val="FootnoteAnchor"/>
          <w:rtl w:val="true"/>
        </w:rPr>
        <w:footnoteReference w:id="717"/>
      </w:r>
      <w:bookmarkStart w:id="918" w:name="pg2866_38459"/>
    </w:p>
    <w:p>
      <w:pPr>
        <w:pStyle w:val="BookText"/>
        <w:rPr/>
      </w:pPr>
      <w:bookmarkEnd w:id="918"/>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الخلف فی الوعد قبیح دون الوعید، و الدلیل علی ذلک أنّ کلّ عاقل یستحسن العفو بعد الوعید فی ظروف خاصّة، و الوجه فیه أنّ الوعید لیس جعل حقّ للغیر بخلاف الوعد، بل الوعید حق لمن یَعِد فقط، و له إسقاط حقّه، و الصدق و الکذب من أحکام الإخبار دون الإنشاء، و الوعید إنشاء لیس بإخبار فلا یعرضه الکذب</w:t>
      </w:r>
      <w:r>
        <w:rPr>
          <w:rFonts w:eastAsia="IRNazanin" w:cs="IRNazanin"/>
          <w:color w:val="111111"/>
          <w:sz w:val="28"/>
          <w:szCs w:val="28"/>
          <w:rtl w:val="true"/>
          <w:lang w:bidi="fa-IR"/>
        </w:rPr>
        <w:t>.</w:t>
      </w:r>
    </w:p>
    <w:p>
      <w:pPr>
        <w:pStyle w:val="Heading4"/>
        <w:numPr>
          <w:ilvl w:val="3"/>
          <w:numId w:val="1"/>
        </w:numPr>
        <w:rPr/>
      </w:pPr>
      <w:bookmarkStart w:id="919" w:name="__RefHeading___Toc2819998_1395250215"/>
      <w:bookmarkStart w:id="920" w:name="_Toc314"/>
      <w:bookmarkEnd w:id="919"/>
      <w:r>
        <w:rPr/>
        <w:t>4</w:t>
      </w:r>
      <w:r>
        <w:rPr>
          <w:rtl w:val="true"/>
        </w:rPr>
        <w:t xml:space="preserve">. </w:t>
      </w:r>
      <w:r>
        <w:rPr>
          <w:rtl w:val="true"/>
        </w:rPr>
        <w:t>هل الجنّة و النار مخلوقتان؟</w:t>
      </w:r>
      <w:bookmarkEnd w:id="920"/>
    </w:p>
    <w:p>
      <w:pPr>
        <w:pStyle w:val="BookText"/>
        <w:rPr/>
      </w:pPr>
      <w:r>
        <w:rPr>
          <w:rFonts w:ascii="IRNazanin" w:hAnsi="IRNazanin" w:eastAsia="IRNazanin"/>
          <w:color w:val="111111"/>
          <w:sz w:val="28"/>
          <w:sz w:val="28"/>
          <w:szCs w:val="28"/>
          <w:rtl w:val="true"/>
          <w:lang w:bidi="fa-IR"/>
        </w:rPr>
        <w:t>اختلف المتکلّمون فی ذلک، فذهب الجمهور إلی أنّهما مخلوقتان، و أکثر المعتزلة و الخوارج و طائفة من الزیدیة ذهبوا إلی خلاف ذلک، قال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الجنة و النار فی هذا الوقت مخلوقتان، و بذلک جاءت الأخبار، و علیه إجماع أهل الشرع و الآثار، و قد خالف فی هذا القول المعتزلة و الخوارج و طائفة من الزیدیة، فزعم أکثر من سمّیناه أنّ ما ذکرناه من خلقهما من قسم الجائز دون الواجب، و وقفوا فی الوارد به من الآثار، و قال من بقی منهم بإحالة خلقهما</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القائلون بکونهما مخلوقتین بالآیات الدالّة علی أنّ الجنة أعدَّت للمتّقین و النار أُعدَّت للکافرین</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 قد احتمل السیّد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التعبیر بالماضی لقطعیة وقوعه، فکأنّه قد کان </w:t>
      </w:r>
      <w:r>
        <w:rPr>
          <w:rStyle w:val="FootnoteAnchor"/>
          <w:rtl w:val="true"/>
        </w:rPr>
        <w:footnoteReference w:id="720"/>
      </w:r>
      <w:r>
        <w:rPr>
          <w:rFonts w:ascii="IRNazanin" w:hAnsi="IRNazanin" w:eastAsia="IRNazanin"/>
          <w:color w:val="111111"/>
          <w:sz w:val="28"/>
          <w:sz w:val="28"/>
          <w:szCs w:val="28"/>
          <w:rtl w:val="true"/>
          <w:lang w:bidi="fa-IR"/>
        </w:rPr>
        <w:t>و له نظائر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یدلّ علی أنّ الجنة مخلوقة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یر التعبیر عن الشیء الّذی سیتحقّق غداً بالجملة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روایات متضافرة مصرّحة بأنّ الجنّة و النار مخلوقتان، فلا یمکن العدول عنها</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استدلّ النافون لخلقهما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خلق الجنة و النار قبل یوم الجزاء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الحکم بالعبثیة یتوقّف علی العلم القطعی بعدم ترتّب غرض علیه، و من أین لنا العلم بهذا؟ و یمکن عدّ ذلک من مصادیق لطفه تعالی کما أشار إلیه المحقّق اللاهیجی</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إنّهما لو خلقتا لهلکتا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اللازم باطل للإجماع علی دوامهما، و للنصوص الشاهدة بدوام أُکُل الجنّة و ظِلِّها</w:t>
      </w:r>
      <w:r>
        <w:rPr>
          <w:rFonts w:eastAsia="IRNazanin" w:cs="IRNazanin"/>
          <w:color w:val="111111"/>
          <w:sz w:val="28"/>
          <w:szCs w:val="28"/>
          <w:rtl w:val="true"/>
          <w:lang w:bidi="fa-IR"/>
        </w:rPr>
        <w:t xml:space="preserve">. </w:t>
      </w:r>
      <w:bookmarkStart w:id="921" w:name="pg2866_38462"/>
    </w:p>
    <w:p>
      <w:pPr>
        <w:pStyle w:val="BookText"/>
        <w:rPr/>
      </w:pPr>
      <w:bookmarkEnd w:id="921"/>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تحقّق انعدام کلّ شیء و بطلان وجوده، بل المراد أنّ کلّ شیء هالک فی نفسه باطل فی ذاته، هذا بناء علی کون المراد بالهالک فی الآیة، الهالک بالفعل، و أمّا إذا أُرید منه الاستقبال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قیل من أنّ اسم الفاعل ظاهر فی الاستقبال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فهلاک الأشیاء لیس بمعنی البطلان المطلق بعد الوجود بأن لا یبقی منها أثر، فإنّ آیات القرآن ناصّة علی أنّ کلّ شیء مرجعه إلی اللّه و إنّما المراد بالهلاک علی هذا الوجه، تبدّل نشأة الوجود و الانتقال من الدنیا إلی الآخرة، و هذا یختصّ بما یکون وجوده وجوداً دنیویاً محکوماً بأحکامها، فالجنّة و النّار الأخرویان خارجان من مدلول الآیة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الإشکال بمنع الملازمة، و حمل دوام أُکُلِها و ظلّها علی دوامها بعد وجودها و دخول المکلّفین فیها</w:t>
      </w:r>
      <w:r>
        <w:rPr>
          <w:rFonts w:eastAsia="IRNazanin" w:cs="IRNazanin"/>
          <w:color w:val="111111"/>
          <w:sz w:val="28"/>
          <w:szCs w:val="28"/>
          <w:rtl w:val="true"/>
          <w:lang w:bidi="fa-IR"/>
        </w:rPr>
        <w:t xml:space="preserve">. </w:t>
      </w:r>
      <w:r>
        <w:rPr>
          <w:rStyle w:val="FootnoteAnchor"/>
          <w:rtl w:val="true"/>
        </w:rPr>
        <w:footnoteReference w:id="724"/>
      </w:r>
    </w:p>
    <w:p>
      <w:pPr>
        <w:pStyle w:val="Heading4"/>
        <w:numPr>
          <w:ilvl w:val="3"/>
          <w:numId w:val="1"/>
        </w:numPr>
        <w:rPr/>
      </w:pPr>
      <w:bookmarkStart w:id="922" w:name="__RefHeading___Toc2820000_1395250215"/>
      <w:bookmarkStart w:id="923" w:name="_Toc315"/>
      <w:bookmarkEnd w:id="922"/>
      <w:r>
        <w:rPr/>
        <w:t>5</w:t>
      </w:r>
      <w:r>
        <w:rPr>
          <w:rtl w:val="true"/>
        </w:rPr>
        <w:t xml:space="preserve">. </w:t>
      </w:r>
      <w:r>
        <w:rPr>
          <w:rtl w:val="true"/>
        </w:rPr>
        <w:t>أین مکان الجنّة و النّار؟</w:t>
      </w:r>
      <w:bookmarkEnd w:id="923"/>
    </w:p>
    <w:p>
      <w:pPr>
        <w:pStyle w:val="BookText"/>
        <w:rPr/>
      </w:pPr>
      <w:r>
        <w:rPr>
          <w:rFonts w:ascii="IRNazanin" w:hAnsi="IRNazanin" w:eastAsia="IRNazanin"/>
          <w:color w:val="111111"/>
          <w:sz w:val="28"/>
          <w:sz w:val="28"/>
          <w:szCs w:val="28"/>
          <w:rtl w:val="true"/>
          <w:lang w:bidi="fa-IR"/>
        </w:rPr>
        <w:t xml:space="preserve">المشهور عند المتکلّمین أنّ الجنّة فوق السماوات، تحت العرش، و أنّ النار تحت الأرضین </w:t>
      </w:r>
      <w:r>
        <w:rPr>
          <w:rStyle w:val="FootnoteAnchor"/>
          <w:rtl w:val="true"/>
        </w:rPr>
        <w:footnoteReference w:id="725"/>
      </w:r>
      <w:r>
        <w:rPr>
          <w:rFonts w:ascii="IRNazanin" w:hAnsi="IRNazanin" w:eastAsia="IRNazanin"/>
          <w:color w:val="111111"/>
          <w:sz w:val="28"/>
          <w:sz w:val="28"/>
          <w:szCs w:val="28"/>
          <w:rtl w:val="true"/>
          <w:lang w:bidi="fa-IR"/>
        </w:rPr>
        <w:t>و الالتزام بذلک مشکل لعدم ورود دلیل صریح أو ظاهر فی ذلک، قال المحقّق الطوسی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إنّا لا نعلم مکانهما و یمکن أن یستدلّ علی موضع الجنة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یعنی عند سدرة المنتهی</w:t>
      </w:r>
      <w:r>
        <w:rPr>
          <w:rFonts w:eastAsia="IRNazanin" w:cs="IRNazanin"/>
          <w:color w:val="111111"/>
          <w:sz w:val="28"/>
          <w:szCs w:val="28"/>
          <w:rtl w:val="true"/>
          <w:lang w:bidi="fa-IR"/>
        </w:rPr>
        <w:t xml:space="preserve">. </w:t>
      </w:r>
      <w:r>
        <w:rPr>
          <w:rStyle w:val="FootnoteAnchor"/>
          <w:rtl w:val="true"/>
        </w:rPr>
        <w:footnoteReference w:id="727"/>
      </w:r>
      <w:bookmarkStart w:id="924" w:name="pg2866_38463"/>
    </w:p>
    <w:p>
      <w:pPr>
        <w:pStyle w:val="BookText"/>
        <w:rPr/>
      </w:pPr>
      <w:bookmarkEnd w:id="924"/>
      <w:r>
        <w:rPr>
          <w:rFonts w:ascii="Amiri" w:hAnsi="Amiri" w:eastAsia="Amiri" w:cs="Amiri"/>
          <w:color w:val="111111"/>
          <w:sz w:val="28"/>
          <w:sz w:val="28"/>
          <w:szCs w:val="28"/>
          <w:rtl w:val="true"/>
          <w:lang w:bidi="ar-SA"/>
        </w:rPr>
        <w:t>نعم ربّما یستظهر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إنّ الجنة فی السماء 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هذا کلّه علی القول بأنّ الجنّة و النار حسب ظواهر الکتاب موجودتان فی الخارج مع قطع النظر عن أعمال المکلّفین، و إنّهما معدَّتان للمطیع و العاصی، و أمّا علی القول بأنّ حقیقة الجنّة و النار عبارة عن تجسّم عمل الإنسان بصورة حسنة و بهیَّة أو قبیحة و مرعبة، فالجنّة و النار موجودتان واقعاً بوجودهما المناسب فی الدار الآخرة و إن کان أکثر الناس، لأجل کونه محاطاً بهذه الظروف الدنیویة، غیر قادر علی رؤیتهما، و إلّا فالعمل سواء کان صالحاً أو طالحاً قد تحقّق و له وجودان و تمثّلان، و کلٌّ موجود فی ظرفه</w:t>
      </w:r>
      <w:r>
        <w:rPr>
          <w:rFonts w:eastAsia="IRNazanin" w:cs="IRNazanin"/>
          <w:color w:val="111111"/>
          <w:sz w:val="28"/>
          <w:szCs w:val="28"/>
          <w:rtl w:val="true"/>
          <w:lang w:bidi="fa-IR"/>
        </w:rPr>
        <w:t>.</w:t>
      </w:r>
    </w:p>
    <w:p>
      <w:pPr>
        <w:pStyle w:val="Heading4"/>
        <w:numPr>
          <w:ilvl w:val="3"/>
          <w:numId w:val="1"/>
        </w:numPr>
        <w:rPr/>
      </w:pPr>
      <w:bookmarkStart w:id="925" w:name="__RefHeading___Toc2820002_1395250215"/>
      <w:bookmarkStart w:id="926" w:name="_Toc316"/>
      <w:bookmarkEnd w:id="925"/>
      <w:r>
        <w:rPr/>
        <w:t>6</w:t>
      </w:r>
      <w:r>
        <w:rPr>
          <w:rtl w:val="true"/>
        </w:rPr>
        <w:t xml:space="preserve">. </w:t>
      </w:r>
      <w:r>
        <w:rPr>
          <w:rtl w:val="true"/>
        </w:rPr>
        <w:t>من هو المخلَّد فی النار؟</w:t>
      </w:r>
      <w:bookmarkEnd w:id="926"/>
    </w:p>
    <w:p>
      <w:pPr>
        <w:pStyle w:val="BookText"/>
        <w:rPr/>
      </w:pPr>
      <w:r>
        <w:rPr>
          <w:rFonts w:ascii="IRNazanin" w:hAnsi="IRNazanin" w:eastAsia="IRNazanin"/>
          <w:color w:val="111111"/>
          <w:sz w:val="28"/>
          <w:sz w:val="28"/>
          <w:szCs w:val="28"/>
          <w:rtl w:val="true"/>
          <w:lang w:bidi="fa-IR"/>
        </w:rPr>
        <w:t>اختلفت کلمة المتکلّمین فی المخلَّدین فی النار، فذهب جمهور المسلمین إلی أنّ الخلود یختصّ بالکافر دون المسلم و إن کان فاسقاً، و ذهبت الخوارج و المعتزلة إلی خلود مرتکبی الکبائر إذا ماتوا بلا توبة</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البحرانی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المکلّف العاصی إمّا أن یکون کافراً أو لیس بکافر، أمّا الکافر فأکثر الأُمّة علی أنّه مخلّد فی النار، و أمّا من لیس بکافر، فإن کانت معصیته کبیرة فمن الأُمّة من قطع بعدم عقابه و هم المرجئة الخالصة، و منهم من قطع بعقابه و هم المعتزلة و الخوارج، و منهم من لم یقطع بعقابه إمّا لأنّ معصیته لم یستحقّ بها العقاب و هو قول الأشعریة، و إمّا لأنّه یستحق بها عقاباً إلّا أنّ اللّه تعالی یجوز أن یعفو عنه، و هذا هو المختار</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استدلّ المحقّق الطوسی علی انقطاع عذاب مرتکب الکبیرة بوجهین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عذاب صاحب الکبیرة ینقطع لاستحقاقه الثواب بإیمانه و لقبحه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الکبیرة یستحقّ الثواب و الجنّة لإیمانه، فإذا استحقّ العقاب بالمعصیة، فإمّا أن یقدّم الثواب علی العقاب، و هو باطل، لأنّ الإثابة لا تکون إلّا بدخول الجنّة و الداخل فیها مخلّد بنصّ الکتاب المجید و علیه إجماع الأُمّة، أو بالعکس و هو المطلوب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أنّ لازم عدم الانقطاع أن یکون من عبد اللّه تعالی مدّة عمره بأنواع القربات إلی اللّه، ثمّ عصی فی آخر عمره معصیة واحدة مع </w:t>
      </w:r>
      <w:bookmarkStart w:id="927" w:name="pg2866_38465"/>
    </w:p>
    <w:p>
      <w:pPr>
        <w:pStyle w:val="BookText"/>
        <w:rPr/>
      </w:pPr>
      <w:bookmarkEnd w:id="927"/>
      <w:r>
        <w:rPr>
          <w:rFonts w:ascii="IRNazanin" w:hAnsi="IRNazanin" w:eastAsia="IRNazanin"/>
          <w:color w:val="111111"/>
          <w:sz w:val="28"/>
          <w:sz w:val="28"/>
          <w:szCs w:val="28"/>
          <w:rtl w:val="true"/>
          <w:lang w:bidi="fa-IR"/>
        </w:rPr>
        <w:t>حفظ إیمانه، مخلّداً فی النار، و یکون نظیر من أشرک باللّه تعالی مدّة عمره و هو قبیح عقلاً محال علی اللّه سبحانه</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استدلّت المعتزلة علی خلود الفاسق فی النّار بإطلاق الآیات الواردة فی الخلود، و لکنّ المتأمّل فی الآیات یقف علی قرائن تمنع من الأخذ بإطلاقها و لا نری ضرورة فی التعرّض لها</w:t>
      </w:r>
      <w:r>
        <w:rPr>
          <w:rFonts w:eastAsia="IRNazanin" w:cs="IRNazanin"/>
          <w:color w:val="111111"/>
          <w:sz w:val="28"/>
          <w:szCs w:val="28"/>
          <w:rtl w:val="true"/>
          <w:lang w:bidi="fa-IR"/>
        </w:rPr>
        <w:t xml:space="preserve">. </w:t>
      </w:r>
      <w:r>
        <w:rPr>
          <w:rStyle w:val="FootnoteAnchor"/>
          <w:rtl w:val="true"/>
        </w:rPr>
        <w:footnoteReference w:id="733"/>
      </w:r>
    </w:p>
    <w:p>
      <w:pPr>
        <w:pStyle w:val="Heading4"/>
        <w:numPr>
          <w:ilvl w:val="3"/>
          <w:numId w:val="1"/>
        </w:numPr>
        <w:rPr/>
      </w:pPr>
      <w:bookmarkStart w:id="928" w:name="__RefHeading___Toc2820004_1395250215"/>
      <w:bookmarkStart w:id="929" w:name="_Toc317"/>
      <w:bookmarkEnd w:id="928"/>
      <w:r>
        <w:rPr/>
        <w:t>7</w:t>
      </w:r>
      <w:r>
        <w:rPr>
          <w:rtl w:val="true"/>
        </w:rPr>
        <w:t xml:space="preserve">. </w:t>
      </w:r>
      <w:r>
        <w:rPr>
          <w:rtl w:val="true"/>
        </w:rPr>
        <w:t>کیف یصحّ الخلود مع کون الذنب منقطعاً؟</w:t>
      </w:r>
      <w:bookmarkEnd w:id="929"/>
    </w:p>
    <w:p>
      <w:pPr>
        <w:pStyle w:val="BookText"/>
        <w:rPr/>
      </w:pPr>
      <w:r>
        <w:rPr>
          <w:rFonts w:ascii="IRNazanin" w:hAnsi="IRNazanin" w:eastAsia="IRNazanin"/>
          <w:color w:val="111111"/>
          <w:sz w:val="28"/>
          <w:sz w:val="28"/>
          <w:szCs w:val="28"/>
          <w:rtl w:val="true"/>
          <w:lang w:bidi="fa-IR"/>
        </w:rPr>
        <w:t>إنّ من السنن العقلیة المقرّرة رعایة المعادلة بین الجرم و العقوبة، و هذه المعادلة منتفیة فی العذاب المخلّد، فإنّ الذنب کان موقتاً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المعادلة بین الجرم و العقوبة لیس هو فی جانب الکمّیّة و من حیث الزمان، بل فی جانب الکیفیّة و من حیث عظمة الجرم بلحاظ مفاسده الفردیة أو النوعیة، کما نری ذلک فی العقوبات المقرّرة عند العقلاء لمثل القتل و الإخلال فی النظم الاجتماعی، و نحو ذلک، فالجرم یقع فی زمان قلیل و مع ذلک فقد یحکم علیه بالأعدام و الحبس المؤبَّد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العذاب فی الحقیقة أثر لصورة الشّقاء الحاصلة بعد تحقّق علل معدّة و هی المخالفات المحدودة و لیس أثراً لتلک العلل </w:t>
      </w:r>
    </w:p>
    <w:p>
      <w:pPr>
        <w:pStyle w:val="BookText"/>
        <w:rPr/>
      </w:pPr>
      <w:r>
        <w:rPr>
          <w:rFonts w:ascii="IRNazanin" w:hAnsi="IRNazanin" w:eastAsia="IRNazanin"/>
          <w:color w:val="111111"/>
          <w:sz w:val="28"/>
          <w:sz w:val="28"/>
          <w:szCs w:val="28"/>
          <w:rtl w:val="true"/>
          <w:lang w:bidi="fa-IR"/>
        </w:rPr>
        <w:t>المحدودة المنقطعة حتی یلزم تأثیر المتناهی أثراً غیر متناه و هو محال، نظیره أنّ عللاً معدّة و مقرّبات معدودة محدودة أوجبت أن تتصوّر المادّة بالصورة الإنسانیة فتصیر المادة إنساناً یصدر عنه آثار الإنسانیّة المعلولة للصورة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لأن یسأل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الآثار الإنسانیة الصادرة عن الإنسان بعد الموت صدوراً دائمیاً سرمدیّاً لحصول معدّات محدودة مقطوعة الأمر للمادّة، فکیف صارت مجموع منقطع الآخر من العلل سبباً لصدور الآثار المذکورة و بقائها مع الإنسان دائماً، لأنّ علّتها الفاعلة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الصورة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معها دائماً علی الفرض، فکما لا معنی لهذا السؤال لا معنی لذلک أیضاً</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30" w:name="pg2866_38467"/>
    </w:p>
    <w:p>
      <w:pPr>
        <w:pStyle w:val="Heading2"/>
        <w:numPr>
          <w:ilvl w:val="1"/>
          <w:numId w:val="1"/>
        </w:numPr>
        <w:rPr/>
      </w:pPr>
      <w:bookmarkStart w:id="931" w:name="__RefHeading___Toc2820006_1395250215"/>
      <w:bookmarkStart w:id="932" w:name="_Toc318"/>
      <w:bookmarkEnd w:id="930"/>
      <w:bookmarkEnd w:id="931"/>
      <w:r>
        <w:rPr>
          <w:rtl w:val="true"/>
        </w:rPr>
        <w:t>خاتمة المطاف</w:t>
      </w:r>
      <w:bookmarkEnd w:id="932"/>
    </w:p>
    <w:p>
      <w:pPr>
        <w:pStyle w:val="Heading3"/>
        <w:numPr>
          <w:ilvl w:val="2"/>
          <w:numId w:val="1"/>
        </w:numPr>
        <w:rPr/>
      </w:pPr>
      <w:bookmarkStart w:id="933" w:name="__RefHeading___Toc2820008_1395250215"/>
      <w:bookmarkStart w:id="934" w:name="_Toc319"/>
      <w:bookmarkEnd w:id="933"/>
      <w:r>
        <w:rPr>
          <w:rtl w:val="true"/>
        </w:rPr>
        <w:t>اشارة</w:t>
      </w:r>
      <w:bookmarkEnd w:id="934"/>
    </w:p>
    <w:p>
      <w:pPr>
        <w:pStyle w:val="BookText"/>
        <w:rPr/>
      </w:pPr>
      <w:r>
        <w:rPr>
          <w:rFonts w:ascii="IRNazanin" w:hAnsi="IRNazanin" w:eastAsia="IRNazanin"/>
          <w:color w:val="111111"/>
          <w:sz w:val="28"/>
          <w:sz w:val="28"/>
          <w:szCs w:val="28"/>
          <w:rtl w:val="true"/>
          <w:lang w:bidi="fa-IR"/>
        </w:rPr>
        <w:t>إلی هنا وقفنا علی الصحیح من العقائد الإسلامیة مدعماً بالبرهنة من الکتاب و السنّة و العقل، بقی الکلام فی أمورٍ نختم أبحاثنا العقائدیة بالبحث عنها، و هی</w:t>
      </w:r>
      <w:r>
        <w:rPr>
          <w:rFonts w:eastAsia="IRNazanin" w:cs="IRNazanin"/>
          <w:color w:val="111111"/>
          <w:sz w:val="28"/>
          <w:szCs w:val="28"/>
          <w:rtl w:val="true"/>
          <w:lang w:bidi="fa-IR"/>
        </w:rPr>
        <w:t>:</w:t>
      </w:r>
    </w:p>
    <w:p>
      <w:pPr>
        <w:pStyle w:val="Heading3"/>
        <w:numPr>
          <w:ilvl w:val="2"/>
          <w:numId w:val="1"/>
        </w:numPr>
        <w:rPr/>
      </w:pPr>
      <w:bookmarkStart w:id="935" w:name="__RefHeading___Toc2820010_1395250215"/>
      <w:bookmarkStart w:id="936" w:name="_Toc320"/>
      <w:bookmarkEnd w:id="935"/>
      <w:r>
        <w:rPr/>
        <w:t>1</w:t>
      </w:r>
      <w:r>
        <w:rPr>
          <w:rtl w:val="true"/>
        </w:rPr>
        <w:t xml:space="preserve">. </w:t>
      </w:r>
      <w:r>
        <w:rPr>
          <w:rtl w:val="true"/>
        </w:rPr>
        <w:t>الإیمان و أحکامه</w:t>
      </w:r>
      <w:bookmarkEnd w:id="936"/>
    </w:p>
    <w:p>
      <w:pPr>
        <w:pStyle w:val="BookText"/>
        <w:rPr/>
      </w:pPr>
      <w:r>
        <w:rPr>
          <w:rFonts w:ascii="IRNazanin" w:hAnsi="IRNazanin" w:eastAsia="IRNazanin"/>
          <w:color w:val="111111"/>
          <w:sz w:val="28"/>
          <w:sz w:val="28"/>
          <w:szCs w:val="28"/>
          <w:rtl w:val="true"/>
          <w:lang w:bidi="fa-IR"/>
        </w:rPr>
        <w:t>الإیمان من الأمن و له فی اللّغة معنیان متقاربان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الّتی هی ضد الخیانة، و معناها سکون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و المعنیان متدانیان</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أمّا فی الشرع فاختلفت الآراء فی تحقیق الإیمان و إنّه اسم لفعل القلب فقط، أو فعل اللسان فقط، أو لهما جمیعاً، أو لهما مع فعل سائر الجوارح، و علی القول الأوّل فهل هو المعرفة فقط أو هی مع إذعان القلب</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فنسب إلی الکرّامیة إنّهم فسّروا الإیمان بالإقرار باللسان فقط، و استدلّوا علیه بقوله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ردّ بأنّ معنی القول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یقولوا، هو الإذعان و الإیمان، و إطلاق القول علی الاعتقاد و الإذعان شائع، و أیضاً الإیمان أمر قلبی یحتاج إثباته إلی مظهر و هو الإقرار باللسان فی الغالب، و سیوافیک أنّ ظاهر کثیر من النصوص هو أنّ الإیمان فعل للقلب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المعتزلة و الخوارج إلی أن العمل بالجوارح مقوِّم للإیمان و الفاقد له لیس بمؤمن بتاتاً، إلّا أنّهما اختلفا، فالخوارج یرون الفاقد کافراً، و المعتزلة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بمؤمن و لا کافر بل هو فی منزلة بین المنزلتین، و ممّا استدلوا به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المراد من الإیمان فی الآیة هو صلاتهم إلی بیت المقدس قبل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بأنّ الاستعمال أعمّ من الحقیقة، و لا شکّ أنّ العمل أثر الإیمان، و من الشائع إطلاق اسم السبب علی المسبّب، و القرینة علی ذلک الآیات المتضافرة الدالّة علی أنّ الإیمان فعل القلب و أنّ العمل متفرّع علیه کما سیجیء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المتکلّمین إلی أنّ الإیمان مرکّب من الإذعان بالقلب و الإقرار باللسان، و هو مختار المحقّق الطوسی فی تجرید العقائد، و العلاّمة الحلّی فی نهج المسترشدین، و نسبه التفتازانی إلی کثیر من المحقّقین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المحکی عن أبی حنیفة </w:t>
      </w:r>
      <w:r>
        <w:rPr>
          <w:rStyle w:val="FootnoteAnchor"/>
          <w:rtl w:val="true"/>
        </w:rPr>
        <w:footnoteReference w:id="738"/>
      </w:r>
      <w:r>
        <w:rPr>
          <w:rFonts w:ascii="IRNazanin" w:hAnsi="IRNazanin" w:eastAsia="IRNazanin"/>
          <w:color w:val="111111"/>
          <w:sz w:val="28"/>
          <w:sz w:val="28"/>
          <w:szCs w:val="28"/>
          <w:rtl w:val="true"/>
          <w:lang w:bidi="fa-IR"/>
        </w:rPr>
        <w:t>، و استدلّ علیه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بأنّ مفاد الآیة أنّهم کانوا عالمین بالحقّ مستیقنین به، و مع ذلک لم یؤمنوا و لم یسلّموا به ظلماً و علوّاً، و هذا نظیر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و ما یشابهها تدلّ علی أنّ المعرفة بوحدها لیست هی الإیمان المطلوب فی الشریعة بل یحتاج إلی إذعان بالقلب، و الجحود باللسان و نحوه کاشف عن عدم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تبیّن بطلان قول من فسَّر الإیمان بالمعرفة فقط، و قد نسب إلی جهم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أبی الحسن الأشعری فی أحد قولیه </w:t>
      </w:r>
      <w:r>
        <w:rPr>
          <w:rStyle w:val="FootnoteAnchor"/>
          <w:rtl w:val="true"/>
        </w:rPr>
        <w:footnoteReference w:id="741"/>
      </w:r>
      <w:r>
        <w:rPr>
          <w:rFonts w:ascii="IRNazanin" w:hAnsi="IRNazanin" w:eastAsia="IRNazanin"/>
          <w:color w:val="111111"/>
          <w:sz w:val="28"/>
          <w:sz w:val="28"/>
          <w:szCs w:val="28"/>
          <w:rtl w:val="true"/>
          <w:lang w:bidi="fa-IR"/>
        </w:rPr>
        <w:t>و نسبه شارح المواقف إلی بعض الفقهاء</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ذهب جمهور الأشاعرة إلی أنّ الإیمان هو التصدیق بالجنان، قال صاحب المواقف</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عندنا و علیه أکثر الأئمّة کالقاضی و الأستاذ التصدیق للرسول فیما علم مجیئه به ضرورة، فتفصیلاً فیما علم تفصیلاً، و إجمالاً فیما علم إجمالاً</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قال التفتازانی بعد حکایة هذا المذهب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المشهور، و علیه الجمهور</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قال الفاضل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أصحابنا الإمامیة و 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التصدیق القلبی فقط، و اختاره ابن نوبخت و کمال الدین میثم فی قواعده، و هو الأقرب لما قلناه من أنّه لغة التصدیق، و لما ورد نسبته إلی القلب، عرفنا أنّ المراد به التصدیق القلبی، لا أی تصدیق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النطق باللسان مبیّناً لظهوره، و الأعمال الصالحات ثمرات مؤکِّدة له</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هذا القول هو الصحیح و تدلّ علیه طوائف ثلاث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 الإیمان من صفات القلب، و القلب محلاً له،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یَدْخُلِ الْإِیمٰانُ فِی قُلُوبِکُمْ</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عطف العمل الصالح علی الإیمان، فإنّ ظاهر العطف إنّ </w:t>
      </w:r>
    </w:p>
    <w:p>
      <w:pPr>
        <w:pStyle w:val="BookText"/>
        <w:rPr/>
      </w:pPr>
      <w:r>
        <w:rPr>
          <w:rFonts w:ascii="IRNazanin" w:hAnsi="IRNazanin" w:eastAsia="IRNazanin"/>
          <w:color w:val="111111"/>
          <w:sz w:val="28"/>
          <w:sz w:val="28"/>
          <w:szCs w:val="28"/>
          <w:rtl w:val="true"/>
          <w:lang w:bidi="fa-IR"/>
        </w:rPr>
        <w:t>المعطوف غیر المعطوف علیه، و الآیات فی هذا المعنی فوق حدّ الإحصاء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الختم و الطبع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طَبَعَ اللّٰهُ عَلیٰ قُلُوبِهِمْ</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عَلیٰ قُلُوبِهِمْ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فالإمعان فی هذه الآیات یثبت أن الإیمان هو التصدیق القلبی، یترتّب علیه أثر دنیوی و أخروی، أمّا الدنیوی فحرمة دمه و عرضه و ماله، إلّا أن یرتکب قتلاً أو یأتی بفاحشة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الأُخروی فصحّة أعماله، و استحقاق المثوبة علیها و عدم الخلود فی النار، و استحقاق العفو و الشفاعة فی بعض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السّعادة الأُخرویة رهن الإیمان المشفوع بالعمل، لا یشکّ فیه من له إلمام بالشریعة و الآیات و الروایات الواردة حول العمل، و من هنا یظهر بطلان عقیدة المرجئة الّتی کانت تزعم أنّ العمل لا قیمة له فی الحیاة الدینیة، و تکتفی بالإیمان فقط، و قد تضافر عن أئمّة أهل البیت علیهم السلام لعن المرجئة </w:t>
      </w:r>
      <w:r>
        <w:rPr>
          <w:rStyle w:val="FootnoteAnchor"/>
          <w:rtl w:val="true"/>
        </w:rPr>
        <w:footnoteReference w:id="751"/>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قول بلا عمل</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تبیّن أنّ الأحادیث المرویة فی أنّ الإیمان عبارة عن معرفة </w:t>
      </w:r>
      <w:bookmarkStart w:id="937" w:name="pg2866_38473"/>
    </w:p>
    <w:p>
      <w:pPr>
        <w:pStyle w:val="BookText"/>
        <w:rPr/>
      </w:pPr>
      <w:bookmarkEnd w:id="937"/>
      <w:r>
        <w:rPr>
          <w:rFonts w:ascii="IRNazanin" w:hAnsi="IRNazanin" w:eastAsia="IRNazanin"/>
          <w:color w:val="111111"/>
          <w:sz w:val="28"/>
          <w:sz w:val="28"/>
          <w:szCs w:val="28"/>
          <w:rtl w:val="true"/>
          <w:lang w:bidi="fa-IR"/>
        </w:rPr>
        <w:t xml:space="preserve">بالقلب، و قول باللسان، و عمل بالأرکان </w:t>
      </w:r>
      <w:r>
        <w:rPr>
          <w:rStyle w:val="FootnoteAnchor"/>
          <w:rtl w:val="true"/>
        </w:rPr>
        <w:footnoteReference w:id="753"/>
      </w:r>
      <w:r>
        <w:rPr>
          <w:rFonts w:ascii="IRNazanin" w:hAnsi="IRNazanin" w:eastAsia="IRNazanin"/>
          <w:color w:val="111111"/>
          <w:sz w:val="28"/>
          <w:sz w:val="28"/>
          <w:szCs w:val="28"/>
          <w:rtl w:val="true"/>
          <w:lang w:bidi="fa-IR"/>
        </w:rPr>
        <w:t>، لا تهدف تفسیر حقیقة الإیمان، بل هی ناظرة إلی أن الإیمان بلا عمل لا یکفی لوصول الإنسان إلی السعادة، و إنّ مزعمة المرجئة لا أساس لها، هذا هو مقتضی الجمع بینها و بین ما تقدم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أن یجعلنا من الصالحین من عباده المؤمنین الّذین قال فی 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Style w:val="FootnoteAnchor"/>
          <w:rtl w:val="true"/>
        </w:rPr>
        <w:footnoteReference w:id="754"/>
      </w:r>
    </w:p>
    <w:p>
      <w:pPr>
        <w:pStyle w:val="Heading3"/>
        <w:numPr>
          <w:ilvl w:val="2"/>
          <w:numId w:val="1"/>
        </w:numPr>
        <w:rPr/>
      </w:pPr>
      <w:bookmarkStart w:id="938" w:name="__RefHeading___Toc2820012_1395250215"/>
      <w:bookmarkStart w:id="939" w:name="_Toc321"/>
      <w:bookmarkEnd w:id="938"/>
      <w:r>
        <w:rPr/>
        <w:t>2</w:t>
      </w:r>
      <w:r>
        <w:rPr>
          <w:rtl w:val="true"/>
        </w:rPr>
        <w:t xml:space="preserve">. </w:t>
      </w:r>
      <w:r>
        <w:rPr>
          <w:rtl w:val="true"/>
        </w:rPr>
        <w:t>الشیعة و الاتّهامات الواهیة</w:t>
      </w:r>
      <w:bookmarkEnd w:id="939"/>
    </w:p>
    <w:p>
      <w:pPr>
        <w:pStyle w:val="BookText"/>
        <w:rPr/>
      </w:pPr>
      <w:r>
        <w:rPr>
          <w:rFonts w:ascii="IRNazanin" w:hAnsi="IRNazanin" w:eastAsia="IRNazanin"/>
          <w:color w:val="111111"/>
          <w:sz w:val="28"/>
          <w:sz w:val="28"/>
          <w:szCs w:val="28"/>
          <w:rtl w:val="true"/>
          <w:lang w:bidi="fa-IR"/>
        </w:rPr>
        <w:t>هناک بعض المسائل الّتی لم تزل الشیعة الإمامیة تزدری بها أو تتّهم بالاعتقاد بها، و هی الاعتقاد بالبداء، و الرجعة و المتعة، و عدم الاعتقاد بعدالة جمیع الصحابة، و التقیّة و اتّهام القول بتحریف القرآن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الکلام حول البداء فی مبحث العدل، و الرجعة فی مبحث المعاد، و البحث حول المتعة یحال إلی علم الفقه </w:t>
      </w:r>
      <w:r>
        <w:rPr>
          <w:rStyle w:val="FootnoteAnchor"/>
          <w:rtl w:val="true"/>
        </w:rPr>
        <w:footnoteReference w:id="755"/>
      </w:r>
      <w:r>
        <w:rPr>
          <w:rFonts w:ascii="IRNazanin" w:hAnsi="IRNazanin" w:eastAsia="IRNazanin"/>
          <w:color w:val="111111"/>
          <w:sz w:val="28"/>
          <w:sz w:val="28"/>
          <w:szCs w:val="28"/>
          <w:rtl w:val="true"/>
          <w:lang w:bidi="fa-IR"/>
        </w:rPr>
        <w:t>فلنبحث هنا عن بقیة تلک المسائل و هی 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الشیعة من القرآن الکریم</w:t>
      </w:r>
    </w:p>
    <w:p>
      <w:pPr>
        <w:pStyle w:val="BookText"/>
        <w:rPr/>
      </w:pPr>
      <w:r>
        <w:rPr>
          <w:rFonts w:ascii="IRNazanin" w:hAnsi="IRNazanin" w:eastAsia="IRNazanin"/>
          <w:color w:val="111111"/>
          <w:sz w:val="28"/>
          <w:sz w:val="28"/>
          <w:szCs w:val="28"/>
          <w:rtl w:val="true"/>
          <w:lang w:bidi="fa-IR"/>
        </w:rPr>
        <w:t xml:space="preserve">اتّهمت الشیعة من جانب بعض المخالفین بالقول بتحریف القرآن و نقصانه، و لکنّ المراجعة إلی أقوال أکابر الطائفة و أقطابهم یثبت خلاف ذلک، و إلیک فیما یلی نصوص بعض أعلامهم؛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اعتقادنا أنّ القرآن الّذی أنزله اللّه تعالی علی نبیه محمّد صلی الله علیه و آله هو ما بین الدفّتین، و هو ما فی أیدی الناس لیس بأکثر من ذلک، و من نسب إلینا إنّا نقول إنّه أکثر من ذلک فهو کاذب</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 قال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معجزة النبوّة و مأخذ العلوم الشرعیة و الأحکام الدینیة، و علماء المسلمین قد بلغوا فی حفظه و حمایته الغایة حتی عرفوا کلّ شیء اختلف فیه من إعرابه و قراءته و حروفه و آیاته، فکیف یجوز أن یکون مغیّراً و منقوصاً مع العنایة الصادقة و الضبط الشدید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 قال شیخ الطائفة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الزیادة فیه مجمع علی بطلانها، و أمّا النقصان منه، فالظاهر أیضاً من مذهب المسلمین خلافه، و هو الألیق بالصحیح من مذهبنا، و هو الّذی نصره المرتضی، و هو الظاهر من الروایات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 قال أمین الإسلام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الزیادة فمجمع علی بطلانها، و أمّا النقصان منه فقد روی جماعة من أصحابنا و قوم من حشویة أهل السنّة إنّ فی القرآن نقصاناً و الصحیح من مذهبنا خلافه</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قال العلاّمة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أنّه لا تبدیل و لا تأخیر و لا تقدیم، و أنّه لم یزد و لم ینقص، و نعوذ باللّه من أن یعتقد مثل ذلک، فإنّه یوجب تطرق الشک إلی معجزة الرسول المنقولة بالتواتر</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ثُلّة من أعلام الشیعة فی القرون السابقة من رابعها إلی ثامنها، و یکفی ذلک فی إثبات أنّ نسبة التحریف إلی الشیعة ظلم و عدوان، و أمّا المتأخّرون فحدِّث عنه و لا حرج، و نکتفی منهم بنقل کلمة للأُستاذ الأکبر الإمام الخمینی قدس سره فی هذا المجال، 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الواقف علی عنایة المسلمین بجمع الکتاب و حفظه و ضبطه، قراءة و کتابة، یقف علی بطلان تلک المزعمة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ینبغی أن یرکن إلیها ذو مسکة، و ما ورد فیه من الأخبار بین ضعیف لا یستدلّ به ، إلی مجعول تلوح منه أمارات الجعل، إلی غریب یقضی منه العجب، إلی صحیح یدلّ علی أنّ مضمونه، تأویل الکتاب و تفسیره</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أجل، الغفلة عن ذلک و عدم التفرقة بین تأویل القرآن و تنزیله دعا بعضهم إلی القول بالتحریف،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قال جماعة من أهل الإمامة إنّه لم ینقص من کلمة و لا من آیة و لا من سورة، و لکن حذف ما کان مثبتاً فی مصحف أمیر المؤمنین علیه السلام من تأویله و تفسیر معانیه علی حقیقة تنزیله، و ذلک کان ثابتاً منزلاً و إن لم یکن من جملة کلام اللّه تعالی الّذی هو القرآن المعجز و قد یسمّی تأویل القرآن قرآناً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عندی أنّ هذا القول أشبه من مقال من ادّعی نقصان کلم من نفس القرآن علی الحقیقة دون التأویل، و إلیه أمیل و اللّه أسأل توفیقه للصواب</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روایات النقیصة فی کتب أهل السنّة</w:t>
      </w:r>
    </w:p>
    <w:p>
      <w:pPr>
        <w:pStyle w:val="BookText"/>
        <w:rPr/>
      </w:pPr>
      <w:r>
        <w:rPr>
          <w:rFonts w:ascii="IRNazanin" w:hAnsi="IRNazanin" w:eastAsia="IRNazanin"/>
          <w:color w:val="111111"/>
          <w:sz w:val="28"/>
          <w:sz w:val="28"/>
          <w:szCs w:val="28"/>
          <w:rtl w:val="true"/>
          <w:lang w:bidi="fa-IR"/>
        </w:rPr>
        <w:t xml:space="preserve">ثمّ إنّ روایات النقیصة لا تختصّ بأحادیث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الرأی الصحیح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هناک مجموعة من الروایات فی کتب التفسیر و الحدیث عند أهل السنّة تدلّ علی نقصان طائفة من الآیات و السّور، و هذا القرطبی یقول فی تفسیر سورة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أبو عبید فی الفضائل و ابن مردویه، و ابن الأنباری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سورة الأحزاب تقرأ فی زمان النبیّ مائتی آیة، فلمّا کتب عثمان المصاحف لم یقدر منها إلّا علی ما هو الآن</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هذا هو البخاری یروی عن عمر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یقول الناس إنّ عمر زاد فی کتاب اللّه، لکتبت آیة الرجم بیدی</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إلی غیر ذلک من الروایات الّتی نقل قسما منها السیوطی فی الإتقان</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فنحن نُجِلُّ علماء السنّة و محقّقیهم عن نسبة التحریف إلیهم، و لا یصح الاستدلال بالروایة علی العقیدة، و نقول مثل هذا فی حق الشیعة، و قد عرفت أنّ الشیخ المفید یحمل هذه الروایات علی أنّها تفسیر للقرآن، و للسید محمّد رشید رضا أیضاً کلام فی توجیه ما ورد حول نسخ </w:t>
      </w:r>
    </w:p>
    <w:p>
      <w:pPr>
        <w:pStyle w:val="BookText"/>
        <w:rPr/>
      </w:pPr>
      <w:r>
        <w:rPr>
          <w:rFonts w:ascii="IRNazanin" w:hAnsi="IRNazanin" w:eastAsia="IRNazanin"/>
          <w:color w:val="111111"/>
          <w:sz w:val="28"/>
          <w:sz w:val="28"/>
          <w:szCs w:val="28"/>
          <w:rtl w:val="true"/>
          <w:lang w:bidi="fa-IR"/>
        </w:rPr>
        <w:t>التلاوة فی روایات أهل السنّة نأتی بنصِّه،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کلّ وحی قرآناً، فإنّ للقرآن أحکاماً و مزایا مخصوصة و قد ورد فی السنّة کثیر من الأحکام مسندة إلی الوحی و لم یکن النبیّ صلی الله علیه و آله و لا أصحابه یعدّونها قرآناً، بل جمیع ما قاله علیه السلام علی أنّه دین فهو وحی عند الجمهور، و استدلّوا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أظهره الأحادیث القدسیة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لم یفقه هذه التفرقة من العلماء وقعت لهم أوهام فی بعض الأحادیث روایة و درایة و زعموا أنّها کانت قرآناً و نسخت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الشیعة من عدالة الصحابة</w:t>
      </w:r>
    </w:p>
    <w:p>
      <w:pPr>
        <w:pStyle w:val="BookText"/>
        <w:rPr/>
      </w:pPr>
      <w:r>
        <w:rPr>
          <w:rFonts w:ascii="IRNazanin" w:hAnsi="IRNazanin" w:eastAsia="IRNazanin"/>
          <w:color w:val="111111"/>
          <w:sz w:val="28"/>
          <w:sz w:val="28"/>
          <w:szCs w:val="28"/>
          <w:rtl w:val="true"/>
          <w:lang w:bidi="fa-IR"/>
        </w:rPr>
        <w:t>عدالة الصحابة کلّهم و نزاهتهم من کلّ سوء هی أحد الأُصول الّتی یتدیّن بها أهل السنّة، 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أهل السنّة علی أن الجمیع عدول و لم یخالف فی ذلک إلّا شذوذ من المبتدعة</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قال الإیجی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تعظیم الصحابة کلّهم، و الکف عن القدح فیهم، لأنّ اللّه </w:t>
      </w:r>
      <w:bookmarkStart w:id="940" w:name="pg2866_38480"/>
    </w:p>
    <w:p>
      <w:pPr>
        <w:pStyle w:val="BookText"/>
        <w:rPr/>
      </w:pPr>
      <w:bookmarkEnd w:id="940"/>
      <w:r>
        <w:rPr>
          <w:rFonts w:ascii="IRNazanin" w:hAnsi="IRNazanin" w:eastAsia="IRNazanin"/>
          <w:color w:val="111111"/>
          <w:sz w:val="28"/>
          <w:sz w:val="28"/>
          <w:szCs w:val="28"/>
          <w:rtl w:val="true"/>
          <w:lang w:bidi="fa-IR"/>
        </w:rPr>
        <w:t>عظّمهم و أثنی علیهم فی غیر موضع من کتابه و الرسول قد أحبّهم و أثنی علیهم فی أحادیث کثیرة</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قال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أهل الحقّ علی وجوب تعظیم الصحابة و الکفّ عن الطعن فیهم، سیّما المهاجرین و الأنصار، لما ورد فی الکتاب و السنّة من الثناء علیهم</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غیر أنّ الشیعة الإمامیة عن بکرة أبیهم علی أنّ الصحابة کسائر الرواة فیهم العدول و غیر العدول، و إنّ کون الرجل صحابیّاً لا یکفی فی الحکم بالعدالة، بل یجب تتّبع أحواله حتی یقف علی وثاقته، و ذلک لأنّ القول بعدالة جمیع الصحابة و نزاهتهم من کلّ شیء ممّا لا یلائم القرآن و السنّة و یکذبه التاریخ، و إلیک البیان</w:t>
      </w:r>
      <w:r>
        <w:rPr>
          <w:rFonts w:eastAsia="IRNazanin" w:cs="IRNazanin"/>
          <w:color w:val="111111"/>
          <w:sz w:val="28"/>
          <w:szCs w:val="28"/>
          <w:rtl w:val="true"/>
          <w:lang w:bidi="fa-IR"/>
        </w:rPr>
        <w:t>:</w:t>
      </w:r>
    </w:p>
    <w:p>
      <w:pPr>
        <w:pStyle w:val="Heading3"/>
        <w:numPr>
          <w:ilvl w:val="2"/>
          <w:numId w:val="1"/>
        </w:numPr>
        <w:rPr/>
      </w:pPr>
      <w:bookmarkStart w:id="941" w:name="__RefHeading___Toc2820014_1395250215"/>
      <w:bookmarkStart w:id="942" w:name="_Toc322"/>
      <w:bookmarkEnd w:id="941"/>
      <w:r>
        <w:rPr>
          <w:rtl w:val="true"/>
        </w:rPr>
        <w:t>[</w:t>
      </w:r>
      <w:r>
        <w:rPr/>
        <w:t>3</w:t>
      </w:r>
      <w:r>
        <w:rPr>
          <w:rtl w:val="true"/>
        </w:rPr>
        <w:t xml:space="preserve">] </w:t>
      </w:r>
      <w:r>
        <w:rPr>
          <w:rtl w:val="true"/>
        </w:rPr>
        <w:t>الصحابة فی الذکر الحکیم</w:t>
      </w:r>
      <w:bookmarkEnd w:id="94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الذکر الحکیم یصنِّف الصحابة إلی أصناف یمدح بعضها و یذمّ بعضاً آخر، فالممدوحون هم السّابقون الأوّلون </w:t>
      </w:r>
      <w:r>
        <w:rPr>
          <w:rStyle w:val="FootnoteAnchor"/>
          <w:rtl w:val="true"/>
        </w:rPr>
        <w:footnoteReference w:id="771"/>
      </w:r>
      <w:r>
        <w:rPr>
          <w:rFonts w:ascii="IRNazanin" w:hAnsi="IRNazanin" w:eastAsia="IRNazanin"/>
          <w:color w:val="111111"/>
          <w:sz w:val="28"/>
          <w:sz w:val="28"/>
          <w:szCs w:val="28"/>
          <w:rtl w:val="true"/>
          <w:lang w:bidi="fa-IR"/>
        </w:rPr>
        <w:t xml:space="preserve">و المبایعون تحت الشجرة </w:t>
      </w:r>
      <w:r>
        <w:rPr>
          <w:rStyle w:val="FootnoteAnchor"/>
          <w:rtl w:val="true"/>
        </w:rPr>
        <w:footnoteReference w:id="772"/>
      </w:r>
      <w:r>
        <w:rPr>
          <w:rFonts w:ascii="IRNazanin" w:hAnsi="IRNazanin" w:eastAsia="IRNazanin"/>
          <w:color w:val="111111"/>
          <w:sz w:val="28"/>
          <w:sz w:val="28"/>
          <w:szCs w:val="28"/>
          <w:rtl w:val="true"/>
          <w:lang w:bidi="fa-IR"/>
        </w:rPr>
        <w:t xml:space="preserve">و المهاجرون و الأنصار </w:t>
      </w:r>
      <w:r>
        <w:rPr>
          <w:rStyle w:val="FootnoteAnchor"/>
          <w:rtl w:val="true"/>
        </w:rPr>
        <w:footnoteReference w:id="773"/>
      </w:r>
      <w:r>
        <w:rPr>
          <w:rFonts w:ascii="IRNazanin" w:hAnsi="IRNazanin" w:eastAsia="IRNazanin"/>
          <w:color w:val="111111"/>
          <w:sz w:val="28"/>
          <w:sz w:val="28"/>
          <w:szCs w:val="28"/>
          <w:rtl w:val="true"/>
          <w:lang w:bidi="fa-IR"/>
        </w:rPr>
        <w:t>و أمّا المذمومون فهم أصناف نشیر إلی بعضها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القرآن الکریم عنایة خاصّة بعصبة المنافقین، و أعرب عن نوایاهم و ندَّد بهم فی السور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آل عمران، المائدة، التوبة، العنکبوت، الأحزاب، محمّد، الفتح، الحدید، المجادلة، الحشر و المنافقین، و هذا یدلّ علی أنّهم کانوا جماعة هائلة فی المجتمع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المرتابون و السمّاعون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سبحانه عن طائفة من أصحاب النبیّ أنّهم کانوا یستأذنونه فی ترک الخروج إلی الجهاد، و یصفهم بأنّ فی قلوبهم ارتیاب، و أنّ خروجهم إلی الجهاد لا یزید المسلمین إلّا خبالاً، و إنّهم یقومون بالسماع للکفّار</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الظانون باللّه 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یحکی سبحانه عن طائفة من أصحاب النبیّ أنّهم کانوا یظنون باللّه غیر الحقّ ظنّ الجاهلیّة، إذ یشکّون فی کون المسلمین علی صراط الحق و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لَنٰا مِنَ الْأَمْرِ شَیْءٌ مٰا قُتِلْنٰا هٰاهُنٰا</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المولُّون أمام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 الآیات و یشهد التاریخ علی أنّ جماعة من صحابة النبیّ انهزموا عن القتال مع الکفّار یوم أحد و حنین؛ قال ابن هشام فی تفسیر الآیات النازلة فی أُحُد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أنّبهم علی الفرار عن نبیّهم و هم یدعون، لا یعطفون علیه لدعائه إیاهم،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 وَ الرَّسُولُ یَدْعُوکُمْ فِی أُخْرٰاکُمْ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انهزام الناس یوم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انهزم الناس و رأی من کان مع رسول اللّه صلی الله علیه و آله من جفاة أهل مکّة، الهزیمة تکلّم رجال منهم بما فی أنفسهم من الضغن، فقال أبو سفیان بن حرب لا تنتهی هزیمتهم دون البحر، و صرخ جبلة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بطل السحر الیوم</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هذه صنوف من الصحابة ندَّد بهم القرآن الکریم و عیَّرهم بذمائم أفعالهم و قبائح أوصافهم، أ فبعد هذا یصحّ أن یعدّ جمیع الصحابة عدولاً أتقیاء، و یرمی من یقدح فی هؤلاء بالزندقة و البدعة؟ مع أنّ اللّه سبحانه وصف طائفة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الصحابة فی السنّة النبویة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حازم عن سهل بن سعد قال، 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فرطکم علی الحوض من ورد شرب، و من شرب لم یظمأ أبداً، و لیردنَّ علیَّ أقوام أعرفهم و یعرفونی، ثمّ یحال بینی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النعمان بن أبی عیاش، و أنا أُحدّثهم بهذا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 سهلاً یقول؟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علی أبی سعید الخدری لسمعته یزید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منّی، فقال</w:t>
      </w:r>
      <w:r>
        <w:rPr>
          <w:rFonts w:eastAsia="IRNazanin" w:cs="IRNazanin"/>
          <w:color w:val="111111"/>
          <w:sz w:val="28"/>
          <w:szCs w:val="28"/>
          <w:rtl w:val="true"/>
          <w:lang w:bidi="fa-IR"/>
        </w:rPr>
        <w:t xml:space="preserve">: </w:t>
      </w:r>
      <w:bookmarkStart w:id="943" w:name="pg2866_38483"/>
    </w:p>
    <w:p>
      <w:pPr>
        <w:pStyle w:val="BookText"/>
        <w:rPr/>
      </w:pPr>
      <w:bookmarkEnd w:id="943"/>
      <w:r>
        <w:rPr>
          <w:rFonts w:ascii="IRNazanin" w:hAnsi="IRNazanin" w:eastAsia="IRNazanin"/>
          <w:color w:val="111111"/>
          <w:sz w:val="28"/>
          <w:sz w:val="28"/>
          <w:szCs w:val="28"/>
          <w:rtl w:val="true"/>
          <w:lang w:bidi="fa-IR"/>
        </w:rPr>
        <w:t>إنّک لا تدری ما أحدثوا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بدّل بعدی، أخرجه البخاری و مسلم</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روی البخاری و مسلم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علیَّ یوم القیامة رهط من أصحابی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فیحلئون عن الحوض، فأقول یا ربّ أصحابی،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علم لک بما أحدثوا بعدک، إنّهم ارتدوا علی أدبارهم القهقری</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قد اکتفینا من الکثیر بالقلیل، و من أراد الوقوف علی ما لم نذکره فلیراجع جامع الأُصول لابن الأثیر</w:t>
      </w:r>
      <w:r>
        <w:rPr>
          <w:rFonts w:eastAsia="IRNazanin" w:cs="IRNazanin"/>
          <w:color w:val="111111"/>
          <w:sz w:val="28"/>
          <w:szCs w:val="28"/>
          <w:rtl w:val="true"/>
          <w:lang w:bidi="fa-IR"/>
        </w:rPr>
        <w:t>.</w:t>
      </w:r>
    </w:p>
    <w:p>
      <w:pPr>
        <w:pStyle w:val="Heading3"/>
        <w:numPr>
          <w:ilvl w:val="2"/>
          <w:numId w:val="1"/>
        </w:numPr>
        <w:rPr/>
      </w:pPr>
      <w:bookmarkStart w:id="944" w:name="__RefHeading___Toc2820016_1395250215"/>
      <w:bookmarkStart w:id="945" w:name="_Toc323"/>
      <w:bookmarkEnd w:id="944"/>
      <w:r>
        <w:rPr>
          <w:rtl w:val="true"/>
        </w:rPr>
        <w:t>[</w:t>
      </w:r>
      <w:r>
        <w:rPr/>
        <w:t>4</w:t>
      </w:r>
      <w:r>
        <w:rPr>
          <w:rtl w:val="true"/>
        </w:rPr>
        <w:t xml:space="preserve">] </w:t>
      </w:r>
      <w:r>
        <w:rPr>
          <w:rtl w:val="true"/>
        </w:rPr>
        <w:t>التاریخ و عدالة الصحابة</w:t>
      </w:r>
      <w:bookmarkEnd w:id="945"/>
    </w:p>
    <w:p>
      <w:pPr>
        <w:pStyle w:val="BookText"/>
        <w:rPr/>
      </w:pPr>
      <w:r>
        <w:rPr>
          <w:rFonts w:ascii="Amiri" w:hAnsi="Amiri" w:eastAsia="Amiri" w:cs="Amiri"/>
          <w:color w:val="111111"/>
          <w:sz w:val="28"/>
          <w:sz w:val="28"/>
          <w:szCs w:val="28"/>
          <w:rtl w:val="true"/>
          <w:lang w:bidi="ar-SA"/>
        </w:rPr>
        <w:t>کیف یمکن عدّ الصحابة جمیعاً عدولاً و التاریخ بین أیدینا، نری أنّ بعضهم کولید بن عقبة ظهر علیه الفسق فی حیاة النبیّ و بعده، أما الأوّل فمن المجمع علیه بین أهل العلم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شأنه، کما نزل فی حقّه قوله تعالی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الثانی فروی أصحاب السِّیَر و التاریخ أنّ الولید سکر و صلّی الصبح بأهل الکوفة أربعاً ثمّ التفت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أزیدکم</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 هذا قدّامة بن مظعون صحابی بدری، روی أنّه شرب الخمر، و أقام علیه عمر الحدّ </w:t>
      </w:r>
      <w:r>
        <w:rPr>
          <w:rStyle w:val="FootnoteAnchor"/>
          <w:rtl w:val="true"/>
        </w:rPr>
        <w:footnoteReference w:id="783"/>
      </w:r>
      <w:r>
        <w:rPr>
          <w:rFonts w:ascii="IRNazanin" w:hAnsi="IRNazanin" w:eastAsia="IRNazanin"/>
          <w:color w:val="111111"/>
          <w:sz w:val="28"/>
          <w:sz w:val="28"/>
          <w:szCs w:val="28"/>
          <w:rtl w:val="true"/>
          <w:lang w:bidi="fa-IR"/>
        </w:rPr>
        <w:t>و لا درأ عنه الحدّ بحجّة أنّه بدری، و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 رسول اللّه صلی الله علیه و آله عن ذکر مساوئ الصحابة، کما أنّ المشهور </w:t>
      </w:r>
      <w:r>
        <w:rPr>
          <w:rStyle w:val="FootnoteAnchor"/>
          <w:rtl w:val="true"/>
        </w:rPr>
        <w:footnoteReference w:id="784"/>
      </w:r>
      <w:r>
        <w:rPr>
          <w:rFonts w:ascii="IRNazanin" w:hAnsi="IRNazanin" w:eastAsia="IRNazanin"/>
          <w:color w:val="111111"/>
          <w:sz w:val="28"/>
          <w:sz w:val="28"/>
          <w:szCs w:val="28"/>
          <w:rtl w:val="true"/>
          <w:lang w:bidi="fa-IR"/>
        </w:rPr>
        <w:t xml:space="preserve">أنّ عبد الرحمن الأصغر بن عمر بن الخطاب، قد شرب الخمر و ضربه عمر حدّاً فمات، و کان ممّن عاصر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الصحابة خضب وجه الأرض بالدماء، فاقرأ تاریخ بسر بن أرطاة، حتی أنّه قتل طفلین لعبید اللّه بن عباس، و کم و کم بین الصحابة لدَّة هؤلاء من رجال العیث و الفساد، قد حفل التاریخ بضبط مساوئهم، أ فبعد هذه البیّنات یصحّ التقوّل بعدالة الصحابة مطلقاً؟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النظرة العابرة لتاریخ الصحابة تقضی بأنّ بعضهم کان یتّهم الآخر بالنفاق و الکذب </w:t>
      </w:r>
      <w:r>
        <w:rPr>
          <w:rStyle w:val="FootnoteAnchor"/>
          <w:rtl w:val="true"/>
        </w:rPr>
        <w:footnoteReference w:id="785"/>
      </w:r>
      <w:r>
        <w:rPr>
          <w:rFonts w:ascii="IRNazanin" w:hAnsi="IRNazanin" w:eastAsia="IRNazanin"/>
          <w:color w:val="111111"/>
          <w:sz w:val="28"/>
          <w:sz w:val="28"/>
          <w:szCs w:val="28"/>
          <w:rtl w:val="true"/>
          <w:lang w:bidi="fa-IR"/>
        </w:rPr>
        <w:t>، کما أنّ بعضهم کان یقاتل بعضاً و یقود جیشاً لمحاربته، فقتل بین ذلک جماعة کثیرة، أ فهل یمکن تبریر أعمالهم من الشاتم و المشتوم، و القاتل و المقتول، و عدّهم عدولاً و مثلاً للفضل و الفضیلة؟</w:t>
      </w:r>
      <w:r>
        <w:rPr>
          <w:rFonts w:eastAsia="IRNazanin" w:cs="IRNazanin"/>
          <w:color w:val="111111"/>
          <w:sz w:val="28"/>
          <w:szCs w:val="28"/>
          <w:rtl w:val="true"/>
          <w:lang w:bidi="fa-IR"/>
        </w:rPr>
        <w:t xml:space="preserve">! </w:t>
      </w:r>
      <w:bookmarkStart w:id="946" w:name="pg2866_38486"/>
    </w:p>
    <w:p>
      <w:pPr>
        <w:pStyle w:val="Heading3"/>
        <w:numPr>
          <w:ilvl w:val="2"/>
          <w:numId w:val="1"/>
        </w:numPr>
        <w:rPr/>
      </w:pPr>
      <w:bookmarkStart w:id="947" w:name="__RefHeading___Toc2820018_1395250215"/>
      <w:bookmarkStart w:id="948" w:name="_Toc324"/>
      <w:bookmarkEnd w:id="946"/>
      <w:bookmarkEnd w:id="947"/>
      <w:r>
        <w:rPr>
          <w:rtl w:val="true"/>
        </w:rPr>
        <w:t>[</w:t>
      </w:r>
      <w:r>
        <w:rPr/>
        <w:t>5</w:t>
      </w:r>
      <w:r>
        <w:rPr>
          <w:rtl w:val="true"/>
        </w:rPr>
        <w:t xml:space="preserve">] </w:t>
      </w:r>
      <w:r>
        <w:rPr>
          <w:rtl w:val="true"/>
        </w:rPr>
        <w:t>حدیث أصحابی کالنجوم</w:t>
      </w:r>
      <w:bookmarkEnd w:id="948"/>
    </w:p>
    <w:p>
      <w:pPr>
        <w:pStyle w:val="BookText"/>
        <w:rPr/>
      </w:pPr>
      <w:r>
        <w:rPr>
          <w:rFonts w:ascii="IRNazanin" w:hAnsi="IRNazanin" w:eastAsia="IRNazanin"/>
          <w:color w:val="111111"/>
          <w:sz w:val="28"/>
          <w:sz w:val="28"/>
          <w:szCs w:val="28"/>
          <w:rtl w:val="true"/>
          <w:lang w:bidi="fa-IR"/>
        </w:rPr>
        <w:t>إنّ القائلین بعدالة الصحابة جمیعاً یتمسّکون بما یروی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إسناد هذا الحدیث إلی رسول اللّه صلی الله علیه و آله مع أنّ لازمه الأمر بالمتناقضین؟ لأنّ هذا یوجب أن یکون أهل الشام فی صفّین علی هدی، و أن یکون أهل العراق أیضاً علی هدی، و أن یکون قاتل عمار بن یاسر مهتدیاً، و قد صحّ الخبر عن النبیّ صلی الله علیه و آله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فدلّ علی أنّها ما دامت موصوفة بالمقام علی البغی فهی مفارقة لأمر اللّه، و من یفارق أمر اللّه لا یکون مهتدیاً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الحدیث موضوع علی لسان النبیّ الأکرم، کما صرّح بذلک جماعة من أعلام أهل السنّة، قال أبو حیّان الأندلسی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حدیث موضوع لا یصحّ بوجه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قول الحافظ ابن حزم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الرأی 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خبر مکذوب باطل لم یصحّ قطّ</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عن البزّاز صاحب المسند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کلام لم یصحّ عن النبیّ صلی الله علیه و آله و شرع بالطعن فی سنده</w:t>
      </w:r>
      <w:r>
        <w:rPr>
          <w:rFonts w:eastAsia="IRNazanin" w:cs="IRNazanin"/>
          <w:color w:val="111111"/>
          <w:sz w:val="28"/>
          <w:szCs w:val="28"/>
          <w:rtl w:val="true"/>
          <w:lang w:bidi="fa-IR"/>
        </w:rPr>
        <w:t xml:space="preserve">». </w:t>
      </w:r>
      <w:r>
        <w:rPr>
          <w:rStyle w:val="FootnoteAnchor"/>
          <w:rtl w:val="true"/>
        </w:rPr>
        <w:footnoteReference w:id="788"/>
      </w:r>
      <w:bookmarkStart w:id="949" w:name="pg2866_38487"/>
    </w:p>
    <w:p>
      <w:pPr>
        <w:pStyle w:val="BookText"/>
        <w:rPr/>
      </w:pPr>
      <w:bookmarkEnd w:id="949"/>
      <w:r>
        <w:rPr>
          <w:rFonts w:ascii="IRNazanin" w:hAnsi="IRNazanin" w:eastAsia="IRNazanin"/>
          <w:color w:val="111111"/>
          <w:sz w:val="28"/>
          <w:sz w:val="28"/>
          <w:szCs w:val="28"/>
          <w:rtl w:val="true"/>
          <w:lang w:bidi="fa-IR"/>
        </w:rPr>
        <w:t>ثمّ إنّ التفتازانی و إن أخذته العصبیة فی الدعوة إلی ترک الکلام فی حقّ البغاة و الجائرین، لکنّه أصحر بالحقیقة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وقع بین الصحابة من المحاربات و المشاجرات علی الوجه المسطور فی کتب التاریخ، و المذکور علی السنة الثقات یدلّ بظاهره علی أنّ بعضهم حاد عن طریق الحق، و بلغ حدّ الظلم 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العلماء لحسن ظنّهم بالصحابة ذکروا لها محامل و تأویلات بها تلیق</w:t>
      </w:r>
      <w:r>
        <w:rPr>
          <w:rFonts w:eastAsia="IRNazanin" w:cs="IRNazanin"/>
          <w:color w:val="111111"/>
          <w:sz w:val="28"/>
          <w:szCs w:val="28"/>
          <w:rtl w:val="true"/>
          <w:lang w:bidi="fa-IR"/>
        </w:rPr>
        <w:t xml:space="preserve">...». </w:t>
      </w:r>
      <w:r>
        <w:rPr>
          <w:rStyle w:val="FootnoteAnchor"/>
          <w:rtl w:val="true"/>
        </w:rPr>
        <w:footnoteReference w:id="789"/>
      </w:r>
    </w:p>
    <w:p>
      <w:pPr>
        <w:pStyle w:val="Heading3"/>
        <w:numPr>
          <w:ilvl w:val="2"/>
          <w:numId w:val="1"/>
        </w:numPr>
        <w:rPr/>
      </w:pPr>
      <w:bookmarkStart w:id="950" w:name="__RefHeading___Toc2820020_1395250215"/>
      <w:bookmarkStart w:id="951" w:name="_Toc325"/>
      <w:bookmarkEnd w:id="950"/>
      <w:r>
        <w:rPr>
          <w:rtl w:val="true"/>
        </w:rPr>
        <w:t>[</w:t>
      </w:r>
      <w:r>
        <w:rPr/>
        <w:t>6</w:t>
      </w:r>
      <w:r>
        <w:rPr>
          <w:rtl w:val="true"/>
        </w:rPr>
        <w:t xml:space="preserve">] </w:t>
      </w:r>
      <w:r>
        <w:rPr>
          <w:rtl w:val="true"/>
        </w:rPr>
        <w:t>کلمة لبعض المعاصرین من أهل السنّة</w:t>
      </w:r>
      <w:bookmarkEnd w:id="951"/>
    </w:p>
    <w:p>
      <w:pPr>
        <w:pStyle w:val="BookText"/>
        <w:rPr/>
      </w:pPr>
      <w:r>
        <w:rPr>
          <w:rFonts w:ascii="IRNazanin" w:hAnsi="IRNazanin" w:eastAsia="IRNazanin"/>
          <w:color w:val="111111"/>
          <w:sz w:val="28"/>
          <w:sz w:val="28"/>
          <w:szCs w:val="28"/>
          <w:rtl w:val="true"/>
          <w:lang w:bidi="fa-IR"/>
        </w:rPr>
        <w:t xml:space="preserve">إنّ بعض المنصفین من المصریّین المعاصرین </w:t>
      </w:r>
      <w:r>
        <w:rPr>
          <w:rStyle w:val="FootnoteAnchor"/>
          <w:rtl w:val="true"/>
        </w:rPr>
        <w:footnoteReference w:id="790"/>
      </w:r>
      <w:r>
        <w:rPr>
          <w:rFonts w:ascii="IRNazanin" w:hAnsi="IRNazanin" w:eastAsia="IRNazanin"/>
          <w:color w:val="111111"/>
          <w:sz w:val="28"/>
          <w:sz w:val="28"/>
          <w:szCs w:val="28"/>
          <w:rtl w:val="true"/>
          <w:lang w:bidi="fa-IR"/>
        </w:rPr>
        <w:t>قد اعترف بالحقّ، و أراد الجمع بین رأیی السنّة و الشیعة فی حقّ الصحابة، فقال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منهج أهل السنّة فی تعدیل الصحابة أو ترک الکلام فی حقّهم منهج أخلاقی، و إنّ طریقة الشیعة فی نقد الصحابة و تقسیمهم إلی عادل و جائر منهج علمی، فکلّ من المنهجین مکمّل للآخر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الشیعة و هم شطر عظیم من أهل القبلة یضعون جمیع المسلمین فی میزان واحد، و لا یفرّقون بین صحابی و تابعی و متأخر، کما لا یفرقون بین متقدّم فی الإسلام و حدیث عهد به إلّا باعتبار درجة الأخذ بما جاء به حضرة </w:t>
      </w:r>
    </w:p>
    <w:p>
      <w:pPr>
        <w:pStyle w:val="BookText"/>
        <w:rPr/>
      </w:pPr>
      <w:r>
        <w:rPr>
          <w:rFonts w:ascii="IRNazanin" w:hAnsi="IRNazanin" w:eastAsia="IRNazanin"/>
          <w:color w:val="111111"/>
          <w:sz w:val="28"/>
          <w:sz w:val="28"/>
          <w:szCs w:val="28"/>
          <w:rtl w:val="true"/>
          <w:lang w:bidi="fa-IR"/>
        </w:rPr>
        <w:t xml:space="preserve">الرسول صلی الله علیه و آله و الأئمّة الاثنا عشر بعده، و إنّ الصحبة فی ذاتها لیست حصانة یتحصّن بها من درجة الاعتقاد، و علی هذا الأساس المتین أباحوا لأنفسهم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الصحابة و البحث فی درجة عدالتهم، کما أباحوا لأنفسهم الطعن فی نفر من الصحابة أخلّوا بشروط الصحبة و حادوا عن محبة آل محمّد علیهم السلام ، کیف لا، و قد قال الرسول الأعظم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ما إن تمسّکتم بهما لن تضلّوا، کتاب اللّه و عترتی آل بیتی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 أساس هذا الحدیث و نحوه یرون أنّ کثیراً من الصحابة خالفوا هذا الحدیث، باضطهادهم لآل محمّد و لعنهم لبعض أفراد هذه العترة، و من ثمّ فکیف یستقیم لهؤلاء المخالفین شرف الصحبة، و کیف یوسموا باسم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هو خلاصة رأی الشیعة فی نفی صفة العدالة عن بعض الصحابة، و تلک هی الأسباب العلمیة الواقعیة الّتی بنوا علیها حججهم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بین الوجوب و الحرمة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یشنّع به علی الشیعة قولهم بالتّقیة و عملهم به فی أحایین و ظروف خاصّة، و لکن المشنِّعین لم یقفوا علی مغزاها، و لو تثبّتوا فی الأمر و رجعوا </w:t>
      </w:r>
    </w:p>
    <w:p>
      <w:pPr>
        <w:pStyle w:val="BookText"/>
        <w:rPr/>
      </w:pPr>
      <w:r>
        <w:rPr>
          <w:rFonts w:ascii="IRNazanin" w:hAnsi="IRNazanin" w:eastAsia="IRNazanin"/>
          <w:color w:val="111111"/>
          <w:sz w:val="28"/>
          <w:sz w:val="28"/>
          <w:szCs w:val="28"/>
          <w:rtl w:val="true"/>
          <w:lang w:bidi="fa-IR"/>
        </w:rPr>
        <w:t>إلی الکتاب و السنّة لوقفوا علی أنّها ممّا تحکم به ضرورة العقل و نصّ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التقیّة و غایتها</w:t>
      </w:r>
    </w:p>
    <w:p>
      <w:pPr>
        <w:pStyle w:val="BookText"/>
        <w:rPr/>
      </w:pPr>
      <w:r>
        <w:rPr>
          <w:rFonts w:ascii="IRNazanin" w:hAnsi="IRNazanin" w:eastAsia="IRNazanin"/>
          <w:color w:val="111111"/>
          <w:sz w:val="28"/>
          <w:sz w:val="28"/>
          <w:szCs w:val="28"/>
          <w:rtl w:val="true"/>
          <w:lang w:bidi="fa-IR"/>
        </w:rPr>
        <w:t>التقیّة مشتقّة من الوقایة و المراد منها التحفّظ علی ضرر الغیر بموافقته فی قول أو فعل مخالف للحقّ، و إذا کان هذا مفهومها فهی تقابل النفاق، تقابل الإیمان و الکفر، فإنّ النفاق عبارة عن إظهار الحقّ و إخفاء الباطل، و مع هذا التباین بینهما لا یصحّ عدّها من فروع النفاق، کما أنّ القرآن الکریم یعرف المنافقین بالمتظاهرین بالإیمان و المبطنین للکفر،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فالغایة من التقیّة الدینیة هی صیانة النفس و العرض و المال، و ذلک فی ظروف قاهرة لا یستطیع فیها المؤمن أن یعلن عن موقفه الحقّ صریحاً، إنّ التقیة سلاح الضعیف فی مقابل القوی الغاشم، سلاح من یبتلی بمن لا یحترم دمه و عرضه و ماله، لا لشیء إلّا لأنّه لا یتّفق فی بعض المبادئ و الأفکار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هذا معنی التقیّة و مفهومها، و کانت هذه غایتها، فهو أمر فطری یسوق الإنسان إلیه قبل کلّ شیء عقله و تدعو إلیه فطرته، و لأجل ذلک </w:t>
      </w:r>
      <w:bookmarkStart w:id="952" w:name="pg2866_38490"/>
    </w:p>
    <w:p>
      <w:pPr>
        <w:pStyle w:val="BookText"/>
        <w:rPr/>
      </w:pPr>
      <w:bookmarkEnd w:id="952"/>
      <w:r>
        <w:rPr>
          <w:rFonts w:ascii="IRNazanin" w:hAnsi="IRNazanin" w:eastAsia="IRNazanin"/>
          <w:color w:val="111111"/>
          <w:sz w:val="28"/>
          <w:sz w:val="28"/>
          <w:szCs w:val="28"/>
          <w:rtl w:val="true"/>
          <w:lang w:bidi="fa-IR"/>
        </w:rPr>
        <w:t xml:space="preserve">یستعملها کلّ من ابتلی بالملوک و الساسة الّذین لا یحترمون شیئاً سوی رأیهم و فکرتهم و مطامعهم و لا یتردّدون عن التنکیل بکلّ من یعارضهم فی ذلک، من غیر فرق بین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 کان أم سنّیّاً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جدوی التقیة و عمق فائدتها</w:t>
      </w:r>
      <w:r>
        <w:rPr>
          <w:rFonts w:eastAsia="IRNazanin" w:cs="IRNazanin"/>
          <w:color w:val="111111"/>
          <w:sz w:val="28"/>
          <w:szCs w:val="28"/>
          <w:rtl w:val="true"/>
          <w:lang w:bidi="fa-IR"/>
        </w:rPr>
        <w:t>.</w:t>
      </w:r>
    </w:p>
    <w:p>
      <w:pPr>
        <w:pStyle w:val="Heading3"/>
        <w:numPr>
          <w:ilvl w:val="2"/>
          <w:numId w:val="1"/>
        </w:numPr>
        <w:rPr/>
      </w:pPr>
      <w:bookmarkStart w:id="953" w:name="__RefHeading___Toc2820022_1395250215"/>
      <w:bookmarkStart w:id="954" w:name="_Toc326"/>
      <w:bookmarkEnd w:id="953"/>
      <w:r>
        <w:rPr>
          <w:rtl w:val="true"/>
        </w:rPr>
        <w:t>[</w:t>
      </w:r>
      <w:r>
        <w:rPr/>
        <w:t>7</w:t>
      </w:r>
      <w:r>
        <w:rPr>
          <w:rtl w:val="true"/>
        </w:rPr>
        <w:t xml:space="preserve">] </w:t>
      </w:r>
      <w:r>
        <w:rPr>
          <w:rtl w:val="true"/>
        </w:rPr>
        <w:t>التقیة فی الکتاب العزیز</w:t>
      </w:r>
      <w:bookmarkEnd w:id="954"/>
    </w:p>
    <w:p>
      <w:pPr>
        <w:pStyle w:val="BookText"/>
        <w:rPr/>
      </w:pPr>
      <w:r>
        <w:rPr>
          <w:rFonts w:ascii="IRNazanin" w:hAnsi="IRNazanin" w:eastAsia="IRNazanin"/>
          <w:color w:val="111111"/>
          <w:sz w:val="28"/>
          <w:sz w:val="28"/>
          <w:szCs w:val="28"/>
          <w:rtl w:val="true"/>
          <w:lang w:bidi="fa-IR"/>
        </w:rPr>
        <w:t xml:space="preserve">إنّ التقیة من المفاهیم القرآنیة الّتی وردت فی أکثر من موضع فی القرآن الکریم، و فی تلک الآیات إشارات واضحة إلی الموارد الّتی یلجأ فیها المؤمن إلی استخدام هذا المسلک الفطری خلال حیاته أثناء الظروف العصیبة لیصون بها نفسه و عرضه و ماله، أو نفس من یمت إلیه بصلة و عرضه و ماله، کما استعملها مؤمن آل فرعون لصیانة الکلیم عن القتل و التنکیل </w:t>
      </w:r>
      <w:r>
        <w:rPr>
          <w:rStyle w:val="FootnoteAnchor"/>
          <w:rtl w:val="true"/>
        </w:rPr>
        <w:footnoteReference w:id="793"/>
      </w:r>
      <w:r>
        <w:rPr>
          <w:rFonts w:ascii="IRNazanin" w:hAnsi="IRNazanin" w:eastAsia="IRNazanin"/>
          <w:color w:val="111111"/>
          <w:sz w:val="28"/>
          <w:sz w:val="28"/>
          <w:szCs w:val="28"/>
          <w:rtl w:val="true"/>
          <w:lang w:bidi="fa-IR"/>
        </w:rPr>
        <w:t>و غیر ذلک من الموارد، و إلیک بعض الآیات الدالّة علی مشروعیة التقیة بالمعنی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أنّه سبحانه یجوّز إظهار الکفر کرهاً و مجاراة للکافرین خوفاً منهم بشرط أن یکون القلب مطمئناً بالإیمان و صرّح بذلک لفیف من المفسّرین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أُناساً من أهل مکّة فتنوا فارتدّوا عن الإسلام بعد دخولهم فیه، و کان فیهم من أکره و أجری کلمة الکفر علی لسانه و هو معتقد للإیمان، منهم عمّار بن یاسر و 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سمیّة، و صهیب و بلال و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عمّار فأعطاهم ما أرادوا بلسانه مکرها</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جائزة للإنسان إلی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من أُکره علی الکفر حتی خشی علی نفسه القتل أنّه لا إثم علیه إن کفر و قلبه مطمئن بالإیمان، و لا تبین زوجته، و لا یحکم علیه بالکفر، هذا قول مالک و الکوفیّین و الشافعی</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 قال الخازن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لا تکون إلّا مع خوف القتل مع سلامة النیّة،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التقیة رخصة</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الآیة الثانیة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هذه الآیة أیضاً کأُختها ناصّة علی جواز التقیة، کما صرّح بذلک المفسّرون، کالطبری، و الزمخشری، و الرازی، و الآلوسی، و جمال الدین القاسمی، و المراغی و غیرهم، قال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استنبط العلماء من هذه الآیة جواز التقیة بأن یقول الإنسان أو یفعل ما یخالف الحق، لأجل التوقّی من ضرر یعود من الأعداء إلی النفس أو العرض أو المال</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الإجابة عن سؤال</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الآیتین راجعتان إلی تقیّة المسلم من الکافر، و لکنّ الشیعة تتّقی إخوانهم المسلمین، فکیف یستدلّ بهما علی صحّة عملهم؟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الآیتین و إن کان هو اتّقاء المسلم من الکافر، و لکنّ المورد لا یکون مخصِّصاً لحکم الآیة إذا کان الملاک موجوداً فی غیره، و قد عرفت أنّ وجه تشریع التقیّة هو صیانة النفس و العرض و المال من الهلاک </w:t>
      </w:r>
    </w:p>
    <w:p>
      <w:pPr>
        <w:pStyle w:val="BookText"/>
        <w:rPr/>
      </w:pPr>
      <w:r>
        <w:rPr>
          <w:rFonts w:ascii="IRNazanin" w:hAnsi="IRNazanin" w:eastAsia="IRNazanin"/>
          <w:color w:val="111111"/>
          <w:sz w:val="28"/>
          <w:sz w:val="28"/>
          <w:szCs w:val="28"/>
          <w:rtl w:val="true"/>
          <w:lang w:bidi="fa-IR"/>
        </w:rPr>
        <w:t>و الدمار، فإن کان هذا الملاک موجوداً فی غیر مورد الآیة، فیجوز، أخذاً بوحدة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إنّما تحلّ مع الکفّار الغالبین، إلّا أن مذهب الشافعی إنّ الحالة بین المسلمین إذا شاکلت الحالة بین المسلمین و الکافرین حلّت التقیّة محاماة عن النفس،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جائزة لصون النفس، و هل هی جائزة لصون المال؟ یحتمل أن یحکم فیها بالجواز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مال المسلم کحرمة دمه، 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قال المراغی فی تفسیر آیة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یدخل فی التقیة مداراة الکفرة و الظلمة و الفسقة، و الإنة الکلام لهم، و التبسّم فی وجوههم و بذل المال لهم، لکفّ أذاهم و صیانة العرض منهم، و لا یعدّ هذا من الموالاة المنهی عنها، بل هو مشروع، فقد أخرج الطبرانی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وقی المؤمن به عرضه فهو صدقة</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التاریخ بین أیدینا یحدّثنا بوضوح عن لجوء جملة معروفة من کبار المسلمین إلی التقیّة فی ظروف عصیبة، و خیر مثال علی ذلک ما أورده </w:t>
      </w:r>
    </w:p>
    <w:p>
      <w:pPr>
        <w:pStyle w:val="BookText"/>
        <w:rPr/>
      </w:pPr>
      <w:r>
        <w:rPr>
          <w:rFonts w:ascii="IRNazanin" w:hAnsi="IRNazanin" w:eastAsia="IRNazanin"/>
          <w:color w:val="111111"/>
          <w:sz w:val="28"/>
          <w:sz w:val="28"/>
          <w:szCs w:val="28"/>
          <w:rtl w:val="true"/>
          <w:lang w:bidi="fa-IR"/>
        </w:rPr>
        <w:t xml:space="preserve">الطبری فی تاریخه عن محاولة المأمون دفع وجوه القضاة و المحدّثین فی زمانه إلی الإقرار بخلق القرآن قسراً، و لما أبصر أولئک المحدّثون حدّ السیف مشهراً عمدوا إلی مصانعة المأمون فی دعواه و أسرّوا معتقدهم فی صدورهم، و لما عوتبوا علی ما ذهبوا إلیه من موافقة المأمون برَّروا عملهم بعمل عمَّار بن یاسر </w:t>
      </w:r>
      <w:r>
        <w:rPr>
          <w:rStyle w:val="FootnoteAnchor"/>
          <w:rtl w:val="true"/>
        </w:rPr>
        <w:footnoteReference w:id="802"/>
      </w:r>
      <w:r>
        <w:rPr>
          <w:rFonts w:ascii="IRNazanin" w:hAnsi="IRNazanin" w:eastAsia="IRNazanin"/>
          <w:color w:val="111111"/>
          <w:sz w:val="28"/>
          <w:sz w:val="28"/>
          <w:szCs w:val="28"/>
          <w:rtl w:val="true"/>
          <w:lang w:bidi="fa-IR"/>
        </w:rPr>
        <w:t>و القصة شهیرة و صریحة فی جواز اللجوء إلی التقیة الّتی دأب البعض علی التشنیع فیها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دفع بالشیعة إلی التقیّة بین إخوانهم و أبناء دینهم إنّما هو الخوف من السلطات الغاشمة، فلو لم یکن هناک فی غابر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عصر الأمویّین ثمّ العباسیّین و العثمانیّین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ضغط علی الشیعة، کان من المعقول أن تنسی الشیعة کلمة التقیة و أن تحذفها من دیوان حیاتها، و لکن یا للأسف أنّ کثیراً من إخوانهم کانوا أداة طیعة بید الأمویّین و العباسیّین الّذین کانوا یرون فی مذهب الشیعة خطراً علی مناصبهم فکانوا یؤلّبون العامّة من أهل السنّة علی الشیعة یقتلونهم و یضطهدونهم و ینکلون بهم، و نتیجة لتلک الظروف الصعبة لم یکن للشیعة، بل لکل من یملک شیئاً من العقل، وسیلة إلّا اللجوء إلی التقیّة أو رفع الید عن المبادئ المقدّسة الّتی هی أعلی عنده من نفسه و ماله و الشواهد علی ذلک أکثر من أن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التقیّة المحرَّمة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التقیة کما تجب لحفظ النفوس و الأعراض و الأموال، إنّها تحرم إذا </w:t>
      </w:r>
    </w:p>
    <w:p>
      <w:pPr>
        <w:pStyle w:val="BookText"/>
        <w:rPr/>
      </w:pPr>
      <w:r>
        <w:rPr>
          <w:rFonts w:ascii="IRNazanin" w:hAnsi="IRNazanin" w:eastAsia="IRNazanin"/>
          <w:color w:val="111111"/>
          <w:sz w:val="28"/>
          <w:sz w:val="28"/>
          <w:szCs w:val="28"/>
          <w:rtl w:val="true"/>
          <w:lang w:bidi="fa-IR"/>
        </w:rPr>
        <w:t>ترتّب علیها مفسدة أعظم، کهدم الدّین و خفاء الحقیقة علی الأجیال الآتیة، و تسلّط الأعداء علی شئون المسلمین و حرماتهم و معابدهم، و لأجل ذلک تری أنّ کثیراً من أکابر الشّیعة رفضوا التقیّة فی بعض الأحیان و قدّموا أنفسهم و أرواحهم أضاحی من أجل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الخمینی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تحرم التقیة فی بعض المحرمات و الواجبات الّتی تمثّل فی نظر الشارع و المتشرعة مکانة بالغة، مثل هدم الکعبة و المشاهد المشرفة، و الردّ علی الإسلام و القرآن، و التفسیر بما یفسّر المذهب و یطابق الإلحاد و غیرها من عظائم المحرمات، و لا تعمّها أدلّة التقیة و لا الاضطرار و لا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معتبرة مسعدة بن صدقة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یعمل المؤمن بینهم لمکان التقیة ممّا لا یؤدی إلی الفساد فی الدین فإنّه جائز</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کلمة لبعض المحقّقین من أهل السنّة</w:t>
      </w:r>
    </w:p>
    <w:p>
      <w:pPr>
        <w:pStyle w:val="BookText"/>
        <w:rPr/>
      </w:pPr>
      <w:r>
        <w:rPr>
          <w:rFonts w:ascii="IRNazanin" w:hAnsi="IRNazanin" w:eastAsia="IRNazanin"/>
          <w:color w:val="111111"/>
          <w:sz w:val="28"/>
          <w:sz w:val="28"/>
          <w:szCs w:val="28"/>
          <w:rtl w:val="true"/>
          <w:lang w:bidi="fa-IR"/>
        </w:rPr>
        <w:t>نختم المقال بنقل کلام للعلاّمة الشهرستانی حیث قال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التقیّة شعار کلّ ضعیف مسلوب الحرّیّة، إنّ الشیعة قد اشتهرت بالتقیة أکثر من غیرها لأنّها منیت باستمرار الضغط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أکثر من أیّة أمّة أخری، فکانت مسلوبة الحریة فی عهد الدولة الأمویة کلّه، و فی عهد العباسیّین علی طوله، و فی أکثر أیّام الدولة العثمانیّة، و لأجله استشعروا بشعار التقیّة أکثر من أیّ قوم، و لما کانت الشیعة تختلف عن الطوائف المخالفة لها فی قسم مهم من الاعتقادات فی أصول الدین و فی کثیر من الأحکام الفقهیة، و المخالفة تستجلب بالطبع رقابة، و تصدّقه التجارب، لذلک أصبحت الشّیعة مضطرّة فی أکثر الأحیان إلی کتمان ما تختصّ به من عادة أو عقیدة أو فتوی، و کتاب أو غیر ذلک، تبتغی بهذا الکتمان صیانة النفس و النفیس، و المحافظة علی الوداد و الأخوّة مع سائر إخوانهم المسلمین لئلاّ تنشقّ عصا الطاعة، و لکی لا یحسّ الکفّار بوجود اختلاف ما فی المجتمع الإسلامی فیوسع الخلاف بین الأُمّة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کانت التقیة شعاراً لآل البیت علیهم السلام دفعاً للضرر عنهم و من أتباعهم و حقنا لدمائهم و استصلاحاً لحال المسلمین و جمعاً لکلمتهم و لمّاً لشعثهم، و ما زالت سمة تعرف بها الإمامیة دون غیرها من الطوائف و الأُمم، و کلّ إنسان إذا أحسّ بالخطر علی نفسه، أو ماله بسبب نشر معتقده، أو التظاهر به لا بدّ أن یکتم و یتّقی مواضع الخطر، و هذا أمر تقتضیه فطرة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قال </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أسأل اللّه تعالی البصیرة فی الدین و توحید صفوف المسلمین فی سبیل الحق و الیقین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bookmarkStart w:id="955" w:name="pg2866_38500"/>
    </w:p>
    <w:p>
      <w:pPr>
        <w:pStyle w:val="Heading2"/>
        <w:numPr>
          <w:ilvl w:val="1"/>
          <w:numId w:val="1"/>
        </w:numPr>
        <w:rPr/>
      </w:pPr>
      <w:bookmarkStart w:id="956" w:name="__RefHeading___Toc2820024_1395250215"/>
      <w:bookmarkStart w:id="957" w:name="_Toc327"/>
      <w:bookmarkEnd w:id="955"/>
      <w:bookmarkEnd w:id="956"/>
      <w:r>
        <w:rPr>
          <w:rtl w:val="true"/>
        </w:rPr>
        <w:t>فهرس المصادر</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کلام اللّه جلّ جلاله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کلور مونسما، المترجم، أحمد آرام، انتشارات حقیقت،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السیوطی، جلال الدین عبد الرحمن بن أبی بکر، منشورات الرضی،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الصدوق، أبو جعفر محمد بن علی بن الحسین بن بابویه، مؤسسة الأعلمی للمطبوعات،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القرآن،الجصّاص، أحمد بن علی الرازی، دار الکتاب العربی، بیروت،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إلجاء العوام عن علم الکلام، الغزالی، أبو حامد محمد بن محمد بن محمد الطوسی، دار الکتاب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الإلهیات علی هدی الکتاب و السنة و العقل ، السبحانی ، جعفر، </w:t>
      </w:r>
    </w:p>
    <w:p>
      <w:pPr>
        <w:pStyle w:val="BookText"/>
        <w:rPr/>
      </w:pPr>
      <w:r>
        <w:rPr>
          <w:rFonts w:ascii="IRNazanin" w:hAnsi="IRNazanin" w:eastAsia="IRNazanin"/>
          <w:color w:val="111111"/>
          <w:sz w:val="28"/>
          <w:sz w:val="28"/>
          <w:szCs w:val="28"/>
          <w:rtl w:val="true"/>
          <w:lang w:bidi="fa-IR"/>
        </w:rPr>
        <w:t xml:space="preserve">الدار الإسلامیة،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الطباطبائی، السید محمد حسین، دار العلم، قم المقدسة،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الأسفار الأربعة فی الحکمة الإلهیة، صدر الدین محمد بن ابراهیم الشیرازی، مکتبة المصطفوی،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الإبانة عن أُصول الدیانة، الأشعری، ابو الحسن علی بن إسماعیل، مکتبة دار البیان، السوریة،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التقدیس، فخر الدین الرازی، أبو عبد اللّه محمد بن عمر بن الحسین، مکتبة العبیکان، الریاض،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فی الاعتقاد، الغزالی، أبو حامد محمد بن محمد بن محمد الطوسی، دار مکتبة الهلال،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أجود التقریرات، الإمام الخوئی، السید أبو القاسم، مکتبة المصطفوی،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فی دین الإمامیة، الصدوق، أبو جعفر محمد بن علی بن الحسین بن بابویه، المطبعة العلمیّة،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إظهار الحق، الهندی، الشیخ رحمة اللّه بن خلیل الرحمن، دار الفکر، القاهرة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فی تمییز الصحابة، ابن حجر العسقلانی، أحمد بن علی، دار الکتب العلمیة،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ابن الأثیر، عز الدین علی بن محمد الجزری، تحقیق علی محمد معوّض، و عادل أحمد عبد الموجود،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الدین، البغدادی، أبو منصور عبد القاهر بن طاهر تمیمی، دار 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 السیاسة، ابن قتیبة الدینوری، عبد اللّه بن مسلم،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فی المذاهب و المختارات، الشیخ المفید، محمد بن محمد بن نعمان، المؤتمر العالمی للشیخ المفید،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الملکوت فی شرح الیاقوت، العلامة الحلّی، جمال الدین الحسن بن یوسف، منشورات الرضی،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السنة، السبحانی، جعفر، مؤسسة الإمام الصادق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الأحکام السلطانیة، الماوردی، أبو الحسن علی بن محمد بن حبیب البصری البغدادی،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التنزیل و أسرار التأویل، البیضاوی، ناصر الدین أبو سعید عبد الله بن عمر بن محمد، مؤسسة الأعلمی،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 الجرجانی، عبد القاهر،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الطالبین، السیوری، مقداد بن عبد اللّه، مکتبة المرعشی النجفی، قم المقدسة،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علی صحة طول عمر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،الکراجکی، الشیخ ابو الفتح، ضمن کتاب کنز الفوائد، دار الذخائر،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البحرانی، السید هاشم، دار الکتب العلمیة،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 التبیین، الجاحظ، أبو عثمان عمرو بن بحر کنانی، عبد السلام محمد هارون، القاهرة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یدی الساعة، الدکتور عبد الباقی،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المجلسی، المولی محمد باقر، المکتبة الإسلامیة،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الحکمة، الطباطبائی، السید محمد حسین، المکتبة الطباطبائی،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الملل و النحل، السبحانی، جعفر، مؤسسة الإمام الصادق علیه السلام ، قم المقدسة،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الإمام الخوئی، السید أبو القاسم، أنوار الهدی، قم المقدسة،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الصدوق، أبو جعفر محمد بن علی بن حسین بن بابویه،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المنار، عبده، الشیخ محمد،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المراغی، المراغی، أحمد مصطفی،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الجرجانی، السید الشریف علی بن محمد، دار الفکر،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الأنبیاء، السید الشریف المرتضی، أبو القاسم علی بن الحسین الموسوی البغدادی، مکتبة بصیرتی،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الأمم و الملوک، الطبری، محمد بن جریر، مکتبة خیّاط،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الاعتقاد بصواب الانتقاد، الشیخ المفید، محمد بن محمد بن النعمان، انتشارات الرضی،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المحصّل، الطوسی، الخواجة نصیر الدین محمد بن محمد بن الحسن،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المذاهب الإسلامیة، أبو زهرة، محمّد، دار الفکر العربی، قاهرة،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الدمشقی، عماد الدین ابو الفداء اسماعیل، دار الأندلس،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حصر الاجتهاد، الطهرانی، الشیخ، آغا بزرگ،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الأمة و تنزیه الملّة، النائینی، الشیخ محمد حسین، شرکت سهامی انتشار،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الأوائل و تلخیص الدلائل، الباقلانی، القاضی أبو بکر محمد بن الطیّب، مؤسسة الکتب الثقافیة،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الأصول، السبحانی، جعفر، مطبعة مهر،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و عقاب الأعمال، الصدوق، أبو جعفر محمد بن علی بن حسین بن بابویه، مؤسسة الأعلمی للمطبوعات،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بینی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راسل، برتراند، سید حسن منصور، انتشارات آگاه،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الترمذی، أبو عیسی، دار الکتب العربی،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ابن الأثیر الجزری، علی بن محمد بن محمد بن عبد الواحد،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القرطبی، محمد بن أحمد، دار الکتاب العربی،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الأصفهانی، أبو نعیم أحمد بن عبد اللّه، قاهرة،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محمد صلی الله علیه و آله ، هیکل، محمد حسین، مکتبة النهضة المصریة، قاهرة،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الصدوق، أبو جعفر محمد بن علی بن حسین بن بابویه، المکتبة الإسلامیة،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الخطط المقریزیة، المقریزی، تقی الدین احمد بن علی، مکتبة مدبولی، قاهرة،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السیوطی، جلال الدین عبد الرحمن بن أبی بکر، حیدرآباد بالهند،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السیوطی، جلال الدین عبد الرحمن بن أبی بکر، دار 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المظفر، الشیخ محمد حسن، مکتبة النجاح،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القرن العشرین، فرید وجدی، محمد، دار المعرفة،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الذخیرة فی علم الکلام، السید الشریف المرتضی، ابو القاسم علی بن الحسین الموسوی البغدادی، مؤسسة النشر الإسلامی، قم المقدسة،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الإمام الخمینی، السید روح اللّه، مؤسسة اسماعیلیان، قم المقدسة،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التوحید، عبده، الشیخ محمد، دار ابن حزم،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الآلوسی، السید محمود،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عبد الملک بن هشام بن ایّوب الحمیری،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ابن ماجة القزوینی، محمد بن یزید، دار احیاء التراث العربی،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السجستانی، أبو داود سلیمان بن الأشعث،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الجرجانی، السید الشریف علی بن محمد، منشورات الشریف الرضی،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المنظومة، السبزواری، المولی هادی، النسخة الناصریة،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التجرید، القوشجی، المولی علی، منشورات الشریف الرضی، قم المقدسة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الأصول الخمسة، الهمدانی، القاضی عبد الجبار بن احمد،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العقائد النسفیة، التفتازانی، سعد الدین مسعود بن عمر بن عبد الله، مطبعة مولوی محمد عارف،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التفتازانی، سعد الدین مسعود بن عمر بن عبد الله، منشورات الشریف الرضی،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الإشارات، الطوسی، الخواجة نصیر الدین محمد بن محمد بن الحسن، دفتر نشر الکتاب،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العقائد العضدیة، الدوانی، جلال الدین، مع تعلیقات السید جمال الدین الأفغانی، مکتبة الشروق الدولیة، القاهرة،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العقیدة الطحاویة، الحنفی، ابن أبی العزّ، طبعة جدیدة، مخرّجة الأحادیث، کراچی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الإلهیات، ابن سینا، أبو علی حسین بن عبد الله، راجعه و قدّم له الدکتور ابراهیم مذکور، الجمهوریة العربیة المتحدة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البخاری، البخاری، محمد بن اسماعیل،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النیشابوری، مسلم بن الحجاج،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الأعشی، القلقشندی، احمد بن علی، دار الکتب العلمیة،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صیانة القرآن عن التحریف، معرفة، محمد هادی، دار القرآن الکریم،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الإمام علی بن الحسین زین العابدین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مؤسسة النشر الاسلامی،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الکاتب الواقدی، محمد بن أسعد، مکتبة العلوم و الحکم، المدینة المنوّرة،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الطراز المتضمن لأسرار البلاغة، العلوی، السید یحیی بن حمزة، مؤسسة النصر، طهران،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الصدوق، أبو جعفر محمد بن علی بن حسین بن بابویه، انتشارات جهان،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فی علم الکلام، سیف الدین الآمدی، أبو الحسن علی بن محمد بن سالم التغلبی، القاهرة،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فی الملل و الأهواء و النحل، ابن حزم، علی بن احمد الأندلسی، دار إحیاء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الإسلام، أمین المصری، أحمد، مکتبة النهضة المصریة، القاهرة،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الحضارة، ویل دورانت، زکی نجیب محمود،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العقائد، الطوسی، الخواجة نصیر الدین محمد بن محمد بن الحسن، تحقیق علی الربانی الگلپایگانی، مرکز مدیریة الحوزة العلمیة، بقم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المرام فی علم الکلام، البحرانی، کمال الدین میثم بن علی بن میثم، مکتبة المرعشی النجفی، قم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القواعد الکلامیة، الربانی الگلپایگانی، علی، مؤسسة الامام الصادق علیه السلام ، قم المقدسة،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الأثیر، علی بن أبی الکرم الشیبانی، مؤسسة التاریخ العربی،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الصدوق، أبو جعفر محمد بن علی بن حسین بن بابویه، مؤسسة النشر الإسلامی، 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علاء الدین علی،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الشبهات، محمد بن عبد الوهاب، فی مجموعة الجامع الفرید، المدینة المنورة،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العلاّمة الحلّی، الحسن بن یوسف، مؤسسة النشر الإسلامی، قم المقدسة،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الکلینی، محمد بن یعقوب، المکتبة الإسلامیة،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اللاهیجی، المولی عبد الرزاق، وزارة الثقافة و الإرشاد الإسلامی،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 فی الرد علی أهل الزیغ و البدع، الأشعری، أبو الحسن علی بن إسماعیل،</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اللوامع الإلهیة، السیوری، مقداد بن عبد اللّه، مکتب الإعلام الاسلامی، قم المقدسة،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الراغب الأصفهانی، الحسین بن محمد، المکتبة المرتضویة،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القرآن، السبحانی، جعفر، مؤسسة الامام الصادق علیه السلام ،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الشهرستانی، عبد الکریم،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المنقذ من التقلید، الحمصی الرازی، سدید الدین، مؤسسة النشر الإسلامی،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ابن فارس، أحمد، دار الفکر،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المغنی فی أبواب التوحید و العدل، الهمدانی، عبد الجبار ابن أحمد، دار الکتب،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السرویة، الشیخ المفید، محمد بن محمد بن النعمان، مصنفات الشیخ المفید، المجلد السابع،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الصافی الگلپایگانی، لطف اللّه، مکتبة الداوری،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الرسائل الکبریٰ، ابن تیمیة، أحمد بن عبد الحلیم بن عبد السلام، مکتبة محمد علی صبیح و أولاده، قاهرة،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فی علم الکلام، الإیجی، القاضی عضد الدین عبد الرحمن بن أحمد،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أبو جعفر محمد بن حسین ابن بابویه، دار الکتب الإسلامیة،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الأنوار، الشبّر، السید عبد اللّه، مکتبة بصیرتی،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العرفان فی علوم القرآن، الزرقانی، الشیخ محمد عبد العظیم، دار الحدیث، القاهرة،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النیشابوری، محمد بن عبد الله، دار الکتب العلمیة،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المسند، ابن حنبل، احمد بن محمد، شرحه احمد محمد شاکر، دار الحدیث، القاهرة،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ابن خلدون، دار القلم،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 العاملی، السید شرف الدین، دار الصادق،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الصدر، السید صدر الدین، انتشارات انصاریان،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علوم القرآن، الطبرسی، أبو علی الفضل بن الحسن، دار احیاء التراث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العلاّمة الطباطبائی، السید محمد حسین، مؤسسة الأعلمی،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السید الشریف الرضی، ابو الحسن محمد بن الحسین الموسوی البغدادی، سید کاظم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دشتی، نشر امام علی علیه السلام ، قم المقدسة،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العلامة الحلّی، الحسن بن یوسف، منشورات دار الهجرة،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 الاجتهاد، العاملی، السید شرف الدین، انتشارات اسوة،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الحکمة، الطباطبائی، السید محمد حسین، دار التبلیغ الإسلامی، قم المقدسة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الوحی المحمدی، رشید رضا، محمد، جمهوریة مصر العربیة، وزارة الأوقاف، القاهرة،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الفیض الکاشانی، المولی محسن، مکتبة الامام أمیر المؤمنین علیه السلام ،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 المنقری، نصر بن مزاحم، عبد السلام محمد هارون، مکتبة آیة اللّه العظمی مرعشی النجفی،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الهدیة السنیّة، محمد بن عبد الوهاب، فی مجموعة الجامع الفرید،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القندوزی الحنفی، الشیخ سلیمان، مؤسسة الأعلمی،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الیواقیت و الجواهر، الشعرانی، الشیخ عبد الوهّاب، دار إحیاء التراث العربی، بیروت</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8" w:name="pg2866_38521"/>
      <w:bookmarkStart w:id="959" w:name="pg2866_38521"/>
      <w:bookmarkEnd w:id="959"/>
    </w:p>
    <w:p>
      <w:pPr>
        <w:pStyle w:val="Heading2"/>
        <w:numPr>
          <w:ilvl w:val="1"/>
          <w:numId w:val="1"/>
        </w:numPr>
        <w:rPr/>
      </w:pPr>
      <w:bookmarkStart w:id="960" w:name="pg2866_38521"/>
      <w:bookmarkStart w:id="961" w:name="__RefHeading___Toc2820026_1395250215"/>
      <w:bookmarkStart w:id="962" w:name="_Toc328"/>
      <w:bookmarkEnd w:id="960"/>
      <w:bookmarkEnd w:id="961"/>
      <w:r>
        <w:rPr>
          <w:rtl w:val="true"/>
        </w:rPr>
        <w:t>فهرس المحتويات</w:t>
      </w:r>
      <w:bookmarkEnd w:id="962"/>
    </w:p>
    <w:p>
      <w:pPr>
        <w:pStyle w:val="BookText"/>
        <w:rPr/>
      </w:pPr>
      <w:r>
        <w:rPr>
          <w:rFonts w:ascii="Amiri" w:hAnsi="Amiri" w:eastAsia="Amiri" w:cs="Amiri"/>
          <w:color w:val="111111"/>
          <w:sz w:val="28"/>
          <w:sz w:val="28"/>
          <w:szCs w:val="28"/>
          <w:rtl w:val="true"/>
          <w:lang w:bidi="ar-SA"/>
        </w:rPr>
        <w:t>صورة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شکر المنعم لازماً فتجب معرفته، لکنّ المقدّم حقّ، فالتالی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حقّیّة المقدّم فلأنّه من البدیهیات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الملازمة فلأنّه أداء للشکر، و الإتیان به موقوف علی معرفة المنعم و هو واضح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هاهنا داعیاً آخر یدعو الإنسان إلی البحث عن وجود خالق العالم، و هو أنّ الإنسان بفطرته یبحث عن علل الحوادث، فما من حادثة إلّا و هو یفحص عن علّتها و یشتاق إلی الوقوف علیها، عندئذ ینقدح فی ذهنه السؤال عن علّة العالم و مجموع الحوادث، هل هناک علّة موجدة للعالم الکونی وراء العلل و الأسباب المادیّة أو لا؟ فالبحث عن وجود صانع العالم فطری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للعلاّمة الطباطبائی، المقالة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برهان النظم متفرّع علی قانون العلّیة، و أنّ کلّ حادثة فلها علّة محدثة لا محالة، و حینئذٍ یقع الکلام فی صفات تلک العلّة، فهل یجب أن تکون عالماً و قادراً و مختاراً أو لا یجب ذلک؟ و برهان النظم بصدد إثبات وجود هذه الصفات لعلّة الحوادث الکونیة و فاعلها، و هذا ما یرتئیه القرآن الکریم و الأحادیث الإسلامیة فی الدعوة إلی مطالعة الکون و التفکّر فی آیاته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الصَّدَر بالتحریک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المسافر من مقصده، أی تجمع فی أیّام التمکّن من الحرکة لأیّام العجز عنها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هذا و للإمام علیه السلام وصف رائع لخلقة النحل و الخفّاش و الطاووس یستدل به علی وجود الخالق و قدرته و علمه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DavideHume</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Dialogues Concerning Natural Religion</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الشرور الطبیعیة تابعاً لقوانین کونیة و ناشئاً عن أسباب طبیعیة خاصّة راجع إلی النظم العلی، و النظم المقصود فی برهان النظم هو النظم الغائی، و الشرور توجب اختلال النظم بهذا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النظم الغائی هی أنّ هناک تلاؤماً و انسجاماً سائداً فی الأشیاء تتّجه إلی غایة مخصوصة و کمال مناسب لها، و إن کان قد یتخلّف بعروض مانع عن الوصول إلی الغایة کما فی فرض الشرور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وجود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یحتوی الکتاب علی مقالات من أربعین من المتمهرین فی العلوم المختلفة، جمعها العالم المسیحی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کلور مونسما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الکتاب باللّغة الإنجلیزیة ترجمه الی الفارسیة أحمد آرام و قد ترجم باللّغة العربیة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یتجلّی فی عصر العلم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الحدوث الزمانی للعالم المادّی لا ینحصر فیما ذکر فی المتن من طریق العلم التجریبی، بل هناک طریق أدقّ منه اکتشفها الفیلسوف الإسلامی العظیم صدر المتألهین قدس سره علی ضوء ما أثبته من الحرکة الجوهریة للمادّة، قال فی رسالة الحدوث بعد إثبات الحرکة الجوهریة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علَّمناک و هدیناک طریقاً عرشیاً لم یسبقنا أحد من المشهورین بهذه الصناعة النظریّة فی إثبات حدوث العالم الجسمانی بجمیع ما فیه من السّماوات و الأرضین و ما بینهما حدوثاً زمانیاً تجدّدیاً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لشیخنا الأستاذ، دام ظلّه، تحقیق جامع حول مسألة الحرکة الجوهریة و ما یترتب علیها من حدوث عالم المادّة،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الکون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llessurdnartreB</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1872 - 1920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ریاضی إنجلیزیّ أصل الکتاب باللّغة الإنجلیزیة ترجمه إلی الفارسیة سیّد حسن منصور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 بینی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الماهیة تطلق علی 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ما یقال فی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الحقیقیة و یعبَّر عنها بالذات و الحقیقة أیضاً، و ثانیهما ما یکون به الشیء هو هو بالفعل، أی الهویّة، و المراد من نفی الماهیة عنه سبحانه هو المعنی الأوّل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 الحضارة، ویل دورانت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أبو هاشم الجبّائی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للوقوف علی آرائهم فی هذا المجال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لشیخنا الأُستاذ السبحانی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إلی ما ذکرنا أشار الحکیم السبزواری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وجود و لو کان إمکانیاً خیر بذاته و خیر بمقایسته إلی غیره، و هذه المقایسة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مقایسته إلی علّته، فإنّ کلّ معلول ملائم لعلّته المقتضیة إیّاه، و ثانیهما مقایسته إلی ما فی عرضه ممّا ینتفع به، و فی هذه المقایسة الثانیة یقتحم شرٌّ ما فی بعض الأشیاء الکائنة الفاسدة فی أوقات قلیلة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الفریدة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غرر فی دفع شبهة الثنویة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الشرور إنّما تتحقّق فی الأمور المادّیة و تستند إلی قصور الاستعدادات علی اختلاف مراتبها، لا إلی إفاضة مبدأ الوجود، فانّ علّة العدم عدم، کما أنّ علّة الوجود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تعلّقت به کلمة الإیجاد و الإرادة الإلهیّة و شمله القضاء بالذات فی الأمور الّتی یقارنها شیء من الشرّ انما هو القدر الّذی تلبّس به من الوجود حسب استعداده و مقدار قابلیته، و أمّا العدم الّذی یقارنه فلیس إلّا مستنداً إلی عدم قابلیته و قصور استعداده، نعم ینسب إلیه الجعل و الإفاضة بالعرض لمکان نوع من الاتحاد بینه و بین الوجود الّذی یقارنه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قلیل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المشرکون فی عصر الرسالة و ان کانوا معترفین بربوبیته تعالی بالنسبة إلی التدبیر الکلّی لنظام العالم، کما یستفاد من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یونس و نحوها، لکنّهم کانوا معتقدین بربوبیة ما کانوا یعبدونه من الآلهة کما یدلّ علیه بعض الآیات القرآنیة، کالآیة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یس، و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انظر ایضاً تفسیر المراغی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الفصل الثانی،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فی الدنیا فهو النور الّذی اشار إلیه سبحانه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مَنْ کٰانَ مَیْتاً فَأَحْیَیْنٰاهُ وَ جَعَلْنٰا لَهُ نُوراً یَمْشِی بِهِ فِی النّٰاسِ کَمَنْ مَثَلُهُ فِی الظُّلُمٰاتِ لَیْسَ بِخٰارِجٍ مِنْهٰا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الآخرة فهو ما اشار إلیه سبحانه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تَرَی الْمُؤْمِنِینَ وَ الْمُؤْمِنٰاتِ یَسْعیٰ نُورُهُمْ بَیْنَ أَیْدِیهِمْ وَ بِأَیْمٰانِهِمْ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سبحانه وصف نفسه بالبصیر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بالسمیع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فی الکتاب العزیز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 الأوّل للمتکلمین و الثانی للفلاسفة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و الدفع، النمو و الرشد، التوالد و التکاثر، الحرکة و ردّة الفعل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للوقوف علی جمیع اقوال الحکماء و المتکلّمین فی تفسیر ارادته تعالی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الطوسی بتعلیقات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أنوار الملکوت فی شرح الیاقوت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الإرادة،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أفاده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إرادته تعالی یوافق نظریة العلاّمة الطباطبائی قدس سره فإنّه أیضاً ناقش الرأی المشهور عند الفلاسفة من تفسیر الإرادة بالعلم بالنظام الأصلح، ثمّ أثبت للّه تعالی اختیارا ذاتیاً، ثمّ بیّن أنّ الإرادة بمعناها المعهود عندنا إنمّا یصحّ إطلاقها علی اللّه تعالی بعد التجرید عن النواقص، بما هی صفة فعلیة منتزعة عن مقام فعله سبحانه، نظیر الخلق و الإیجاد و الرحمة، و ذلک باعتبار تمامیة الفعل من حیث السبب و حضور العلّة التامة للفعل کما یقال عند مشاهدة جمع الفاعل أسباب الفعل لیفعل، إنه یرید کذا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نهایة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بدایة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الإرادة،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المنقذ من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المنقذ من التقلید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علاقة الإثبات و التفویض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إلجاء العوام عن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المذاهب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أساس التقدیس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انّ هذه الآیات و إن کانت متشابهة فی بادئ الرأی و قبل إرجاعها إلی المحکمات، لکنّها تصیر محکمة بعد إرجاعها إلیها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استوفی شیخنا الاستاذ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أقسام التأویل فی مقدمة الجزء الخامس من موسوعته القرآنیة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شَیْءٍ هٰالِکٌ إِلاّٰ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اصْنَعِ الْفُلْکَ بِأَعْیُنِنٰا وَ وَحْیِنٰا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تَقُولَ نَفْسٌ یٰا حَسْرَتیٰ عَلیٰ مٰا فَرَّطْتُ فِی جَنْبِ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جٰاءَ رَبُّکَ وَ الْمَلَکُ صَفًّا صَفًّا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فَأَتَی اللّٰهُ بُنْیٰانَهُمْ مِنَ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 اللّٰهِ فَوْقَ أَیْدِیهِمْ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لاَبْتَغَوْا إِلیٰ ذِی الْعَرْشِ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أنوار الملکوت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الرکن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التجرید للفاضل القوشجی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إبطال الرؤیة؛ التوحید، الباب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یراجع أیضاً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نفی الرؤیة و تأویل الآیات فیها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المقاییس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أسماء اللّه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أسماء اللّه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النکت الاعتقادیة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المنقذ من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تقدّم فی الدلیل الأوّل من عدم إثبات حسن فعل أو قبحه مطلقاً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ثمّ إنّ هناک أدلّة أخری لإثبات عقلیة الحسن و القبح طوینا الکلام عنها لرعایة الاختصار، للطالب أن یراجع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شئت الوقوف التّام علی مجموع دلائل الأشاعرة راجع القواعد الکلامیّة، بقلم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إلی ذلک أشار المحقّق الطوسی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نفی الغرض یستلزم العبث و لا یلزم عوده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المقصد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من فعله المطلق العالم الإمکانی إذا لوحظ جملة واحدة، و المراد من فعله الأوّل الصّادر الأول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إرشاد الطالبین إلی نهج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أصحاب ضرار بن عمرو، و قد ظهر فی أیّام واصل بن 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أصحاب الحسین بن محمد بن عبد اللّه النجّار، و له مناظرات مع النّظام، توفّی عام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نقل بالمعنی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کلامه فی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بشکل أدق خیرة الحکماء و الإمامیة جمعاء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الیواقیت و الجواهر فی بیان عقیدة الأکابر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یرید من الکسب، الإیجاد و الخلق لا الکسب المصطلح عند الأشاعرة، کما هو واضح لمن لاحظ کلامه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فی أصول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الإرادة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الإرادة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 و الخصال و العیون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نقلاً عن المحاسن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العدل و المعاد،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القدریّة أسلاف المعتزلة و هم الّذین أنکروا القدر الإلهی السابق المتعلق بأفعال العباد الاختیاریة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العدل و المعاد، الحدیث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المثال ذکره المحقق الخوئی قدس سره فی تعالیقه القیمة علی أجود التقریرات، و محاضراته الملقاة علی تلامیذه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أمثلة أخری لتقریب نظریة الأمر بین الأمرین،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الثانی،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 منّا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تعلیقة العلاّمة الطباطبائی قدس سره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بتلخیص و تصرّف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المقاییس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 قضی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فی توحیده بتغییر یسیر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علی علیه السلام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یؤمن عبد حتی یؤمن بأربعة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یشهد أن لا إله إلّا اللّه وحده لا شریک له، و أنّی رسول اللّه بعثنی بالحقّ، و حتی یؤمن بالبعث بعد الموت و حتی یؤمن بالقدر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بسنده عن أبی أمامة الصحابی،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لا ینظر اللّه إلیهم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و منان، و مکذّب بالقدر، و مدمن 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الترمذی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یؤمن عبد حتی یؤمن بالقدر خیره و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الأُصول، ابن الأثیر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کتاب القدر، الحدیث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سیوافیک انّ النبیّ الأکرم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 ما رواه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لفظ البداء فی نفس ذاک المعنی الّذی تتبنّاه الإمامیة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لاحظ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القول فی البداء و المشیئة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البداء،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نقلاً عن أمالی الطوسی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تعالی حکایة عن المشرکین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اتَّخَذُوا مِنْ دُونِهِ أَوْلِیٰاءَ مٰا نَعْبُدُهُمْ إِلاّٰ لِیُقَرِّبُونٰا إِلَی اللّٰهِ زُلْفیٰ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قاله النبی عند دعوة أقاربه إلی الإسلام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علی مدارک أدلّة البراهمة،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شرح التجرید للفاضل القوشجی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التجرید للفاضل القوشجی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تختصّ المعجزة بدعوی النبوّة، بل یعمّها و دعوی الإمامة و غیرها من الدعاوی الإلهیة، کدعوی المسلم أنّ شریعة الإسلام هی الحق دون غیرها من الشرائع، و یقوم بالمباهلة، فذلک معجزة البتة، فالصحیح فی تعریف المعجزة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الفعل الخارق للعادة الّذی یأتی به من یدّعی منصباً أو مقاما إلهیاً شاهداً علی صدق دعواه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النظریّة مأثورة عن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إمیل درمنغام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الوحی المحمدی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السید محمّد رشید رضا،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لفرید وجدی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المفردات فی غریب القرآن؛ کتاب العین، مادة عصم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ارشاد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التعاریف المذکورة للعصمة غیر شاملة للعصمة عن السّهو و الجهل، و إن شئت قلت العصمة العلمیّة، و حقیقتها ترجع الی معرفة کاملة و جامعة بالمعارف و الأحکام الإلهیة و ما یتعلّق بشئون هدایة العباد فی مصالحهم الدینیة و الدنیویة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قلیل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أقام المتکلّمون علی عصمة الأنبیاء دلائل کثیرة، فذکر المحقق الطوسی ثلاثة، و أضاف إلیها القوشجی دلیلین آخرین، و ذکر الإیجی تسعة أدلة، غیر أنّ بعضها لیس دلیلاً عاماً، بل یختص بعصمتهم بعد البعثة، 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التجرید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علی أقوالهم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مصابیح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 سبع و ثلاثون آیة من سورة فصّلت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القصة طویلة ذکرنا موضع الحاجة منها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للزرقانی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 هناک مناقشات أُخری علی نظریة الصرفة مذکورة فی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للسید العلاّمة الطباطبائی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لشیخنا الأستاذ السبحانی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للعلاّمة السید 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الرعد لشیخنا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أسرار آفرینش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أَسٰاطِیرُ الْأَوَّلِینَ اکْتَتَبَهٰا فَهِیَ تُمْلیٰ عَلَیْهِ بُکْرَةً وَ أَصِیلاً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نَعْلَمُ أَنَّهُمْ یَقُولُونَ إِنَّمٰا یُعَلِّمُهُ 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فیه وجوهاً فعن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قریش إنّما یعلّمه بلعام ، و کان قیناً بمکّة رومیاً نصرانیاً، و قال 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سلمان الفارسی،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یتعلّم القصص منه، و قیل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علی نماذج من هذه الخرافات و الأباطیل فی بیان قصص الأنبیاء،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المقاییس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ختم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أخرجه البخاری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ابن ماجة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الحاکم فی مستدرکه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أحمد بن حنبل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الإمامیّة فقد أصفقوا علی نقله فی مجامعهم الحدیثیة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علیها و علی أجوبتها،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الخطط المقریزیة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حصر الاجتهاد، للعلاّمة الطهرانی، و دائرة المعارف لفرید وجدی،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الأمة و تنزیه الملَّة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الحکم، 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کفی فی ذلک أنّ دار التقریب بین المذاهب الإسلامیة قامت بنشر رسالة جمعت فیها مصادر الحدیث، و نذکر من طرقه الکثیرة ما یلی،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قام المحدّث الکبیر السید حامد حسین الهندی قدس سره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 طرق الحدیث و نقل کلمات الأعاظم حوله، و نشره فی ستة أجزاء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المحدثون عن النبیّ صلی الله علیه و آله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 أهل بیتی فی أمّتی کمثل سفینة نوح، من رکبها نجا، و 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الخصائص الکبری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طرق و مسانید کثیرة من أراد الوقوف علیها، فعلیه بتعالیق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أصله أَءْممِة وزان أمثلة فادغمت المیم فی المیم بعد نقل حرکتها إلی الهمزة و بعض النّحاة یبدّلها یاء للتخفیف</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کتاب الألف، مادة أُمّ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هذان التعریفان ذکرهما عضد الدین الإیجی فی کتاب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اختاره ابن خلدون فی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 بین المسألة الکلامیّة و الفقهیّة هو موضوعها، فموضوع المسألة الکلامیة هو وجود اللّه تعالی أو صفاته و أفعاله، و موضوع المسألة الفقهیة هو أفعال المکلفین من البشر، و نصب الإمام عند الإمامیة فعل اللّه تعالی، و أما عند أهل السنّة فتعیین الإمام وظیفة المسلمین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منصور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الحسن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ابن حزم الأندلسی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شرح العقائد النسفیة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قد حذف الرضی فی نهج البلاغة من الرسالة ما لا یهمّه، فإنّ عنایته کانت بالبلاغة فحسب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لمحمّد حسین هیکل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الحکم،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الشفاء الإلهیات، المقالة العاشرة، الفصل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 المقصد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الاضطرار الی الحجّة،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الأُصول لابن أثیر الجزری،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الطبعة الثانیة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الطبری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الجصّاص فی أحکام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السیوطی فی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 حسّان بن ثابت فی ذلک أبیاته المعروفة، و هی، أبا حسن تفدیک نفسی و مهجتی و کلّ بطی فی الهدی و مسارع أ یذهب مدحی و المحبین ضائعاً و ما المدح فی ذات الإله بضائع فأنت الّذی أعطیت إذ أنت راکع فدتک نفوس القوم یا خیر راکع بخاتمک المیمون یا خیر سید و یا خیر شار ثمّ یا خیر بائع فأنزل فیک اللّه خیر ولایة و بیّنها فی محکمات الشرائع</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الإشکال للرازی فی 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من أصحاب الصحاح، البخاری فی غزوة تبوک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مسلم فی فضائل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فی فضائل أصحاب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الإمام أحمد فی غیر مورد من مسنده،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کلّ من تعرّض لغزوة تبوک من المحدّثین و أهل السیر و الأخبار، و نقله کلّ من ترجم علیاً من أهل المعاجم فی الرجال من المتقدمین و المتأخرین علی اختلاف مشاربهم و مذاهبهم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الأحادیث المسلّمة فی کلّ خلف من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أثبت الآثار و 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فحدیث المنزلة ممّا لا ریب فی ثبوته بإجماع المسلمین علی اختلافهم فی المذاهب و المشارب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المراجعة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قولهم فی کتاب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موزَّعین حسب قرونهم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علی هدی الکتاب و السنة و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للعلامة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الأخیر عشرین قرینة متصلة و منفصلة علی ذلک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أخرجه البخاری فی غیر مورد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کتابة العلم،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 الإمام 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الشروط؛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صلح الحدیبیة؛ و 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النصّ و الاجتهاد للسید الإمام شرف الدین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الاستخلاف ؛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الإمارة، باب الناس تبع لقریش ؛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ط استنبول،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و ابناه الحسن و الحسین سیّدا شباب أهل الجنّة، و علی بن الحسین السجاد، و محمّد بن علی الباقر، و جعفر بن محمّد الصادق، و موسی بن جعفر الکاظم، و علی بن موسی الرضا، و محمّد بن علی التقی، و علی بن محمّد النقی، و الحسن بن علی العسکری، و حجّة العصر المهدی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علیهم أجمعین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کفایة الأثر، لعلی بن محمد بن الحسن الخزاز القمی من علماء القرن الرابع؛ إثبات الهداة للشیخ الحرّ العاملی، و هو أجمع کتاب فی هذا الموضوع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ألّف غیر واحد من أعلام السنّة کتباً حول الإمام المهدی علیه السلام ، منهم، الحافظ أبو نعیم الأصفهانی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الکنجی الشافعی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 علی المتّقی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علامات مهدی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عباد بن یعقوب الرواجنی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السیوطی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الوردی فی أخبار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حجر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المختصر فی علامات 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جمال الدین الدمشقی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الورد فی أخبار الإمام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 قدیماً و حدیثاً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أخیراً نشر شخص یدعی أحمد المصری رسالة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و المهدویة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أحادیث المهدی، و أنکر تلک الأحادیث الهائلة البالغة فوق حدّ التواتر، جهلاً منه بالسنّة و الحدیث</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نزول عیسی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نزول عیسی بن مریم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الدکتور عبد الباقی، بین یدی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التوراة، سفر التکوین، الإصحاح الخامس، الجملة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ذکر هناک أعمار آدم، و شیث و نوح و غیرهم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علی صحّة طول عمر الإمام صاحب الزمان، ملحق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أیضاً الجزء الثانی لاحظ فی ذکر المعمّرین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المقتطف، الجزء الثالث من السنة التاسعة و الخمسین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الوقوف علی هذه العلائم،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المهدی، للسید صدر الدین الصدر؛ و منتخب الأثر للطف اللّه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المسائل السرویة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ذلک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إثابة الجمیع، و عقوبة الجمیع، و ترکهم سدی من دون أن یحشروا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 المقصد السادس، المسألة الرابعة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أُصول الفلسفة، للعلاّمة الطباطبائی، المقالة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فرض عوده مع کلّ من الآکل و المأکول فهو ساقط رأساً، لأنّه محال عقلاً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 لابن میثم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أحوال البرزخ،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الوراء فی الآیة بمعنی الامام کما فی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وَرٰاءَهُمْ مَلِکٌ یَأْخُذُ کُلَّ سَفِینَةٍ غَصْباً</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أحوال البرزخ، الحدیث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للأشعری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الاعتقادات للشیخ الصدوق،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الاعتقاد فی الحساب و الموازین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معناها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و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المسألة الرابعة عشرة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السادس،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للصدوق، باب الثلاثة، الحدیث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أرد التبسط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شرح العقائد النسفیة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أنوار التنزیل للبیضاوی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مفاتیح الغیب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مجموعة الرسائل الکبری، لابن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الشبهات لمحمد بن 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المقاییس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المراد، المقصد السادس،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السادس،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الدلیل للعلاّمة الحلی،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لاحظ أیضاً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معناها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و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العقائد العضدیة، لجلال الدین الدوانی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الطبعة الثانیة؛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الجنة، الأحادیث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المقصد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 و منشور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هو تفسیر موضوعی للقرآن الکریم لشیخنا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إرشاد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المواقف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للفیض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الکفر و الشرک، باب أصناف الناس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الإیمان، الحدیث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خصال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الحدیث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فی ذلک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 بالکتاب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لشیخنا الأُستاذ السبحانی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لهم علی إبطال مزعمة التحریف وجوه عدیدة یطول المقام بذکرها، راجع فی ذلک، مقدمة تفسیر آلاء الرحمن للعلاّمة البلاغی؛ و تفسیر المیزان للعلاّمة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تفسیر البیان للمحقّق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إظهار الحق للعلاّمة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صیانة القرآن عن التحریف للأُستاذ محمد هادی معرفة، فإنّ فیها غنی و کفایة لطالب الحق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 فی دین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الاعتقاد فی مبلغ القرآن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الطرابلسیات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المقدمة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الشهادة تکون عند الحاکم فی ولایة القضاء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التعلیقة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سائر الکتب الرجالیة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فی تفسیر سورة النور، مشاجرة سعد بن معاذ مع سعد بن عبادة فی قضیة الإفک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الفضائل، الحدیث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جمیع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الأستاذ داود حنفی المصری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لاحظ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المراغی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المراغی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المرشد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3.jpeg"/><Relationship Id="rId517" Type="http://schemas.openxmlformats.org/officeDocument/2006/relationships/image" Target="media/image3.jpeg"/><Relationship Id="rId518" Type="http://schemas.openxmlformats.org/officeDocument/2006/relationships/footer" Target="footer511.xml"/><Relationship Id="rId519" Type="http://schemas.openxmlformats.org/officeDocument/2006/relationships/image" Target="media/image4.jpeg"/><Relationship Id="rId520" Type="http://schemas.openxmlformats.org/officeDocument/2006/relationships/image" Target="media/image4.jpeg"/><Relationship Id="rId521" Type="http://schemas.openxmlformats.org/officeDocument/2006/relationships/footer" Target="footer512.xml"/><Relationship Id="rId522" Type="http://schemas.openxmlformats.org/officeDocument/2006/relationships/image" Target="media/image5.jpeg"/><Relationship Id="rId523" Type="http://schemas.openxmlformats.org/officeDocument/2006/relationships/image" Target="media/image5.jpeg"/><Relationship Id="rId524" Type="http://schemas.openxmlformats.org/officeDocument/2006/relationships/footer" Target="footer513.xml"/><Relationship Id="rId525" Type="http://schemas.openxmlformats.org/officeDocument/2006/relationships/image" Target="media/image6.jpeg"/><Relationship Id="rId526" Type="http://schemas.openxmlformats.org/officeDocument/2006/relationships/image" Target="media/image6.jpeg"/><Relationship Id="rId527" Type="http://schemas.openxmlformats.org/officeDocument/2006/relationships/footer" Target="footer514.xml"/><Relationship Id="rId528" Type="http://schemas.openxmlformats.org/officeDocument/2006/relationships/image" Target="media/image7.jpeg"/><Relationship Id="rId529" Type="http://schemas.openxmlformats.org/officeDocument/2006/relationships/image" Target="media/image7.jpeg"/><Relationship Id="rId530" Type="http://schemas.openxmlformats.org/officeDocument/2006/relationships/footer" Target="footer515.xml"/><Relationship Id="rId531" Type="http://schemas.openxmlformats.org/officeDocument/2006/relationships/image" Target="media/image8.jpeg"/><Relationship Id="rId532" Type="http://schemas.openxmlformats.org/officeDocument/2006/relationships/image" Target="media/image8.jpeg"/><Relationship Id="rId533" Type="http://schemas.openxmlformats.org/officeDocument/2006/relationships/footer" Target="footer516.xml"/><Relationship Id="rId534" Type="http://schemas.openxmlformats.org/officeDocument/2006/relationships/image" Target="media/image9.jpeg"/><Relationship Id="rId535" Type="http://schemas.openxmlformats.org/officeDocument/2006/relationships/image" Target="media/image9.jpeg"/><Relationship Id="rId536" Type="http://schemas.openxmlformats.org/officeDocument/2006/relationships/footer" Target="footer517.xml"/><Relationship Id="rId537" Type="http://schemas.openxmlformats.org/officeDocument/2006/relationships/image" Target="media/image10.jpeg"/><Relationship Id="rId538" Type="http://schemas.openxmlformats.org/officeDocument/2006/relationships/image" Target="media/image10.jpeg"/><Relationship Id="rId539" Type="http://schemas.openxmlformats.org/officeDocument/2006/relationships/footer" Target="footer518.xml"/><Relationship Id="rId540" Type="http://schemas.openxmlformats.org/officeDocument/2006/relationships/image" Target="media/image11.jpeg"/><Relationship Id="rId541" Type="http://schemas.openxmlformats.org/officeDocument/2006/relationships/image" Target="media/image11.jpeg"/><Relationship Id="rId542" Type="http://schemas.openxmlformats.org/officeDocument/2006/relationships/footer" Target="footer519.xml"/><Relationship Id="rId543" Type="http://schemas.openxmlformats.org/officeDocument/2006/relationships/image" Target="media/image12.jpeg"/><Relationship Id="rId544" Type="http://schemas.openxmlformats.org/officeDocument/2006/relationships/image" Target="media/image12.jpeg"/><Relationship Id="rId545" Type="http://schemas.openxmlformats.org/officeDocument/2006/relationships/footer" Target="footer520.xml"/><Relationship Id="rId546" Type="http://schemas.openxmlformats.org/officeDocument/2006/relationships/image" Target="media/image13.jpeg"/><Relationship Id="rId547" Type="http://schemas.openxmlformats.org/officeDocument/2006/relationships/image" Target="media/image13.jpeg"/><Relationship Id="rId548" Type="http://schemas.openxmlformats.org/officeDocument/2006/relationships/footer" Target="footer521.xml"/><Relationship Id="rId549" Type="http://schemas.openxmlformats.org/officeDocument/2006/relationships/image" Target="media/image14.jpeg"/><Relationship Id="rId550" Type="http://schemas.openxmlformats.org/officeDocument/2006/relationships/image" Target="media/image14.jpeg"/><Relationship Id="rId551" Type="http://schemas.openxmlformats.org/officeDocument/2006/relationships/footer" Target="footer522.xml"/><Relationship Id="rId552" Type="http://schemas.openxmlformats.org/officeDocument/2006/relationships/image" Target="media/image15.jpeg"/><Relationship Id="rId553" Type="http://schemas.openxmlformats.org/officeDocument/2006/relationships/image" Target="media/image15.jpeg"/><Relationship Id="rId554" Type="http://schemas.openxmlformats.org/officeDocument/2006/relationships/footer" Target="footer523.xml"/><Relationship Id="rId555" Type="http://schemas.openxmlformats.org/officeDocument/2006/relationships/image" Target="media/image16.jpeg"/><Relationship Id="rId556" Type="http://schemas.openxmlformats.org/officeDocument/2006/relationships/image" Target="media/image16.jpeg"/><Relationship Id="rId557" Type="http://schemas.openxmlformats.org/officeDocument/2006/relationships/footer" Target="footer524.xml"/><Relationship Id="rId558" Type="http://schemas.openxmlformats.org/officeDocument/2006/relationships/image" Target="media/image17.jpeg"/><Relationship Id="rId559" Type="http://schemas.openxmlformats.org/officeDocument/2006/relationships/image" Target="media/image17.jpeg"/><Relationship Id="rId560" Type="http://schemas.openxmlformats.org/officeDocument/2006/relationships/footer" Target="footer525.xml"/><Relationship Id="rId561" Type="http://schemas.openxmlformats.org/officeDocument/2006/relationships/image" Target="media/image18.jpeg"/><Relationship Id="rId562" Type="http://schemas.openxmlformats.org/officeDocument/2006/relationships/image" Target="media/image18.jpeg"/><Relationship Id="rId563" Type="http://schemas.openxmlformats.org/officeDocument/2006/relationships/footer" Target="footer526.xml"/><Relationship Id="rId564" Type="http://schemas.openxmlformats.org/officeDocument/2006/relationships/image" Target="media/image19.jpeg"/><Relationship Id="rId565" Type="http://schemas.openxmlformats.org/officeDocument/2006/relationships/image" Target="media/image19.jpeg"/><Relationship Id="rId566" Type="http://schemas.openxmlformats.org/officeDocument/2006/relationships/footer" Target="footer527.xml"/><Relationship Id="rId567" Type="http://schemas.openxmlformats.org/officeDocument/2006/relationships/image" Target="media/image20.jpeg"/><Relationship Id="rId568" Type="http://schemas.openxmlformats.org/officeDocument/2006/relationships/image" Target="media/image20.jpeg"/><Relationship Id="rId569" Type="http://schemas.openxmlformats.org/officeDocument/2006/relationships/footer" Target="footer528.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29.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53586</Words>
  <Characters>220730</Characters>
  <CharactersWithSpaces>272099</CharactersWithSpaces>
  <Paragraphs>2497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2026-08-17T16:55:45Z</dcterms:created>
  <dc:creator>ghaemiyeh.com</dc:creator>
  <dc:description/>
  <dc:language>en-US</dc:language>
  <cp:lastModifiedBy/>
  <dcterms:modified xsi:type="dcterms:W3CDTF">2026-08-17T20:26:01Z</dcterms:modified>
  <cp:revision>1</cp:revision>
  <dc:subject/>
  <dc:title>محاضرات فی الالهیات</dc:title>
</cp:coreProperties>
</file>

<file path=docProps/custom.xml><?xml version="1.0" encoding="utf-8"?>
<Properties xmlns="http://schemas.openxmlformats.org/officeDocument/2006/custom-properties" xmlns:vt="http://schemas.openxmlformats.org/officeDocument/2006/docPropsVTypes"/>
</file>