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کلیات فی علم 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9794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59796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59798_1395250215">
            <w:r>
              <w:rPr>
                <w:webHidden/>
                <w:rStyle w:val="IndexLink"/>
                <w:rtl w:val="true"/>
              </w:rPr>
              <w:t>تصدیر</w:t>
            </w:r>
            <w:r>
              <w:rPr>
                <w:rStyle w:val="IndexLink"/>
                <w:rtl w:val="true"/>
              </w:rPr>
              <w:tab/>
            </w:r>
            <w:r>
              <w:rPr>
                <w:rStyle w:val="IndexLink"/>
              </w:rPr>
              <w:t>14</w:t>
            </w:r>
          </w:hyperlink>
        </w:p>
        <w:p>
          <w:pPr>
            <w:pStyle w:val="Contents2"/>
            <w:tabs>
              <w:tab w:val="clear" w:pos="8743"/>
              <w:tab w:val="right" w:pos="9026" w:leader="dot"/>
            </w:tabs>
            <w:rPr/>
          </w:pPr>
          <w:hyperlink w:anchor="__RefHeading___Toc2759800_1395250215">
            <w:r>
              <w:rPr>
                <w:webHidden/>
                <w:rStyle w:val="IndexLink"/>
                <w:rtl w:val="true"/>
              </w:rPr>
              <w:t>الفصل الاول</w:t>
            </w:r>
            <w:r>
              <w:rPr>
                <w:rStyle w:val="IndexLink"/>
                <w:rtl w:val="true"/>
              </w:rPr>
              <w:tab/>
            </w:r>
            <w:r>
              <w:rPr>
                <w:rStyle w:val="IndexLink"/>
              </w:rPr>
              <w:t>16</w:t>
            </w:r>
          </w:hyperlink>
        </w:p>
        <w:p>
          <w:pPr>
            <w:pStyle w:val="Contents3"/>
            <w:tabs>
              <w:tab w:val="clear" w:pos="8459"/>
              <w:tab w:val="right" w:pos="9026" w:leader="dot"/>
            </w:tabs>
            <w:rPr/>
          </w:pPr>
          <w:hyperlink w:anchor="__RefHeading___Toc2759802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759804_1395250215">
            <w:r>
              <w:rPr>
                <w:webHidden/>
                <w:rStyle w:val="IndexLink"/>
                <w:rtl w:val="true"/>
              </w:rPr>
              <w:t>ما هو علم الرجال ؟</w:t>
            </w:r>
            <w:r>
              <w:rPr>
                <w:rStyle w:val="IndexLink"/>
                <w:rtl w:val="true"/>
              </w:rPr>
              <w:tab/>
            </w:r>
            <w:r>
              <w:rPr>
                <w:rStyle w:val="IndexLink"/>
              </w:rPr>
              <w:t>18</w:t>
            </w:r>
          </w:hyperlink>
        </w:p>
        <w:p>
          <w:pPr>
            <w:pStyle w:val="Contents3"/>
            <w:tabs>
              <w:tab w:val="clear" w:pos="8459"/>
              <w:tab w:val="right" w:pos="9026" w:leader="dot"/>
            </w:tabs>
            <w:rPr/>
          </w:pPr>
          <w:hyperlink w:anchor="__RefHeading___Toc2759806_1395250215">
            <w:r>
              <w:rPr>
                <w:webHidden/>
                <w:rStyle w:val="IndexLink"/>
                <w:rtl w:val="true"/>
              </w:rPr>
              <w:t>ما هو موضوع علم الرجال ؟</w:t>
            </w:r>
            <w:r>
              <w:rPr>
                <w:rStyle w:val="IndexLink"/>
                <w:rtl w:val="true"/>
              </w:rPr>
              <w:tab/>
            </w:r>
            <w:r>
              <w:rPr>
                <w:rStyle w:val="IndexLink"/>
              </w:rPr>
              <w:t>19</w:t>
            </w:r>
          </w:hyperlink>
        </w:p>
        <w:p>
          <w:pPr>
            <w:pStyle w:val="Contents3"/>
            <w:tabs>
              <w:tab w:val="clear" w:pos="8459"/>
              <w:tab w:val="right" w:pos="9026" w:leader="dot"/>
            </w:tabs>
            <w:rPr/>
          </w:pPr>
          <w:hyperlink w:anchor="__RefHeading___Toc2759808_1395250215">
            <w:r>
              <w:rPr>
                <w:webHidden/>
                <w:rStyle w:val="IndexLink"/>
                <w:rtl w:val="true"/>
              </w:rPr>
              <w:t>ما هو مسائله ؟</w:t>
            </w:r>
            <w:r>
              <w:rPr>
                <w:rStyle w:val="IndexLink"/>
                <w:rtl w:val="true"/>
              </w:rPr>
              <w:tab/>
            </w:r>
            <w:r>
              <w:rPr>
                <w:rStyle w:val="IndexLink"/>
              </w:rPr>
              <w:t>19</w:t>
            </w:r>
          </w:hyperlink>
        </w:p>
        <w:p>
          <w:pPr>
            <w:pStyle w:val="Contents3"/>
            <w:tabs>
              <w:tab w:val="clear" w:pos="8459"/>
              <w:tab w:val="right" w:pos="9026" w:leader="dot"/>
            </w:tabs>
            <w:rPr/>
          </w:pPr>
          <w:hyperlink w:anchor="__RefHeading___Toc2759810_1395250215">
            <w:r>
              <w:rPr>
                <w:webHidden/>
                <w:rStyle w:val="IndexLink"/>
                <w:rtl w:val="true"/>
              </w:rPr>
              <w:t>علم التراجم و تمایزه عن علم الرجال</w:t>
            </w:r>
            <w:r>
              <w:rPr>
                <w:rStyle w:val="IndexLink"/>
                <w:rtl w:val="true"/>
              </w:rPr>
              <w:tab/>
            </w:r>
            <w:r>
              <w:rPr>
                <w:rStyle w:val="IndexLink"/>
              </w:rPr>
              <w:t>20</w:t>
            </w:r>
          </w:hyperlink>
        </w:p>
        <w:p>
          <w:pPr>
            <w:pStyle w:val="Contents3"/>
            <w:tabs>
              <w:tab w:val="clear" w:pos="8459"/>
              <w:tab w:val="right" w:pos="9026" w:leader="dot"/>
            </w:tabs>
            <w:rPr/>
          </w:pPr>
          <w:hyperlink w:anchor="__RefHeading___Toc2759812_1395250215">
            <w:r>
              <w:rPr>
                <w:webHidden/>
                <w:rStyle w:val="IndexLink"/>
                <w:rtl w:val="true"/>
              </w:rPr>
              <w:t>الفرق بین علم الرجال و الدرایة</w:t>
            </w:r>
            <w:r>
              <w:rPr>
                <w:rStyle w:val="IndexLink"/>
                <w:rtl w:val="true"/>
              </w:rPr>
              <w:tab/>
            </w:r>
            <w:r>
              <w:rPr>
                <w:rStyle w:val="IndexLink"/>
              </w:rPr>
              <w:t>23</w:t>
            </w:r>
          </w:hyperlink>
        </w:p>
        <w:p>
          <w:pPr>
            <w:pStyle w:val="Contents3"/>
            <w:tabs>
              <w:tab w:val="clear" w:pos="8459"/>
              <w:tab w:val="right" w:pos="9026" w:leader="dot"/>
            </w:tabs>
            <w:rPr/>
          </w:pPr>
          <w:hyperlink w:anchor="__RefHeading___Toc2759814_1395250215">
            <w:r>
              <w:rPr>
                <w:webHidden/>
                <w:rStyle w:val="IndexLink"/>
                <w:rtl w:val="true"/>
              </w:rPr>
              <w:t>مدار البحث فی هذه المحاضرات</w:t>
            </w:r>
            <w:r>
              <w:rPr>
                <w:rStyle w:val="IndexLink"/>
                <w:rtl w:val="true"/>
              </w:rPr>
              <w:tab/>
            </w:r>
            <w:r>
              <w:rPr>
                <w:rStyle w:val="IndexLink"/>
              </w:rPr>
              <w:t>24</w:t>
            </w:r>
          </w:hyperlink>
        </w:p>
        <w:p>
          <w:pPr>
            <w:pStyle w:val="Contents4"/>
            <w:tabs>
              <w:tab w:val="clear" w:pos="8176"/>
              <w:tab w:val="right" w:pos="9026" w:leader="dot"/>
            </w:tabs>
            <w:rPr/>
          </w:pPr>
          <w:hyperlink w:anchor="__RefHeading___Toc2759816_1395250215">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759818_1395250215">
            <w:r>
              <w:rPr>
                <w:webHidden/>
                <w:rStyle w:val="IndexLink"/>
              </w:rPr>
              <w:t>1</w:t>
            </w:r>
            <w:r>
              <w:rPr>
                <w:rStyle w:val="IndexLink"/>
                <w:rtl w:val="true"/>
              </w:rPr>
              <w:t xml:space="preserve"> - </w:t>
            </w:r>
            <w:r>
              <w:rPr>
                <w:rStyle w:val="IndexLink"/>
                <w:rtl w:val="true"/>
              </w:rPr>
              <w:t>أدلّة مثبتی الحاجة الی علم الرجال</w:t>
            </w:r>
            <w:r>
              <w:rPr>
                <w:rStyle w:val="IndexLink"/>
                <w:rtl w:val="true"/>
              </w:rPr>
              <w:tab/>
            </w:r>
            <w:r>
              <w:rPr>
                <w:rStyle w:val="IndexLink"/>
              </w:rPr>
              <w:t>26</w:t>
            </w:r>
          </w:hyperlink>
        </w:p>
        <w:p>
          <w:pPr>
            <w:pStyle w:val="Contents5"/>
            <w:tabs>
              <w:tab w:val="clear" w:pos="7892"/>
              <w:tab w:val="right" w:pos="9026" w:leader="dot"/>
            </w:tabs>
            <w:rPr/>
          </w:pPr>
          <w:hyperlink w:anchor="__RefHeading___Toc2759820_139525021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2759822_1395250215">
            <w:r>
              <w:rPr>
                <w:webHidden/>
                <w:rStyle w:val="IndexLink"/>
                <w:rtl w:val="true"/>
              </w:rPr>
              <w:t>الاول</w:t>
            </w:r>
            <w:r>
              <w:rPr>
                <w:rStyle w:val="IndexLink"/>
                <w:rtl w:val="true"/>
              </w:rPr>
              <w:t xml:space="preserve">: </w:t>
            </w:r>
            <w:r>
              <w:rPr>
                <w:rStyle w:val="IndexLink"/>
                <w:rtl w:val="true"/>
              </w:rPr>
              <w:t>حجیة قول الثقة</w:t>
            </w:r>
            <w:r>
              <w:rPr>
                <w:rStyle w:val="IndexLink"/>
                <w:rtl w:val="true"/>
              </w:rPr>
              <w:tab/>
            </w:r>
            <w:r>
              <w:rPr>
                <w:rStyle w:val="IndexLink"/>
              </w:rPr>
              <w:t>28</w:t>
            </w:r>
          </w:hyperlink>
        </w:p>
        <w:p>
          <w:pPr>
            <w:pStyle w:val="Contents5"/>
            <w:tabs>
              <w:tab w:val="clear" w:pos="7892"/>
              <w:tab w:val="right" w:pos="9026" w:leader="dot"/>
            </w:tabs>
            <w:rPr/>
          </w:pPr>
          <w:hyperlink w:anchor="__RefHeading___Toc2759824_1395250215">
            <w:r>
              <w:rPr>
                <w:webHidden/>
                <w:rStyle w:val="IndexLink"/>
                <w:rtl w:val="true"/>
              </w:rPr>
              <w:t>الثانی</w:t>
            </w:r>
            <w:r>
              <w:rPr>
                <w:rStyle w:val="IndexLink"/>
                <w:rtl w:val="true"/>
              </w:rPr>
              <w:t xml:space="preserve">: </w:t>
            </w:r>
            <w:r>
              <w:rPr>
                <w:rStyle w:val="IndexLink"/>
                <w:rtl w:val="true"/>
              </w:rPr>
              <w:t>الرجوع الی صفات الرّاوی فی الأخبار العلاجیّة</w:t>
            </w:r>
            <w:r>
              <w:rPr>
                <w:rStyle w:val="IndexLink"/>
                <w:rtl w:val="true"/>
              </w:rPr>
              <w:tab/>
            </w:r>
            <w:r>
              <w:rPr>
                <w:rStyle w:val="IndexLink"/>
              </w:rPr>
              <w:t>32</w:t>
            </w:r>
          </w:hyperlink>
        </w:p>
        <w:p>
          <w:pPr>
            <w:pStyle w:val="Contents5"/>
            <w:tabs>
              <w:tab w:val="clear" w:pos="7892"/>
              <w:tab w:val="right" w:pos="9026" w:leader="dot"/>
            </w:tabs>
            <w:rPr/>
          </w:pPr>
          <w:hyperlink w:anchor="__RefHeading___Toc2759826_1395250215">
            <w:r>
              <w:rPr>
                <w:webHidden/>
                <w:rStyle w:val="IndexLink"/>
                <w:rtl w:val="true"/>
              </w:rPr>
              <w:t>الثالث</w:t>
            </w:r>
            <w:r>
              <w:rPr>
                <w:rStyle w:val="IndexLink"/>
                <w:rtl w:val="true"/>
              </w:rPr>
              <w:t xml:space="preserve">: </w:t>
            </w:r>
            <w:r>
              <w:rPr>
                <w:rStyle w:val="IndexLink"/>
                <w:rtl w:val="true"/>
              </w:rPr>
              <w:t>وجود الوضّاعین و المدلّسین فی الرواة</w:t>
            </w:r>
            <w:r>
              <w:rPr>
                <w:rStyle w:val="IndexLink"/>
                <w:rtl w:val="true"/>
              </w:rPr>
              <w:tab/>
            </w:r>
            <w:r>
              <w:rPr>
                <w:rStyle w:val="IndexLink"/>
              </w:rPr>
              <w:t>32</w:t>
            </w:r>
          </w:hyperlink>
        </w:p>
        <w:p>
          <w:pPr>
            <w:pStyle w:val="Contents5"/>
            <w:tabs>
              <w:tab w:val="clear" w:pos="7892"/>
              <w:tab w:val="right" w:pos="9026" w:leader="dot"/>
            </w:tabs>
            <w:rPr/>
          </w:pPr>
          <w:hyperlink w:anchor="__RefHeading___Toc2759828_1395250215">
            <w:r>
              <w:rPr>
                <w:webHidden/>
                <w:rStyle w:val="IndexLink"/>
                <w:rtl w:val="true"/>
              </w:rPr>
              <w:t>الرابع</w:t>
            </w:r>
            <w:r>
              <w:rPr>
                <w:rStyle w:val="IndexLink"/>
                <w:rtl w:val="true"/>
              </w:rPr>
              <w:t xml:space="preserve">: </w:t>
            </w:r>
            <w:r>
              <w:rPr>
                <w:rStyle w:val="IndexLink"/>
                <w:rtl w:val="true"/>
              </w:rPr>
              <w:t>وجود العامی فی أسانید الروایات</w:t>
            </w:r>
            <w:r>
              <w:rPr>
                <w:rStyle w:val="IndexLink"/>
                <w:rtl w:val="true"/>
              </w:rPr>
              <w:tab/>
            </w:r>
            <w:r>
              <w:rPr>
                <w:rStyle w:val="IndexLink"/>
              </w:rPr>
              <w:t>35</w:t>
            </w:r>
          </w:hyperlink>
        </w:p>
        <w:p>
          <w:pPr>
            <w:pStyle w:val="Contents5"/>
            <w:tabs>
              <w:tab w:val="clear" w:pos="7892"/>
              <w:tab w:val="right" w:pos="9026" w:leader="dot"/>
            </w:tabs>
            <w:rPr/>
          </w:pPr>
          <w:hyperlink w:anchor="__RefHeading___Toc2759830_1395250215">
            <w:r>
              <w:rPr>
                <w:webHidden/>
                <w:rStyle w:val="IndexLink"/>
                <w:rtl w:val="true"/>
              </w:rPr>
              <w:t>الخامس</w:t>
            </w:r>
            <w:r>
              <w:rPr>
                <w:rStyle w:val="IndexLink"/>
                <w:rtl w:val="true"/>
              </w:rPr>
              <w:t xml:space="preserve">: </w:t>
            </w:r>
            <w:r>
              <w:rPr>
                <w:rStyle w:val="IndexLink"/>
                <w:rtl w:val="true"/>
              </w:rPr>
              <w:t>اجماع العلماء</w:t>
            </w:r>
            <w:r>
              <w:rPr>
                <w:rStyle w:val="IndexLink"/>
                <w:rtl w:val="true"/>
              </w:rPr>
              <w:tab/>
            </w:r>
            <w:r>
              <w:rPr>
                <w:rStyle w:val="IndexLink"/>
              </w:rPr>
              <w:t>35</w:t>
            </w:r>
          </w:hyperlink>
        </w:p>
        <w:p>
          <w:pPr>
            <w:pStyle w:val="Contents4"/>
            <w:tabs>
              <w:tab w:val="clear" w:pos="8176"/>
              <w:tab w:val="right" w:pos="9026" w:leader="dot"/>
            </w:tabs>
            <w:rPr/>
          </w:pPr>
          <w:hyperlink w:anchor="__RefHeading___Toc2759832_1395250215">
            <w:r>
              <w:rPr>
                <w:webHidden/>
                <w:rStyle w:val="IndexLink"/>
              </w:rPr>
              <w:t>2</w:t>
            </w:r>
            <w:r>
              <w:rPr>
                <w:rStyle w:val="IndexLink"/>
                <w:rtl w:val="true"/>
              </w:rPr>
              <w:t xml:space="preserve"> - </w:t>
            </w:r>
            <w:r>
              <w:rPr>
                <w:rStyle w:val="IndexLink"/>
                <w:rtl w:val="true"/>
              </w:rPr>
              <w:t>أدلة نفاة الحاجة الی علم الرجال</w:t>
            </w:r>
            <w:r>
              <w:rPr>
                <w:rStyle w:val="IndexLink"/>
                <w:rtl w:val="true"/>
              </w:rPr>
              <w:tab/>
            </w:r>
            <w:r>
              <w:rPr>
                <w:rStyle w:val="IndexLink"/>
              </w:rPr>
              <w:t>38</w:t>
            </w:r>
          </w:hyperlink>
        </w:p>
        <w:p>
          <w:pPr>
            <w:pStyle w:val="Contents2"/>
            <w:tabs>
              <w:tab w:val="clear" w:pos="8743"/>
              <w:tab w:val="right" w:pos="9026" w:leader="dot"/>
            </w:tabs>
            <w:rPr/>
          </w:pPr>
          <w:hyperlink w:anchor="__RefHeading___Toc2759834_1395250215">
            <w:r>
              <w:rPr>
                <w:webHidden/>
                <w:rStyle w:val="IndexLink"/>
                <w:rtl w:val="true"/>
              </w:rPr>
              <w:t>الفصل الثانی</w:t>
            </w:r>
            <w:r>
              <w:rPr>
                <w:rStyle w:val="IndexLink"/>
                <w:rtl w:val="true"/>
              </w:rPr>
              <w:t xml:space="preserve">: </w:t>
            </w:r>
            <w:r>
              <w:rPr>
                <w:rStyle w:val="IndexLink"/>
                <w:rtl w:val="true"/>
              </w:rPr>
              <w:t>الحاجة الی علم الرجال</w:t>
            </w:r>
            <w:r>
              <w:rPr>
                <w:rStyle w:val="IndexLink"/>
                <w:rtl w:val="true"/>
              </w:rPr>
              <w:tab/>
            </w:r>
            <w:r>
              <w:rPr>
                <w:rStyle w:val="IndexLink"/>
              </w:rPr>
              <w:t>40</w:t>
            </w:r>
          </w:hyperlink>
        </w:p>
        <w:p>
          <w:pPr>
            <w:pStyle w:val="Contents3"/>
            <w:tabs>
              <w:tab w:val="clear" w:pos="8459"/>
              <w:tab w:val="right" w:pos="9026" w:leader="dot"/>
            </w:tabs>
            <w:rPr/>
          </w:pPr>
          <w:hyperlink w:anchor="__RefHeading___Toc2759836_1395250215">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759838_1395250215">
            <w:r>
              <w:rPr>
                <w:webHidden/>
                <w:rStyle w:val="IndexLink"/>
                <w:rtl w:val="true"/>
              </w:rPr>
              <w:t>الاول</w:t>
            </w:r>
            <w:r>
              <w:rPr>
                <w:rStyle w:val="IndexLink"/>
                <w:rtl w:val="true"/>
              </w:rPr>
              <w:t xml:space="preserve">: </w:t>
            </w:r>
            <w:r>
              <w:rPr>
                <w:rStyle w:val="IndexLink"/>
                <w:rtl w:val="true"/>
              </w:rPr>
              <w:t>قطعیة روایات الکتب الأربعة</w:t>
            </w:r>
            <w:r>
              <w:rPr>
                <w:rStyle w:val="IndexLink"/>
                <w:rtl w:val="true"/>
              </w:rPr>
              <w:tab/>
            </w:r>
            <w:r>
              <w:rPr>
                <w:rStyle w:val="IndexLink"/>
              </w:rPr>
              <w:t>42</w:t>
            </w:r>
          </w:hyperlink>
        </w:p>
        <w:p>
          <w:pPr>
            <w:pStyle w:val="Contents3"/>
            <w:tabs>
              <w:tab w:val="clear" w:pos="8459"/>
              <w:tab w:val="right" w:pos="9026" w:leader="dot"/>
            </w:tabs>
            <w:rPr/>
          </w:pPr>
          <w:hyperlink w:anchor="__RefHeading___Toc2759840_1395250215">
            <w:r>
              <w:rPr>
                <w:webHidden/>
                <w:rStyle w:val="IndexLink"/>
                <w:rtl w:val="true"/>
              </w:rPr>
              <w:t>الثانی</w:t>
            </w:r>
            <w:r>
              <w:rPr>
                <w:rStyle w:val="IndexLink"/>
                <w:rtl w:val="true"/>
              </w:rPr>
              <w:t xml:space="preserve">: </w:t>
            </w:r>
            <w:r>
              <w:rPr>
                <w:rStyle w:val="IndexLink"/>
                <w:rtl w:val="true"/>
              </w:rPr>
              <w:t>عمل المشهور جابر لضعف السند</w:t>
            </w:r>
            <w:r>
              <w:rPr>
                <w:rStyle w:val="IndexLink"/>
                <w:rtl w:val="true"/>
              </w:rPr>
              <w:tab/>
            </w:r>
            <w:r>
              <w:rPr>
                <w:rStyle w:val="IndexLink"/>
              </w:rPr>
              <w:t>43</w:t>
            </w:r>
          </w:hyperlink>
        </w:p>
        <w:p>
          <w:pPr>
            <w:pStyle w:val="Contents3"/>
            <w:tabs>
              <w:tab w:val="clear" w:pos="8459"/>
              <w:tab w:val="right" w:pos="9026" w:leader="dot"/>
            </w:tabs>
            <w:rPr/>
          </w:pPr>
          <w:hyperlink w:anchor="__RefHeading___Toc2759842_1395250215">
            <w:r>
              <w:rPr>
                <w:webHidden/>
                <w:rStyle w:val="IndexLink"/>
                <w:rtl w:val="true"/>
              </w:rPr>
              <w:t>الثالث</w:t>
            </w:r>
            <w:r>
              <w:rPr>
                <w:rStyle w:val="IndexLink"/>
                <w:rtl w:val="true"/>
              </w:rPr>
              <w:t xml:space="preserve">: </w:t>
            </w:r>
            <w:r>
              <w:rPr>
                <w:rStyle w:val="IndexLink"/>
                <w:rtl w:val="true"/>
              </w:rPr>
              <w:t>لا طریق الی اثبات العدالة</w:t>
            </w:r>
            <w:r>
              <w:rPr>
                <w:rStyle w:val="IndexLink"/>
                <w:rtl w:val="true"/>
              </w:rPr>
              <w:tab/>
            </w:r>
            <w:r>
              <w:rPr>
                <w:rStyle w:val="IndexLink"/>
              </w:rPr>
              <w:t>43</w:t>
            </w:r>
          </w:hyperlink>
        </w:p>
        <w:p>
          <w:pPr>
            <w:pStyle w:val="Contents3"/>
            <w:tabs>
              <w:tab w:val="clear" w:pos="8459"/>
              <w:tab w:val="right" w:pos="9026" w:leader="dot"/>
            </w:tabs>
            <w:rPr/>
          </w:pPr>
          <w:hyperlink w:anchor="__RefHeading___Toc2759844_1395250215">
            <w:r>
              <w:rPr>
                <w:webHidden/>
                <w:rStyle w:val="IndexLink"/>
                <w:rtl w:val="true"/>
              </w:rPr>
              <w:t>الرابع</w:t>
            </w:r>
            <w:r>
              <w:rPr>
                <w:rStyle w:val="IndexLink"/>
                <w:rtl w:val="true"/>
              </w:rPr>
              <w:t xml:space="preserve">: </w:t>
            </w:r>
            <w:r>
              <w:rPr>
                <w:rStyle w:val="IndexLink"/>
                <w:rtl w:val="true"/>
              </w:rPr>
              <w:t>الخلاف فی معنی العدالة و الفسق</w:t>
            </w:r>
            <w:r>
              <w:rPr>
                <w:rStyle w:val="IndexLink"/>
                <w:rtl w:val="true"/>
              </w:rPr>
              <w:tab/>
            </w:r>
            <w:r>
              <w:rPr>
                <w:rStyle w:val="IndexLink"/>
              </w:rPr>
              <w:t>45</w:t>
            </w:r>
          </w:hyperlink>
        </w:p>
        <w:p>
          <w:pPr>
            <w:pStyle w:val="Contents3"/>
            <w:tabs>
              <w:tab w:val="clear" w:pos="8459"/>
              <w:tab w:val="right" w:pos="9026" w:leader="dot"/>
            </w:tabs>
            <w:rPr/>
          </w:pPr>
          <w:hyperlink w:anchor="__RefHeading___Toc2759846_1395250215">
            <w:r>
              <w:rPr>
                <w:webHidden/>
                <w:rStyle w:val="IndexLink"/>
                <w:rtl w:val="true"/>
              </w:rPr>
              <w:t>الخامس</w:t>
            </w:r>
            <w:r>
              <w:rPr>
                <w:rStyle w:val="IndexLink"/>
                <w:rtl w:val="true"/>
              </w:rPr>
              <w:t xml:space="preserve">: </w:t>
            </w:r>
            <w:r>
              <w:rPr>
                <w:rStyle w:val="IndexLink"/>
                <w:rtl w:val="true"/>
              </w:rPr>
              <w:t>تفضیح الناس فی هذا العلم</w:t>
            </w:r>
            <w:r>
              <w:rPr>
                <w:rStyle w:val="IndexLink"/>
                <w:rtl w:val="true"/>
              </w:rPr>
              <w:tab/>
            </w:r>
            <w:r>
              <w:rPr>
                <w:rStyle w:val="IndexLink"/>
              </w:rPr>
              <w:t>47</w:t>
            </w:r>
          </w:hyperlink>
        </w:p>
        <w:p>
          <w:pPr>
            <w:pStyle w:val="Contents3"/>
            <w:tabs>
              <w:tab w:val="clear" w:pos="8459"/>
              <w:tab w:val="right" w:pos="9026" w:leader="dot"/>
            </w:tabs>
            <w:rPr/>
          </w:pPr>
          <w:hyperlink w:anchor="__RefHeading___Toc2759848_1395250215">
            <w:r>
              <w:rPr>
                <w:webHidden/>
                <w:rStyle w:val="IndexLink"/>
                <w:rtl w:val="true"/>
              </w:rPr>
              <w:t>السادس</w:t>
            </w:r>
            <w:r>
              <w:rPr>
                <w:rStyle w:val="IndexLink"/>
                <w:rtl w:val="true"/>
              </w:rPr>
              <w:t xml:space="preserve">: </w:t>
            </w:r>
            <w:r>
              <w:rPr>
                <w:rStyle w:val="IndexLink"/>
                <w:rtl w:val="true"/>
              </w:rPr>
              <w:t>قول الرجالی و شرائط الشهادة</w:t>
            </w:r>
            <w:r>
              <w:rPr>
                <w:rStyle w:val="IndexLink"/>
                <w:rtl w:val="true"/>
              </w:rPr>
              <w:tab/>
            </w:r>
            <w:r>
              <w:rPr>
                <w:rStyle w:val="IndexLink"/>
              </w:rPr>
              <w:t>47</w:t>
            </w:r>
          </w:hyperlink>
        </w:p>
        <w:p>
          <w:pPr>
            <w:pStyle w:val="Contents3"/>
            <w:tabs>
              <w:tab w:val="clear" w:pos="8459"/>
              <w:tab w:val="right" w:pos="9026" w:leader="dot"/>
            </w:tabs>
            <w:rPr/>
          </w:pPr>
          <w:hyperlink w:anchor="__RefHeading___Toc2759850_1395250215">
            <w:r>
              <w:rPr>
                <w:webHidden/>
                <w:rStyle w:val="IndexLink"/>
                <w:rtl w:val="true"/>
              </w:rPr>
              <w:t>السابع</w:t>
            </w:r>
            <w:r>
              <w:rPr>
                <w:rStyle w:val="IndexLink"/>
                <w:rtl w:val="true"/>
              </w:rPr>
              <w:t xml:space="preserve">: </w:t>
            </w:r>
            <w:r>
              <w:rPr>
                <w:rStyle w:val="IndexLink"/>
                <w:rtl w:val="true"/>
              </w:rPr>
              <w:t>التوثیق الإجمالی</w:t>
            </w:r>
            <w:r>
              <w:rPr>
                <w:rStyle w:val="IndexLink"/>
                <w:rtl w:val="true"/>
              </w:rPr>
              <w:tab/>
            </w:r>
            <w:r>
              <w:rPr>
                <w:rStyle w:val="IndexLink"/>
              </w:rPr>
              <w:t>53</w:t>
            </w:r>
          </w:hyperlink>
        </w:p>
        <w:p>
          <w:pPr>
            <w:pStyle w:val="Contents3"/>
            <w:tabs>
              <w:tab w:val="clear" w:pos="8459"/>
              <w:tab w:val="right" w:pos="9026" w:leader="dot"/>
            </w:tabs>
            <w:rPr/>
          </w:pPr>
          <w:hyperlink w:anchor="__RefHeading___Toc2759852_1395250215">
            <w:r>
              <w:rPr>
                <w:webHidden/>
                <w:rStyle w:val="IndexLink"/>
                <w:rtl w:val="true"/>
              </w:rPr>
              <w:t>الثامن</w:t>
            </w:r>
            <w:r>
              <w:rPr>
                <w:rStyle w:val="IndexLink"/>
                <w:rtl w:val="true"/>
              </w:rPr>
              <w:t xml:space="preserve">: </w:t>
            </w:r>
            <w:r>
              <w:rPr>
                <w:rStyle w:val="IndexLink"/>
                <w:rtl w:val="true"/>
              </w:rPr>
              <w:t>شهادة المشایخ الثلاثة</w:t>
            </w:r>
            <w:r>
              <w:rPr>
                <w:rStyle w:val="IndexLink"/>
                <w:rtl w:val="true"/>
              </w:rPr>
              <w:tab/>
            </w:r>
            <w:r>
              <w:rPr>
                <w:rStyle w:val="IndexLink"/>
              </w:rPr>
              <w:t>56</w:t>
            </w:r>
          </w:hyperlink>
        </w:p>
        <w:p>
          <w:pPr>
            <w:pStyle w:val="Contents2"/>
            <w:tabs>
              <w:tab w:val="clear" w:pos="8743"/>
              <w:tab w:val="right" w:pos="9026" w:leader="dot"/>
            </w:tabs>
            <w:rPr/>
          </w:pPr>
          <w:hyperlink w:anchor="__RefHeading___Toc2759854_1395250215">
            <w:r>
              <w:rPr>
                <w:webHidden/>
                <w:rStyle w:val="IndexLink"/>
                <w:rtl w:val="true"/>
              </w:rPr>
              <w:t>الفصل الثالث</w:t>
            </w:r>
            <w:r>
              <w:rPr>
                <w:rStyle w:val="IndexLink"/>
                <w:rtl w:val="true"/>
              </w:rPr>
              <w:t xml:space="preserve">: </w:t>
            </w:r>
            <w:r>
              <w:rPr>
                <w:rStyle w:val="IndexLink"/>
                <w:rtl w:val="true"/>
              </w:rPr>
              <w:t>المصادر الاولیة لعلم الرجال</w:t>
            </w:r>
            <w:r>
              <w:rPr>
                <w:rStyle w:val="IndexLink"/>
                <w:rtl w:val="true"/>
              </w:rPr>
              <w:tab/>
            </w:r>
            <w:r>
              <w:rPr>
                <w:rStyle w:val="IndexLink"/>
              </w:rPr>
              <w:t>60</w:t>
            </w:r>
          </w:hyperlink>
        </w:p>
        <w:p>
          <w:pPr>
            <w:pStyle w:val="Contents3"/>
            <w:tabs>
              <w:tab w:val="clear" w:pos="8459"/>
              <w:tab w:val="right" w:pos="9026" w:leader="dot"/>
            </w:tabs>
            <w:rPr/>
          </w:pPr>
          <w:hyperlink w:anchor="__RefHeading___Toc2759856_1395250215">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759858_1395250215">
            <w:r>
              <w:rPr>
                <w:webHidden/>
                <w:rStyle w:val="IndexLink"/>
              </w:rPr>
              <w:t>1</w:t>
            </w:r>
            <w:r>
              <w:rPr>
                <w:rStyle w:val="IndexLink"/>
                <w:rtl w:val="true"/>
              </w:rPr>
              <w:t xml:space="preserve"> - </w:t>
            </w:r>
            <w:r>
              <w:rPr>
                <w:rStyle w:val="IndexLink"/>
                <w:rtl w:val="true"/>
              </w:rPr>
              <w:t>الاصول الرجالیة الثمانیة</w:t>
            </w:r>
            <w:r>
              <w:rPr>
                <w:rStyle w:val="IndexLink"/>
                <w:rtl w:val="true"/>
              </w:rPr>
              <w:tab/>
            </w:r>
            <w:r>
              <w:rPr>
                <w:rStyle w:val="IndexLink"/>
              </w:rPr>
              <w:t>62</w:t>
            </w:r>
          </w:hyperlink>
        </w:p>
        <w:p>
          <w:pPr>
            <w:pStyle w:val="Contents4"/>
            <w:tabs>
              <w:tab w:val="clear" w:pos="8176"/>
              <w:tab w:val="right" w:pos="9026" w:leader="dot"/>
            </w:tabs>
            <w:rPr/>
          </w:pPr>
          <w:hyperlink w:anchor="__RefHeading___Toc2759860_1395250215">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759862_1395250215">
            <w:r>
              <w:rPr>
                <w:webHidden/>
                <w:rStyle w:val="IndexLink"/>
              </w:rPr>
              <w:t>1</w:t>
            </w:r>
            <w:r>
              <w:rPr>
                <w:rStyle w:val="IndexLink"/>
                <w:rtl w:val="true"/>
              </w:rPr>
              <w:t xml:space="preserve"> - </w:t>
            </w:r>
            <w:r>
              <w:rPr>
                <w:rStyle w:val="IndexLink"/>
                <w:rtl w:val="true"/>
              </w:rPr>
              <w:t>رجال الکشّی</w:t>
            </w:r>
            <w:r>
              <w:rPr>
                <w:rStyle w:val="IndexLink"/>
                <w:rtl w:val="true"/>
              </w:rPr>
              <w:tab/>
            </w:r>
            <w:r>
              <w:rPr>
                <w:rStyle w:val="IndexLink"/>
              </w:rPr>
              <w:t>65</w:t>
            </w:r>
          </w:hyperlink>
        </w:p>
        <w:p>
          <w:pPr>
            <w:pStyle w:val="Contents5"/>
            <w:tabs>
              <w:tab w:val="clear" w:pos="7892"/>
              <w:tab w:val="right" w:pos="9026" w:leader="dot"/>
            </w:tabs>
            <w:rPr/>
          </w:pPr>
          <w:hyperlink w:anchor="__RefHeading___Toc2759864_1395250215">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2759866_1395250215">
            <w:r>
              <w:rPr>
                <w:webHidden/>
                <w:rStyle w:val="IndexLink"/>
                <w:rtl w:val="true"/>
              </w:rPr>
              <w:t>کیفیة تهذیب رجال الکشی</w:t>
            </w:r>
            <w:r>
              <w:rPr>
                <w:rStyle w:val="IndexLink"/>
                <w:rtl w:val="true"/>
              </w:rPr>
              <w:tab/>
            </w:r>
            <w:r>
              <w:rPr>
                <w:rStyle w:val="IndexLink"/>
              </w:rPr>
              <w:t>66</w:t>
            </w:r>
          </w:hyperlink>
        </w:p>
        <w:p>
          <w:pPr>
            <w:pStyle w:val="Contents4"/>
            <w:tabs>
              <w:tab w:val="clear" w:pos="8176"/>
              <w:tab w:val="right" w:pos="9026" w:leader="dot"/>
            </w:tabs>
            <w:rPr/>
          </w:pPr>
          <w:hyperlink w:anchor="__RefHeading___Toc2759868_1395250215">
            <w:r>
              <w:rPr>
                <w:webHidden/>
                <w:rStyle w:val="IndexLink"/>
              </w:rPr>
              <w:t>2</w:t>
            </w:r>
            <w:r>
              <w:rPr>
                <w:rStyle w:val="IndexLink"/>
                <w:rtl w:val="true"/>
              </w:rPr>
              <w:t xml:space="preserve"> - </w:t>
            </w:r>
            <w:r>
              <w:rPr>
                <w:rStyle w:val="IndexLink"/>
                <w:rtl w:val="true"/>
              </w:rPr>
              <w:t>فهرس النجاشی</w:t>
            </w:r>
            <w:r>
              <w:rPr>
                <w:rStyle w:val="IndexLink"/>
                <w:rtl w:val="true"/>
              </w:rPr>
              <w:tab/>
            </w:r>
            <w:r>
              <w:rPr>
                <w:rStyle w:val="IndexLink"/>
              </w:rPr>
              <w:t>67</w:t>
            </w:r>
          </w:hyperlink>
        </w:p>
        <w:p>
          <w:pPr>
            <w:pStyle w:val="Contents4"/>
            <w:tabs>
              <w:tab w:val="clear" w:pos="8176"/>
              <w:tab w:val="right" w:pos="9026" w:leader="dot"/>
            </w:tabs>
            <w:rPr/>
          </w:pPr>
          <w:hyperlink w:anchor="__RefHeading___Toc2759870_1395250215">
            <w:r>
              <w:rPr>
                <w:webHidden/>
                <w:rStyle w:val="IndexLink"/>
              </w:rPr>
              <w:t>3</w:t>
            </w:r>
            <w:r>
              <w:rPr>
                <w:rStyle w:val="IndexLink"/>
                <w:rtl w:val="true"/>
              </w:rPr>
              <w:t xml:space="preserve"> - </w:t>
            </w:r>
            <w:r>
              <w:rPr>
                <w:rStyle w:val="IndexLink"/>
                <w:rtl w:val="true"/>
              </w:rPr>
              <w:t>رجال الشیخ</w:t>
            </w:r>
            <w:r>
              <w:rPr>
                <w:rStyle w:val="IndexLink"/>
                <w:rtl w:val="true"/>
              </w:rPr>
              <w:t>:</w:t>
              <w:tab/>
            </w:r>
            <w:r>
              <w:rPr>
                <w:rStyle w:val="IndexLink"/>
              </w:rPr>
              <w:t>75</w:t>
            </w:r>
          </w:hyperlink>
        </w:p>
        <w:p>
          <w:pPr>
            <w:pStyle w:val="Contents4"/>
            <w:tabs>
              <w:tab w:val="clear" w:pos="8176"/>
              <w:tab w:val="right" w:pos="9026" w:leader="dot"/>
            </w:tabs>
            <w:rPr/>
          </w:pPr>
          <w:hyperlink w:anchor="__RefHeading___Toc2759872_1395250215">
            <w:r>
              <w:rPr>
                <w:webHidden/>
                <w:rStyle w:val="IndexLink"/>
              </w:rPr>
              <w:t>4</w:t>
            </w:r>
            <w:r>
              <w:rPr>
                <w:rStyle w:val="IndexLink"/>
                <w:rtl w:val="true"/>
              </w:rPr>
              <w:t xml:space="preserve"> - </w:t>
            </w:r>
            <w:r>
              <w:rPr>
                <w:rStyle w:val="IndexLink"/>
                <w:rtl w:val="true"/>
              </w:rPr>
              <w:t>فهرس الشیخ</w:t>
            </w:r>
            <w:r>
              <w:rPr>
                <w:rStyle w:val="IndexLink"/>
                <w:rtl w:val="true"/>
              </w:rPr>
              <w:t>:</w:t>
              <w:tab/>
            </w:r>
            <w:r>
              <w:rPr>
                <w:rStyle w:val="IndexLink"/>
              </w:rPr>
              <w:t>76</w:t>
            </w:r>
          </w:hyperlink>
        </w:p>
        <w:p>
          <w:pPr>
            <w:pStyle w:val="Contents4"/>
            <w:tabs>
              <w:tab w:val="clear" w:pos="8176"/>
              <w:tab w:val="right" w:pos="9026" w:leader="dot"/>
            </w:tabs>
            <w:rPr/>
          </w:pPr>
          <w:hyperlink w:anchor="__RefHeading___Toc2759874_1395250215">
            <w:r>
              <w:rPr>
                <w:webHidden/>
                <w:rStyle w:val="IndexLink"/>
              </w:rPr>
              <w:t>5</w:t>
            </w:r>
            <w:r>
              <w:rPr>
                <w:rStyle w:val="IndexLink"/>
                <w:rtl w:val="true"/>
              </w:rPr>
              <w:t xml:space="preserve"> - </w:t>
            </w:r>
            <w:r>
              <w:rPr>
                <w:rStyle w:val="IndexLink"/>
                <w:rtl w:val="true"/>
              </w:rPr>
              <w:t>رجال البرقی</w:t>
            </w:r>
            <w:r>
              <w:rPr>
                <w:rStyle w:val="IndexLink"/>
                <w:rtl w:val="true"/>
              </w:rPr>
              <w:tab/>
            </w:r>
            <w:r>
              <w:rPr>
                <w:rStyle w:val="IndexLink"/>
              </w:rPr>
              <w:t>78</w:t>
            </w:r>
          </w:hyperlink>
        </w:p>
        <w:p>
          <w:pPr>
            <w:pStyle w:val="Contents4"/>
            <w:tabs>
              <w:tab w:val="clear" w:pos="8176"/>
              <w:tab w:val="right" w:pos="9026" w:leader="dot"/>
            </w:tabs>
            <w:rPr/>
          </w:pPr>
          <w:hyperlink w:anchor="__RefHeading___Toc2759876_1395250215">
            <w:r>
              <w:rPr>
                <w:webHidden/>
                <w:rStyle w:val="IndexLink"/>
              </w:rPr>
              <w:t>6</w:t>
            </w:r>
            <w:r>
              <w:rPr>
                <w:rStyle w:val="IndexLink"/>
                <w:rtl w:val="true"/>
              </w:rPr>
              <w:t xml:space="preserve"> - </w:t>
            </w:r>
            <w:r>
              <w:rPr>
                <w:rStyle w:val="IndexLink"/>
                <w:rtl w:val="true"/>
              </w:rPr>
              <w:t>رسالة أبی غالب الزراری</w:t>
            </w:r>
            <w:r>
              <w:rPr>
                <w:rStyle w:val="IndexLink"/>
                <w:rtl w:val="true"/>
              </w:rPr>
              <w:tab/>
            </w:r>
            <w:r>
              <w:rPr>
                <w:rStyle w:val="IndexLink"/>
              </w:rPr>
              <w:t>79</w:t>
            </w:r>
          </w:hyperlink>
        </w:p>
        <w:p>
          <w:pPr>
            <w:pStyle w:val="Contents4"/>
            <w:tabs>
              <w:tab w:val="clear" w:pos="8176"/>
              <w:tab w:val="right" w:pos="9026" w:leader="dot"/>
            </w:tabs>
            <w:rPr/>
          </w:pPr>
          <w:hyperlink w:anchor="__RefHeading___Toc2759878_1395250215">
            <w:r>
              <w:rPr>
                <w:webHidden/>
                <w:rStyle w:val="IndexLink"/>
              </w:rPr>
              <w:t>7</w:t>
            </w:r>
            <w:r>
              <w:rPr>
                <w:rStyle w:val="IndexLink"/>
                <w:rtl w:val="true"/>
              </w:rPr>
              <w:t xml:space="preserve"> - </w:t>
            </w:r>
            <w:r>
              <w:rPr>
                <w:rStyle w:val="IndexLink"/>
                <w:rtl w:val="true"/>
              </w:rPr>
              <w:t>مشیخة الصدوق</w:t>
            </w:r>
            <w:r>
              <w:rPr>
                <w:rStyle w:val="IndexLink"/>
                <w:rtl w:val="true"/>
              </w:rPr>
              <w:t>:</w:t>
              <w:tab/>
            </w:r>
            <w:r>
              <w:rPr>
                <w:rStyle w:val="IndexLink"/>
              </w:rPr>
              <w:t>80</w:t>
            </w:r>
          </w:hyperlink>
        </w:p>
        <w:p>
          <w:pPr>
            <w:pStyle w:val="Contents4"/>
            <w:tabs>
              <w:tab w:val="clear" w:pos="8176"/>
              <w:tab w:val="right" w:pos="9026" w:leader="dot"/>
            </w:tabs>
            <w:rPr/>
          </w:pPr>
          <w:hyperlink w:anchor="__RefHeading___Toc2759880_1395250215">
            <w:r>
              <w:rPr>
                <w:webHidden/>
                <w:rStyle w:val="IndexLink"/>
              </w:rPr>
              <w:t>8</w:t>
            </w:r>
            <w:r>
              <w:rPr>
                <w:rStyle w:val="IndexLink"/>
                <w:rtl w:val="true"/>
              </w:rPr>
              <w:t xml:space="preserve"> - </w:t>
            </w:r>
            <w:r>
              <w:rPr>
                <w:rStyle w:val="IndexLink"/>
                <w:rtl w:val="true"/>
              </w:rPr>
              <w:t>مشیخة الشیخ الطوسی فی کتابی</w:t>
            </w:r>
            <w:r>
              <w:rPr>
                <w:rStyle w:val="IndexLink"/>
                <w:rtl w:val="true"/>
              </w:rPr>
              <w:t xml:space="preserve">: </w:t>
            </w:r>
            <w:r>
              <w:rPr>
                <w:rStyle w:val="IndexLink"/>
                <w:rtl w:val="true"/>
              </w:rPr>
              <w:t>التهذیب و الاستبصار</w:t>
            </w:r>
            <w:r>
              <w:rPr>
                <w:rStyle w:val="IndexLink"/>
                <w:rtl w:val="true"/>
              </w:rPr>
              <w:tab/>
            </w:r>
            <w:r>
              <w:rPr>
                <w:rStyle w:val="IndexLink"/>
              </w:rPr>
              <w:t>81</w:t>
            </w:r>
          </w:hyperlink>
        </w:p>
        <w:p>
          <w:pPr>
            <w:pStyle w:val="Contents5"/>
            <w:tabs>
              <w:tab w:val="clear" w:pos="7892"/>
              <w:tab w:val="right" w:pos="9026" w:leader="dot"/>
            </w:tabs>
            <w:rPr/>
          </w:pPr>
          <w:hyperlink w:anchor="__RefHeading___Toc2759882_139525021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759884_1395250215">
            <w:r>
              <w:rPr>
                <w:webHidden/>
                <w:rStyle w:val="IndexLink"/>
                <w:rtl w:val="true"/>
              </w:rPr>
              <w:t>توالی التألیف فی علم الرجال</w:t>
            </w:r>
            <w:r>
              <w:rPr>
                <w:rStyle w:val="IndexLink"/>
                <w:rtl w:val="true"/>
              </w:rPr>
              <w:tab/>
            </w:r>
            <w:r>
              <w:rPr>
                <w:rStyle w:val="IndexLink"/>
              </w:rPr>
              <w:t>81</w:t>
            </w:r>
          </w:hyperlink>
        </w:p>
        <w:p>
          <w:pPr>
            <w:pStyle w:val="Contents5"/>
            <w:tabs>
              <w:tab w:val="clear" w:pos="7892"/>
              <w:tab w:val="right" w:pos="9026" w:leader="dot"/>
            </w:tabs>
            <w:rPr/>
          </w:pPr>
          <w:hyperlink w:anchor="__RefHeading___Toc2759886_1395250215">
            <w:r>
              <w:rPr>
                <w:webHidden/>
                <w:rStyle w:val="IndexLink"/>
                <w:rtl w:val="true"/>
              </w:rPr>
              <w:t>الفرق بین الرجال و الفهرس</w:t>
            </w:r>
            <w:r>
              <w:rPr>
                <w:rStyle w:val="IndexLink"/>
                <w:rtl w:val="true"/>
              </w:rPr>
              <w:tab/>
            </w:r>
            <w:r>
              <w:rPr>
                <w:rStyle w:val="IndexLink"/>
              </w:rPr>
              <w:t>81</w:t>
            </w:r>
          </w:hyperlink>
        </w:p>
        <w:p>
          <w:pPr>
            <w:pStyle w:val="Contents3"/>
            <w:tabs>
              <w:tab w:val="clear" w:pos="8459"/>
              <w:tab w:val="right" w:pos="9026" w:leader="dot"/>
            </w:tabs>
            <w:rPr/>
          </w:pPr>
          <w:hyperlink w:anchor="__RefHeading___Toc2759888_1395250215">
            <w:r>
              <w:rPr>
                <w:webHidden/>
                <w:rStyle w:val="IndexLink"/>
              </w:rPr>
              <w:t>2</w:t>
            </w:r>
            <w:r>
              <w:rPr>
                <w:rStyle w:val="IndexLink"/>
                <w:rtl w:val="true"/>
              </w:rPr>
              <w:t xml:space="preserve"> - </w:t>
            </w:r>
            <w:r>
              <w:rPr>
                <w:rStyle w:val="IndexLink"/>
                <w:rtl w:val="true"/>
              </w:rPr>
              <w:t>رجال ابن الغضائری</w:t>
            </w:r>
            <w:r>
              <w:rPr>
                <w:rStyle w:val="IndexLink"/>
                <w:rtl w:val="true"/>
              </w:rPr>
              <w:tab/>
            </w:r>
            <w:r>
              <w:rPr>
                <w:rStyle w:val="IndexLink"/>
              </w:rPr>
              <w:t>84</w:t>
            </w:r>
          </w:hyperlink>
        </w:p>
        <w:p>
          <w:pPr>
            <w:pStyle w:val="Contents4"/>
            <w:tabs>
              <w:tab w:val="clear" w:pos="8176"/>
              <w:tab w:val="right" w:pos="9026" w:leader="dot"/>
            </w:tabs>
            <w:rPr/>
          </w:pPr>
          <w:hyperlink w:anchor="__RefHeading___Toc2759890_1395250215">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759892_1395250215">
            <w:r>
              <w:rPr>
                <w:webHidden/>
                <w:rStyle w:val="IndexLink"/>
                <w:rtl w:val="true"/>
              </w:rPr>
              <w:t xml:space="preserve">أ </w:t>
            </w:r>
            <w:r>
              <w:rPr>
                <w:rStyle w:val="IndexLink"/>
                <w:rtl w:val="true"/>
              </w:rPr>
              <w:t xml:space="preserve">- </w:t>
            </w:r>
            <w:r>
              <w:rPr>
                <w:rStyle w:val="IndexLink"/>
                <w:rtl w:val="true"/>
              </w:rPr>
              <w:t>ترجمة الغضائری</w:t>
            </w:r>
            <w:r>
              <w:rPr>
                <w:rStyle w:val="IndexLink"/>
                <w:rtl w:val="true"/>
              </w:rPr>
              <w:t>:</w:t>
              <w:tab/>
            </w:r>
            <w:r>
              <w:rPr>
                <w:rStyle w:val="IndexLink"/>
              </w:rPr>
              <w:t>86</w:t>
            </w:r>
          </w:hyperlink>
        </w:p>
        <w:p>
          <w:pPr>
            <w:pStyle w:val="Contents4"/>
            <w:tabs>
              <w:tab w:val="clear" w:pos="8176"/>
              <w:tab w:val="right" w:pos="9026" w:leader="dot"/>
            </w:tabs>
            <w:rPr/>
          </w:pPr>
          <w:hyperlink w:anchor="__RefHeading___Toc2759894_1395250215">
            <w:r>
              <w:rPr>
                <w:webHidden/>
                <w:rStyle w:val="IndexLink"/>
                <w:rtl w:val="true"/>
              </w:rPr>
              <w:t xml:space="preserve">ب </w:t>
            </w:r>
            <w:r>
              <w:rPr>
                <w:rStyle w:val="IndexLink"/>
                <w:rtl w:val="true"/>
              </w:rPr>
              <w:t xml:space="preserve">- </w:t>
            </w:r>
            <w:r>
              <w:rPr>
                <w:rStyle w:val="IndexLink"/>
                <w:rtl w:val="true"/>
              </w:rPr>
              <w:t>ترجمة ابن الغضائری</w:t>
            </w:r>
            <w:r>
              <w:rPr>
                <w:rStyle w:val="IndexLink"/>
                <w:rtl w:val="true"/>
              </w:rPr>
              <w:t>:</w:t>
              <w:tab/>
            </w:r>
            <w:r>
              <w:rPr>
                <w:rStyle w:val="IndexLink"/>
              </w:rPr>
              <w:t>87</w:t>
            </w:r>
          </w:hyperlink>
        </w:p>
        <w:p>
          <w:pPr>
            <w:pStyle w:val="Contents4"/>
            <w:tabs>
              <w:tab w:val="clear" w:pos="8176"/>
              <w:tab w:val="right" w:pos="9026" w:leader="dot"/>
            </w:tabs>
            <w:rPr/>
          </w:pPr>
          <w:hyperlink w:anchor="__RefHeading___Toc2759896_1395250215">
            <w:r>
              <w:rPr>
                <w:webHidden/>
                <w:rStyle w:val="IndexLink"/>
                <w:rtl w:val="true"/>
              </w:rPr>
              <w:t xml:space="preserve">ج </w:t>
            </w:r>
            <w:r>
              <w:rPr>
                <w:rStyle w:val="IndexLink"/>
                <w:rtl w:val="true"/>
              </w:rPr>
              <w:t xml:space="preserve">- </w:t>
            </w:r>
            <w:r>
              <w:rPr>
                <w:rStyle w:val="IndexLink"/>
                <w:rtl w:val="true"/>
              </w:rPr>
              <w:t>کیفیة وقوف العلماء علی کتاب الضعفاء</w:t>
            </w:r>
            <w:r>
              <w:rPr>
                <w:rStyle w:val="IndexLink"/>
                <w:rtl w:val="true"/>
              </w:rPr>
              <w:tab/>
            </w:r>
            <w:r>
              <w:rPr>
                <w:rStyle w:val="IndexLink"/>
              </w:rPr>
              <w:t>89</w:t>
            </w:r>
          </w:hyperlink>
        </w:p>
        <w:p>
          <w:pPr>
            <w:pStyle w:val="Contents4"/>
            <w:tabs>
              <w:tab w:val="clear" w:pos="8176"/>
              <w:tab w:val="right" w:pos="9026" w:leader="dot"/>
            </w:tabs>
            <w:rPr/>
          </w:pPr>
          <w:hyperlink w:anchor="__RefHeading___Toc2759898_1395250215">
            <w:r>
              <w:rPr>
                <w:webHidden/>
                <w:rStyle w:val="IndexLink"/>
                <w:rtl w:val="true"/>
              </w:rPr>
              <w:t xml:space="preserve">د </w:t>
            </w:r>
            <w:r>
              <w:rPr>
                <w:rStyle w:val="IndexLink"/>
                <w:rtl w:val="true"/>
              </w:rPr>
              <w:t xml:space="preserve">- </w:t>
            </w:r>
            <w:r>
              <w:rPr>
                <w:rStyle w:val="IndexLink"/>
                <w:rtl w:val="true"/>
              </w:rPr>
              <w:t>الکتاب تألیف نفس الغضائری أو تألیف ابنه</w:t>
            </w:r>
            <w:r>
              <w:rPr>
                <w:rStyle w:val="IndexLink"/>
                <w:rtl w:val="true"/>
              </w:rPr>
              <w:tab/>
            </w:r>
            <w:r>
              <w:rPr>
                <w:rStyle w:val="IndexLink"/>
              </w:rPr>
              <w:t>91</w:t>
            </w:r>
          </w:hyperlink>
        </w:p>
        <w:p>
          <w:pPr>
            <w:pStyle w:val="Contents4"/>
            <w:tabs>
              <w:tab w:val="clear" w:pos="8176"/>
              <w:tab w:val="right" w:pos="9026" w:leader="dot"/>
            </w:tabs>
            <w:rPr/>
          </w:pPr>
          <w:hyperlink w:anchor="__RefHeading___Toc2759900_1395250215">
            <w:r>
              <w:rPr>
                <w:webHidden/>
                <w:rStyle w:val="IndexLink"/>
                <w:rtl w:val="true"/>
              </w:rPr>
              <w:t xml:space="preserve">ه </w:t>
            </w:r>
            <w:r>
              <w:rPr>
                <w:rStyle w:val="IndexLink"/>
                <w:rtl w:val="true"/>
              </w:rPr>
              <w:t xml:space="preserve">- </w:t>
            </w:r>
            <w:r>
              <w:rPr>
                <w:rStyle w:val="IndexLink"/>
                <w:rtl w:val="true"/>
              </w:rPr>
              <w:t>کتاب الضعفاء رابع کتبه</w:t>
            </w:r>
            <w:r>
              <w:rPr>
                <w:rStyle w:val="IndexLink"/>
                <w:rtl w:val="true"/>
              </w:rPr>
              <w:tab/>
            </w:r>
            <w:r>
              <w:rPr>
                <w:rStyle w:val="IndexLink"/>
              </w:rPr>
              <w:t>94</w:t>
            </w:r>
          </w:hyperlink>
        </w:p>
        <w:p>
          <w:pPr>
            <w:pStyle w:val="Contents4"/>
            <w:tabs>
              <w:tab w:val="clear" w:pos="8176"/>
              <w:tab w:val="right" w:pos="9026" w:leader="dot"/>
            </w:tabs>
            <w:rPr/>
          </w:pPr>
          <w:hyperlink w:anchor="__RefHeading___Toc2759902_1395250215">
            <w:r>
              <w:rPr>
                <w:webHidden/>
                <w:rStyle w:val="IndexLink"/>
                <w:rtl w:val="true"/>
              </w:rPr>
              <w:t xml:space="preserve">و </w:t>
            </w:r>
            <w:r>
              <w:rPr>
                <w:rStyle w:val="IndexLink"/>
                <w:rtl w:val="true"/>
              </w:rPr>
              <w:t xml:space="preserve">- </w:t>
            </w:r>
            <w:r>
              <w:rPr>
                <w:rStyle w:val="IndexLink"/>
                <w:rtl w:val="true"/>
              </w:rPr>
              <w:t>کتاب الضعفاء و قیمته العلمیة عند العلماء</w:t>
            </w:r>
            <w:r>
              <w:rPr>
                <w:rStyle w:val="IndexLink"/>
                <w:rtl w:val="true"/>
              </w:rPr>
              <w:tab/>
            </w:r>
            <w:r>
              <w:rPr>
                <w:rStyle w:val="IndexLink"/>
              </w:rPr>
              <w:t>96</w:t>
            </w:r>
          </w:hyperlink>
        </w:p>
        <w:p>
          <w:pPr>
            <w:pStyle w:val="Contents5"/>
            <w:tabs>
              <w:tab w:val="clear" w:pos="7892"/>
              <w:tab w:val="right" w:pos="9026" w:leader="dot"/>
            </w:tabs>
            <w:rPr/>
          </w:pPr>
          <w:hyperlink w:anchor="__RefHeading___Toc2759904_139525021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2759906_1395250215">
            <w:r>
              <w:rPr>
                <w:webHidden/>
                <w:rStyle w:val="IndexLink"/>
                <w:rtl w:val="true"/>
              </w:rPr>
              <w:t>النظریة الاولی</w:t>
            </w:r>
            <w:r>
              <w:rPr>
                <w:rStyle w:val="IndexLink"/>
                <w:rtl w:val="true"/>
              </w:rPr>
              <w:tab/>
            </w:r>
            <w:r>
              <w:rPr>
                <w:rStyle w:val="IndexLink"/>
              </w:rPr>
              <w:t>96</w:t>
            </w:r>
          </w:hyperlink>
        </w:p>
        <w:p>
          <w:pPr>
            <w:pStyle w:val="Contents6"/>
            <w:tabs>
              <w:tab w:val="clear" w:pos="7609"/>
              <w:tab w:val="right" w:pos="9026" w:leader="dot"/>
            </w:tabs>
            <w:rPr/>
          </w:pPr>
          <w:hyperlink w:anchor="__RefHeading___Toc2759908_1395250215">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2759910_1395250215">
            <w:r>
              <w:rPr>
                <w:webHidden/>
                <w:rStyle w:val="IndexLink"/>
                <w:rtl w:val="true"/>
              </w:rPr>
              <w:t>تحلیل هذه النظریة</w:t>
            </w:r>
            <w:r>
              <w:rPr>
                <w:rStyle w:val="IndexLink"/>
                <w:rtl w:val="true"/>
              </w:rPr>
              <w:tab/>
            </w:r>
            <w:r>
              <w:rPr>
                <w:rStyle w:val="IndexLink"/>
              </w:rPr>
              <w:t>98</w:t>
            </w:r>
          </w:hyperlink>
        </w:p>
        <w:p>
          <w:pPr>
            <w:pStyle w:val="Contents5"/>
            <w:tabs>
              <w:tab w:val="clear" w:pos="7892"/>
              <w:tab w:val="right" w:pos="9026" w:leader="dot"/>
            </w:tabs>
            <w:rPr/>
          </w:pPr>
          <w:hyperlink w:anchor="__RefHeading___Toc2759912_1395250215">
            <w:r>
              <w:rPr>
                <w:webHidden/>
                <w:rStyle w:val="IndexLink"/>
                <w:rtl w:val="true"/>
              </w:rPr>
              <w:t>النظریة الثانیة</w:t>
            </w:r>
            <w:r>
              <w:rPr>
                <w:rStyle w:val="IndexLink"/>
                <w:rtl w:val="true"/>
              </w:rPr>
              <w:tab/>
            </w:r>
            <w:r>
              <w:rPr>
                <w:rStyle w:val="IndexLink"/>
              </w:rPr>
              <w:t>99</w:t>
            </w:r>
          </w:hyperlink>
        </w:p>
        <w:p>
          <w:pPr>
            <w:pStyle w:val="Contents5"/>
            <w:tabs>
              <w:tab w:val="clear" w:pos="7892"/>
              <w:tab w:val="right" w:pos="9026" w:leader="dot"/>
            </w:tabs>
            <w:rPr/>
          </w:pPr>
          <w:hyperlink w:anchor="__RefHeading___Toc2759914_1395250215">
            <w:r>
              <w:rPr>
                <w:webHidden/>
                <w:rStyle w:val="IndexLink"/>
                <w:rtl w:val="true"/>
              </w:rPr>
              <w:t>النظریة الثالثة</w:t>
            </w:r>
            <w:r>
              <w:rPr>
                <w:rStyle w:val="IndexLink"/>
                <w:rtl w:val="true"/>
              </w:rPr>
              <w:tab/>
            </w:r>
            <w:r>
              <w:rPr>
                <w:rStyle w:val="IndexLink"/>
              </w:rPr>
              <w:t>99</w:t>
            </w:r>
          </w:hyperlink>
        </w:p>
        <w:p>
          <w:pPr>
            <w:pStyle w:val="Contents5"/>
            <w:tabs>
              <w:tab w:val="clear" w:pos="7892"/>
              <w:tab w:val="right" w:pos="9026" w:leader="dot"/>
            </w:tabs>
            <w:rPr/>
          </w:pPr>
          <w:hyperlink w:anchor="__RefHeading___Toc2759916_1395250215">
            <w:r>
              <w:rPr>
                <w:webHidden/>
                <w:rStyle w:val="IndexLink"/>
                <w:rtl w:val="true"/>
              </w:rPr>
              <w:t>النظریة الرابعة</w:t>
            </w:r>
            <w:r>
              <w:rPr>
                <w:rStyle w:val="IndexLink"/>
                <w:rtl w:val="true"/>
              </w:rPr>
              <w:tab/>
            </w:r>
            <w:r>
              <w:rPr>
                <w:rStyle w:val="IndexLink"/>
              </w:rPr>
              <w:t>100</w:t>
            </w:r>
          </w:hyperlink>
        </w:p>
        <w:p>
          <w:pPr>
            <w:pStyle w:val="Contents6"/>
            <w:tabs>
              <w:tab w:val="clear" w:pos="7609"/>
              <w:tab w:val="right" w:pos="9026" w:leader="dot"/>
            </w:tabs>
            <w:rPr/>
          </w:pPr>
          <w:hyperlink w:anchor="__RefHeading___Toc2759918_1395250215">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759920_1395250215">
            <w:r>
              <w:rPr>
                <w:webHidden/>
                <w:rStyle w:val="IndexLink"/>
                <w:rtl w:val="true"/>
              </w:rPr>
              <w:t>اجابة المحقق التستری عن هذه النظریة</w:t>
            </w:r>
            <w:r>
              <w:rPr>
                <w:rStyle w:val="IndexLink"/>
                <w:rtl w:val="true"/>
              </w:rPr>
              <w:tab/>
            </w:r>
            <w:r>
              <w:rPr>
                <w:rStyle w:val="IndexLink"/>
              </w:rPr>
              <w:t>101</w:t>
            </w:r>
          </w:hyperlink>
        </w:p>
        <w:p>
          <w:pPr>
            <w:pStyle w:val="Contents5"/>
            <w:tabs>
              <w:tab w:val="clear" w:pos="7892"/>
              <w:tab w:val="right" w:pos="9026" w:leader="dot"/>
            </w:tabs>
            <w:rPr/>
          </w:pPr>
          <w:hyperlink w:anchor="__RefHeading___Toc2759922_1395250215">
            <w:r>
              <w:rPr>
                <w:webHidden/>
                <w:rStyle w:val="IndexLink"/>
                <w:rtl w:val="true"/>
              </w:rPr>
              <w:t>النظریة الخامسة</w:t>
            </w:r>
            <w:r>
              <w:rPr>
                <w:rStyle w:val="IndexLink"/>
                <w:rtl w:val="true"/>
              </w:rPr>
              <w:tab/>
            </w:r>
            <w:r>
              <w:rPr>
                <w:rStyle w:val="IndexLink"/>
              </w:rPr>
              <w:t>109</w:t>
            </w:r>
          </w:hyperlink>
        </w:p>
        <w:p>
          <w:pPr>
            <w:pStyle w:val="Contents2"/>
            <w:tabs>
              <w:tab w:val="clear" w:pos="8743"/>
              <w:tab w:val="right" w:pos="9026" w:leader="dot"/>
            </w:tabs>
            <w:rPr/>
          </w:pPr>
          <w:hyperlink w:anchor="__RefHeading___Toc2759924_1395250215">
            <w:r>
              <w:rPr>
                <w:webHidden/>
                <w:rStyle w:val="IndexLink"/>
                <w:rtl w:val="true"/>
              </w:rPr>
              <w:t>الفصل الرابع</w:t>
            </w:r>
            <w:r>
              <w:rPr>
                <w:rStyle w:val="IndexLink"/>
                <w:rtl w:val="true"/>
              </w:rPr>
              <w:t xml:space="preserve">: </w:t>
            </w:r>
            <w:r>
              <w:rPr>
                <w:rStyle w:val="IndexLink"/>
                <w:rtl w:val="true"/>
              </w:rPr>
              <w:t>المصادر الثانویة لعلم الرجال</w:t>
            </w:r>
            <w:r>
              <w:rPr>
                <w:rStyle w:val="IndexLink"/>
                <w:rtl w:val="true"/>
              </w:rPr>
              <w:tab/>
            </w:r>
            <w:r>
              <w:rPr>
                <w:rStyle w:val="IndexLink"/>
              </w:rPr>
              <w:t>112</w:t>
            </w:r>
          </w:hyperlink>
        </w:p>
        <w:p>
          <w:pPr>
            <w:pStyle w:val="Contents3"/>
            <w:tabs>
              <w:tab w:val="clear" w:pos="8459"/>
              <w:tab w:val="right" w:pos="9026" w:leader="dot"/>
            </w:tabs>
            <w:rPr/>
          </w:pPr>
          <w:hyperlink w:anchor="__RefHeading___Toc2759926_1395250215">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759928_1395250215">
            <w:r>
              <w:rPr>
                <w:webHidden/>
                <w:rStyle w:val="IndexLink"/>
              </w:rPr>
              <w:t>1</w:t>
            </w:r>
            <w:r>
              <w:rPr>
                <w:rStyle w:val="IndexLink"/>
                <w:rtl w:val="true"/>
              </w:rPr>
              <w:t xml:space="preserve"> - </w:t>
            </w:r>
            <w:r>
              <w:rPr>
                <w:rStyle w:val="IndexLink"/>
                <w:rtl w:val="true"/>
              </w:rPr>
              <w:t>الاصول الرجالیة الاربعة</w:t>
            </w:r>
            <w:r>
              <w:rPr>
                <w:rStyle w:val="IndexLink"/>
                <w:rtl w:val="true"/>
              </w:rPr>
              <w:tab/>
            </w:r>
            <w:r>
              <w:rPr>
                <w:rStyle w:val="IndexLink"/>
              </w:rPr>
              <w:t>114</w:t>
            </w:r>
          </w:hyperlink>
        </w:p>
        <w:p>
          <w:pPr>
            <w:pStyle w:val="Contents4"/>
            <w:tabs>
              <w:tab w:val="clear" w:pos="8176"/>
              <w:tab w:val="right" w:pos="9026" w:leader="dot"/>
            </w:tabs>
            <w:rPr/>
          </w:pPr>
          <w:hyperlink w:anchor="__RefHeading___Toc2759930_1395250215">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759932_1395250215">
            <w:r>
              <w:rPr>
                <w:webHidden/>
                <w:rStyle w:val="IndexLink"/>
              </w:rPr>
              <w:t>1</w:t>
            </w:r>
            <w:r>
              <w:rPr>
                <w:rStyle w:val="IndexLink"/>
                <w:rtl w:val="true"/>
              </w:rPr>
              <w:t xml:space="preserve"> - </w:t>
            </w:r>
            <w:r>
              <w:rPr>
                <w:rStyle w:val="IndexLink"/>
                <w:rtl w:val="true"/>
              </w:rPr>
              <w:t>فهرس الشیخ منتجب الدین</w:t>
            </w:r>
            <w:r>
              <w:rPr>
                <w:rStyle w:val="IndexLink"/>
                <w:rtl w:val="true"/>
              </w:rPr>
              <w:tab/>
            </w:r>
            <w:r>
              <w:rPr>
                <w:rStyle w:val="IndexLink"/>
              </w:rPr>
              <w:t>117</w:t>
            </w:r>
          </w:hyperlink>
        </w:p>
        <w:p>
          <w:pPr>
            <w:pStyle w:val="Contents4"/>
            <w:tabs>
              <w:tab w:val="clear" w:pos="8176"/>
              <w:tab w:val="right" w:pos="9026" w:leader="dot"/>
            </w:tabs>
            <w:rPr/>
          </w:pPr>
          <w:hyperlink w:anchor="__RefHeading___Toc2759934_1395250215">
            <w:r>
              <w:rPr>
                <w:webHidden/>
                <w:rStyle w:val="IndexLink"/>
              </w:rPr>
              <w:t>2</w:t>
            </w:r>
            <w:r>
              <w:rPr>
                <w:rStyle w:val="IndexLink"/>
                <w:rtl w:val="true"/>
              </w:rPr>
              <w:t xml:space="preserve"> - </w:t>
            </w:r>
            <w:r>
              <w:rPr>
                <w:rStyle w:val="IndexLink"/>
                <w:rtl w:val="true"/>
              </w:rPr>
              <w:t>معالم العلماء فی فهرس کتب الشیعة و أسماء المصنفین</w:t>
            </w:r>
            <w:r>
              <w:rPr>
                <w:rStyle w:val="IndexLink"/>
                <w:rtl w:val="true"/>
              </w:rPr>
              <w:tab/>
            </w:r>
            <w:r>
              <w:rPr>
                <w:rStyle w:val="IndexLink"/>
              </w:rPr>
              <w:t>120</w:t>
            </w:r>
          </w:hyperlink>
        </w:p>
        <w:p>
          <w:pPr>
            <w:pStyle w:val="Contents4"/>
            <w:tabs>
              <w:tab w:val="clear" w:pos="8176"/>
              <w:tab w:val="right" w:pos="9026" w:leader="dot"/>
            </w:tabs>
            <w:rPr/>
          </w:pPr>
          <w:hyperlink w:anchor="__RefHeading___Toc2759936_1395250215">
            <w:r>
              <w:rPr>
                <w:webHidden/>
                <w:rStyle w:val="IndexLink"/>
              </w:rPr>
              <w:t>3</w:t>
            </w:r>
            <w:r>
              <w:rPr>
                <w:rStyle w:val="IndexLink"/>
                <w:rtl w:val="true"/>
              </w:rPr>
              <w:t xml:space="preserve"> - </w:t>
            </w:r>
            <w:r>
              <w:rPr>
                <w:rStyle w:val="IndexLink"/>
                <w:rtl w:val="true"/>
              </w:rPr>
              <w:t>رجال ابن داود</w:t>
            </w:r>
            <w:r>
              <w:rPr>
                <w:rStyle w:val="IndexLink"/>
                <w:rtl w:val="true"/>
              </w:rPr>
              <w:tab/>
            </w:r>
            <w:r>
              <w:rPr>
                <w:rStyle w:val="IndexLink"/>
              </w:rPr>
              <w:t>121</w:t>
            </w:r>
          </w:hyperlink>
        </w:p>
        <w:p>
          <w:pPr>
            <w:pStyle w:val="Contents5"/>
            <w:tabs>
              <w:tab w:val="clear" w:pos="7892"/>
              <w:tab w:val="right" w:pos="9026" w:leader="dot"/>
            </w:tabs>
            <w:rPr/>
          </w:pPr>
          <w:hyperlink w:anchor="__RefHeading___Toc2759938_139525021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759940_1395250215">
            <w:r>
              <w:rPr>
                <w:webHidden/>
                <w:rStyle w:val="IndexLink"/>
                <w:rtl w:val="true"/>
              </w:rPr>
              <w:t>ممیزات رجال ابن داود</w:t>
            </w:r>
            <w:r>
              <w:rPr>
                <w:rStyle w:val="IndexLink"/>
                <w:rtl w:val="true"/>
              </w:rPr>
              <w:tab/>
            </w:r>
            <w:r>
              <w:rPr>
                <w:rStyle w:val="IndexLink"/>
              </w:rPr>
              <w:t>121</w:t>
            </w:r>
          </w:hyperlink>
        </w:p>
        <w:p>
          <w:pPr>
            <w:pStyle w:val="Contents5"/>
            <w:tabs>
              <w:tab w:val="clear" w:pos="7892"/>
              <w:tab w:val="right" w:pos="9026" w:leader="dot"/>
            </w:tabs>
            <w:rPr/>
          </w:pPr>
          <w:hyperlink w:anchor="__RefHeading___Toc2759942_1395250215">
            <w:r>
              <w:rPr>
                <w:webHidden/>
                <w:rStyle w:val="IndexLink"/>
                <w:rtl w:val="true"/>
              </w:rPr>
              <w:t>مشایخه</w:t>
            </w:r>
            <w:r>
              <w:rPr>
                <w:rStyle w:val="IndexLink"/>
                <w:rtl w:val="true"/>
              </w:rPr>
              <w:tab/>
            </w:r>
            <w:r>
              <w:rPr>
                <w:rStyle w:val="IndexLink"/>
              </w:rPr>
              <w:t>124</w:t>
            </w:r>
          </w:hyperlink>
        </w:p>
        <w:p>
          <w:pPr>
            <w:pStyle w:val="Contents5"/>
            <w:tabs>
              <w:tab w:val="clear" w:pos="7892"/>
              <w:tab w:val="right" w:pos="9026" w:leader="dot"/>
            </w:tabs>
            <w:rPr/>
          </w:pPr>
          <w:hyperlink w:anchor="__RefHeading___Toc2759944_1395250215">
            <w:r>
              <w:rPr>
                <w:webHidden/>
                <w:rStyle w:val="IndexLink"/>
                <w:rtl w:val="true"/>
              </w:rPr>
              <w:t>تلامیذه</w:t>
            </w:r>
            <w:r>
              <w:rPr>
                <w:rStyle w:val="IndexLink"/>
                <w:rtl w:val="true"/>
              </w:rPr>
              <w:tab/>
            </w:r>
            <w:r>
              <w:rPr>
                <w:rStyle w:val="IndexLink"/>
              </w:rPr>
              <w:t>124</w:t>
            </w:r>
          </w:hyperlink>
        </w:p>
        <w:p>
          <w:pPr>
            <w:pStyle w:val="Contents5"/>
            <w:tabs>
              <w:tab w:val="clear" w:pos="7892"/>
              <w:tab w:val="right" w:pos="9026" w:leader="dot"/>
            </w:tabs>
            <w:rPr/>
          </w:pPr>
          <w:hyperlink w:anchor="__RefHeading___Toc2759946_1395250215">
            <w:r>
              <w:rPr>
                <w:webHidden/>
                <w:rStyle w:val="IndexLink"/>
                <w:rtl w:val="true"/>
              </w:rPr>
              <w:t>تآلیفه</w:t>
            </w:r>
            <w:r>
              <w:rPr>
                <w:rStyle w:val="IndexLink"/>
                <w:rtl w:val="true"/>
              </w:rPr>
              <w:tab/>
            </w:r>
            <w:r>
              <w:rPr>
                <w:rStyle w:val="IndexLink"/>
              </w:rPr>
              <w:t>125</w:t>
            </w:r>
          </w:hyperlink>
        </w:p>
        <w:p>
          <w:pPr>
            <w:pStyle w:val="Contents5"/>
            <w:tabs>
              <w:tab w:val="clear" w:pos="7892"/>
              <w:tab w:val="right" w:pos="9026" w:leader="dot"/>
            </w:tabs>
            <w:rPr/>
          </w:pPr>
          <w:hyperlink w:anchor="__RefHeading___Toc2759948_1395250215">
            <w:r>
              <w:rPr>
                <w:webHidden/>
                <w:rStyle w:val="IndexLink"/>
                <w:rtl w:val="true"/>
              </w:rPr>
              <w:t>وفاته</w:t>
            </w:r>
            <w:r>
              <w:rPr>
                <w:rStyle w:val="IndexLink"/>
                <w:rtl w:val="true"/>
              </w:rPr>
              <w:tab/>
            </w:r>
            <w:r>
              <w:rPr>
                <w:rStyle w:val="IndexLink"/>
              </w:rPr>
              <w:t>125</w:t>
            </w:r>
          </w:hyperlink>
        </w:p>
        <w:p>
          <w:pPr>
            <w:pStyle w:val="Contents4"/>
            <w:tabs>
              <w:tab w:val="clear" w:pos="8176"/>
              <w:tab w:val="right" w:pos="9026" w:leader="dot"/>
            </w:tabs>
            <w:rPr/>
          </w:pPr>
          <w:hyperlink w:anchor="__RefHeading___Toc2759950_1395250215">
            <w:r>
              <w:rPr>
                <w:webHidden/>
                <w:rStyle w:val="IndexLink"/>
              </w:rPr>
              <w:t>4</w:t>
            </w:r>
            <w:r>
              <w:rPr>
                <w:rStyle w:val="IndexLink"/>
                <w:rtl w:val="true"/>
              </w:rPr>
              <w:t xml:space="preserve"> - </w:t>
            </w:r>
            <w:r>
              <w:rPr>
                <w:rStyle w:val="IndexLink"/>
                <w:rtl w:val="true"/>
              </w:rPr>
              <w:t>خلاصة الاقوال فی علم الرجال</w:t>
            </w:r>
            <w:r>
              <w:rPr>
                <w:rStyle w:val="IndexLink"/>
                <w:rtl w:val="true"/>
              </w:rPr>
              <w:tab/>
            </w:r>
            <w:r>
              <w:rPr>
                <w:rStyle w:val="IndexLink"/>
              </w:rPr>
              <w:t>126</w:t>
            </w:r>
          </w:hyperlink>
        </w:p>
        <w:p>
          <w:pPr>
            <w:pStyle w:val="Contents5"/>
            <w:tabs>
              <w:tab w:val="clear" w:pos="7892"/>
              <w:tab w:val="right" w:pos="9026" w:leader="dot"/>
            </w:tabs>
            <w:rPr/>
          </w:pPr>
          <w:hyperlink w:anchor="__RefHeading___Toc2759952_139525021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2759954_1395250215">
            <w:r>
              <w:rPr>
                <w:webHidden/>
                <w:rStyle w:val="IndexLink"/>
                <w:rtl w:val="true"/>
              </w:rPr>
              <w:t>الفروق بین رجالی العلامة و ابن داود</w:t>
            </w:r>
            <w:r>
              <w:rPr>
                <w:rStyle w:val="IndexLink"/>
                <w:rtl w:val="true"/>
              </w:rPr>
              <w:tab/>
            </w:r>
            <w:r>
              <w:rPr>
                <w:rStyle w:val="IndexLink"/>
              </w:rPr>
              <w:t>127</w:t>
            </w:r>
          </w:hyperlink>
        </w:p>
        <w:p>
          <w:pPr>
            <w:pStyle w:val="Contents5"/>
            <w:tabs>
              <w:tab w:val="clear" w:pos="7892"/>
              <w:tab w:val="right" w:pos="9026" w:leader="dot"/>
            </w:tabs>
            <w:rPr/>
          </w:pPr>
          <w:hyperlink w:anchor="__RefHeading___Toc2759956_1395250215">
            <w:r>
              <w:rPr>
                <w:webHidden/>
                <w:rStyle w:val="IndexLink"/>
                <w:rtl w:val="true"/>
              </w:rPr>
              <w:t>المجهول فی مصطلح العلاّمة و ابن داود</w:t>
            </w:r>
            <w:r>
              <w:rPr>
                <w:rStyle w:val="IndexLink"/>
                <w:rtl w:val="true"/>
              </w:rPr>
              <w:tab/>
            </w:r>
            <w:r>
              <w:rPr>
                <w:rStyle w:val="IndexLink"/>
              </w:rPr>
              <w:t>129</w:t>
            </w:r>
          </w:hyperlink>
        </w:p>
        <w:p>
          <w:pPr>
            <w:pStyle w:val="Contents3"/>
            <w:tabs>
              <w:tab w:val="clear" w:pos="8459"/>
              <w:tab w:val="right" w:pos="9026" w:leader="dot"/>
            </w:tabs>
            <w:rPr/>
          </w:pPr>
          <w:hyperlink w:anchor="__RefHeading___Toc2759958_1395250215">
            <w:r>
              <w:rPr>
                <w:webHidden/>
                <w:rStyle w:val="IndexLink"/>
              </w:rPr>
              <w:t>2</w:t>
            </w:r>
            <w:r>
              <w:rPr>
                <w:rStyle w:val="IndexLink"/>
                <w:rtl w:val="true"/>
              </w:rPr>
              <w:t xml:space="preserve"> - </w:t>
            </w:r>
            <w:r>
              <w:rPr>
                <w:rStyle w:val="IndexLink"/>
                <w:rtl w:val="true"/>
              </w:rPr>
              <w:t>الجوامع الرجالیة فی العصور المتأخرة</w:t>
            </w:r>
            <w:r>
              <w:rPr>
                <w:rStyle w:val="IndexLink"/>
                <w:rtl w:val="true"/>
              </w:rPr>
              <w:tab/>
            </w:r>
            <w:r>
              <w:rPr>
                <w:rStyle w:val="IndexLink"/>
              </w:rPr>
              <w:t>132</w:t>
            </w:r>
          </w:hyperlink>
        </w:p>
        <w:p>
          <w:pPr>
            <w:pStyle w:val="Contents4"/>
            <w:tabs>
              <w:tab w:val="clear" w:pos="8176"/>
              <w:tab w:val="right" w:pos="9026" w:leader="dot"/>
            </w:tabs>
            <w:rPr/>
          </w:pPr>
          <w:hyperlink w:anchor="__RefHeading___Toc2759960_1395250215">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759962_1395250215">
            <w:r>
              <w:rPr>
                <w:webHidden/>
                <w:rStyle w:val="IndexLink"/>
              </w:rPr>
              <w:t>1</w:t>
            </w:r>
            <w:r>
              <w:rPr>
                <w:rStyle w:val="IndexLink"/>
                <w:rtl w:val="true"/>
              </w:rPr>
              <w:t xml:space="preserve"> - </w:t>
            </w:r>
            <w:r>
              <w:rPr>
                <w:rStyle w:val="IndexLink"/>
                <w:rtl w:val="true"/>
              </w:rPr>
              <w:t>مجمع الرجال</w:t>
            </w:r>
            <w:r>
              <w:rPr>
                <w:rStyle w:val="IndexLink"/>
                <w:rtl w:val="true"/>
              </w:rPr>
              <w:tab/>
            </w:r>
            <w:r>
              <w:rPr>
                <w:rStyle w:val="IndexLink"/>
              </w:rPr>
              <w:t>134</w:t>
            </w:r>
          </w:hyperlink>
        </w:p>
        <w:p>
          <w:pPr>
            <w:pStyle w:val="Contents4"/>
            <w:tabs>
              <w:tab w:val="clear" w:pos="8176"/>
              <w:tab w:val="right" w:pos="9026" w:leader="dot"/>
            </w:tabs>
            <w:rPr/>
          </w:pPr>
          <w:hyperlink w:anchor="__RefHeading___Toc2759964_1395250215">
            <w:r>
              <w:rPr>
                <w:webHidden/>
                <w:rStyle w:val="IndexLink"/>
              </w:rPr>
              <w:t>2</w:t>
            </w:r>
            <w:r>
              <w:rPr>
                <w:rStyle w:val="IndexLink"/>
                <w:rtl w:val="true"/>
              </w:rPr>
              <w:t xml:space="preserve"> - </w:t>
            </w:r>
            <w:r>
              <w:rPr>
                <w:rStyle w:val="IndexLink"/>
                <w:rtl w:val="true"/>
              </w:rPr>
              <w:t>منهج المقال</w:t>
            </w:r>
            <w:r>
              <w:rPr>
                <w:rStyle w:val="IndexLink"/>
                <w:rtl w:val="true"/>
              </w:rPr>
              <w:tab/>
            </w:r>
            <w:r>
              <w:rPr>
                <w:rStyle w:val="IndexLink"/>
              </w:rPr>
              <w:t>134</w:t>
            </w:r>
          </w:hyperlink>
        </w:p>
        <w:p>
          <w:pPr>
            <w:pStyle w:val="Contents4"/>
            <w:tabs>
              <w:tab w:val="clear" w:pos="8176"/>
              <w:tab w:val="right" w:pos="9026" w:leader="dot"/>
            </w:tabs>
            <w:rPr/>
          </w:pPr>
          <w:hyperlink w:anchor="__RefHeading___Toc2759966_1395250215">
            <w:r>
              <w:rPr>
                <w:webHidden/>
                <w:rStyle w:val="IndexLink"/>
              </w:rPr>
              <w:t>3</w:t>
            </w:r>
            <w:r>
              <w:rPr>
                <w:rStyle w:val="IndexLink"/>
                <w:rtl w:val="true"/>
              </w:rPr>
              <w:t xml:space="preserve"> - </w:t>
            </w:r>
            <w:r>
              <w:rPr>
                <w:rStyle w:val="IndexLink"/>
                <w:rtl w:val="true"/>
              </w:rPr>
              <w:t>جامع الرواة</w:t>
            </w:r>
            <w:r>
              <w:rPr>
                <w:rStyle w:val="IndexLink"/>
                <w:rtl w:val="true"/>
              </w:rPr>
              <w:tab/>
            </w:r>
            <w:r>
              <w:rPr>
                <w:rStyle w:val="IndexLink"/>
              </w:rPr>
              <w:t>135</w:t>
            </w:r>
          </w:hyperlink>
        </w:p>
        <w:p>
          <w:pPr>
            <w:pStyle w:val="Contents4"/>
            <w:tabs>
              <w:tab w:val="clear" w:pos="8176"/>
              <w:tab w:val="right" w:pos="9026" w:leader="dot"/>
            </w:tabs>
            <w:rPr/>
          </w:pPr>
          <w:hyperlink w:anchor="__RefHeading___Toc2759968_1395250215">
            <w:r>
              <w:rPr>
                <w:webHidden/>
                <w:rStyle w:val="IndexLink"/>
              </w:rPr>
              <w:t>4</w:t>
            </w:r>
            <w:r>
              <w:rPr>
                <w:rStyle w:val="IndexLink"/>
                <w:rtl w:val="true"/>
              </w:rPr>
              <w:t xml:space="preserve"> - </w:t>
            </w:r>
            <w:r>
              <w:rPr>
                <w:rStyle w:val="IndexLink"/>
                <w:rtl w:val="true"/>
              </w:rPr>
              <w:t>نقد الرجال</w:t>
            </w:r>
            <w:r>
              <w:rPr>
                <w:rStyle w:val="IndexLink"/>
                <w:rtl w:val="true"/>
              </w:rPr>
              <w:tab/>
            </w:r>
            <w:r>
              <w:rPr>
                <w:rStyle w:val="IndexLink"/>
              </w:rPr>
              <w:t>136</w:t>
            </w:r>
          </w:hyperlink>
        </w:p>
        <w:p>
          <w:pPr>
            <w:pStyle w:val="Contents4"/>
            <w:tabs>
              <w:tab w:val="clear" w:pos="8176"/>
              <w:tab w:val="right" w:pos="9026" w:leader="dot"/>
            </w:tabs>
            <w:rPr/>
          </w:pPr>
          <w:hyperlink w:anchor="__RefHeading___Toc2759970_1395250215">
            <w:r>
              <w:rPr>
                <w:webHidden/>
                <w:rStyle w:val="IndexLink"/>
              </w:rPr>
              <w:t>5</w:t>
            </w:r>
            <w:r>
              <w:rPr>
                <w:rStyle w:val="IndexLink"/>
                <w:rtl w:val="true"/>
              </w:rPr>
              <w:t xml:space="preserve"> - </w:t>
            </w:r>
            <w:r>
              <w:rPr>
                <w:rStyle w:val="IndexLink"/>
                <w:rtl w:val="true"/>
              </w:rPr>
              <w:t>منتهی المقال فی أحوال الرجال</w:t>
            </w:r>
            <w:r>
              <w:rPr>
                <w:rStyle w:val="IndexLink"/>
                <w:rtl w:val="true"/>
              </w:rPr>
              <w:tab/>
            </w:r>
            <w:r>
              <w:rPr>
                <w:rStyle w:val="IndexLink"/>
              </w:rPr>
              <w:t>137</w:t>
            </w:r>
          </w:hyperlink>
        </w:p>
        <w:p>
          <w:pPr>
            <w:pStyle w:val="Contents3"/>
            <w:tabs>
              <w:tab w:val="clear" w:pos="8459"/>
              <w:tab w:val="right" w:pos="9026" w:leader="dot"/>
            </w:tabs>
            <w:rPr/>
          </w:pPr>
          <w:hyperlink w:anchor="__RefHeading___Toc2759972_1395250215">
            <w:r>
              <w:rPr>
                <w:webHidden/>
                <w:rStyle w:val="IndexLink"/>
              </w:rPr>
              <w:t>3</w:t>
            </w:r>
            <w:r>
              <w:rPr>
                <w:rStyle w:val="IndexLink"/>
                <w:rtl w:val="true"/>
              </w:rPr>
              <w:t xml:space="preserve"> - </w:t>
            </w:r>
            <w:r>
              <w:rPr>
                <w:rStyle w:val="IndexLink"/>
                <w:rtl w:val="true"/>
              </w:rPr>
              <w:t>الجوامع الرجالیة الدارجة علی منهج القدماء</w:t>
            </w:r>
            <w:r>
              <w:rPr>
                <w:rStyle w:val="IndexLink"/>
                <w:rtl w:val="true"/>
              </w:rPr>
              <w:tab/>
            </w:r>
            <w:r>
              <w:rPr>
                <w:rStyle w:val="IndexLink"/>
              </w:rPr>
              <w:t>138</w:t>
            </w:r>
          </w:hyperlink>
        </w:p>
        <w:p>
          <w:pPr>
            <w:pStyle w:val="Contents4"/>
            <w:tabs>
              <w:tab w:val="clear" w:pos="8176"/>
              <w:tab w:val="right" w:pos="9026" w:leader="dot"/>
            </w:tabs>
            <w:rPr/>
          </w:pPr>
          <w:hyperlink w:anchor="__RefHeading___Toc2759974_1395250215">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759976_1395250215">
            <w:r>
              <w:rPr>
                <w:webHidden/>
                <w:rStyle w:val="IndexLink"/>
              </w:rPr>
              <w:t>1</w:t>
            </w:r>
            <w:r>
              <w:rPr>
                <w:rStyle w:val="IndexLink"/>
                <w:rtl w:val="true"/>
              </w:rPr>
              <w:t xml:space="preserve"> - «</w:t>
            </w:r>
            <w:r>
              <w:rPr>
                <w:rStyle w:val="IndexLink"/>
                <w:rtl w:val="true"/>
              </w:rPr>
              <w:t>بهجة الامال فی شرح زبدة المقال فی علم الرجال</w:t>
            </w:r>
            <w:r>
              <w:rPr>
                <w:rStyle w:val="IndexLink"/>
                <w:rtl w:val="true"/>
              </w:rPr>
              <w:t>»</w:t>
              <w:tab/>
            </w:r>
            <w:r>
              <w:rPr>
                <w:rStyle w:val="IndexLink"/>
              </w:rPr>
              <w:t>141</w:t>
            </w:r>
          </w:hyperlink>
        </w:p>
        <w:p>
          <w:pPr>
            <w:pStyle w:val="Contents4"/>
            <w:tabs>
              <w:tab w:val="clear" w:pos="8176"/>
              <w:tab w:val="right" w:pos="9026" w:leader="dot"/>
            </w:tabs>
            <w:rPr/>
          </w:pPr>
          <w:hyperlink w:anchor="__RefHeading___Toc2759978_1395250215">
            <w:r>
              <w:rPr>
                <w:webHidden/>
                <w:rStyle w:val="IndexLink"/>
              </w:rPr>
              <w:t>2</w:t>
            </w:r>
            <w:r>
              <w:rPr>
                <w:rStyle w:val="IndexLink"/>
                <w:rtl w:val="true"/>
              </w:rPr>
              <w:t xml:space="preserve"> - «</w:t>
            </w:r>
            <w:r>
              <w:rPr>
                <w:rStyle w:val="IndexLink"/>
                <w:rtl w:val="true"/>
              </w:rPr>
              <w:t>تنقیح المقال فی معرفة علم الرجال</w:t>
            </w:r>
            <w:r>
              <w:rPr>
                <w:rStyle w:val="IndexLink"/>
                <w:rtl w:val="true"/>
              </w:rPr>
              <w:t>»</w:t>
              <w:tab/>
            </w:r>
            <w:r>
              <w:rPr>
                <w:rStyle w:val="IndexLink"/>
              </w:rPr>
              <w:t>141</w:t>
            </w:r>
          </w:hyperlink>
        </w:p>
        <w:p>
          <w:pPr>
            <w:pStyle w:val="Contents4"/>
            <w:tabs>
              <w:tab w:val="clear" w:pos="8176"/>
              <w:tab w:val="right" w:pos="9026" w:leader="dot"/>
            </w:tabs>
            <w:rPr/>
          </w:pPr>
          <w:hyperlink w:anchor="__RefHeading___Toc2759980_1395250215">
            <w:r>
              <w:rPr>
                <w:webHidden/>
                <w:rStyle w:val="IndexLink"/>
              </w:rPr>
              <w:t>3</w:t>
            </w:r>
            <w:r>
              <w:rPr>
                <w:rStyle w:val="IndexLink"/>
                <w:rtl w:val="true"/>
              </w:rPr>
              <w:t xml:space="preserve"> - «</w:t>
            </w:r>
            <w:r>
              <w:rPr>
                <w:rStyle w:val="IndexLink"/>
                <w:rtl w:val="true"/>
              </w:rPr>
              <w:t>قاموس الرجال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759982_1395250215">
            <w:r>
              <w:rPr>
                <w:webHidden/>
                <w:rStyle w:val="IndexLink"/>
              </w:rPr>
              <w:t>4</w:t>
            </w:r>
            <w:r>
              <w:rPr>
                <w:rStyle w:val="IndexLink"/>
                <w:rtl w:val="true"/>
              </w:rPr>
              <w:t xml:space="preserve"> - </w:t>
            </w:r>
            <w:r>
              <w:rPr>
                <w:rStyle w:val="IndexLink"/>
                <w:rtl w:val="true"/>
              </w:rPr>
              <w:t>تطور فی تألیف الجوامع الرجالیة</w:t>
            </w:r>
            <w:r>
              <w:rPr>
                <w:rStyle w:val="IndexLink"/>
                <w:rtl w:val="true"/>
              </w:rPr>
              <w:tab/>
            </w:r>
            <w:r>
              <w:rPr>
                <w:rStyle w:val="IndexLink"/>
              </w:rPr>
              <w:t>144</w:t>
            </w:r>
          </w:hyperlink>
        </w:p>
        <w:p>
          <w:pPr>
            <w:pStyle w:val="Contents4"/>
            <w:tabs>
              <w:tab w:val="clear" w:pos="8176"/>
              <w:tab w:val="right" w:pos="9026" w:leader="dot"/>
            </w:tabs>
            <w:rPr/>
          </w:pPr>
          <w:hyperlink w:anchor="__RefHeading___Toc2759984_1395250215">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759986_1395250215">
            <w:r>
              <w:rPr>
                <w:webHidden/>
                <w:rStyle w:val="IndexLink"/>
                <w:rtl w:val="true"/>
              </w:rPr>
              <w:t>بروز نمط خاصّ فی تألیف الرجال</w:t>
            </w:r>
            <w:r>
              <w:rPr>
                <w:rStyle w:val="IndexLink"/>
                <w:rtl w:val="true"/>
              </w:rPr>
              <w:tab/>
            </w:r>
            <w:r>
              <w:rPr>
                <w:rStyle w:val="IndexLink"/>
              </w:rPr>
              <w:t>148</w:t>
            </w:r>
          </w:hyperlink>
        </w:p>
        <w:p>
          <w:pPr>
            <w:pStyle w:val="Contents4"/>
            <w:tabs>
              <w:tab w:val="clear" w:pos="8176"/>
              <w:tab w:val="right" w:pos="9026" w:leader="dot"/>
            </w:tabs>
            <w:rPr/>
          </w:pPr>
          <w:hyperlink w:anchor="__RefHeading___Toc2759988_1395250215">
            <w:r>
              <w:rPr>
                <w:webHidden/>
                <w:rStyle w:val="IndexLink"/>
              </w:rPr>
              <w:t>1</w:t>
            </w:r>
            <w:r>
              <w:rPr>
                <w:rStyle w:val="IndexLink"/>
                <w:rtl w:val="true"/>
              </w:rPr>
              <w:t xml:space="preserve"> - </w:t>
            </w:r>
            <w:r>
              <w:rPr>
                <w:rStyle w:val="IndexLink"/>
                <w:rtl w:val="true"/>
              </w:rPr>
              <w:t>جامع الرواة</w:t>
            </w:r>
            <w:r>
              <w:rPr>
                <w:rStyle w:val="IndexLink"/>
                <w:rtl w:val="true"/>
              </w:rPr>
              <w:tab/>
            </w:r>
            <w:r>
              <w:rPr>
                <w:rStyle w:val="IndexLink"/>
              </w:rPr>
              <w:t>150</w:t>
            </w:r>
          </w:hyperlink>
        </w:p>
        <w:p>
          <w:pPr>
            <w:pStyle w:val="Contents4"/>
            <w:tabs>
              <w:tab w:val="clear" w:pos="8176"/>
              <w:tab w:val="right" w:pos="9026" w:leader="dot"/>
            </w:tabs>
            <w:rPr/>
          </w:pPr>
          <w:hyperlink w:anchor="__RefHeading___Toc2759990_1395250215">
            <w:r>
              <w:rPr>
                <w:webHidden/>
                <w:rStyle w:val="IndexLink"/>
              </w:rPr>
              <w:t>2</w:t>
            </w:r>
            <w:r>
              <w:rPr>
                <w:rStyle w:val="IndexLink"/>
                <w:rtl w:val="true"/>
              </w:rPr>
              <w:t xml:space="preserve"> - </w:t>
            </w:r>
            <w:r>
              <w:rPr>
                <w:rStyle w:val="IndexLink"/>
                <w:rtl w:val="true"/>
              </w:rPr>
              <w:t>طرائف المقال</w:t>
            </w:r>
            <w:r>
              <w:rPr>
                <w:rStyle w:val="IndexLink"/>
                <w:rtl w:val="true"/>
              </w:rPr>
              <w:tab/>
            </w:r>
            <w:r>
              <w:rPr>
                <w:rStyle w:val="IndexLink"/>
              </w:rPr>
              <w:t>150</w:t>
            </w:r>
          </w:hyperlink>
        </w:p>
        <w:p>
          <w:pPr>
            <w:pStyle w:val="Contents4"/>
            <w:tabs>
              <w:tab w:val="clear" w:pos="8176"/>
              <w:tab w:val="right" w:pos="9026" w:leader="dot"/>
            </w:tabs>
            <w:rPr/>
          </w:pPr>
          <w:hyperlink w:anchor="__RefHeading___Toc2759992_1395250215">
            <w:r>
              <w:rPr>
                <w:webHidden/>
                <w:rStyle w:val="IndexLink"/>
              </w:rPr>
              <w:t>3</w:t>
            </w:r>
            <w:r>
              <w:rPr>
                <w:rStyle w:val="IndexLink"/>
                <w:rtl w:val="true"/>
              </w:rPr>
              <w:t xml:space="preserve"> - </w:t>
            </w:r>
            <w:r>
              <w:rPr>
                <w:rStyle w:val="IndexLink"/>
                <w:rtl w:val="true"/>
              </w:rPr>
              <w:t>مرتب الاسانید</w:t>
            </w:r>
            <w:r>
              <w:rPr>
                <w:rStyle w:val="IndexLink"/>
                <w:rtl w:val="true"/>
              </w:rPr>
              <w:tab/>
            </w:r>
            <w:r>
              <w:rPr>
                <w:rStyle w:val="IndexLink"/>
              </w:rPr>
              <w:t>150</w:t>
            </w:r>
          </w:hyperlink>
        </w:p>
        <w:p>
          <w:pPr>
            <w:pStyle w:val="Contents4"/>
            <w:tabs>
              <w:tab w:val="clear" w:pos="8176"/>
              <w:tab w:val="right" w:pos="9026" w:leader="dot"/>
            </w:tabs>
            <w:rPr/>
          </w:pPr>
          <w:hyperlink w:anchor="__RefHeading___Toc2759994_1395250215">
            <w:r>
              <w:rPr>
                <w:webHidden/>
                <w:rStyle w:val="IndexLink"/>
              </w:rPr>
              <w:t>4</w:t>
            </w:r>
            <w:r>
              <w:rPr>
                <w:rStyle w:val="IndexLink"/>
                <w:rtl w:val="true"/>
              </w:rPr>
              <w:t xml:space="preserve"> - </w:t>
            </w:r>
            <w:r>
              <w:rPr>
                <w:rStyle w:val="IndexLink"/>
                <w:rtl w:val="true"/>
              </w:rPr>
              <w:t>معجم رجال الحدیث</w:t>
            </w:r>
            <w:r>
              <w:rPr>
                <w:rStyle w:val="IndexLink"/>
                <w:rtl w:val="true"/>
              </w:rPr>
              <w:tab/>
            </w:r>
            <w:r>
              <w:rPr>
                <w:rStyle w:val="IndexLink"/>
              </w:rPr>
              <w:t>153</w:t>
            </w:r>
          </w:hyperlink>
        </w:p>
        <w:p>
          <w:pPr>
            <w:pStyle w:val="Contents2"/>
            <w:tabs>
              <w:tab w:val="clear" w:pos="8743"/>
              <w:tab w:val="right" w:pos="9026" w:leader="dot"/>
            </w:tabs>
            <w:rPr/>
          </w:pPr>
          <w:hyperlink w:anchor="__RefHeading___Toc2759996_1395250215">
            <w:r>
              <w:rPr>
                <w:webHidden/>
                <w:rStyle w:val="IndexLink"/>
                <w:rtl w:val="true"/>
              </w:rPr>
              <w:t>الفصل الخامس</w:t>
            </w:r>
            <w:r>
              <w:rPr>
                <w:rStyle w:val="IndexLink"/>
                <w:rtl w:val="true"/>
              </w:rPr>
              <w:t xml:space="preserve">: </w:t>
            </w:r>
            <w:r>
              <w:rPr>
                <w:rStyle w:val="IndexLink"/>
                <w:rtl w:val="true"/>
              </w:rPr>
              <w:t>التوثیقات الخاصة</w:t>
            </w:r>
            <w:r>
              <w:rPr>
                <w:rStyle w:val="IndexLink"/>
                <w:rtl w:val="true"/>
              </w:rPr>
              <w:tab/>
            </w:r>
            <w:r>
              <w:rPr>
                <w:rStyle w:val="IndexLink"/>
              </w:rPr>
              <w:t>156</w:t>
            </w:r>
          </w:hyperlink>
        </w:p>
        <w:p>
          <w:pPr>
            <w:pStyle w:val="Contents3"/>
            <w:tabs>
              <w:tab w:val="clear" w:pos="8459"/>
              <w:tab w:val="right" w:pos="9026" w:leader="dot"/>
            </w:tabs>
            <w:rPr/>
          </w:pPr>
          <w:hyperlink w:anchor="__RefHeading___Toc2759998_1395250215">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2760000_1395250215">
            <w:r>
              <w:rPr>
                <w:webHidden/>
                <w:rStyle w:val="IndexLink"/>
                <w:rtl w:val="true"/>
              </w:rPr>
              <w:t>الأوّل</w:t>
            </w:r>
            <w:r>
              <w:rPr>
                <w:rStyle w:val="IndexLink"/>
                <w:rtl w:val="true"/>
              </w:rPr>
              <w:t xml:space="preserve">: </w:t>
            </w:r>
            <w:r>
              <w:rPr>
                <w:rStyle w:val="IndexLink"/>
                <w:rtl w:val="true"/>
              </w:rPr>
              <w:t>نصّ أحد المعصومین علیهم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760002_1395250215">
            <w:r>
              <w:rPr>
                <w:webHidden/>
                <w:rStyle w:val="IndexLink"/>
                <w:rtl w:val="true"/>
              </w:rPr>
              <w:t>الثانیة</w:t>
            </w:r>
            <w:r>
              <w:rPr>
                <w:rStyle w:val="IndexLink"/>
                <w:rtl w:val="true"/>
              </w:rPr>
              <w:t xml:space="preserve">: </w:t>
            </w:r>
            <w:r>
              <w:rPr>
                <w:rStyle w:val="IndexLink"/>
                <w:rtl w:val="true"/>
              </w:rPr>
              <w:t>نص أحد أعلام المتقدمین</w:t>
            </w:r>
            <w:r>
              <w:rPr>
                <w:rStyle w:val="IndexLink"/>
                <w:rtl w:val="true"/>
              </w:rPr>
              <w:tab/>
            </w:r>
            <w:r>
              <w:rPr>
                <w:rStyle w:val="IndexLink"/>
              </w:rPr>
              <w:t>160</w:t>
            </w:r>
          </w:hyperlink>
        </w:p>
        <w:p>
          <w:pPr>
            <w:pStyle w:val="Contents3"/>
            <w:tabs>
              <w:tab w:val="clear" w:pos="8459"/>
              <w:tab w:val="right" w:pos="9026" w:leader="dot"/>
            </w:tabs>
            <w:rPr/>
          </w:pPr>
          <w:hyperlink w:anchor="__RefHeading___Toc2760004_1395250215">
            <w:r>
              <w:rPr>
                <w:webHidden/>
                <w:rStyle w:val="IndexLink"/>
                <w:rtl w:val="true"/>
              </w:rPr>
              <w:t>الثالثة</w:t>
            </w:r>
            <w:r>
              <w:rPr>
                <w:rStyle w:val="IndexLink"/>
                <w:rtl w:val="true"/>
              </w:rPr>
              <w:t xml:space="preserve">: </w:t>
            </w:r>
            <w:r>
              <w:rPr>
                <w:rStyle w:val="IndexLink"/>
                <w:rtl w:val="true"/>
              </w:rPr>
              <w:t>نص أحد أعلام المتأخرین</w:t>
            </w:r>
            <w:r>
              <w:rPr>
                <w:rStyle w:val="IndexLink"/>
                <w:rtl w:val="true"/>
              </w:rPr>
              <w:tab/>
            </w:r>
            <w:r>
              <w:rPr>
                <w:rStyle w:val="IndexLink"/>
              </w:rPr>
              <w:t>161</w:t>
            </w:r>
          </w:hyperlink>
        </w:p>
        <w:p>
          <w:pPr>
            <w:pStyle w:val="Contents3"/>
            <w:tabs>
              <w:tab w:val="clear" w:pos="8459"/>
              <w:tab w:val="right" w:pos="9026" w:leader="dot"/>
            </w:tabs>
            <w:rPr/>
          </w:pPr>
          <w:hyperlink w:anchor="__RefHeading___Toc2760006_1395250215">
            <w:r>
              <w:rPr>
                <w:webHidden/>
                <w:rStyle w:val="IndexLink"/>
                <w:rtl w:val="true"/>
              </w:rPr>
              <w:t>الرابعة</w:t>
            </w:r>
            <w:r>
              <w:rPr>
                <w:rStyle w:val="IndexLink"/>
                <w:rtl w:val="true"/>
              </w:rPr>
              <w:t xml:space="preserve">: </w:t>
            </w:r>
            <w:r>
              <w:rPr>
                <w:rStyle w:val="IndexLink"/>
                <w:rtl w:val="true"/>
              </w:rPr>
              <w:t>دعوی الاجماع من قبل الأقدمین</w:t>
            </w:r>
            <w:r>
              <w:rPr>
                <w:rStyle w:val="IndexLink"/>
                <w:rtl w:val="true"/>
              </w:rPr>
              <w:tab/>
            </w:r>
            <w:r>
              <w:rPr>
                <w:rStyle w:val="IndexLink"/>
              </w:rPr>
              <w:t>163</w:t>
            </w:r>
          </w:hyperlink>
        </w:p>
        <w:p>
          <w:pPr>
            <w:pStyle w:val="Contents3"/>
            <w:tabs>
              <w:tab w:val="clear" w:pos="8459"/>
              <w:tab w:val="right" w:pos="9026" w:leader="dot"/>
            </w:tabs>
            <w:rPr/>
          </w:pPr>
          <w:hyperlink w:anchor="__RefHeading___Toc2760008_1395250215">
            <w:r>
              <w:rPr>
                <w:webHidden/>
                <w:rStyle w:val="IndexLink"/>
                <w:rtl w:val="true"/>
              </w:rPr>
              <w:t>الخامسة</w:t>
            </w:r>
            <w:r>
              <w:rPr>
                <w:rStyle w:val="IndexLink"/>
                <w:rtl w:val="true"/>
              </w:rPr>
              <w:t xml:space="preserve">: </w:t>
            </w:r>
            <w:r>
              <w:rPr>
                <w:rStyle w:val="IndexLink"/>
                <w:rtl w:val="true"/>
              </w:rPr>
              <w:t>المدح الکاشف عن حسن الظاهر</w:t>
            </w:r>
            <w:r>
              <w:rPr>
                <w:rStyle w:val="IndexLink"/>
                <w:rtl w:val="true"/>
              </w:rPr>
              <w:tab/>
            </w:r>
            <w:r>
              <w:rPr>
                <w:rStyle w:val="IndexLink"/>
              </w:rPr>
              <w:t>164</w:t>
            </w:r>
          </w:hyperlink>
        </w:p>
        <w:p>
          <w:pPr>
            <w:pStyle w:val="Contents3"/>
            <w:tabs>
              <w:tab w:val="clear" w:pos="8459"/>
              <w:tab w:val="right" w:pos="9026" w:leader="dot"/>
            </w:tabs>
            <w:rPr/>
          </w:pPr>
          <w:hyperlink w:anchor="__RefHeading___Toc2760010_1395250215">
            <w:r>
              <w:rPr>
                <w:webHidden/>
                <w:rStyle w:val="IndexLink"/>
                <w:rtl w:val="true"/>
              </w:rPr>
              <w:t>السادسة</w:t>
            </w:r>
            <w:r>
              <w:rPr>
                <w:rStyle w:val="IndexLink"/>
                <w:rtl w:val="true"/>
              </w:rPr>
              <w:t xml:space="preserve">: </w:t>
            </w:r>
            <w:r>
              <w:rPr>
                <w:rStyle w:val="IndexLink"/>
                <w:rtl w:val="true"/>
              </w:rPr>
              <w:t>سعی المستنبط علی جمع القرائن</w:t>
            </w:r>
            <w:r>
              <w:rPr>
                <w:rStyle w:val="IndexLink"/>
                <w:rtl w:val="true"/>
              </w:rPr>
              <w:tab/>
            </w:r>
            <w:r>
              <w:rPr>
                <w:rStyle w:val="IndexLink"/>
              </w:rPr>
              <w:t>164</w:t>
            </w:r>
          </w:hyperlink>
        </w:p>
        <w:p>
          <w:pPr>
            <w:pStyle w:val="Contents3"/>
            <w:tabs>
              <w:tab w:val="clear" w:pos="8459"/>
              <w:tab w:val="right" w:pos="9026" w:leader="dot"/>
            </w:tabs>
            <w:rPr/>
          </w:pPr>
          <w:hyperlink w:anchor="__RefHeading___Toc2760012_1395250215">
            <w:r>
              <w:rPr>
                <w:webHidden/>
                <w:rStyle w:val="IndexLink"/>
                <w:rtl w:val="true"/>
              </w:rPr>
              <w:t>بحث استطرادی و هو هل یکفی تزکیة العدل الواحد؟</w:t>
            </w:r>
            <w:r>
              <w:rPr>
                <w:rStyle w:val="IndexLink"/>
                <w:rtl w:val="true"/>
              </w:rPr>
              <w:tab/>
            </w:r>
            <w:r>
              <w:rPr>
                <w:rStyle w:val="IndexLink"/>
              </w:rPr>
              <w:t>165</w:t>
            </w:r>
          </w:hyperlink>
        </w:p>
        <w:p>
          <w:pPr>
            <w:pStyle w:val="Contents2"/>
            <w:tabs>
              <w:tab w:val="clear" w:pos="8743"/>
              <w:tab w:val="right" w:pos="9026" w:leader="dot"/>
            </w:tabs>
            <w:rPr/>
          </w:pPr>
          <w:hyperlink w:anchor="__RefHeading___Toc2760014_1395250215">
            <w:r>
              <w:rPr>
                <w:webHidden/>
                <w:rStyle w:val="IndexLink"/>
                <w:rtl w:val="true"/>
              </w:rPr>
              <w:t>الفصل السادس</w:t>
            </w:r>
            <w:r>
              <w:rPr>
                <w:rStyle w:val="IndexLink"/>
                <w:rtl w:val="true"/>
              </w:rPr>
              <w:t xml:space="preserve">: </w:t>
            </w:r>
            <w:r>
              <w:rPr>
                <w:rStyle w:val="IndexLink"/>
                <w:rtl w:val="true"/>
              </w:rPr>
              <w:t>التوثیقات العامة</w:t>
            </w:r>
            <w:r>
              <w:rPr>
                <w:rStyle w:val="IndexLink"/>
                <w:rtl w:val="true"/>
              </w:rPr>
              <w:tab/>
            </w:r>
            <w:r>
              <w:rPr>
                <w:rStyle w:val="IndexLink"/>
              </w:rPr>
              <w:t>168</w:t>
            </w:r>
          </w:hyperlink>
        </w:p>
        <w:p>
          <w:pPr>
            <w:pStyle w:val="Contents3"/>
            <w:tabs>
              <w:tab w:val="clear" w:pos="8459"/>
              <w:tab w:val="right" w:pos="9026" w:leader="dot"/>
            </w:tabs>
            <w:rPr/>
          </w:pPr>
          <w:hyperlink w:anchor="__RefHeading___Toc2760016_1395250215">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760018_1395250215">
            <w:r>
              <w:rPr>
                <w:webHidden/>
                <w:rStyle w:val="IndexLink"/>
              </w:rPr>
              <w:t>1</w:t>
            </w:r>
            <w:r>
              <w:rPr>
                <w:rStyle w:val="IndexLink"/>
                <w:rtl w:val="true"/>
              </w:rPr>
              <w:t xml:space="preserve"> - </w:t>
            </w:r>
            <w:r>
              <w:rPr>
                <w:rStyle w:val="IndexLink"/>
                <w:rtl w:val="true"/>
              </w:rPr>
              <w:t>اصحاب الاجماع</w:t>
            </w:r>
            <w:r>
              <w:rPr>
                <w:rStyle w:val="IndexLink"/>
                <w:rtl w:val="true"/>
              </w:rPr>
              <w:tab/>
            </w:r>
            <w:r>
              <w:rPr>
                <w:rStyle w:val="IndexLink"/>
              </w:rPr>
              <w:t>170</w:t>
            </w:r>
          </w:hyperlink>
        </w:p>
        <w:p>
          <w:pPr>
            <w:pStyle w:val="Contents4"/>
            <w:tabs>
              <w:tab w:val="clear" w:pos="8176"/>
              <w:tab w:val="right" w:pos="9026" w:leader="dot"/>
            </w:tabs>
            <w:rPr/>
          </w:pPr>
          <w:hyperlink w:anchor="__RefHeading___Toc2760020_1395250215">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760022_1395250215">
            <w:r>
              <w:rPr>
                <w:webHidden/>
                <w:rStyle w:val="IndexLink"/>
                <w:rtl w:val="true"/>
              </w:rPr>
              <w:t>و لتحقیق الحال یجب البحث عن امور</w:t>
            </w:r>
            <w:r>
              <w:rPr>
                <w:rStyle w:val="IndexLink"/>
                <w:rtl w:val="true"/>
              </w:rPr>
              <w:t>:</w:t>
              <w:tab/>
            </w:r>
            <w:r>
              <w:rPr>
                <w:rStyle w:val="IndexLink"/>
              </w:rPr>
              <w:t>172</w:t>
            </w:r>
          </w:hyperlink>
        </w:p>
        <w:p>
          <w:pPr>
            <w:pStyle w:val="Contents5"/>
            <w:tabs>
              <w:tab w:val="clear" w:pos="7892"/>
              <w:tab w:val="right" w:pos="9026" w:leader="dot"/>
            </w:tabs>
            <w:rPr/>
          </w:pPr>
          <w:hyperlink w:anchor="__RefHeading___Toc2760024_1395250215">
            <w:r>
              <w:rPr>
                <w:webHidden/>
                <w:rStyle w:val="IndexLink"/>
                <w:rtl w:val="true"/>
              </w:rPr>
              <w:t>الاول</w:t>
            </w:r>
            <w:r>
              <w:rPr>
                <w:rStyle w:val="IndexLink"/>
                <w:rtl w:val="true"/>
              </w:rPr>
              <w:t xml:space="preserve">: </w:t>
            </w:r>
            <w:r>
              <w:rPr>
                <w:rStyle w:val="IndexLink"/>
                <w:rtl w:val="true"/>
              </w:rPr>
              <w:t>ما هو الاصل فی ذلک؟</w:t>
            </w:r>
            <w:r>
              <w:rPr>
                <w:rStyle w:val="IndexLink"/>
                <w:rtl w:val="true"/>
              </w:rPr>
              <w:tab/>
            </w:r>
            <w:r>
              <w:rPr>
                <w:rStyle w:val="IndexLink"/>
              </w:rPr>
              <w:t>172</w:t>
            </w:r>
          </w:hyperlink>
        </w:p>
        <w:p>
          <w:pPr>
            <w:pStyle w:val="Contents5"/>
            <w:tabs>
              <w:tab w:val="clear" w:pos="7892"/>
              <w:tab w:val="right" w:pos="9026" w:leader="dot"/>
            </w:tabs>
            <w:rPr/>
          </w:pPr>
          <w:hyperlink w:anchor="__RefHeading___Toc2760026_1395250215">
            <w:r>
              <w:rPr>
                <w:webHidden/>
                <w:rStyle w:val="IndexLink"/>
                <w:rtl w:val="true"/>
              </w:rPr>
              <w:t>الثانی</w:t>
            </w:r>
            <w:r>
              <w:rPr>
                <w:rStyle w:val="IndexLink"/>
                <w:rtl w:val="true"/>
              </w:rPr>
              <w:t>: «</w:t>
            </w:r>
            <w:r>
              <w:rPr>
                <w:rStyle w:val="IndexLink"/>
                <w:rtl w:val="true"/>
              </w:rPr>
              <w:t>أصحاب الاجماع</w:t>
            </w:r>
            <w:r>
              <w:rPr>
                <w:rStyle w:val="IndexLink"/>
                <w:rtl w:val="true"/>
              </w:rPr>
              <w:t xml:space="preserve">» </w:t>
            </w:r>
            <w:r>
              <w:rPr>
                <w:rStyle w:val="IndexLink"/>
                <w:rtl w:val="true"/>
              </w:rPr>
              <w:t>اصطلاح جدید</w:t>
            </w:r>
            <w:r>
              <w:rPr>
                <w:rStyle w:val="IndexLink"/>
                <w:rtl w:val="true"/>
              </w:rPr>
              <w:tab/>
            </w:r>
            <w:r>
              <w:rPr>
                <w:rStyle w:val="IndexLink"/>
              </w:rPr>
              <w:t>175</w:t>
            </w:r>
          </w:hyperlink>
        </w:p>
        <w:p>
          <w:pPr>
            <w:pStyle w:val="Contents5"/>
            <w:tabs>
              <w:tab w:val="clear" w:pos="7892"/>
              <w:tab w:val="right" w:pos="9026" w:leader="dot"/>
            </w:tabs>
            <w:rPr/>
          </w:pPr>
          <w:hyperlink w:anchor="__RefHeading___Toc2760028_1395250215">
            <w:r>
              <w:rPr>
                <w:webHidden/>
                <w:rStyle w:val="IndexLink"/>
                <w:rtl w:val="true"/>
              </w:rPr>
              <w:t>الثالث</w:t>
            </w:r>
            <w:r>
              <w:rPr>
                <w:rStyle w:val="IndexLink"/>
                <w:rtl w:val="true"/>
              </w:rPr>
              <w:t xml:space="preserve">: </w:t>
            </w:r>
            <w:r>
              <w:rPr>
                <w:rStyle w:val="IndexLink"/>
                <w:rtl w:val="true"/>
              </w:rPr>
              <w:t>فی عددهم</w:t>
            </w:r>
            <w:r>
              <w:rPr>
                <w:rStyle w:val="IndexLink"/>
                <w:rtl w:val="true"/>
              </w:rPr>
              <w:tab/>
            </w:r>
            <w:r>
              <w:rPr>
                <w:rStyle w:val="IndexLink"/>
              </w:rPr>
              <w:t>175</w:t>
            </w:r>
          </w:hyperlink>
        </w:p>
        <w:p>
          <w:pPr>
            <w:pStyle w:val="Contents5"/>
            <w:tabs>
              <w:tab w:val="clear" w:pos="7892"/>
              <w:tab w:val="right" w:pos="9026" w:leader="dot"/>
            </w:tabs>
            <w:rPr/>
          </w:pPr>
          <w:hyperlink w:anchor="__RefHeading___Toc2760030_1395250215">
            <w:r>
              <w:rPr>
                <w:webHidden/>
                <w:rStyle w:val="IndexLink"/>
                <w:rtl w:val="true"/>
              </w:rPr>
              <w:t>الرابع</w:t>
            </w:r>
            <w:r>
              <w:rPr>
                <w:rStyle w:val="IndexLink"/>
                <w:rtl w:val="true"/>
              </w:rPr>
              <w:t xml:space="preserve">: </w:t>
            </w:r>
            <w:r>
              <w:rPr>
                <w:rStyle w:val="IndexLink"/>
                <w:rtl w:val="true"/>
              </w:rPr>
              <w:t>فیما نظمه السید بحر العلوم</w:t>
            </w:r>
            <w:r>
              <w:rPr>
                <w:rStyle w:val="IndexLink"/>
                <w:rtl w:val="true"/>
              </w:rPr>
              <w:tab/>
            </w:r>
            <w:r>
              <w:rPr>
                <w:rStyle w:val="IndexLink"/>
              </w:rPr>
              <w:t>177</w:t>
            </w:r>
          </w:hyperlink>
        </w:p>
        <w:p>
          <w:pPr>
            <w:pStyle w:val="Contents5"/>
            <w:tabs>
              <w:tab w:val="clear" w:pos="7892"/>
              <w:tab w:val="right" w:pos="9026" w:leader="dot"/>
            </w:tabs>
            <w:rPr/>
          </w:pPr>
          <w:hyperlink w:anchor="__RefHeading___Toc2760032_1395250215">
            <w:r>
              <w:rPr>
                <w:webHidden/>
                <w:rStyle w:val="IndexLink"/>
                <w:rtl w:val="true"/>
              </w:rPr>
              <w:t>الخامس</w:t>
            </w:r>
            <w:r>
              <w:rPr>
                <w:rStyle w:val="IndexLink"/>
                <w:rtl w:val="true"/>
              </w:rPr>
              <w:t xml:space="preserve">: </w:t>
            </w:r>
            <w:r>
              <w:rPr>
                <w:rStyle w:val="IndexLink"/>
                <w:rtl w:val="true"/>
              </w:rPr>
              <w:t>فی کیفیة تلقی الأصحاب هذا الاجماع</w:t>
            </w:r>
            <w:r>
              <w:rPr>
                <w:rStyle w:val="IndexLink"/>
                <w:rtl w:val="true"/>
              </w:rPr>
              <w:tab/>
            </w:r>
            <w:r>
              <w:rPr>
                <w:rStyle w:val="IndexLink"/>
              </w:rPr>
              <w:t>179</w:t>
            </w:r>
          </w:hyperlink>
        </w:p>
        <w:p>
          <w:pPr>
            <w:pStyle w:val="Contents5"/>
            <w:tabs>
              <w:tab w:val="clear" w:pos="7892"/>
              <w:tab w:val="right" w:pos="9026" w:leader="dot"/>
            </w:tabs>
            <w:rPr/>
          </w:pPr>
          <w:hyperlink w:anchor="__RefHeading___Toc2760034_1395250215">
            <w:r>
              <w:rPr>
                <w:webHidden/>
                <w:rStyle w:val="IndexLink"/>
                <w:rtl w:val="true"/>
              </w:rPr>
              <w:t>السادس</w:t>
            </w:r>
            <w:r>
              <w:rPr>
                <w:rStyle w:val="IndexLink"/>
                <w:rtl w:val="true"/>
              </w:rPr>
              <w:t xml:space="preserve">: </w:t>
            </w:r>
            <w:r>
              <w:rPr>
                <w:rStyle w:val="IndexLink"/>
                <w:rtl w:val="true"/>
              </w:rPr>
              <w:t>فی وجه حجیة ذاک الاجماع</w:t>
            </w:r>
            <w:r>
              <w:rPr>
                <w:rStyle w:val="IndexLink"/>
                <w:rtl w:val="true"/>
              </w:rPr>
              <w:tab/>
            </w:r>
            <w:r>
              <w:rPr>
                <w:rStyle w:val="IndexLink"/>
              </w:rPr>
              <w:t>182</w:t>
            </w:r>
          </w:hyperlink>
        </w:p>
        <w:p>
          <w:pPr>
            <w:pStyle w:val="Contents5"/>
            <w:tabs>
              <w:tab w:val="clear" w:pos="7892"/>
              <w:tab w:val="right" w:pos="9026" w:leader="dot"/>
            </w:tabs>
            <w:rPr/>
          </w:pPr>
          <w:hyperlink w:anchor="__RefHeading___Toc2760036_1395250215">
            <w:r>
              <w:rPr>
                <w:webHidden/>
                <w:rStyle w:val="IndexLink"/>
                <w:rtl w:val="true"/>
              </w:rPr>
              <w:t>السابع</w:t>
            </w:r>
            <w:r>
              <w:rPr>
                <w:rStyle w:val="IndexLink"/>
                <w:rtl w:val="true"/>
              </w:rPr>
              <w:t xml:space="preserve">: </w:t>
            </w:r>
            <w:r>
              <w:rPr>
                <w:rStyle w:val="IndexLink"/>
                <w:rtl w:val="true"/>
              </w:rPr>
              <w:t xml:space="preserve">فی مفاد </w:t>
            </w:r>
            <w:r>
              <w:rPr>
                <w:rStyle w:val="IndexLink"/>
                <w:rtl w:val="true"/>
              </w:rPr>
              <w:t>«</w:t>
            </w:r>
            <w:r>
              <w:rPr>
                <w:rStyle w:val="IndexLink"/>
                <w:rtl w:val="true"/>
              </w:rPr>
              <w:t>تصحیح ما یصح عنهم</w:t>
            </w:r>
            <w:r>
              <w:rPr>
                <w:rStyle w:val="IndexLink"/>
                <w:rtl w:val="true"/>
              </w:rPr>
              <w:t>»</w:t>
              <w:tab/>
            </w:r>
            <w:r>
              <w:rPr>
                <w:rStyle w:val="IndexLink"/>
              </w:rPr>
              <w:t>185</w:t>
            </w:r>
          </w:hyperlink>
        </w:p>
        <w:p>
          <w:pPr>
            <w:pStyle w:val="Contents3"/>
            <w:tabs>
              <w:tab w:val="clear" w:pos="8459"/>
              <w:tab w:val="right" w:pos="9026" w:leader="dot"/>
            </w:tabs>
            <w:rPr/>
          </w:pPr>
          <w:hyperlink w:anchor="__RefHeading___Toc2760038_1395250215">
            <w:r>
              <w:rPr>
                <w:webHidden/>
                <w:rStyle w:val="IndexLink"/>
              </w:rPr>
              <w:t>2</w:t>
            </w:r>
            <w:r>
              <w:rPr>
                <w:rStyle w:val="IndexLink"/>
                <w:rtl w:val="true"/>
              </w:rPr>
              <w:t xml:space="preserve"> - </w:t>
            </w:r>
            <w:r>
              <w:rPr>
                <w:rStyle w:val="IndexLink"/>
                <w:rtl w:val="true"/>
              </w:rPr>
              <w:t>مشایخ الثقات</w:t>
            </w:r>
            <w:r>
              <w:rPr>
                <w:rStyle w:val="IndexLink"/>
                <w:rtl w:val="true"/>
              </w:rPr>
              <w:tab/>
            </w:r>
            <w:r>
              <w:rPr>
                <w:rStyle w:val="IndexLink"/>
              </w:rPr>
              <w:t>210</w:t>
            </w:r>
          </w:hyperlink>
        </w:p>
        <w:p>
          <w:pPr>
            <w:pStyle w:val="Contents4"/>
            <w:tabs>
              <w:tab w:val="clear" w:pos="8176"/>
              <w:tab w:val="right" w:pos="9026" w:leader="dot"/>
            </w:tabs>
            <w:rPr/>
          </w:pPr>
          <w:hyperlink w:anchor="__RefHeading___Toc2760040_1395250215">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2760042_1395250215">
            <w:r>
              <w:rPr>
                <w:webHidden/>
                <w:rStyle w:val="IndexLink"/>
              </w:rPr>
              <w:t>1</w:t>
            </w:r>
            <w:r>
              <w:rPr>
                <w:rStyle w:val="IndexLink"/>
                <w:rtl w:val="true"/>
              </w:rPr>
              <w:t xml:space="preserve"> - </w:t>
            </w:r>
            <w:r>
              <w:rPr>
                <w:rStyle w:val="IndexLink"/>
                <w:rtl w:val="true"/>
              </w:rPr>
              <w:t xml:space="preserve">ابن أبی عمیر </w:t>
            </w:r>
            <w:r>
              <w:rPr>
                <w:rStyle w:val="IndexLink"/>
                <w:rtl w:val="true"/>
              </w:rPr>
              <w:t>(</w:t>
            </w:r>
            <w:r>
              <w:rPr>
                <w:rStyle w:val="IndexLink"/>
                <w:rtl w:val="true"/>
              </w:rPr>
              <w:t xml:space="preserve">المتوفی عام </w:t>
            </w:r>
            <w:r>
              <w:rPr>
                <w:rStyle w:val="IndexLink"/>
              </w:rPr>
              <w:t>217</w:t>
            </w:r>
            <w:r>
              <w:rPr>
                <w:rStyle w:val="IndexLink"/>
                <w:rtl w:val="true"/>
              </w:rPr>
              <w:t>)</w:t>
              <w:tab/>
            </w:r>
            <w:r>
              <w:rPr>
                <w:rStyle w:val="IndexLink"/>
              </w:rPr>
              <w:t>213</w:t>
            </w:r>
          </w:hyperlink>
        </w:p>
        <w:p>
          <w:pPr>
            <w:pStyle w:val="Contents5"/>
            <w:tabs>
              <w:tab w:val="clear" w:pos="7892"/>
              <w:tab w:val="right" w:pos="9026" w:leader="dot"/>
            </w:tabs>
            <w:rPr/>
          </w:pPr>
          <w:hyperlink w:anchor="__RefHeading___Toc2760044_1395250215">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760046_1395250215">
            <w:r>
              <w:rPr>
                <w:webHidden/>
                <w:rStyle w:val="IndexLink"/>
                <w:rtl w:val="true"/>
              </w:rPr>
              <w:t>نقض القاعدة بالنقل عن الضعاف</w:t>
            </w:r>
            <w:r>
              <w:rPr>
                <w:rStyle w:val="IndexLink"/>
                <w:rtl w:val="true"/>
              </w:rPr>
              <w:tab/>
            </w:r>
            <w:r>
              <w:rPr>
                <w:rStyle w:val="IndexLink"/>
              </w:rPr>
              <w:t>242</w:t>
            </w:r>
          </w:hyperlink>
        </w:p>
        <w:p>
          <w:pPr>
            <w:pStyle w:val="Contents4"/>
            <w:tabs>
              <w:tab w:val="clear" w:pos="8176"/>
              <w:tab w:val="right" w:pos="9026" w:leader="dot"/>
            </w:tabs>
            <w:rPr/>
          </w:pPr>
          <w:hyperlink w:anchor="__RefHeading___Toc2760048_1395250215">
            <w:r>
              <w:rPr>
                <w:webHidden/>
                <w:rStyle w:val="IndexLink"/>
              </w:rPr>
              <w:t>2</w:t>
            </w:r>
            <w:r>
              <w:rPr>
                <w:rStyle w:val="IndexLink"/>
                <w:rtl w:val="true"/>
              </w:rPr>
              <w:t xml:space="preserve"> - </w:t>
            </w:r>
            <w:r>
              <w:rPr>
                <w:rStyle w:val="IndexLink"/>
                <w:rtl w:val="true"/>
              </w:rPr>
              <w:t xml:space="preserve">صفوان بن یحیی بیّاع السابری </w:t>
            </w:r>
            <w:r>
              <w:rPr>
                <w:rStyle w:val="IndexLink"/>
                <w:rtl w:val="true"/>
              </w:rPr>
              <w:t>(</w:t>
            </w:r>
            <w:r>
              <w:rPr>
                <w:rStyle w:val="IndexLink"/>
                <w:rtl w:val="true"/>
              </w:rPr>
              <w:t xml:space="preserve">المتوفی عام </w:t>
            </w:r>
            <w:r>
              <w:rPr>
                <w:rStyle w:val="IndexLink"/>
              </w:rPr>
              <w:t>210</w:t>
            </w:r>
            <w:r>
              <w:rPr>
                <w:rStyle w:val="IndexLink"/>
                <w:rtl w:val="true"/>
              </w:rPr>
              <w:t xml:space="preserve"> </w:t>
            </w:r>
            <w:r>
              <w:rPr>
                <w:rStyle w:val="IndexLink"/>
                <w:rtl w:val="true"/>
              </w:rPr>
              <w:t xml:space="preserve">ه </w:t>
            </w:r>
            <w:r>
              <w:rPr>
                <w:rStyle w:val="IndexLink"/>
                <w:rtl w:val="true"/>
              </w:rPr>
              <w:t>)</w:t>
              <w:tab/>
            </w:r>
            <w:r>
              <w:rPr>
                <w:rStyle w:val="IndexLink"/>
              </w:rPr>
              <w:t>257</w:t>
            </w:r>
          </w:hyperlink>
        </w:p>
        <w:p>
          <w:pPr>
            <w:pStyle w:val="Contents5"/>
            <w:tabs>
              <w:tab w:val="clear" w:pos="7892"/>
              <w:tab w:val="right" w:pos="9026" w:leader="dot"/>
            </w:tabs>
            <w:rPr/>
          </w:pPr>
          <w:hyperlink w:anchor="__RefHeading___Toc2760050_139525021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760052_1395250215">
            <w:r>
              <w:rPr>
                <w:webHidden/>
                <w:rStyle w:val="IndexLink"/>
                <w:rtl w:val="true"/>
              </w:rPr>
              <w:t>مشایخه</w:t>
            </w:r>
            <w:r>
              <w:rPr>
                <w:rStyle w:val="IndexLink"/>
                <w:rtl w:val="true"/>
              </w:rPr>
              <w:tab/>
            </w:r>
            <w:r>
              <w:rPr>
                <w:rStyle w:val="IndexLink"/>
              </w:rPr>
              <w:t>258</w:t>
            </w:r>
          </w:hyperlink>
        </w:p>
        <w:p>
          <w:pPr>
            <w:pStyle w:val="Contents4"/>
            <w:tabs>
              <w:tab w:val="clear" w:pos="8176"/>
              <w:tab w:val="right" w:pos="9026" w:leader="dot"/>
            </w:tabs>
            <w:rPr/>
          </w:pPr>
          <w:hyperlink w:anchor="__RefHeading___Toc2760054_1395250215">
            <w:r>
              <w:rPr>
                <w:webHidden/>
                <w:rStyle w:val="IndexLink"/>
              </w:rPr>
              <w:t>3</w:t>
            </w:r>
            <w:r>
              <w:rPr>
                <w:rStyle w:val="IndexLink"/>
                <w:rtl w:val="true"/>
              </w:rPr>
              <w:t xml:space="preserve"> - </w:t>
            </w:r>
            <w:r>
              <w:rPr>
                <w:rStyle w:val="IndexLink"/>
                <w:rtl w:val="true"/>
              </w:rPr>
              <w:t xml:space="preserve">أحمد بن محمّد بن عمرو بن أبی نصر البزنطی </w:t>
            </w:r>
            <w:r>
              <w:rPr>
                <w:rStyle w:val="IndexLink"/>
                <w:rtl w:val="true"/>
              </w:rPr>
              <w:t>(</w:t>
            </w:r>
            <w:r>
              <w:rPr>
                <w:rStyle w:val="IndexLink"/>
                <w:rtl w:val="true"/>
              </w:rPr>
              <w:t xml:space="preserve">المتوفّی عام </w:t>
            </w:r>
            <w:r>
              <w:rPr>
                <w:rStyle w:val="IndexLink"/>
              </w:rPr>
              <w:t>221</w:t>
            </w:r>
            <w:r>
              <w:rPr>
                <w:rStyle w:val="IndexLink"/>
                <w:rtl w:val="true"/>
              </w:rPr>
              <w:t>)</w:t>
              <w:tab/>
            </w:r>
            <w:r>
              <w:rPr>
                <w:rStyle w:val="IndexLink"/>
              </w:rPr>
              <w:t>266</w:t>
            </w:r>
          </w:hyperlink>
        </w:p>
        <w:p>
          <w:pPr>
            <w:pStyle w:val="Contents5"/>
            <w:tabs>
              <w:tab w:val="clear" w:pos="7892"/>
              <w:tab w:val="right" w:pos="9026" w:leader="dot"/>
            </w:tabs>
            <w:rPr/>
          </w:pPr>
          <w:hyperlink w:anchor="__RefHeading___Toc2760056_1395250215">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2760058_1395250215">
            <w:r>
              <w:rPr>
                <w:webHidden/>
                <w:rStyle w:val="IndexLink"/>
                <w:rtl w:val="true"/>
              </w:rPr>
              <w:t>محاولة للاجابة عن النقوض</w:t>
            </w:r>
            <w:r>
              <w:rPr>
                <w:rStyle w:val="IndexLink"/>
                <w:rtl w:val="true"/>
              </w:rPr>
              <w:tab/>
            </w:r>
            <w:r>
              <w:rPr>
                <w:rStyle w:val="IndexLink"/>
              </w:rPr>
              <w:t>272</w:t>
            </w:r>
          </w:hyperlink>
        </w:p>
        <w:p>
          <w:pPr>
            <w:pStyle w:val="Contents3"/>
            <w:tabs>
              <w:tab w:val="clear" w:pos="8459"/>
              <w:tab w:val="right" w:pos="9026" w:leader="dot"/>
            </w:tabs>
            <w:rPr/>
          </w:pPr>
          <w:hyperlink w:anchor="__RefHeading___Toc2760060_1395250215">
            <w:r>
              <w:rPr>
                <w:webHidden/>
                <w:rStyle w:val="IndexLink"/>
              </w:rPr>
              <w:t>3</w:t>
            </w:r>
            <w:r>
              <w:rPr>
                <w:rStyle w:val="IndexLink"/>
                <w:rtl w:val="true"/>
              </w:rPr>
              <w:t xml:space="preserve"> - </w:t>
            </w:r>
            <w:r>
              <w:rPr>
                <w:rStyle w:val="IndexLink"/>
                <w:rtl w:val="true"/>
              </w:rPr>
              <w:t>العصابة المشهورة بأنهم لا یروون الا عن الثقات</w:t>
            </w:r>
            <w:r>
              <w:rPr>
                <w:rStyle w:val="IndexLink"/>
                <w:rtl w:val="true"/>
              </w:rPr>
              <w:tab/>
            </w:r>
            <w:r>
              <w:rPr>
                <w:rStyle w:val="IndexLink"/>
              </w:rPr>
              <w:t>280</w:t>
            </w:r>
          </w:hyperlink>
        </w:p>
        <w:p>
          <w:pPr>
            <w:pStyle w:val="Contents4"/>
            <w:tabs>
              <w:tab w:val="clear" w:pos="8176"/>
              <w:tab w:val="right" w:pos="9026" w:leader="dot"/>
            </w:tabs>
            <w:rPr/>
          </w:pPr>
          <w:hyperlink w:anchor="__RefHeading___Toc2760062_1395250215">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2760064_1395250215">
            <w:r>
              <w:rPr>
                <w:webHidden/>
                <w:rStyle w:val="IndexLink"/>
                <w:rtl w:val="true"/>
              </w:rPr>
              <w:t xml:space="preserve">ألف </w:t>
            </w:r>
            <w:r>
              <w:rPr>
                <w:rStyle w:val="IndexLink"/>
                <w:rtl w:val="true"/>
              </w:rPr>
              <w:t xml:space="preserve">- </w:t>
            </w:r>
            <w:r>
              <w:rPr>
                <w:rStyle w:val="IndexLink"/>
                <w:rtl w:val="true"/>
              </w:rPr>
              <w:t>احمد بن محمد بن عیسی القمی</w:t>
            </w:r>
            <w:r>
              <w:rPr>
                <w:rStyle w:val="IndexLink"/>
                <w:rtl w:val="true"/>
              </w:rPr>
              <w:tab/>
            </w:r>
            <w:r>
              <w:rPr>
                <w:rStyle w:val="IndexLink"/>
              </w:rPr>
              <w:t>282</w:t>
            </w:r>
          </w:hyperlink>
        </w:p>
        <w:p>
          <w:pPr>
            <w:pStyle w:val="Contents4"/>
            <w:tabs>
              <w:tab w:val="clear" w:pos="8176"/>
              <w:tab w:val="right" w:pos="9026" w:leader="dot"/>
            </w:tabs>
            <w:rPr/>
          </w:pPr>
          <w:hyperlink w:anchor="__RefHeading___Toc2760066_1395250215">
            <w:r>
              <w:rPr>
                <w:webHidden/>
                <w:rStyle w:val="IndexLink"/>
                <w:rtl w:val="true"/>
              </w:rPr>
              <w:t xml:space="preserve">ب </w:t>
            </w:r>
            <w:r>
              <w:rPr>
                <w:rStyle w:val="IndexLink"/>
                <w:rtl w:val="true"/>
              </w:rPr>
              <w:t xml:space="preserve">- </w:t>
            </w:r>
            <w:r>
              <w:rPr>
                <w:rStyle w:val="IndexLink"/>
                <w:rtl w:val="true"/>
              </w:rPr>
              <w:t>بنو فضال</w:t>
            </w:r>
            <w:r>
              <w:rPr>
                <w:rStyle w:val="IndexLink"/>
                <w:rtl w:val="true"/>
              </w:rPr>
              <w:tab/>
            </w:r>
            <w:r>
              <w:rPr>
                <w:rStyle w:val="IndexLink"/>
              </w:rPr>
              <w:t>285</w:t>
            </w:r>
          </w:hyperlink>
        </w:p>
        <w:p>
          <w:pPr>
            <w:pStyle w:val="Contents4"/>
            <w:tabs>
              <w:tab w:val="clear" w:pos="8176"/>
              <w:tab w:val="right" w:pos="9026" w:leader="dot"/>
            </w:tabs>
            <w:rPr/>
          </w:pPr>
          <w:hyperlink w:anchor="__RefHeading___Toc2760068_1395250215">
            <w:r>
              <w:rPr>
                <w:webHidden/>
                <w:rStyle w:val="IndexLink"/>
                <w:rtl w:val="true"/>
              </w:rPr>
              <w:t xml:space="preserve">ج </w:t>
            </w:r>
            <w:r>
              <w:rPr>
                <w:rStyle w:val="IndexLink"/>
                <w:rtl w:val="true"/>
              </w:rPr>
              <w:t xml:space="preserve">- </w:t>
            </w:r>
            <w:r>
              <w:rPr>
                <w:rStyle w:val="IndexLink"/>
                <w:rtl w:val="true"/>
              </w:rPr>
              <w:t>جعفر بن بشیر</w:t>
            </w:r>
            <w:r>
              <w:rPr>
                <w:rStyle w:val="IndexLink"/>
                <w:rtl w:val="true"/>
              </w:rPr>
              <w:tab/>
            </w:r>
            <w:r>
              <w:rPr>
                <w:rStyle w:val="IndexLink"/>
              </w:rPr>
              <w:t>286</w:t>
            </w:r>
          </w:hyperlink>
        </w:p>
        <w:p>
          <w:pPr>
            <w:pStyle w:val="Contents4"/>
            <w:tabs>
              <w:tab w:val="clear" w:pos="8176"/>
              <w:tab w:val="right" w:pos="9026" w:leader="dot"/>
            </w:tabs>
            <w:rPr/>
          </w:pPr>
          <w:hyperlink w:anchor="__RefHeading___Toc2760070_1395250215">
            <w:r>
              <w:rPr>
                <w:webHidden/>
                <w:rStyle w:val="IndexLink"/>
                <w:rtl w:val="true"/>
              </w:rPr>
              <w:t xml:space="preserve">د </w:t>
            </w:r>
            <w:r>
              <w:rPr>
                <w:rStyle w:val="IndexLink"/>
                <w:rtl w:val="true"/>
              </w:rPr>
              <w:t xml:space="preserve">- </w:t>
            </w:r>
            <w:r>
              <w:rPr>
                <w:rStyle w:val="IndexLink"/>
                <w:rtl w:val="true"/>
              </w:rPr>
              <w:t>محمد بن اسماعیل بن میمون الزعفرانی</w:t>
            </w:r>
            <w:r>
              <w:rPr>
                <w:rStyle w:val="IndexLink"/>
                <w:rtl w:val="true"/>
              </w:rPr>
              <w:tab/>
            </w:r>
            <w:r>
              <w:rPr>
                <w:rStyle w:val="IndexLink"/>
              </w:rPr>
              <w:t>287</w:t>
            </w:r>
          </w:hyperlink>
        </w:p>
        <w:p>
          <w:pPr>
            <w:pStyle w:val="Contents4"/>
            <w:tabs>
              <w:tab w:val="clear" w:pos="8176"/>
              <w:tab w:val="right" w:pos="9026" w:leader="dot"/>
            </w:tabs>
            <w:rPr/>
          </w:pPr>
          <w:hyperlink w:anchor="__RefHeading___Toc2760072_1395250215">
            <w:r>
              <w:rPr>
                <w:webHidden/>
                <w:rStyle w:val="IndexLink"/>
                <w:rtl w:val="true"/>
              </w:rPr>
              <w:t xml:space="preserve">ه </w:t>
            </w:r>
            <w:r>
              <w:rPr>
                <w:rStyle w:val="IndexLink"/>
                <w:rtl w:val="true"/>
              </w:rPr>
              <w:t xml:space="preserve">- </w:t>
            </w:r>
            <w:r>
              <w:rPr>
                <w:rStyle w:val="IndexLink"/>
                <w:rtl w:val="true"/>
              </w:rPr>
              <w:t>علی بن الحسن الطاطری</w:t>
            </w:r>
            <w:r>
              <w:rPr>
                <w:rStyle w:val="IndexLink"/>
                <w:rtl w:val="true"/>
              </w:rPr>
              <w:tab/>
            </w:r>
            <w:r>
              <w:rPr>
                <w:rStyle w:val="IndexLink"/>
              </w:rPr>
              <w:t>287</w:t>
            </w:r>
          </w:hyperlink>
        </w:p>
        <w:p>
          <w:pPr>
            <w:pStyle w:val="Contents4"/>
            <w:tabs>
              <w:tab w:val="clear" w:pos="8176"/>
              <w:tab w:val="right" w:pos="9026" w:leader="dot"/>
            </w:tabs>
            <w:rPr/>
          </w:pPr>
          <w:hyperlink w:anchor="__RefHeading___Toc2760074_1395250215">
            <w:r>
              <w:rPr>
                <w:webHidden/>
                <w:rStyle w:val="IndexLink"/>
                <w:rtl w:val="true"/>
              </w:rPr>
              <w:t xml:space="preserve">و </w:t>
            </w:r>
            <w:r>
              <w:rPr>
                <w:rStyle w:val="IndexLink"/>
                <w:rtl w:val="true"/>
              </w:rPr>
              <w:t xml:space="preserve">- </w:t>
            </w:r>
            <w:r>
              <w:rPr>
                <w:rStyle w:val="IndexLink"/>
                <w:rtl w:val="true"/>
              </w:rPr>
              <w:t>أحمد بن علیّ النجاشی صاحب الفهرس</w:t>
            </w:r>
            <w:r>
              <w:rPr>
                <w:rStyle w:val="IndexLink"/>
                <w:rtl w:val="true"/>
              </w:rPr>
              <w:tab/>
            </w:r>
            <w:r>
              <w:rPr>
                <w:rStyle w:val="IndexLink"/>
              </w:rPr>
              <w:t>288</w:t>
            </w:r>
          </w:hyperlink>
        </w:p>
        <w:p>
          <w:pPr>
            <w:pStyle w:val="Contents5"/>
            <w:tabs>
              <w:tab w:val="clear" w:pos="7892"/>
              <w:tab w:val="right" w:pos="9026" w:leader="dot"/>
            </w:tabs>
            <w:rPr/>
          </w:pPr>
          <w:hyperlink w:anchor="__RefHeading___Toc2760076_1395250215">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2760078_1395250215">
            <w:r>
              <w:rPr>
                <w:webHidden/>
                <w:rStyle w:val="IndexLink"/>
                <w:rtl w:val="true"/>
              </w:rPr>
              <w:t>مشایخ النجاشی کما استخرجهم النوری</w:t>
            </w:r>
            <w:r>
              <w:rPr>
                <w:rStyle w:val="IndexLink"/>
                <w:rtl w:val="true"/>
              </w:rPr>
              <w:tab/>
            </w:r>
            <w:r>
              <w:rPr>
                <w:rStyle w:val="IndexLink"/>
              </w:rPr>
              <w:t>292</w:t>
            </w:r>
          </w:hyperlink>
        </w:p>
        <w:p>
          <w:pPr>
            <w:pStyle w:val="Contents3"/>
            <w:tabs>
              <w:tab w:val="clear" w:pos="8459"/>
              <w:tab w:val="right" w:pos="9026" w:leader="dot"/>
            </w:tabs>
            <w:rPr/>
          </w:pPr>
          <w:hyperlink w:anchor="__RefHeading___Toc2760080_1395250215">
            <w:r>
              <w:rPr>
                <w:webHidden/>
                <w:rStyle w:val="IndexLink"/>
              </w:rPr>
              <w:t>4</w:t>
            </w:r>
            <w:r>
              <w:rPr>
                <w:rStyle w:val="IndexLink"/>
                <w:rtl w:val="true"/>
              </w:rPr>
              <w:t xml:space="preserve"> - </w:t>
            </w:r>
            <w:r>
              <w:rPr>
                <w:rStyle w:val="IndexLink"/>
                <w:rtl w:val="true"/>
              </w:rPr>
              <w:t xml:space="preserve">کل من یروی عنه محمد بن أحمد بن یحیی بلا واسطة فی </w:t>
            </w:r>
            <w:r>
              <w:rPr>
                <w:rStyle w:val="IndexLink"/>
                <w:rtl w:val="true"/>
              </w:rPr>
              <w:t>«</w:t>
            </w:r>
            <w:r>
              <w:rPr>
                <w:rStyle w:val="IndexLink"/>
                <w:rtl w:val="true"/>
              </w:rPr>
              <w:t>نوادر الحکمة</w:t>
            </w:r>
            <w:r>
              <w:rPr>
                <w:rStyle w:val="IndexLink"/>
                <w:rtl w:val="true"/>
              </w:rPr>
              <w:t>»</w:t>
              <w:tab/>
            </w:r>
            <w:r>
              <w:rPr>
                <w:rStyle w:val="IndexLink"/>
              </w:rPr>
              <w:t>296</w:t>
            </w:r>
          </w:hyperlink>
        </w:p>
        <w:p>
          <w:pPr>
            <w:pStyle w:val="Contents4"/>
            <w:tabs>
              <w:tab w:val="clear" w:pos="8176"/>
              <w:tab w:val="right" w:pos="9026" w:leader="dot"/>
            </w:tabs>
            <w:rPr/>
          </w:pPr>
          <w:hyperlink w:anchor="__RefHeading___Toc2760082_1395250215">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760084_1395250215">
            <w:r>
              <w:rPr>
                <w:webHidden/>
                <w:rStyle w:val="IndexLink"/>
                <w:rtl w:val="true"/>
              </w:rPr>
              <w:t>طبقته فی الحدیث</w:t>
            </w:r>
            <w:r>
              <w:rPr>
                <w:rStyle w:val="IndexLink"/>
                <w:rtl w:val="true"/>
              </w:rPr>
              <w:tab/>
            </w:r>
            <w:r>
              <w:rPr>
                <w:rStyle w:val="IndexLink"/>
              </w:rPr>
              <w:t>299</w:t>
            </w:r>
          </w:hyperlink>
        </w:p>
        <w:p>
          <w:pPr>
            <w:pStyle w:val="Contents4"/>
            <w:tabs>
              <w:tab w:val="clear" w:pos="8176"/>
              <w:tab w:val="right" w:pos="9026" w:leader="dot"/>
            </w:tabs>
            <w:rPr/>
          </w:pPr>
          <w:hyperlink w:anchor="__RefHeading___Toc2760086_1395250215">
            <w:r>
              <w:rPr>
                <w:webHidden/>
                <w:rStyle w:val="IndexLink"/>
                <w:rtl w:val="true"/>
              </w:rPr>
              <w:t>نظرنا فی الموضوع</w:t>
            </w:r>
            <w:r>
              <w:rPr>
                <w:rStyle w:val="IndexLink"/>
                <w:rtl w:val="true"/>
              </w:rPr>
              <w:tab/>
            </w:r>
            <w:r>
              <w:rPr>
                <w:rStyle w:val="IndexLink"/>
              </w:rPr>
              <w:t>300</w:t>
            </w:r>
          </w:hyperlink>
        </w:p>
        <w:p>
          <w:pPr>
            <w:pStyle w:val="Contents3"/>
            <w:tabs>
              <w:tab w:val="clear" w:pos="8459"/>
              <w:tab w:val="right" w:pos="9026" w:leader="dot"/>
            </w:tabs>
            <w:rPr/>
          </w:pPr>
          <w:hyperlink w:anchor="__RefHeading___Toc2760088_1395250215">
            <w:r>
              <w:rPr>
                <w:webHidden/>
                <w:rStyle w:val="IndexLink"/>
              </w:rPr>
              <w:t>5</w:t>
            </w:r>
            <w:r>
              <w:rPr>
                <w:rStyle w:val="IndexLink"/>
                <w:rtl w:val="true"/>
              </w:rPr>
              <w:t xml:space="preserve"> - </w:t>
            </w:r>
            <w:r>
              <w:rPr>
                <w:rStyle w:val="IndexLink"/>
                <w:rtl w:val="true"/>
              </w:rPr>
              <w:t xml:space="preserve">ما وقع فی اسناد کتاب </w:t>
            </w:r>
            <w:r>
              <w:rPr>
                <w:rStyle w:val="IndexLink"/>
                <w:rtl w:val="true"/>
              </w:rPr>
              <w:t>«</w:t>
            </w:r>
            <w:r>
              <w:rPr>
                <w:rStyle w:val="IndexLink"/>
                <w:rtl w:val="true"/>
              </w:rPr>
              <w:t>کامل الزیارة</w:t>
            </w:r>
            <w:r>
              <w:rPr>
                <w:rStyle w:val="IndexLink"/>
                <w:rtl w:val="true"/>
              </w:rPr>
              <w:t>»</w:t>
              <w:tab/>
            </w:r>
            <w:r>
              <w:rPr>
                <w:rStyle w:val="IndexLink"/>
              </w:rPr>
              <w:t>304</w:t>
            </w:r>
          </w:hyperlink>
        </w:p>
        <w:p>
          <w:pPr>
            <w:pStyle w:val="Contents3"/>
            <w:tabs>
              <w:tab w:val="clear" w:pos="8459"/>
              <w:tab w:val="right" w:pos="9026" w:leader="dot"/>
            </w:tabs>
            <w:rPr/>
          </w:pPr>
          <w:hyperlink w:anchor="__RefHeading___Toc2760090_1395250215">
            <w:r>
              <w:rPr>
                <w:webHidden/>
                <w:rStyle w:val="IndexLink"/>
              </w:rPr>
              <w:t>6</w:t>
            </w:r>
            <w:r>
              <w:rPr>
                <w:rStyle w:val="IndexLink"/>
                <w:rtl w:val="true"/>
              </w:rPr>
              <w:t xml:space="preserve"> - </w:t>
            </w:r>
            <w:r>
              <w:rPr>
                <w:rStyle w:val="IndexLink"/>
                <w:rtl w:val="true"/>
              </w:rPr>
              <w:t>ما ورد فی اسناد تفسیر القمی</w:t>
            </w:r>
            <w:r>
              <w:rPr>
                <w:rStyle w:val="IndexLink"/>
                <w:rtl w:val="true"/>
              </w:rPr>
              <w:tab/>
            </w:r>
            <w:r>
              <w:rPr>
                <w:rStyle w:val="IndexLink"/>
              </w:rPr>
              <w:t>314</w:t>
            </w:r>
          </w:hyperlink>
        </w:p>
        <w:p>
          <w:pPr>
            <w:pStyle w:val="Contents4"/>
            <w:tabs>
              <w:tab w:val="clear" w:pos="8176"/>
              <w:tab w:val="right" w:pos="9026" w:leader="dot"/>
            </w:tabs>
            <w:rPr/>
          </w:pPr>
          <w:hyperlink w:anchor="__RefHeading___Toc2760092_1395250215">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2760094_1395250215">
            <w:r>
              <w:rPr>
                <w:webHidden/>
                <w:rStyle w:val="IndexLink"/>
              </w:rPr>
              <w:t>1</w:t>
            </w:r>
            <w:r>
              <w:rPr>
                <w:rStyle w:val="IndexLink"/>
                <w:rtl w:val="true"/>
              </w:rPr>
              <w:t xml:space="preserve"> - </w:t>
            </w:r>
            <w:r>
              <w:rPr>
                <w:rStyle w:val="IndexLink"/>
                <w:rtl w:val="true"/>
              </w:rPr>
              <w:t>ترجمة القمی</w:t>
            </w:r>
            <w:r>
              <w:rPr>
                <w:rStyle w:val="IndexLink"/>
                <w:rtl w:val="true"/>
              </w:rPr>
              <w:tab/>
            </w:r>
            <w:r>
              <w:rPr>
                <w:rStyle w:val="IndexLink"/>
              </w:rPr>
              <w:t>317</w:t>
            </w:r>
          </w:hyperlink>
        </w:p>
        <w:p>
          <w:pPr>
            <w:pStyle w:val="Contents4"/>
            <w:tabs>
              <w:tab w:val="clear" w:pos="8176"/>
              <w:tab w:val="right" w:pos="9026" w:leader="dot"/>
            </w:tabs>
            <w:rPr/>
          </w:pPr>
          <w:hyperlink w:anchor="__RefHeading___Toc2760096_1395250215">
            <w:r>
              <w:rPr>
                <w:webHidden/>
                <w:rStyle w:val="IndexLink"/>
              </w:rPr>
              <w:t>2</w:t>
            </w:r>
            <w:r>
              <w:rPr>
                <w:rStyle w:val="IndexLink"/>
                <w:rtl w:val="true"/>
              </w:rPr>
              <w:t xml:space="preserve"> - </w:t>
            </w:r>
            <w:r>
              <w:rPr>
                <w:rStyle w:val="IndexLink"/>
                <w:rtl w:val="true"/>
              </w:rPr>
              <w:t>مشایخه</w:t>
            </w:r>
            <w:r>
              <w:rPr>
                <w:rStyle w:val="IndexLink"/>
                <w:rtl w:val="true"/>
              </w:rPr>
              <w:tab/>
            </w:r>
            <w:r>
              <w:rPr>
                <w:rStyle w:val="IndexLink"/>
              </w:rPr>
              <w:t>317</w:t>
            </w:r>
          </w:hyperlink>
        </w:p>
        <w:p>
          <w:pPr>
            <w:pStyle w:val="Contents4"/>
            <w:tabs>
              <w:tab w:val="clear" w:pos="8176"/>
              <w:tab w:val="right" w:pos="9026" w:leader="dot"/>
            </w:tabs>
            <w:rPr/>
          </w:pPr>
          <w:hyperlink w:anchor="__RefHeading___Toc2760098_1395250215">
            <w:r>
              <w:rPr>
                <w:webHidden/>
                <w:rStyle w:val="IndexLink"/>
              </w:rPr>
              <w:t>3</w:t>
            </w:r>
            <w:r>
              <w:rPr>
                <w:rStyle w:val="IndexLink"/>
                <w:rtl w:val="true"/>
              </w:rPr>
              <w:t xml:space="preserve"> - </w:t>
            </w:r>
            <w:r>
              <w:rPr>
                <w:rStyle w:val="IndexLink"/>
                <w:rtl w:val="true"/>
              </w:rPr>
              <w:t>طبقته فی الرجال</w:t>
            </w:r>
            <w:r>
              <w:rPr>
                <w:rStyle w:val="IndexLink"/>
                <w:rtl w:val="true"/>
              </w:rPr>
              <w:tab/>
            </w:r>
            <w:r>
              <w:rPr>
                <w:rStyle w:val="IndexLink"/>
              </w:rPr>
              <w:t>318</w:t>
            </w:r>
          </w:hyperlink>
        </w:p>
        <w:p>
          <w:pPr>
            <w:pStyle w:val="Contents4"/>
            <w:tabs>
              <w:tab w:val="clear" w:pos="8176"/>
              <w:tab w:val="right" w:pos="9026" w:leader="dot"/>
            </w:tabs>
            <w:rPr/>
          </w:pPr>
          <w:hyperlink w:anchor="__RefHeading___Toc2760100_1395250215">
            <w:r>
              <w:rPr>
                <w:webHidden/>
                <w:rStyle w:val="IndexLink"/>
              </w:rPr>
              <w:t>4</w:t>
            </w:r>
            <w:r>
              <w:rPr>
                <w:rStyle w:val="IndexLink"/>
                <w:rtl w:val="true"/>
              </w:rPr>
              <w:t xml:space="preserve"> - </w:t>
            </w:r>
            <w:r>
              <w:rPr>
                <w:rStyle w:val="IndexLink"/>
                <w:rtl w:val="true"/>
              </w:rPr>
              <w:t>تعریف للتفسیر</w:t>
            </w:r>
            <w:r>
              <w:rPr>
                <w:rStyle w:val="IndexLink"/>
                <w:rtl w:val="true"/>
              </w:rPr>
              <w:tab/>
            </w:r>
            <w:r>
              <w:rPr>
                <w:rStyle w:val="IndexLink"/>
              </w:rPr>
              <w:t>318</w:t>
            </w:r>
          </w:hyperlink>
        </w:p>
        <w:p>
          <w:pPr>
            <w:pStyle w:val="Contents4"/>
            <w:tabs>
              <w:tab w:val="clear" w:pos="8176"/>
              <w:tab w:val="right" w:pos="9026" w:leader="dot"/>
            </w:tabs>
            <w:rPr/>
          </w:pPr>
          <w:hyperlink w:anchor="__RefHeading___Toc2760102_1395250215">
            <w:r>
              <w:rPr>
                <w:webHidden/>
                <w:rStyle w:val="IndexLink"/>
              </w:rPr>
              <w:t>5</w:t>
            </w:r>
            <w:r>
              <w:rPr>
                <w:rStyle w:val="IndexLink"/>
                <w:rtl w:val="true"/>
              </w:rPr>
              <w:t xml:space="preserve"> - </w:t>
            </w:r>
            <w:r>
              <w:rPr>
                <w:rStyle w:val="IndexLink"/>
                <w:rtl w:val="true"/>
              </w:rPr>
              <w:t>الراوی للتفسیر أو من املی علیه</w:t>
            </w:r>
            <w:r>
              <w:rPr>
                <w:rStyle w:val="IndexLink"/>
                <w:rtl w:val="true"/>
              </w:rPr>
              <w:tab/>
            </w:r>
            <w:r>
              <w:rPr>
                <w:rStyle w:val="IndexLink"/>
              </w:rPr>
              <w:t>319</w:t>
            </w:r>
          </w:hyperlink>
        </w:p>
        <w:p>
          <w:pPr>
            <w:pStyle w:val="Contents4"/>
            <w:tabs>
              <w:tab w:val="clear" w:pos="8176"/>
              <w:tab w:val="right" w:pos="9026" w:leader="dot"/>
            </w:tabs>
            <w:rPr/>
          </w:pPr>
          <w:hyperlink w:anchor="__RefHeading___Toc2760104_1395250215">
            <w:r>
              <w:rPr>
                <w:webHidden/>
                <w:rStyle w:val="IndexLink"/>
              </w:rPr>
              <w:t>6</w:t>
            </w:r>
            <w:r>
              <w:rPr>
                <w:rStyle w:val="IndexLink"/>
                <w:rtl w:val="true"/>
              </w:rPr>
              <w:t xml:space="preserve"> - </w:t>
            </w:r>
            <w:r>
              <w:rPr>
                <w:rStyle w:val="IndexLink"/>
                <w:rtl w:val="true"/>
              </w:rPr>
              <w:t>التفسیر لیس للقمی وحده</w:t>
            </w:r>
            <w:r>
              <w:rPr>
                <w:rStyle w:val="IndexLink"/>
                <w:rtl w:val="true"/>
              </w:rPr>
              <w:tab/>
            </w:r>
            <w:r>
              <w:rPr>
                <w:rStyle w:val="IndexLink"/>
              </w:rPr>
              <w:t>320</w:t>
            </w:r>
          </w:hyperlink>
        </w:p>
        <w:p>
          <w:pPr>
            <w:pStyle w:val="Contents3"/>
            <w:tabs>
              <w:tab w:val="clear" w:pos="8459"/>
              <w:tab w:val="right" w:pos="9026" w:leader="dot"/>
            </w:tabs>
            <w:rPr/>
          </w:pPr>
          <w:hyperlink w:anchor="__RefHeading___Toc2760106_1395250215">
            <w:r>
              <w:rPr>
                <w:webHidden/>
                <w:rStyle w:val="IndexLink"/>
              </w:rPr>
              <w:t>7</w:t>
            </w:r>
            <w:r>
              <w:rPr>
                <w:rStyle w:val="IndexLink"/>
                <w:rtl w:val="true"/>
              </w:rPr>
              <w:t xml:space="preserve"> - </w:t>
            </w:r>
            <w:r>
              <w:rPr>
                <w:rStyle w:val="IndexLink"/>
                <w:rtl w:val="true"/>
              </w:rPr>
              <w:t>اصحاب الصادق علیه السلام فی رجال الشیخ</w:t>
            </w:r>
            <w:r>
              <w:rPr>
                <w:rStyle w:val="IndexLink"/>
                <w:rtl w:val="true"/>
              </w:rPr>
              <w:tab/>
            </w:r>
            <w:r>
              <w:rPr>
                <w:rStyle w:val="IndexLink"/>
              </w:rPr>
              <w:t>328</w:t>
            </w:r>
          </w:hyperlink>
        </w:p>
        <w:p>
          <w:pPr>
            <w:pStyle w:val="Contents4"/>
            <w:tabs>
              <w:tab w:val="clear" w:pos="8176"/>
              <w:tab w:val="right" w:pos="9026" w:leader="dot"/>
            </w:tabs>
            <w:rPr/>
          </w:pPr>
          <w:hyperlink w:anchor="__RefHeading___Toc2760108_1395250215">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2760110_1395250215">
            <w:r>
              <w:rPr>
                <w:webHidden/>
                <w:rStyle w:val="IndexLink"/>
                <w:rtl w:val="true"/>
              </w:rPr>
              <w:t>نظرنا فی الموضوع</w:t>
            </w:r>
            <w:r>
              <w:rPr>
                <w:rStyle w:val="IndexLink"/>
                <w:rtl w:val="true"/>
              </w:rPr>
              <w:tab/>
            </w:r>
            <w:r>
              <w:rPr>
                <w:rStyle w:val="IndexLink"/>
              </w:rPr>
              <w:t>334</w:t>
            </w:r>
          </w:hyperlink>
        </w:p>
        <w:p>
          <w:pPr>
            <w:pStyle w:val="Contents3"/>
            <w:tabs>
              <w:tab w:val="clear" w:pos="8459"/>
              <w:tab w:val="right" w:pos="9026" w:leader="dot"/>
            </w:tabs>
            <w:rPr/>
          </w:pPr>
          <w:hyperlink w:anchor="__RefHeading___Toc2760112_1395250215">
            <w:r>
              <w:rPr>
                <w:webHidden/>
                <w:rStyle w:val="IndexLink"/>
              </w:rPr>
              <w:t>8</w:t>
            </w:r>
            <w:r>
              <w:rPr>
                <w:rStyle w:val="IndexLink"/>
                <w:rtl w:val="true"/>
              </w:rPr>
              <w:t xml:space="preserve"> - </w:t>
            </w:r>
            <w:r>
              <w:rPr>
                <w:rStyle w:val="IndexLink"/>
                <w:rtl w:val="true"/>
              </w:rPr>
              <w:t>هل شیخوخة الاجازة دلیل الوثاقة عند المستجیز؟</w:t>
            </w:r>
            <w:r>
              <w:rPr>
                <w:rStyle w:val="IndexLink"/>
                <w:rtl w:val="true"/>
              </w:rPr>
              <w:tab/>
            </w:r>
            <w:r>
              <w:rPr>
                <w:rStyle w:val="IndexLink"/>
              </w:rPr>
              <w:t>340</w:t>
            </w:r>
          </w:hyperlink>
        </w:p>
        <w:p>
          <w:pPr>
            <w:pStyle w:val="Contents4"/>
            <w:tabs>
              <w:tab w:val="clear" w:pos="8176"/>
              <w:tab w:val="right" w:pos="9026" w:leader="dot"/>
            </w:tabs>
            <w:rPr/>
          </w:pPr>
          <w:hyperlink w:anchor="__RefHeading___Toc2760114_1395250215">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2760116_1395250215">
            <w:r>
              <w:rPr>
                <w:webHidden/>
                <w:rStyle w:val="IndexLink"/>
                <w:rtl w:val="true"/>
              </w:rPr>
              <w:t>توضیحه مع تحقیقه</w:t>
            </w:r>
            <w:r>
              <w:rPr>
                <w:rStyle w:val="IndexLink"/>
                <w:rtl w:val="true"/>
              </w:rPr>
              <w:tab/>
            </w:r>
            <w:r>
              <w:rPr>
                <w:rStyle w:val="IndexLink"/>
              </w:rPr>
              <w:t>342</w:t>
            </w:r>
          </w:hyperlink>
        </w:p>
        <w:p>
          <w:pPr>
            <w:pStyle w:val="Contents3"/>
            <w:tabs>
              <w:tab w:val="clear" w:pos="8459"/>
              <w:tab w:val="right" w:pos="9026" w:leader="dot"/>
            </w:tabs>
            <w:rPr/>
          </w:pPr>
          <w:hyperlink w:anchor="__RefHeading___Toc2760118_1395250215">
            <w:r>
              <w:rPr>
                <w:webHidden/>
                <w:rStyle w:val="IndexLink"/>
              </w:rPr>
              <w:t>9</w:t>
            </w:r>
            <w:r>
              <w:rPr>
                <w:rStyle w:val="IndexLink"/>
                <w:rtl w:val="true"/>
              </w:rPr>
              <w:t xml:space="preserve"> - </w:t>
            </w:r>
            <w:r>
              <w:rPr>
                <w:rStyle w:val="IndexLink"/>
                <w:rtl w:val="true"/>
              </w:rPr>
              <w:t>الوکالة عن الامام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2760120_1395250215">
            <w:r>
              <w:rPr>
                <w:webHidden/>
                <w:rStyle w:val="IndexLink"/>
              </w:rPr>
              <w:t>10</w:t>
            </w:r>
            <w:r>
              <w:rPr>
                <w:rStyle w:val="IndexLink"/>
                <w:rtl w:val="true"/>
              </w:rPr>
              <w:t xml:space="preserve"> - </w:t>
            </w:r>
            <w:r>
              <w:rPr>
                <w:rStyle w:val="IndexLink"/>
                <w:rtl w:val="true"/>
              </w:rPr>
              <w:t>کثرة تخریج الثقة عن شخص</w:t>
            </w:r>
            <w:r>
              <w:rPr>
                <w:rStyle w:val="IndexLink"/>
                <w:rtl w:val="true"/>
              </w:rPr>
              <w:tab/>
            </w:r>
            <w:r>
              <w:rPr>
                <w:rStyle w:val="IndexLink"/>
              </w:rPr>
              <w:t>354</w:t>
            </w:r>
          </w:hyperlink>
        </w:p>
        <w:p>
          <w:pPr>
            <w:pStyle w:val="Contents2"/>
            <w:tabs>
              <w:tab w:val="clear" w:pos="8743"/>
              <w:tab w:val="right" w:pos="9026" w:leader="dot"/>
            </w:tabs>
            <w:rPr/>
          </w:pPr>
          <w:hyperlink w:anchor="__RefHeading___Toc2760122_1395250215">
            <w:r>
              <w:rPr>
                <w:webHidden/>
                <w:rStyle w:val="IndexLink"/>
                <w:rtl w:val="true"/>
              </w:rPr>
              <w:t>الفصل السابع</w:t>
            </w:r>
            <w:r>
              <w:rPr>
                <w:rStyle w:val="IndexLink"/>
                <w:rtl w:val="true"/>
              </w:rPr>
              <w:t xml:space="preserve">: </w:t>
            </w:r>
            <w:r>
              <w:rPr>
                <w:rStyle w:val="IndexLink"/>
                <w:rtl w:val="true"/>
              </w:rPr>
              <w:t>دراسة حول الکتب الاربعة</w:t>
            </w:r>
            <w:r>
              <w:rPr>
                <w:rStyle w:val="IndexLink"/>
                <w:rtl w:val="true"/>
              </w:rPr>
              <w:tab/>
            </w:r>
            <w:r>
              <w:rPr>
                <w:rStyle w:val="IndexLink"/>
              </w:rPr>
              <w:t>358</w:t>
            </w:r>
          </w:hyperlink>
        </w:p>
        <w:p>
          <w:pPr>
            <w:pStyle w:val="Contents3"/>
            <w:tabs>
              <w:tab w:val="clear" w:pos="8459"/>
              <w:tab w:val="right" w:pos="9026" w:leader="dot"/>
            </w:tabs>
            <w:rPr/>
          </w:pPr>
          <w:hyperlink w:anchor="__RefHeading___Toc2760124_1395250215">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2760126_1395250215">
            <w:r>
              <w:rPr>
                <w:webHidden/>
                <w:rStyle w:val="IndexLink"/>
              </w:rPr>
              <w:t>1</w:t>
            </w:r>
            <w:r>
              <w:rPr>
                <w:rStyle w:val="IndexLink"/>
                <w:rtl w:val="true"/>
              </w:rPr>
              <w:t xml:space="preserve"> - </w:t>
            </w:r>
            <w:r>
              <w:rPr>
                <w:rStyle w:val="IndexLink"/>
                <w:rtl w:val="true"/>
              </w:rPr>
              <w:t xml:space="preserve">تقییم احادیث </w:t>
            </w:r>
            <w:r>
              <w:rPr>
                <w:rStyle w:val="IndexLink"/>
                <w:rtl w:val="true"/>
              </w:rPr>
              <w:t>«</w:t>
            </w:r>
            <w:r>
              <w:rPr>
                <w:rStyle w:val="IndexLink"/>
                <w:rtl w:val="true"/>
              </w:rPr>
              <w:t>الکافی</w:t>
            </w:r>
            <w:r>
              <w:rPr>
                <w:rStyle w:val="IndexLink"/>
                <w:rtl w:val="true"/>
              </w:rPr>
              <w:t>»</w:t>
              <w:tab/>
            </w:r>
            <w:r>
              <w:rPr>
                <w:rStyle w:val="IndexLink"/>
              </w:rPr>
              <w:t>360</w:t>
            </w:r>
          </w:hyperlink>
        </w:p>
        <w:p>
          <w:pPr>
            <w:pStyle w:val="Contents4"/>
            <w:tabs>
              <w:tab w:val="clear" w:pos="8176"/>
              <w:tab w:val="right" w:pos="9026" w:leader="dot"/>
            </w:tabs>
            <w:rPr/>
          </w:pPr>
          <w:hyperlink w:anchor="__RefHeading___Toc2760128_1395250215">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2760130_1395250215">
            <w:r>
              <w:rPr>
                <w:webHidden/>
                <w:rStyle w:val="IndexLink"/>
                <w:rtl w:val="true"/>
              </w:rPr>
              <w:t>الصحیح عند القدماء و المتأخرین</w:t>
            </w:r>
            <w:r>
              <w:rPr>
                <w:rStyle w:val="IndexLink"/>
                <w:rtl w:val="true"/>
              </w:rPr>
              <w:tab/>
            </w:r>
            <w:r>
              <w:rPr>
                <w:rStyle w:val="IndexLink"/>
              </w:rPr>
              <w:t>365</w:t>
            </w:r>
          </w:hyperlink>
        </w:p>
        <w:p>
          <w:pPr>
            <w:pStyle w:val="Contents4"/>
            <w:tabs>
              <w:tab w:val="clear" w:pos="8176"/>
              <w:tab w:val="right" w:pos="9026" w:leader="dot"/>
            </w:tabs>
            <w:rPr/>
          </w:pPr>
          <w:hyperlink w:anchor="__RefHeading___Toc2760132_1395250215">
            <w:r>
              <w:rPr>
                <w:webHidden/>
                <w:rStyle w:val="IndexLink"/>
                <w:rtl w:val="true"/>
              </w:rPr>
              <w:t>الوجه الأوّل</w:t>
            </w:r>
            <w:r>
              <w:rPr>
                <w:rStyle w:val="IndexLink"/>
                <w:rtl w:val="true"/>
              </w:rPr>
              <w:t xml:space="preserve">: </w:t>
            </w:r>
            <w:r>
              <w:rPr>
                <w:rStyle w:val="IndexLink"/>
                <w:rtl w:val="true"/>
              </w:rPr>
              <w:t>المدائح الواردة حول الکافی</w:t>
            </w:r>
            <w:r>
              <w:rPr>
                <w:rStyle w:val="IndexLink"/>
                <w:rtl w:val="true"/>
              </w:rPr>
              <w:tab/>
            </w:r>
            <w:r>
              <w:rPr>
                <w:rStyle w:val="IndexLink"/>
              </w:rPr>
              <w:t>367</w:t>
            </w:r>
          </w:hyperlink>
        </w:p>
        <w:p>
          <w:pPr>
            <w:pStyle w:val="Contents4"/>
            <w:tabs>
              <w:tab w:val="clear" w:pos="8176"/>
              <w:tab w:val="right" w:pos="9026" w:leader="dot"/>
            </w:tabs>
            <w:rPr/>
          </w:pPr>
          <w:hyperlink w:anchor="__RefHeading___Toc2760134_1395250215">
            <w:r>
              <w:rPr>
                <w:webHidden/>
                <w:rStyle w:val="IndexLink"/>
                <w:rtl w:val="true"/>
              </w:rPr>
              <w:t>الوجه الثانی</w:t>
            </w:r>
            <w:r>
              <w:rPr>
                <w:rStyle w:val="IndexLink"/>
                <w:rtl w:val="true"/>
              </w:rPr>
              <w:t xml:space="preserve">: </w:t>
            </w:r>
            <w:r>
              <w:rPr>
                <w:rStyle w:val="IndexLink"/>
                <w:rtl w:val="true"/>
              </w:rPr>
              <w:t>المدائح الواردة فی حقّ المؤلف</w:t>
            </w:r>
            <w:r>
              <w:rPr>
                <w:rStyle w:val="IndexLink"/>
                <w:rtl w:val="true"/>
              </w:rPr>
              <w:tab/>
            </w:r>
            <w:r>
              <w:rPr>
                <w:rStyle w:val="IndexLink"/>
              </w:rPr>
              <w:t>369</w:t>
            </w:r>
          </w:hyperlink>
        </w:p>
        <w:p>
          <w:pPr>
            <w:pStyle w:val="Contents4"/>
            <w:tabs>
              <w:tab w:val="clear" w:pos="8176"/>
              <w:tab w:val="right" w:pos="9026" w:leader="dot"/>
            </w:tabs>
            <w:rPr/>
          </w:pPr>
          <w:hyperlink w:anchor="__RefHeading___Toc2760136_1395250215">
            <w:r>
              <w:rPr>
                <w:webHidden/>
                <w:rStyle w:val="IndexLink"/>
                <w:rtl w:val="true"/>
              </w:rPr>
              <w:t>الوجه الثالث</w:t>
            </w:r>
            <w:r>
              <w:rPr>
                <w:rStyle w:val="IndexLink"/>
                <w:rtl w:val="true"/>
              </w:rPr>
              <w:t xml:space="preserve">: </w:t>
            </w:r>
            <w:r>
              <w:rPr>
                <w:rStyle w:val="IndexLink"/>
                <w:rtl w:val="true"/>
              </w:rPr>
              <w:t>کون المؤلف فی عصر الغیبة الصغری</w:t>
            </w:r>
            <w:r>
              <w:rPr>
                <w:rStyle w:val="IndexLink"/>
                <w:rtl w:val="true"/>
              </w:rPr>
              <w:tab/>
            </w:r>
            <w:r>
              <w:rPr>
                <w:rStyle w:val="IndexLink"/>
              </w:rPr>
              <w:t>373</w:t>
            </w:r>
          </w:hyperlink>
        </w:p>
        <w:p>
          <w:pPr>
            <w:pStyle w:val="Contents5"/>
            <w:tabs>
              <w:tab w:val="clear" w:pos="7892"/>
              <w:tab w:val="right" w:pos="9026" w:leader="dot"/>
            </w:tabs>
            <w:rPr/>
          </w:pPr>
          <w:hyperlink w:anchor="__RefHeading___Toc2760138_1395250215">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2760140_1395250215">
            <w:r>
              <w:rPr>
                <w:webHidden/>
                <w:rStyle w:val="IndexLink"/>
                <w:rtl w:val="true"/>
              </w:rPr>
              <w:t>تقییم العرض علی وکیل الناحیة</w:t>
            </w:r>
            <w:r>
              <w:rPr>
                <w:rStyle w:val="IndexLink"/>
                <w:rtl w:val="true"/>
              </w:rPr>
              <w:tab/>
            </w:r>
            <w:r>
              <w:rPr>
                <w:rStyle w:val="IndexLink"/>
              </w:rPr>
              <w:t>378</w:t>
            </w:r>
          </w:hyperlink>
        </w:p>
        <w:p>
          <w:pPr>
            <w:pStyle w:val="Contents3"/>
            <w:tabs>
              <w:tab w:val="clear" w:pos="8459"/>
              <w:tab w:val="right" w:pos="9026" w:leader="dot"/>
            </w:tabs>
            <w:rPr/>
          </w:pPr>
          <w:hyperlink w:anchor="__RefHeading___Toc2760142_1395250215">
            <w:r>
              <w:rPr>
                <w:webHidden/>
                <w:rStyle w:val="IndexLink"/>
              </w:rPr>
              <w:t>2</w:t>
            </w:r>
            <w:r>
              <w:rPr>
                <w:rStyle w:val="IndexLink"/>
                <w:rtl w:val="true"/>
              </w:rPr>
              <w:t xml:space="preserve"> - </w:t>
            </w:r>
            <w:r>
              <w:rPr>
                <w:rStyle w:val="IndexLink"/>
                <w:rtl w:val="true"/>
              </w:rPr>
              <w:t xml:space="preserve">تقییم احادیث </w:t>
            </w:r>
            <w:r>
              <w:rPr>
                <w:rStyle w:val="IndexLink"/>
                <w:rtl w:val="true"/>
              </w:rPr>
              <w:t>«</w:t>
            </w:r>
            <w:r>
              <w:rPr>
                <w:rStyle w:val="IndexLink"/>
                <w:rtl w:val="true"/>
              </w:rPr>
              <w:t>من لا یحضره الفقیه</w:t>
            </w:r>
            <w:r>
              <w:rPr>
                <w:rStyle w:val="IndexLink"/>
                <w:rtl w:val="true"/>
              </w:rPr>
              <w:t>»</w:t>
              <w:tab/>
            </w:r>
            <w:r>
              <w:rPr>
                <w:rStyle w:val="IndexLink"/>
              </w:rPr>
              <w:t>384</w:t>
            </w:r>
          </w:hyperlink>
        </w:p>
        <w:p>
          <w:pPr>
            <w:pStyle w:val="Contents3"/>
            <w:tabs>
              <w:tab w:val="clear" w:pos="8459"/>
              <w:tab w:val="right" w:pos="9026" w:leader="dot"/>
            </w:tabs>
            <w:rPr/>
          </w:pPr>
          <w:hyperlink w:anchor="__RefHeading___Toc2760144_1395250215">
            <w:r>
              <w:rPr>
                <w:webHidden/>
                <w:rStyle w:val="IndexLink"/>
              </w:rPr>
              <w:t>3</w:t>
            </w:r>
            <w:r>
              <w:rPr>
                <w:rStyle w:val="IndexLink"/>
                <w:rtl w:val="true"/>
              </w:rPr>
              <w:t xml:space="preserve"> - </w:t>
            </w:r>
            <w:r>
              <w:rPr>
                <w:rStyle w:val="IndexLink"/>
                <w:rtl w:val="true"/>
              </w:rPr>
              <w:t xml:space="preserve">تقییم احادیث </w:t>
            </w:r>
            <w:r>
              <w:rPr>
                <w:rStyle w:val="IndexLink"/>
                <w:rtl w:val="true"/>
              </w:rPr>
              <w:t>«</w:t>
            </w:r>
            <w:r>
              <w:rPr>
                <w:rStyle w:val="IndexLink"/>
                <w:rtl w:val="true"/>
              </w:rPr>
              <w:t>التهذیب</w:t>
            </w:r>
            <w:r>
              <w:rPr>
                <w:rStyle w:val="IndexLink"/>
                <w:rtl w:val="true"/>
              </w:rPr>
              <w:t xml:space="preserve">» </w:t>
            </w:r>
            <w:r>
              <w:rPr>
                <w:rStyle w:val="IndexLink"/>
                <w:rtl w:val="true"/>
              </w:rPr>
              <w:t xml:space="preserve">و </w:t>
            </w:r>
            <w:r>
              <w:rPr>
                <w:rStyle w:val="IndexLink"/>
                <w:rtl w:val="true"/>
              </w:rPr>
              <w:t>«</w:t>
            </w:r>
            <w:r>
              <w:rPr>
                <w:rStyle w:val="IndexLink"/>
                <w:rtl w:val="true"/>
              </w:rPr>
              <w:t>الاستبصار</w:t>
            </w:r>
            <w:r>
              <w:rPr>
                <w:rStyle w:val="IndexLink"/>
                <w:rtl w:val="true"/>
              </w:rPr>
              <w:t>»</w:t>
              <w:tab/>
            </w:r>
            <w:r>
              <w:rPr>
                <w:rStyle w:val="IndexLink"/>
              </w:rPr>
              <w:t>396</w:t>
            </w:r>
          </w:hyperlink>
        </w:p>
        <w:p>
          <w:pPr>
            <w:pStyle w:val="Contents4"/>
            <w:tabs>
              <w:tab w:val="clear" w:pos="8176"/>
              <w:tab w:val="right" w:pos="9026" w:leader="dot"/>
            </w:tabs>
            <w:rPr/>
          </w:pPr>
          <w:hyperlink w:anchor="__RefHeading___Toc2760146_1395250215">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2760148_1395250215">
            <w:r>
              <w:rPr>
                <w:webHidden/>
                <w:rStyle w:val="IndexLink"/>
                <w:rtl w:val="true"/>
              </w:rPr>
              <w:t>تصحیح أسانید الشیخ</w:t>
            </w:r>
            <w:r>
              <w:rPr>
                <w:rStyle w:val="IndexLink"/>
                <w:rtl w:val="true"/>
              </w:rPr>
              <w:tab/>
            </w:r>
            <w:r>
              <w:rPr>
                <w:rStyle w:val="IndexLink"/>
              </w:rPr>
              <w:t>401</w:t>
            </w:r>
          </w:hyperlink>
        </w:p>
        <w:p>
          <w:pPr>
            <w:pStyle w:val="Contents2"/>
            <w:tabs>
              <w:tab w:val="clear" w:pos="8743"/>
              <w:tab w:val="right" w:pos="9026" w:leader="dot"/>
            </w:tabs>
            <w:rPr/>
          </w:pPr>
          <w:hyperlink w:anchor="__RefHeading___Toc2760150_1395250215">
            <w:r>
              <w:rPr>
                <w:webHidden/>
                <w:rStyle w:val="IndexLink"/>
                <w:rtl w:val="true"/>
              </w:rPr>
              <w:t>الفصل الثامن</w:t>
            </w:r>
            <w:r>
              <w:rPr>
                <w:rStyle w:val="IndexLink"/>
                <w:rtl w:val="true"/>
              </w:rPr>
              <w:t xml:space="preserve">: </w:t>
            </w:r>
            <w:r>
              <w:rPr>
                <w:rStyle w:val="IndexLink"/>
                <w:rtl w:val="true"/>
              </w:rPr>
              <w:t>فی فرق الشیعة الواردة فی الکتب</w:t>
            </w:r>
            <w:r>
              <w:rPr>
                <w:rStyle w:val="IndexLink"/>
                <w:rtl w:val="true"/>
              </w:rPr>
              <w:tab/>
            </w:r>
            <w:r>
              <w:rPr>
                <w:rStyle w:val="IndexLink"/>
              </w:rPr>
              <w:t>408</w:t>
            </w:r>
          </w:hyperlink>
        </w:p>
        <w:p>
          <w:pPr>
            <w:pStyle w:val="Contents3"/>
            <w:tabs>
              <w:tab w:val="clear" w:pos="8459"/>
              <w:tab w:val="right" w:pos="9026" w:leader="dot"/>
            </w:tabs>
            <w:rPr/>
          </w:pPr>
          <w:hyperlink w:anchor="__RefHeading___Toc2760152_1395250215">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2760154_1395250215">
            <w:r>
              <w:rPr>
                <w:webHidden/>
                <w:rStyle w:val="IndexLink"/>
              </w:rPr>
              <w:t>1</w:t>
            </w:r>
            <w:r>
              <w:rPr>
                <w:rStyle w:val="IndexLink"/>
                <w:rtl w:val="true"/>
              </w:rPr>
              <w:t xml:space="preserve"> - </w:t>
            </w:r>
            <w:r>
              <w:rPr>
                <w:rStyle w:val="IndexLink"/>
                <w:rtl w:val="true"/>
              </w:rPr>
              <w:t>الکیسانیة</w:t>
            </w:r>
            <w:r>
              <w:rPr>
                <w:rStyle w:val="IndexLink"/>
                <w:rtl w:val="true"/>
              </w:rPr>
              <w:tab/>
            </w:r>
            <w:r>
              <w:rPr>
                <w:rStyle w:val="IndexLink"/>
              </w:rPr>
              <w:t>412</w:t>
            </w:r>
          </w:hyperlink>
        </w:p>
        <w:p>
          <w:pPr>
            <w:pStyle w:val="Contents3"/>
            <w:tabs>
              <w:tab w:val="clear" w:pos="8459"/>
              <w:tab w:val="right" w:pos="9026" w:leader="dot"/>
            </w:tabs>
            <w:rPr/>
          </w:pPr>
          <w:hyperlink w:anchor="__RefHeading___Toc2760156_1395250215">
            <w:r>
              <w:rPr>
                <w:webHidden/>
                <w:rStyle w:val="IndexLink"/>
              </w:rPr>
              <w:t>2</w:t>
            </w:r>
            <w:r>
              <w:rPr>
                <w:rStyle w:val="IndexLink"/>
                <w:rtl w:val="true"/>
              </w:rPr>
              <w:t xml:space="preserve"> - </w:t>
            </w:r>
            <w:r>
              <w:rPr>
                <w:rStyle w:val="IndexLink"/>
                <w:rtl w:val="true"/>
              </w:rPr>
              <w:t>الزیدیة</w:t>
            </w:r>
            <w:r>
              <w:rPr>
                <w:rStyle w:val="IndexLink"/>
                <w:rtl w:val="true"/>
              </w:rPr>
              <w:tab/>
            </w:r>
            <w:r>
              <w:rPr>
                <w:rStyle w:val="IndexLink"/>
              </w:rPr>
              <w:t>413</w:t>
            </w:r>
          </w:hyperlink>
        </w:p>
        <w:p>
          <w:pPr>
            <w:pStyle w:val="Contents4"/>
            <w:tabs>
              <w:tab w:val="clear" w:pos="8176"/>
              <w:tab w:val="right" w:pos="9026" w:leader="dot"/>
            </w:tabs>
            <w:rPr/>
          </w:pPr>
          <w:hyperlink w:anchor="__RefHeading___Toc2760158_1395250215">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2760160_1395250215">
            <w:r>
              <w:rPr>
                <w:webHidden/>
                <w:rStyle w:val="IndexLink"/>
                <w:rtl w:val="true"/>
              </w:rPr>
              <w:t xml:space="preserve">الف </w:t>
            </w:r>
            <w:r>
              <w:rPr>
                <w:rStyle w:val="IndexLink"/>
                <w:rtl w:val="true"/>
              </w:rPr>
              <w:t xml:space="preserve">- </w:t>
            </w:r>
            <w:r>
              <w:rPr>
                <w:rStyle w:val="IndexLink"/>
                <w:rtl w:val="true"/>
              </w:rPr>
              <w:t>الجارودیة</w:t>
            </w:r>
            <w:r>
              <w:rPr>
                <w:rStyle w:val="IndexLink"/>
                <w:rtl w:val="true"/>
              </w:rPr>
              <w:t>:</w:t>
              <w:tab/>
            </w:r>
            <w:r>
              <w:rPr>
                <w:rStyle w:val="IndexLink"/>
              </w:rPr>
              <w:t>414</w:t>
            </w:r>
          </w:hyperlink>
        </w:p>
        <w:p>
          <w:pPr>
            <w:pStyle w:val="Contents4"/>
            <w:tabs>
              <w:tab w:val="clear" w:pos="8176"/>
              <w:tab w:val="right" w:pos="9026" w:leader="dot"/>
            </w:tabs>
            <w:rPr/>
          </w:pPr>
          <w:hyperlink w:anchor="__RefHeading___Toc2760162_1395250215">
            <w:r>
              <w:rPr>
                <w:webHidden/>
                <w:rStyle w:val="IndexLink"/>
                <w:rtl w:val="true"/>
              </w:rPr>
              <w:t xml:space="preserve">ب </w:t>
            </w:r>
            <w:r>
              <w:rPr>
                <w:rStyle w:val="IndexLink"/>
                <w:rtl w:val="true"/>
              </w:rPr>
              <w:t xml:space="preserve">- </w:t>
            </w:r>
            <w:r>
              <w:rPr>
                <w:rStyle w:val="IndexLink"/>
                <w:rtl w:val="true"/>
              </w:rPr>
              <w:t>السلیمانیة</w:t>
            </w:r>
            <w:r>
              <w:rPr>
                <w:rStyle w:val="IndexLink"/>
                <w:rtl w:val="true"/>
              </w:rPr>
              <w:t>:</w:t>
              <w:tab/>
            </w:r>
            <w:r>
              <w:rPr>
                <w:rStyle w:val="IndexLink"/>
              </w:rPr>
              <w:t>415</w:t>
            </w:r>
          </w:hyperlink>
        </w:p>
        <w:p>
          <w:pPr>
            <w:pStyle w:val="Contents4"/>
            <w:tabs>
              <w:tab w:val="clear" w:pos="8176"/>
              <w:tab w:val="right" w:pos="9026" w:leader="dot"/>
            </w:tabs>
            <w:rPr/>
          </w:pPr>
          <w:hyperlink w:anchor="__RefHeading___Toc2760164_1395250215">
            <w:r>
              <w:rPr>
                <w:webHidden/>
                <w:rStyle w:val="IndexLink"/>
                <w:rtl w:val="true"/>
              </w:rPr>
              <w:t xml:space="preserve">ج </w:t>
            </w:r>
            <w:r>
              <w:rPr>
                <w:rStyle w:val="IndexLink"/>
                <w:rtl w:val="true"/>
              </w:rPr>
              <w:t xml:space="preserve">- </w:t>
            </w:r>
            <w:r>
              <w:rPr>
                <w:rStyle w:val="IndexLink"/>
                <w:rtl w:val="true"/>
              </w:rPr>
              <w:t>الصالحیة و البتریة</w:t>
            </w:r>
            <w:r>
              <w:rPr>
                <w:rStyle w:val="IndexLink"/>
                <w:rtl w:val="true"/>
              </w:rPr>
              <w:t>:</w:t>
              <w:tab/>
            </w:r>
            <w:r>
              <w:rPr>
                <w:rStyle w:val="IndexLink"/>
              </w:rPr>
              <w:t>415</w:t>
            </w:r>
          </w:hyperlink>
        </w:p>
        <w:p>
          <w:pPr>
            <w:pStyle w:val="Contents3"/>
            <w:tabs>
              <w:tab w:val="clear" w:pos="8459"/>
              <w:tab w:val="right" w:pos="9026" w:leader="dot"/>
            </w:tabs>
            <w:rPr/>
          </w:pPr>
          <w:hyperlink w:anchor="__RefHeading___Toc2760166_1395250215">
            <w:r>
              <w:rPr>
                <w:webHidden/>
                <w:rStyle w:val="IndexLink"/>
              </w:rPr>
              <w:t>3</w:t>
            </w:r>
            <w:r>
              <w:rPr>
                <w:rStyle w:val="IndexLink"/>
                <w:rtl w:val="true"/>
              </w:rPr>
              <w:t xml:space="preserve"> - </w:t>
            </w:r>
            <w:r>
              <w:rPr>
                <w:rStyle w:val="IndexLink"/>
                <w:rtl w:val="true"/>
              </w:rPr>
              <w:t>الناووسیة</w:t>
            </w:r>
            <w:r>
              <w:rPr>
                <w:rStyle w:val="IndexLink"/>
                <w:rtl w:val="true"/>
              </w:rPr>
              <w:tab/>
            </w:r>
            <w:r>
              <w:rPr>
                <w:rStyle w:val="IndexLink"/>
              </w:rPr>
              <w:t>415</w:t>
            </w:r>
          </w:hyperlink>
        </w:p>
        <w:p>
          <w:pPr>
            <w:pStyle w:val="Contents3"/>
            <w:tabs>
              <w:tab w:val="clear" w:pos="8459"/>
              <w:tab w:val="right" w:pos="9026" w:leader="dot"/>
            </w:tabs>
            <w:rPr/>
          </w:pPr>
          <w:hyperlink w:anchor="__RefHeading___Toc2760168_1395250215">
            <w:r>
              <w:rPr>
                <w:webHidden/>
                <w:rStyle w:val="IndexLink"/>
              </w:rPr>
              <w:t>4</w:t>
            </w:r>
            <w:r>
              <w:rPr>
                <w:rStyle w:val="IndexLink"/>
                <w:rtl w:val="true"/>
              </w:rPr>
              <w:t xml:space="preserve"> - </w:t>
            </w:r>
            <w:r>
              <w:rPr>
                <w:rStyle w:val="IndexLink"/>
                <w:rtl w:val="true"/>
              </w:rPr>
              <w:t>الإسماعیلیة</w:t>
            </w:r>
            <w:r>
              <w:rPr>
                <w:rStyle w:val="IndexLink"/>
                <w:rtl w:val="true"/>
              </w:rPr>
              <w:tab/>
            </w:r>
            <w:r>
              <w:rPr>
                <w:rStyle w:val="IndexLink"/>
              </w:rPr>
              <w:t>416</w:t>
            </w:r>
          </w:hyperlink>
        </w:p>
        <w:p>
          <w:pPr>
            <w:pStyle w:val="Contents3"/>
            <w:tabs>
              <w:tab w:val="clear" w:pos="8459"/>
              <w:tab w:val="right" w:pos="9026" w:leader="dot"/>
            </w:tabs>
            <w:rPr/>
          </w:pPr>
          <w:hyperlink w:anchor="__RefHeading___Toc2760170_1395250215">
            <w:r>
              <w:rPr>
                <w:webHidden/>
                <w:rStyle w:val="IndexLink"/>
              </w:rPr>
              <w:t>5</w:t>
            </w:r>
            <w:r>
              <w:rPr>
                <w:rStyle w:val="IndexLink"/>
                <w:rtl w:val="true"/>
              </w:rPr>
              <w:t xml:space="preserve"> - </w:t>
            </w:r>
            <w:r>
              <w:rPr>
                <w:rStyle w:val="IndexLink"/>
                <w:rtl w:val="true"/>
              </w:rPr>
              <w:t>الفطحیة أو الافطحیة</w:t>
            </w:r>
            <w:r>
              <w:rPr>
                <w:rStyle w:val="IndexLink"/>
                <w:rtl w:val="true"/>
              </w:rPr>
              <w:tab/>
            </w:r>
            <w:r>
              <w:rPr>
                <w:rStyle w:val="IndexLink"/>
              </w:rPr>
              <w:t>418</w:t>
            </w:r>
          </w:hyperlink>
        </w:p>
        <w:p>
          <w:pPr>
            <w:pStyle w:val="Contents3"/>
            <w:tabs>
              <w:tab w:val="clear" w:pos="8459"/>
              <w:tab w:val="right" w:pos="9026" w:leader="dot"/>
            </w:tabs>
            <w:rPr/>
          </w:pPr>
          <w:hyperlink w:anchor="__RefHeading___Toc2760172_1395250215">
            <w:r>
              <w:rPr>
                <w:webHidden/>
                <w:rStyle w:val="IndexLink"/>
              </w:rPr>
              <w:t>6</w:t>
            </w:r>
            <w:r>
              <w:rPr>
                <w:rStyle w:val="IndexLink"/>
                <w:rtl w:val="true"/>
              </w:rPr>
              <w:t xml:space="preserve"> - </w:t>
            </w:r>
            <w:r>
              <w:rPr>
                <w:rStyle w:val="IndexLink"/>
                <w:rtl w:val="true"/>
              </w:rPr>
              <w:t>الواقفة</w:t>
            </w:r>
            <w:r>
              <w:rPr>
                <w:rStyle w:val="IndexLink"/>
                <w:rtl w:val="true"/>
              </w:rPr>
              <w:tab/>
            </w:r>
            <w:r>
              <w:rPr>
                <w:rStyle w:val="IndexLink"/>
              </w:rPr>
              <w:t>419</w:t>
            </w:r>
          </w:hyperlink>
        </w:p>
        <w:p>
          <w:pPr>
            <w:pStyle w:val="Contents3"/>
            <w:tabs>
              <w:tab w:val="clear" w:pos="8459"/>
              <w:tab w:val="right" w:pos="9026" w:leader="dot"/>
            </w:tabs>
            <w:rPr/>
          </w:pPr>
          <w:hyperlink w:anchor="__RefHeading___Toc2760174_1395250215">
            <w:r>
              <w:rPr>
                <w:webHidden/>
                <w:rStyle w:val="IndexLink"/>
              </w:rPr>
              <w:t>7</w:t>
            </w:r>
            <w:r>
              <w:rPr>
                <w:rStyle w:val="IndexLink"/>
                <w:rtl w:val="true"/>
              </w:rPr>
              <w:t xml:space="preserve"> - </w:t>
            </w:r>
            <w:r>
              <w:rPr>
                <w:rStyle w:val="IndexLink"/>
                <w:rtl w:val="true"/>
              </w:rPr>
              <w:t>الخطابیة</w:t>
            </w:r>
            <w:r>
              <w:rPr>
                <w:rStyle w:val="IndexLink"/>
                <w:rtl w:val="true"/>
              </w:rPr>
              <w:tab/>
            </w:r>
            <w:r>
              <w:rPr>
                <w:rStyle w:val="IndexLink"/>
              </w:rPr>
              <w:t>421</w:t>
            </w:r>
          </w:hyperlink>
        </w:p>
        <w:p>
          <w:pPr>
            <w:pStyle w:val="Contents3"/>
            <w:tabs>
              <w:tab w:val="clear" w:pos="8459"/>
              <w:tab w:val="right" w:pos="9026" w:leader="dot"/>
            </w:tabs>
            <w:rPr/>
          </w:pPr>
          <w:hyperlink w:anchor="__RefHeading___Toc2760176_1395250215">
            <w:r>
              <w:rPr>
                <w:webHidden/>
                <w:rStyle w:val="IndexLink"/>
              </w:rPr>
              <w:t>8</w:t>
            </w:r>
            <w:r>
              <w:rPr>
                <w:rStyle w:val="IndexLink"/>
                <w:rtl w:val="true"/>
              </w:rPr>
              <w:t xml:space="preserve"> - </w:t>
            </w:r>
            <w:r>
              <w:rPr>
                <w:rStyle w:val="IndexLink"/>
                <w:rtl w:val="true"/>
              </w:rPr>
              <w:t>المغیریة</w:t>
            </w:r>
            <w:r>
              <w:rPr>
                <w:rStyle w:val="IndexLink"/>
                <w:rtl w:val="true"/>
              </w:rPr>
              <w:tab/>
            </w:r>
            <w:r>
              <w:rPr>
                <w:rStyle w:val="IndexLink"/>
              </w:rPr>
              <w:t>422</w:t>
            </w:r>
          </w:hyperlink>
        </w:p>
        <w:p>
          <w:pPr>
            <w:pStyle w:val="Contents3"/>
            <w:tabs>
              <w:tab w:val="clear" w:pos="8459"/>
              <w:tab w:val="right" w:pos="9026" w:leader="dot"/>
            </w:tabs>
            <w:rPr/>
          </w:pPr>
          <w:hyperlink w:anchor="__RefHeading___Toc2760178_1395250215">
            <w:r>
              <w:rPr>
                <w:webHidden/>
                <w:rStyle w:val="IndexLink"/>
              </w:rPr>
              <w:t>9</w:t>
            </w:r>
            <w:r>
              <w:rPr>
                <w:rStyle w:val="IndexLink"/>
                <w:rtl w:val="true"/>
              </w:rPr>
              <w:t xml:space="preserve"> - </w:t>
            </w:r>
            <w:r>
              <w:rPr>
                <w:rStyle w:val="IndexLink"/>
                <w:rtl w:val="true"/>
              </w:rPr>
              <w:t>الغلاة</w:t>
            </w:r>
            <w:r>
              <w:rPr>
                <w:rStyle w:val="IndexLink"/>
                <w:rtl w:val="true"/>
              </w:rPr>
              <w:tab/>
            </w:r>
            <w:r>
              <w:rPr>
                <w:rStyle w:val="IndexLink"/>
              </w:rPr>
              <w:t>424</w:t>
            </w:r>
          </w:hyperlink>
        </w:p>
        <w:p>
          <w:pPr>
            <w:pStyle w:val="Contents4"/>
            <w:tabs>
              <w:tab w:val="clear" w:pos="8176"/>
              <w:tab w:val="right" w:pos="9026" w:leader="dot"/>
            </w:tabs>
            <w:rPr/>
          </w:pPr>
          <w:hyperlink w:anchor="__RefHeading___Toc2760180_1395250215">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2760182_1395250215">
            <w:r>
              <w:rPr>
                <w:webHidden/>
                <w:rStyle w:val="IndexLink"/>
                <w:rtl w:val="true"/>
              </w:rPr>
              <w:t>التفویض و معانیه</w:t>
            </w:r>
            <w:r>
              <w:rPr>
                <w:rStyle w:val="IndexLink"/>
                <w:rtl w:val="true"/>
              </w:rPr>
              <w:tab/>
            </w:r>
            <w:r>
              <w:rPr>
                <w:rStyle w:val="IndexLink"/>
              </w:rPr>
              <w:t>426</w:t>
            </w:r>
          </w:hyperlink>
        </w:p>
        <w:p>
          <w:pPr>
            <w:pStyle w:val="Contents4"/>
            <w:tabs>
              <w:tab w:val="clear" w:pos="8176"/>
              <w:tab w:val="right" w:pos="9026" w:leader="dot"/>
            </w:tabs>
            <w:rPr/>
          </w:pPr>
          <w:hyperlink w:anchor="__RefHeading___Toc2760184_1395250215">
            <w:r>
              <w:rPr>
                <w:webHidden/>
                <w:rStyle w:val="IndexLink"/>
                <w:rtl w:val="true"/>
              </w:rPr>
              <w:t>فقدان الضابطة الواحدة فی الغلو</w:t>
            </w:r>
            <w:r>
              <w:rPr>
                <w:rStyle w:val="IndexLink"/>
                <w:rtl w:val="true"/>
              </w:rPr>
              <w:tab/>
            </w:r>
            <w:r>
              <w:rPr>
                <w:rStyle w:val="IndexLink"/>
              </w:rPr>
              <w:t>436</w:t>
            </w:r>
          </w:hyperlink>
        </w:p>
        <w:p>
          <w:pPr>
            <w:pStyle w:val="Contents3"/>
            <w:tabs>
              <w:tab w:val="clear" w:pos="8459"/>
              <w:tab w:val="right" w:pos="9026" w:leader="dot"/>
            </w:tabs>
            <w:rPr/>
          </w:pPr>
          <w:hyperlink w:anchor="__RefHeading___Toc2760186_1395250215">
            <w:r>
              <w:rPr>
                <w:webHidden/>
                <w:rStyle w:val="IndexLink"/>
                <w:rtl w:val="true"/>
              </w:rPr>
              <w:t>تضعیف الراوی من حیث العمل</w:t>
            </w:r>
            <w:r>
              <w:rPr>
                <w:rStyle w:val="IndexLink"/>
                <w:rtl w:val="true"/>
              </w:rPr>
              <w:tab/>
            </w:r>
            <w:r>
              <w:rPr>
                <w:rStyle w:val="IndexLink"/>
              </w:rPr>
              <w:t>441</w:t>
            </w:r>
          </w:hyperlink>
        </w:p>
        <w:p>
          <w:pPr>
            <w:pStyle w:val="Contents2"/>
            <w:tabs>
              <w:tab w:val="clear" w:pos="8743"/>
              <w:tab w:val="right" w:pos="9026" w:leader="dot"/>
            </w:tabs>
            <w:rPr/>
          </w:pPr>
          <w:hyperlink w:anchor="__RefHeading___Toc2760188_1395250215">
            <w:r>
              <w:rPr>
                <w:webHidden/>
                <w:rStyle w:val="IndexLink"/>
                <w:rtl w:val="true"/>
              </w:rPr>
              <w:t>خاتمة فی فوائد رجالیة</w:t>
            </w:r>
            <w:r>
              <w:rPr>
                <w:rStyle w:val="IndexLink"/>
                <w:rtl w:val="true"/>
              </w:rPr>
              <w:tab/>
            </w:r>
            <w:r>
              <w:rPr>
                <w:rStyle w:val="IndexLink"/>
              </w:rPr>
              <w:t>444</w:t>
            </w:r>
          </w:hyperlink>
        </w:p>
        <w:p>
          <w:pPr>
            <w:pStyle w:val="Contents3"/>
            <w:tabs>
              <w:tab w:val="clear" w:pos="8459"/>
              <w:tab w:val="right" w:pos="9026" w:leader="dot"/>
            </w:tabs>
            <w:rPr/>
          </w:pPr>
          <w:hyperlink w:anchor="__RefHeading___Toc2760190_1395250215">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2760192_1395250215">
            <w:r>
              <w:rPr>
                <w:webHidden/>
                <w:rStyle w:val="IndexLink"/>
                <w:rtl w:val="true"/>
              </w:rPr>
              <w:t>الفائدة الأولی</w:t>
            </w:r>
            <w:r>
              <w:rPr>
                <w:rStyle w:val="IndexLink"/>
                <w:rtl w:val="true"/>
              </w:rPr>
              <w:tab/>
            </w:r>
            <w:r>
              <w:rPr>
                <w:rStyle w:val="IndexLink"/>
              </w:rPr>
              <w:t>446</w:t>
            </w:r>
          </w:hyperlink>
        </w:p>
        <w:p>
          <w:pPr>
            <w:pStyle w:val="Contents3"/>
            <w:tabs>
              <w:tab w:val="clear" w:pos="8459"/>
              <w:tab w:val="right" w:pos="9026" w:leader="dot"/>
            </w:tabs>
            <w:rPr/>
          </w:pPr>
          <w:hyperlink w:anchor="__RefHeading___Toc2760194_1395250215">
            <w:r>
              <w:rPr>
                <w:webHidden/>
                <w:rStyle w:val="IndexLink"/>
                <w:rtl w:val="true"/>
              </w:rPr>
              <w:t>الفائدة الثانیة</w:t>
            </w:r>
            <w:r>
              <w:rPr>
                <w:rStyle w:val="IndexLink"/>
                <w:rtl w:val="true"/>
              </w:rPr>
              <w:tab/>
            </w:r>
            <w:r>
              <w:rPr>
                <w:rStyle w:val="IndexLink"/>
              </w:rPr>
              <w:t>451</w:t>
            </w:r>
          </w:hyperlink>
        </w:p>
        <w:p>
          <w:pPr>
            <w:pStyle w:val="Contents3"/>
            <w:tabs>
              <w:tab w:val="clear" w:pos="8459"/>
              <w:tab w:val="right" w:pos="9026" w:leader="dot"/>
            </w:tabs>
            <w:rPr/>
          </w:pPr>
          <w:hyperlink w:anchor="__RefHeading___Toc2760196_1395250215">
            <w:r>
              <w:rPr>
                <w:webHidden/>
                <w:rStyle w:val="IndexLink"/>
                <w:rtl w:val="true"/>
              </w:rPr>
              <w:t>الفائدة الثالثة</w:t>
            </w:r>
            <w:r>
              <w:rPr>
                <w:rStyle w:val="IndexLink"/>
                <w:rtl w:val="true"/>
              </w:rPr>
              <w:tab/>
            </w:r>
            <w:r>
              <w:rPr>
                <w:rStyle w:val="IndexLink"/>
              </w:rPr>
              <w:t>457</w:t>
            </w:r>
          </w:hyperlink>
        </w:p>
        <w:p>
          <w:pPr>
            <w:pStyle w:val="Contents3"/>
            <w:tabs>
              <w:tab w:val="clear" w:pos="8459"/>
              <w:tab w:val="right" w:pos="9026" w:leader="dot"/>
            </w:tabs>
            <w:rPr/>
          </w:pPr>
          <w:hyperlink w:anchor="__RefHeading___Toc2760198_1395250215">
            <w:r>
              <w:rPr>
                <w:webHidden/>
                <w:rStyle w:val="IndexLink"/>
                <w:rtl w:val="true"/>
              </w:rPr>
              <w:t>الفائدة الرابعة</w:t>
            </w:r>
            <w:r>
              <w:rPr>
                <w:rStyle w:val="IndexLink"/>
                <w:rtl w:val="true"/>
              </w:rPr>
              <w:tab/>
            </w:r>
            <w:r>
              <w:rPr>
                <w:rStyle w:val="IndexLink"/>
              </w:rPr>
              <w:t>459</w:t>
            </w:r>
          </w:hyperlink>
        </w:p>
        <w:p>
          <w:pPr>
            <w:pStyle w:val="Contents3"/>
            <w:tabs>
              <w:tab w:val="clear" w:pos="8459"/>
              <w:tab w:val="right" w:pos="9026" w:leader="dot"/>
            </w:tabs>
            <w:rPr/>
          </w:pPr>
          <w:hyperlink w:anchor="__RefHeading___Toc2760200_1395250215">
            <w:r>
              <w:rPr>
                <w:webHidden/>
                <w:rStyle w:val="IndexLink"/>
                <w:rtl w:val="true"/>
              </w:rPr>
              <w:t>الفائدة الخامسة</w:t>
            </w:r>
            <w:r>
              <w:rPr>
                <w:rStyle w:val="IndexLink"/>
                <w:rtl w:val="true"/>
              </w:rPr>
              <w:tab/>
            </w:r>
            <w:r>
              <w:rPr>
                <w:rStyle w:val="IndexLink"/>
              </w:rPr>
              <w:t>463</w:t>
            </w:r>
          </w:hyperlink>
        </w:p>
        <w:p>
          <w:pPr>
            <w:pStyle w:val="Contents3"/>
            <w:tabs>
              <w:tab w:val="clear" w:pos="8459"/>
              <w:tab w:val="right" w:pos="9026" w:leader="dot"/>
            </w:tabs>
            <w:rPr/>
          </w:pPr>
          <w:hyperlink w:anchor="__RefHeading___Toc2760202_1395250215">
            <w:r>
              <w:rPr>
                <w:webHidden/>
                <w:rStyle w:val="IndexLink"/>
                <w:rtl w:val="true"/>
              </w:rPr>
              <w:t>الفائدة السادسة</w:t>
            </w:r>
            <w:r>
              <w:rPr>
                <w:rStyle w:val="IndexLink"/>
                <w:rtl w:val="true"/>
              </w:rPr>
              <w:tab/>
            </w:r>
            <w:r>
              <w:rPr>
                <w:rStyle w:val="IndexLink"/>
              </w:rPr>
              <w:t>463</w:t>
            </w:r>
          </w:hyperlink>
        </w:p>
        <w:p>
          <w:pPr>
            <w:pStyle w:val="Contents3"/>
            <w:tabs>
              <w:tab w:val="clear" w:pos="8459"/>
              <w:tab w:val="right" w:pos="9026" w:leader="dot"/>
            </w:tabs>
            <w:rPr/>
          </w:pPr>
          <w:hyperlink w:anchor="__RefHeading___Toc2760204_1395250215">
            <w:r>
              <w:rPr>
                <w:webHidden/>
                <w:rStyle w:val="IndexLink"/>
                <w:rtl w:val="true"/>
              </w:rPr>
              <w:t>الفائدة السابعة</w:t>
            </w:r>
            <w:r>
              <w:rPr>
                <w:rStyle w:val="IndexLink"/>
                <w:rtl w:val="true"/>
              </w:rPr>
              <w:tab/>
            </w:r>
            <w:r>
              <w:rPr>
                <w:rStyle w:val="IndexLink"/>
              </w:rPr>
              <w:t>465</w:t>
            </w:r>
          </w:hyperlink>
        </w:p>
        <w:p>
          <w:pPr>
            <w:pStyle w:val="Contents3"/>
            <w:tabs>
              <w:tab w:val="clear" w:pos="8459"/>
              <w:tab w:val="right" w:pos="9026" w:leader="dot"/>
            </w:tabs>
            <w:rPr/>
          </w:pPr>
          <w:hyperlink w:anchor="__RefHeading___Toc2760206_1395250215">
            <w:r>
              <w:rPr>
                <w:webHidden/>
                <w:rStyle w:val="IndexLink"/>
                <w:rtl w:val="true"/>
              </w:rPr>
              <w:t>الفائدة الثامنة</w:t>
            </w:r>
            <w:r>
              <w:rPr>
                <w:rStyle w:val="IndexLink"/>
                <w:rtl w:val="true"/>
              </w:rPr>
              <w:tab/>
            </w:r>
            <w:r>
              <w:rPr>
                <w:rStyle w:val="IndexLink"/>
              </w:rPr>
              <w:t>467</w:t>
            </w:r>
          </w:hyperlink>
        </w:p>
        <w:p>
          <w:pPr>
            <w:pStyle w:val="Contents3"/>
            <w:tabs>
              <w:tab w:val="clear" w:pos="8459"/>
              <w:tab w:val="right" w:pos="9026" w:leader="dot"/>
            </w:tabs>
            <w:rPr/>
          </w:pPr>
          <w:hyperlink w:anchor="__RefHeading___Toc2760208_1395250215">
            <w:r>
              <w:rPr>
                <w:webHidden/>
                <w:rStyle w:val="IndexLink"/>
                <w:rtl w:val="true"/>
              </w:rPr>
              <w:t>الفائدة التاسعة</w:t>
            </w:r>
            <w:r>
              <w:rPr>
                <w:rStyle w:val="IndexLink"/>
                <w:rtl w:val="true"/>
              </w:rPr>
              <w:tab/>
            </w:r>
            <w:r>
              <w:rPr>
                <w:rStyle w:val="IndexLink"/>
              </w:rPr>
              <w:t>468</w:t>
            </w:r>
          </w:hyperlink>
        </w:p>
        <w:p>
          <w:pPr>
            <w:pStyle w:val="Contents3"/>
            <w:tabs>
              <w:tab w:val="clear" w:pos="8459"/>
              <w:tab w:val="right" w:pos="9026" w:leader="dot"/>
            </w:tabs>
            <w:rPr/>
          </w:pPr>
          <w:hyperlink w:anchor="__RefHeading___Toc2760210_1395250215">
            <w:r>
              <w:rPr>
                <w:webHidden/>
                <w:rStyle w:val="IndexLink"/>
                <w:rtl w:val="true"/>
              </w:rPr>
              <w:t>الفائدة العاشرة</w:t>
            </w:r>
            <w:r>
              <w:rPr>
                <w:rStyle w:val="IndexLink"/>
                <w:rtl w:val="true"/>
              </w:rPr>
              <w:tab/>
            </w:r>
            <w:r>
              <w:rPr>
                <w:rStyle w:val="IndexLink"/>
              </w:rPr>
              <w:t>468</w:t>
            </w:r>
          </w:hyperlink>
        </w:p>
        <w:p>
          <w:pPr>
            <w:pStyle w:val="Contents3"/>
            <w:tabs>
              <w:tab w:val="clear" w:pos="8459"/>
              <w:tab w:val="right" w:pos="9026" w:leader="dot"/>
            </w:tabs>
            <w:rPr/>
          </w:pPr>
          <w:hyperlink w:anchor="__RefHeading___Toc2760212_1395250215">
            <w:r>
              <w:rPr>
                <w:webHidden/>
                <w:rStyle w:val="IndexLink"/>
                <w:rtl w:val="true"/>
              </w:rPr>
              <w:t>الفائدة الحادیة عشر</w:t>
            </w:r>
            <w:r>
              <w:rPr>
                <w:rStyle w:val="IndexLink"/>
                <w:rtl w:val="true"/>
              </w:rPr>
              <w:tab/>
            </w:r>
            <w:r>
              <w:rPr>
                <w:rStyle w:val="IndexLink"/>
              </w:rPr>
              <w:t>479</w:t>
            </w:r>
          </w:hyperlink>
        </w:p>
        <w:p>
          <w:pPr>
            <w:pStyle w:val="Contents3"/>
            <w:tabs>
              <w:tab w:val="clear" w:pos="8459"/>
              <w:tab w:val="right" w:pos="9026" w:leader="dot"/>
            </w:tabs>
            <w:rPr/>
          </w:pPr>
          <w:hyperlink w:anchor="__RefHeading___Toc2760214_1395250215">
            <w:r>
              <w:rPr>
                <w:webHidden/>
                <w:rStyle w:val="IndexLink"/>
                <w:rtl w:val="true"/>
              </w:rPr>
              <w:t>الفائدة الثانیة عشر</w:t>
            </w:r>
            <w:r>
              <w:rPr>
                <w:rStyle w:val="IndexLink"/>
                <w:rtl w:val="true"/>
              </w:rPr>
              <w:tab/>
            </w:r>
            <w:r>
              <w:rPr>
                <w:rStyle w:val="IndexLink"/>
              </w:rPr>
              <w:t>480</w:t>
            </w:r>
          </w:hyperlink>
        </w:p>
        <w:p>
          <w:pPr>
            <w:pStyle w:val="Contents3"/>
            <w:tabs>
              <w:tab w:val="clear" w:pos="8459"/>
              <w:tab w:val="right" w:pos="9026" w:leader="dot"/>
            </w:tabs>
            <w:rPr/>
          </w:pPr>
          <w:hyperlink w:anchor="__RefHeading___Toc2760216_1395250215">
            <w:r>
              <w:rPr>
                <w:webHidden/>
                <w:rStyle w:val="IndexLink"/>
                <w:rtl w:val="true"/>
              </w:rPr>
              <w:t>الفائدة الثالثة عشر</w:t>
            </w:r>
            <w:r>
              <w:rPr>
                <w:rStyle w:val="IndexLink"/>
                <w:rtl w:val="true"/>
              </w:rPr>
              <w:tab/>
            </w:r>
            <w:r>
              <w:rPr>
                <w:rStyle w:val="IndexLink"/>
              </w:rPr>
              <w:t>481</w:t>
            </w:r>
          </w:hyperlink>
        </w:p>
        <w:p>
          <w:pPr>
            <w:pStyle w:val="Contents4"/>
            <w:tabs>
              <w:tab w:val="clear" w:pos="8176"/>
              <w:tab w:val="right" w:pos="9026" w:leader="dot"/>
            </w:tabs>
            <w:rPr/>
          </w:pPr>
          <w:hyperlink w:anchor="__RefHeading___Toc2760218_1395250215">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2760220_1395250215">
            <w:r>
              <w:rPr>
                <w:webHidden/>
                <w:rStyle w:val="IndexLink"/>
                <w:rtl w:val="true"/>
              </w:rPr>
              <w:t>الاول</w:t>
            </w:r>
            <w:r>
              <w:rPr>
                <w:rStyle w:val="IndexLink"/>
                <w:rtl w:val="true"/>
              </w:rPr>
              <w:t xml:space="preserve">: </w:t>
            </w:r>
            <w:r>
              <w:rPr>
                <w:rStyle w:val="IndexLink"/>
                <w:rtl w:val="true"/>
              </w:rPr>
              <w:t>فی الالفاظ الاربعة</w:t>
            </w:r>
            <w:r>
              <w:rPr>
                <w:rStyle w:val="IndexLink"/>
                <w:rtl w:val="true"/>
              </w:rPr>
              <w:tab/>
            </w:r>
            <w:r>
              <w:rPr>
                <w:rStyle w:val="IndexLink"/>
              </w:rPr>
              <w:t>481</w:t>
            </w:r>
          </w:hyperlink>
        </w:p>
        <w:p>
          <w:pPr>
            <w:pStyle w:val="Contents5"/>
            <w:tabs>
              <w:tab w:val="clear" w:pos="7892"/>
              <w:tab w:val="right" w:pos="9026" w:leader="dot"/>
            </w:tabs>
            <w:rPr/>
          </w:pPr>
          <w:hyperlink w:anchor="__RefHeading___Toc2760222_1395250215">
            <w:r>
              <w:rPr>
                <w:webHidden/>
                <w:rStyle w:val="IndexLink"/>
              </w:rPr>
              <w:t>1</w:t>
            </w:r>
            <w:r>
              <w:rPr>
                <w:rStyle w:val="IndexLink"/>
                <w:rtl w:val="true"/>
              </w:rPr>
              <w:t xml:space="preserve"> - </w:t>
            </w:r>
            <w:r>
              <w:rPr>
                <w:rStyle w:val="IndexLink"/>
                <w:rtl w:val="true"/>
              </w:rPr>
              <w:t>الکتاب</w:t>
            </w:r>
            <w:r>
              <w:rPr>
                <w:rStyle w:val="IndexLink"/>
                <w:rtl w:val="true"/>
              </w:rPr>
              <w:tab/>
            </w:r>
            <w:r>
              <w:rPr>
                <w:rStyle w:val="IndexLink"/>
              </w:rPr>
              <w:t>481</w:t>
            </w:r>
          </w:hyperlink>
        </w:p>
        <w:p>
          <w:pPr>
            <w:pStyle w:val="Contents5"/>
            <w:tabs>
              <w:tab w:val="clear" w:pos="7892"/>
              <w:tab w:val="right" w:pos="9026" w:leader="dot"/>
            </w:tabs>
            <w:rPr/>
          </w:pPr>
          <w:hyperlink w:anchor="__RefHeading___Toc2760224_1395250215">
            <w:r>
              <w:rPr>
                <w:webHidden/>
                <w:rStyle w:val="IndexLink"/>
              </w:rPr>
              <w:t>2</w:t>
            </w:r>
            <w:r>
              <w:rPr>
                <w:rStyle w:val="IndexLink"/>
                <w:rtl w:val="true"/>
              </w:rPr>
              <w:t xml:space="preserve"> - </w:t>
            </w:r>
            <w:r>
              <w:rPr>
                <w:rStyle w:val="IndexLink"/>
                <w:rtl w:val="true"/>
              </w:rPr>
              <w:t>الاصل</w:t>
            </w:r>
            <w:r>
              <w:rPr>
                <w:rStyle w:val="IndexLink"/>
                <w:rtl w:val="true"/>
              </w:rPr>
              <w:tab/>
            </w:r>
            <w:r>
              <w:rPr>
                <w:rStyle w:val="IndexLink"/>
              </w:rPr>
              <w:t>482</w:t>
            </w:r>
          </w:hyperlink>
        </w:p>
        <w:p>
          <w:pPr>
            <w:pStyle w:val="Contents5"/>
            <w:tabs>
              <w:tab w:val="clear" w:pos="7892"/>
              <w:tab w:val="right" w:pos="9026" w:leader="dot"/>
            </w:tabs>
            <w:rPr/>
          </w:pPr>
          <w:hyperlink w:anchor="__RefHeading___Toc2760226_1395250215">
            <w:r>
              <w:rPr>
                <w:webHidden/>
                <w:rStyle w:val="IndexLink"/>
              </w:rPr>
              <w:t>3</w:t>
            </w:r>
            <w:r>
              <w:rPr>
                <w:rStyle w:val="IndexLink"/>
                <w:rtl w:val="true"/>
              </w:rPr>
              <w:t xml:space="preserve"> - </w:t>
            </w:r>
            <w:r>
              <w:rPr>
                <w:rStyle w:val="IndexLink"/>
                <w:rtl w:val="true"/>
              </w:rPr>
              <w:t xml:space="preserve">التصنیف </w:t>
            </w:r>
            <w:r>
              <w:rPr>
                <w:rStyle w:val="IndexLink"/>
                <w:rtl w:val="true"/>
              </w:rPr>
              <w:t>(</w:t>
            </w:r>
            <w:r>
              <w:rPr>
                <w:rStyle w:val="IndexLink"/>
                <w:rtl w:val="true"/>
              </w:rPr>
              <w:t>المصنّف</w:t>
            </w:r>
            <w:r>
              <w:rPr>
                <w:rStyle w:val="IndexLink"/>
                <w:rtl w:val="true"/>
              </w:rPr>
              <w:t>)</w:t>
              <w:tab/>
            </w:r>
            <w:r>
              <w:rPr>
                <w:rStyle w:val="IndexLink"/>
              </w:rPr>
              <w:t>482</w:t>
            </w:r>
          </w:hyperlink>
        </w:p>
        <w:p>
          <w:pPr>
            <w:pStyle w:val="Contents5"/>
            <w:tabs>
              <w:tab w:val="clear" w:pos="7892"/>
              <w:tab w:val="right" w:pos="9026" w:leader="dot"/>
            </w:tabs>
            <w:rPr/>
          </w:pPr>
          <w:hyperlink w:anchor="__RefHeading___Toc2760228_1395250215">
            <w:r>
              <w:rPr>
                <w:webHidden/>
                <w:rStyle w:val="IndexLink"/>
              </w:rPr>
              <w:t>4</w:t>
            </w:r>
            <w:r>
              <w:rPr>
                <w:rStyle w:val="IndexLink"/>
                <w:rtl w:val="true"/>
              </w:rPr>
              <w:t xml:space="preserve"> - </w:t>
            </w:r>
            <w:r>
              <w:rPr>
                <w:rStyle w:val="IndexLink"/>
                <w:rtl w:val="true"/>
              </w:rPr>
              <w:t>النوادر</w:t>
            </w:r>
            <w:r>
              <w:rPr>
                <w:rStyle w:val="IndexLink"/>
                <w:rtl w:val="true"/>
              </w:rPr>
              <w:tab/>
            </w:r>
            <w:r>
              <w:rPr>
                <w:rStyle w:val="IndexLink"/>
              </w:rPr>
              <w:t>484</w:t>
            </w:r>
          </w:hyperlink>
        </w:p>
        <w:p>
          <w:pPr>
            <w:pStyle w:val="Contents4"/>
            <w:tabs>
              <w:tab w:val="clear" w:pos="8176"/>
              <w:tab w:val="right" w:pos="9026" w:leader="dot"/>
            </w:tabs>
            <w:rPr/>
          </w:pPr>
          <w:hyperlink w:anchor="__RefHeading___Toc2760230_1395250215">
            <w:r>
              <w:rPr>
                <w:webHidden/>
                <w:rStyle w:val="IndexLink"/>
                <w:rtl w:val="true"/>
              </w:rPr>
              <w:t>الثانی</w:t>
            </w:r>
            <w:r>
              <w:rPr>
                <w:rStyle w:val="IndexLink"/>
                <w:rtl w:val="true"/>
              </w:rPr>
              <w:t xml:space="preserve">: </w:t>
            </w:r>
            <w:r>
              <w:rPr>
                <w:rStyle w:val="IndexLink"/>
                <w:rtl w:val="true"/>
              </w:rPr>
              <w:t xml:space="preserve">فی الاصول المدوّنة فی عصر ائمتنا </w:t>
            </w:r>
            <w:r>
              <w:rPr>
                <w:rStyle w:val="IndexLink"/>
                <w:rtl w:val="true"/>
              </w:rPr>
              <w:t>(</w:t>
            </w:r>
            <w:r>
              <w:rPr>
                <w:rStyle w:val="IndexLink"/>
                <w:rtl w:val="true"/>
              </w:rPr>
              <w:t>علیهم السلام</w:t>
            </w:r>
            <w:r>
              <w:rPr>
                <w:rStyle w:val="IndexLink"/>
                <w:rtl w:val="true"/>
              </w:rPr>
              <w:t>)</w:t>
              <w:tab/>
            </w:r>
            <w:r>
              <w:rPr>
                <w:rStyle w:val="IndexLink"/>
              </w:rPr>
              <w:t>487</w:t>
            </w:r>
          </w:hyperlink>
        </w:p>
        <w:p>
          <w:pPr>
            <w:pStyle w:val="Contents4"/>
            <w:tabs>
              <w:tab w:val="clear" w:pos="8176"/>
              <w:tab w:val="right" w:pos="9026" w:leader="dot"/>
            </w:tabs>
            <w:rPr/>
          </w:pPr>
          <w:hyperlink w:anchor="__RefHeading___Toc2760232_1395250215">
            <w:r>
              <w:rPr>
                <w:webHidden/>
                <w:rStyle w:val="IndexLink"/>
                <w:rtl w:val="true"/>
              </w:rPr>
              <w:t>الثالث</w:t>
            </w:r>
            <w:r>
              <w:rPr>
                <w:rStyle w:val="IndexLink"/>
                <w:rtl w:val="true"/>
              </w:rPr>
              <w:t xml:space="preserve">: </w:t>
            </w:r>
            <w:r>
              <w:rPr>
                <w:rStyle w:val="IndexLink"/>
                <w:rtl w:val="true"/>
              </w:rPr>
              <w:t>وجه العنایة بالاصول و مدی دلالتها علی الوثاقة</w:t>
            </w:r>
            <w:r>
              <w:rPr>
                <w:rStyle w:val="IndexLink"/>
                <w:rtl w:val="true"/>
              </w:rPr>
              <w:tab/>
            </w:r>
            <w:r>
              <w:rPr>
                <w:rStyle w:val="IndexLink"/>
              </w:rPr>
              <w:t>491</w:t>
            </w:r>
          </w:hyperlink>
        </w:p>
        <w:p>
          <w:pPr>
            <w:pStyle w:val="Contents3"/>
            <w:tabs>
              <w:tab w:val="clear" w:pos="8459"/>
              <w:tab w:val="right" w:pos="9026" w:leader="dot"/>
            </w:tabs>
            <w:rPr/>
          </w:pPr>
          <w:hyperlink w:anchor="__RefHeading___Toc2760234_1395250215">
            <w:r>
              <w:rPr>
                <w:webHidden/>
                <w:rStyle w:val="IndexLink"/>
                <w:rtl w:val="true"/>
              </w:rPr>
              <w:t>الفائدة الرابعة عشر</w:t>
            </w:r>
            <w:r>
              <w:rPr>
                <w:rStyle w:val="IndexLink"/>
                <w:rtl w:val="true"/>
              </w:rPr>
              <w:tab/>
            </w:r>
            <w:r>
              <w:rPr>
                <w:rStyle w:val="IndexLink"/>
              </w:rPr>
              <w:t>493</w:t>
            </w:r>
          </w:hyperlink>
        </w:p>
        <w:p>
          <w:pPr>
            <w:pStyle w:val="Contents4"/>
            <w:tabs>
              <w:tab w:val="clear" w:pos="8176"/>
              <w:tab w:val="right" w:pos="9026" w:leader="dot"/>
            </w:tabs>
            <w:rPr/>
          </w:pPr>
          <w:hyperlink w:anchor="__RefHeading___Toc2760236_1395250215">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2760238_1395250215">
            <w:r>
              <w:rPr>
                <w:webHidden/>
                <w:rStyle w:val="IndexLink"/>
                <w:rtl w:val="true"/>
              </w:rPr>
              <w:t>علم الرجال و الاحادیث غیر الفقهیة</w:t>
            </w:r>
            <w:r>
              <w:rPr>
                <w:rStyle w:val="IndexLink"/>
                <w:rtl w:val="true"/>
              </w:rPr>
              <w:tab/>
            </w:r>
            <w:r>
              <w:rPr>
                <w:rStyle w:val="IndexLink"/>
              </w:rPr>
              <w:t>497</w:t>
            </w:r>
          </w:hyperlink>
        </w:p>
        <w:p>
          <w:pPr>
            <w:pStyle w:val="Contents4"/>
            <w:tabs>
              <w:tab w:val="clear" w:pos="8176"/>
              <w:tab w:val="right" w:pos="9026" w:leader="dot"/>
            </w:tabs>
            <w:rPr/>
          </w:pPr>
          <w:hyperlink w:anchor="__RefHeading___Toc2760240_1395250215">
            <w:r>
              <w:rPr>
                <w:webHidden/>
                <w:rStyle w:val="IndexLink"/>
                <w:rtl w:val="true"/>
              </w:rPr>
              <w:t>الکتب المؤلفة فی حیاة الصحابة</w:t>
            </w:r>
            <w:r>
              <w:rPr>
                <w:rStyle w:val="IndexLink"/>
                <w:rtl w:val="true"/>
              </w:rPr>
              <w:tab/>
            </w:r>
            <w:r>
              <w:rPr>
                <w:rStyle w:val="IndexLink"/>
              </w:rPr>
              <w:t>499</w:t>
            </w:r>
          </w:hyperlink>
        </w:p>
        <w:p>
          <w:pPr>
            <w:pStyle w:val="Contents2"/>
            <w:tabs>
              <w:tab w:val="clear" w:pos="8743"/>
              <w:tab w:val="right" w:pos="9026" w:leader="dot"/>
            </w:tabs>
            <w:rPr/>
          </w:pPr>
          <w:hyperlink w:anchor="__RefHeading___Toc2760242_1395250215">
            <w:r>
              <w:rPr>
                <w:webHidden/>
                <w:rStyle w:val="IndexLink"/>
                <w:rtl w:val="true"/>
              </w:rPr>
              <w:t>الفهرس</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8_19409"/>
      <w:bookmarkStart w:id="1" w:name="pg2858_19409"/>
      <w:bookmarkEnd w:id="1"/>
    </w:p>
    <w:p>
      <w:pPr>
        <w:pStyle w:val="Heading2"/>
        <w:numPr>
          <w:ilvl w:val="1"/>
          <w:numId w:val="1"/>
        </w:numPr>
        <w:rPr/>
      </w:pPr>
      <w:bookmarkStart w:id="2" w:name="pg2858_19409"/>
      <w:bookmarkStart w:id="3" w:name="__RefHeading___Toc2759794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العلیمه بقم،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النشر الاسلامی التابعه لجماعه المدرسین بقم المشرفه؛ </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چاپ</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9796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رسوله الهادی الأمین وعترته الطیبین الطاهرین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الحضارة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سائرة نحو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التوسع فی کل ما یکون مؤثرة فیها بمرور الزمن، ومما یکون مؤثرة فیها هو معرفة أحوال الرجال أولا، ثم معرفة آثارهم وما قدموه للبشریة من عطاء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ازدادت ضرورة هذه التوسعة فی خصوص مذهب الشیعة الإمامیة من جهة توقف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حد ماعلی ذلک ، والاجتهاد هو المحور الأساسی الذی یدور علیه فقه أهل البیت علیهم السلام، والذی یمثل نقطة التفوق علی سائر المذاهب الفقهیة الأخری، وهو الذی أعطی الفقه الإمامی صبغة الحیویة والمؤونة والمضی مع الزمن، وأما وجه توقف الاجتهاد علی معرفة أحوال الرجال فواضح بعد أن کانت السنة النبویة المبینة من طریق أهل البیت علیهم السلام تشکل مصدر أساسیة لمعرفة الأحکام الإلهیة بعد القرآن، وقد وصلت هذه الستة إلی أیدی العلماء الذین دونوا الأصول والموسوعات الحدیثیة بطرق، وفی هذه الطرق رجال فیهم من یعتمد علیه، وفیهم من لایعتمد علیه، وفیهم المجهول وغیر ذلک، ولما کان الحجة فی الاستدلال هو الحدیث المروی </w:t>
      </w:r>
    </w:p>
    <w:p>
      <w:pPr>
        <w:pStyle w:val="BookText"/>
        <w:rPr/>
      </w:pPr>
      <w:r>
        <w:rPr>
          <w:rFonts w:ascii="IRNazanin" w:hAnsi="IRNazanin" w:eastAsia="IRNazanin"/>
          <w:color w:val="111111"/>
          <w:sz w:val="28"/>
          <w:sz w:val="28"/>
          <w:szCs w:val="28"/>
          <w:rtl w:val="true"/>
          <w:lang w:bidi="fa-IR"/>
        </w:rPr>
        <w:t xml:space="preserve">عنهم علیهم السلام بطریق یعتمد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ثبت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اللازم معرفة الطریق المعتبر عن غیره لتتم الحجة للفقیه فی الاستدلال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هناک فراغ فی الحوزات العلمیة من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دراسة طلبة العلوم الاسلامیة فی مرحلة السطوح لهذا العلم حتی موجزه وکلیاته بحیث یکونون متهیئین لمرحلة السطوح العالیة ودراستها ونقدها قام سماحة الأستاذ المحقق الشیخ السبحانی لسد هذا الفراغ وألف هذا السفر المبارک خدمه للعلم والعلماء فجزاه الله عن الإسلام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قامت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بإعادة طبعه ونشره لیکون فی متناول أیدی رواد العلم والفضیلة سائله الله سبحانه أن یمد فی عمر المؤلف ویوفق الجمیع لنشر تعالیم الدین المبین إنه خیر ناصر ومعین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التابعة لجماعة المدرسین بقم المشرفة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نبیه و آله و علی رواة سنته و حملة أحادیثه و حفظة کلمه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858_19415"/>
      <w:bookmarkStart w:id="8" w:name="pg2858_19415"/>
      <w:bookmarkEnd w:id="8"/>
    </w:p>
    <w:p>
      <w:pPr>
        <w:pStyle w:val="Heading2"/>
        <w:numPr>
          <w:ilvl w:val="1"/>
          <w:numId w:val="1"/>
        </w:numPr>
        <w:rPr/>
      </w:pPr>
      <w:bookmarkStart w:id="9" w:name="pg2858_19415"/>
      <w:bookmarkStart w:id="10" w:name="__RefHeading___Toc2759798_1395250215"/>
      <w:bookmarkStart w:id="11" w:name="_Toc3"/>
      <w:bookmarkEnd w:id="9"/>
      <w:bookmarkEnd w:id="10"/>
      <w:r>
        <w:rPr>
          <w:rtl w:val="true"/>
        </w:rPr>
        <w:t>تصدیر</w:t>
      </w:r>
      <w:bookmarkEnd w:id="11"/>
    </w:p>
    <w:p>
      <w:pPr>
        <w:pStyle w:val="BookText"/>
        <w:rPr/>
      </w:pPr>
      <w:r>
        <w:rPr>
          <w:rFonts w:ascii="IRNazanin" w:hAnsi="IRNazanin" w:eastAsia="IRNazanin"/>
          <w:color w:val="111111"/>
          <w:sz w:val="28"/>
          <w:sz w:val="28"/>
          <w:szCs w:val="28"/>
          <w:rtl w:val="true"/>
          <w:lang w:bidi="fa-IR"/>
        </w:rPr>
        <w:t>لما کانت السنّة المطهّرة الشّاملة لأحادیث رسول اللّه صلی اللّه علیه و آله و عترته الطّاهرة، هی المصدر الرئیسی الثانی من مصادر التشریع الاسلامی، و کان الوقوف علی الأحادیث الشّریفة، و الاستفادة منها تتطلّب التثبّت منها، و التحقّق من صدورها، أو الحصول علی ما یجعلها حجّة علی المکلّفین، لذلک یجب الوقوف علی أحوال الرواة الّذین حملوا إلینا تلک الأحادیث جیلا بعد جیل، منذ عصر الرّسالة و الإمامة، و هذا هو ما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یتعیّن علی کلّ فقیه یرید استنباط الاحکام، و ممارسة عملیّة الاجتهاد، الإلمام به علی نحو یمکنه من تمحیص الأحادیث، و التثبّت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إحساسا باهمیّة هذا العلم فی الدراسات الاسلامیة، طلبت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إدارة الحوزة العلمیة بقم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إلقاء سلسلة منتظمة من المحاضرات علی طلاّب الحوزة العلمیّة المبارکة لتکون مقدّمة لمرحلة التخصّص</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فاستجیبت لهذا الطّلب، و وفّقنا اللّه لإلقاء هذه المحاضرات الّتی تشتمل علی قواعد و کلیّات من هذا العلم، لا غنی للمستنبط عن الوقوف علیها، و قد استخرجناها ذکره أساطین الفنّ فی مقدّمات الکتب الرجالیّة أو خواتیمها، و هم بین موجز فی القول، و مفصّل و مسهب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مساعیهم </w:t>
      </w:r>
    </w:p>
    <w:p>
      <w:pPr>
        <w:pStyle w:val="BookText"/>
        <w:rPr/>
      </w:pPr>
      <w:r>
        <w:rPr>
          <w:rFonts w:ascii="IRNazanin" w:hAnsi="IRNazanin" w:eastAsia="IRNazanin"/>
          <w:color w:val="111111"/>
          <w:sz w:val="28"/>
          <w:sz w:val="28"/>
          <w:szCs w:val="28"/>
          <w:rtl w:val="true"/>
          <w:lang w:bidi="fa-IR"/>
        </w:rPr>
        <w:t xml:space="preserve">الجمیلة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نقتصر علی امّهات المطالب و أهمّ مفاتیح هذا العلم الشریف الّتی یسهل علی الطالب تناولها و فهمها، سائلین من المولی سبحانه التّوفیق لتحصیل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ارتأت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الادارة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بطبع و إخراج هذه المحاضرات تعمیما للفائدة، فکان هذا الکتاب، فحیّا اللّه هذه اللجنة و شکر مساعیها الخالصة، فی خدمة الإسلام، و نرجو من القرّاء الکرام إرسال نظریّاتهم القیّمة حتّی تتکامل هذه المجموعة بإذن اللّه تعالی و تتبع هذه الخطوة العلمّیة المبارکة، خطوات أوسع فی هذا الصعید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العلمیة جعفر السبحانی یوم میلاد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bookmarkStart w:id="12" w:name="pg2858_19417"/>
    </w:p>
    <w:p>
      <w:pPr>
        <w:pStyle w:val="Heading2"/>
        <w:numPr>
          <w:ilvl w:val="1"/>
          <w:numId w:val="1"/>
        </w:numPr>
        <w:rPr/>
      </w:pPr>
      <w:bookmarkStart w:id="13" w:name="__RefHeading___Toc2759800_1395250215"/>
      <w:bookmarkStart w:id="14" w:name="_Toc4"/>
      <w:bookmarkEnd w:id="12"/>
      <w:bookmarkEnd w:id="13"/>
      <w:r>
        <w:rPr>
          <w:rtl w:val="true"/>
        </w:rPr>
        <w:t>الفصل الاول</w:t>
      </w:r>
      <w:bookmarkEnd w:id="14"/>
    </w:p>
    <w:p>
      <w:pPr>
        <w:pStyle w:val="Heading3"/>
        <w:numPr>
          <w:ilvl w:val="2"/>
          <w:numId w:val="1"/>
        </w:numPr>
        <w:rPr/>
      </w:pPr>
      <w:bookmarkStart w:id="15" w:name="__RefHeading___Toc2759802_1395250215"/>
      <w:bookmarkStart w:id="16" w:name="_Toc5"/>
      <w:bookmarkEnd w:id="15"/>
      <w:r>
        <w:rPr>
          <w:rtl w:val="true"/>
        </w:rPr>
        <w:t>اشارة</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المبادیء التصوریة لعلم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الرجال، موضوعه و مسائله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التراجم و 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الدرایة و علم الرجال</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858_19419"/>
      <w:bookmarkStart w:id="18" w:name="pg2858_19419"/>
      <w:bookmarkEnd w:id="18"/>
    </w:p>
    <w:p>
      <w:pPr>
        <w:pStyle w:val="Heading3"/>
        <w:numPr>
          <w:ilvl w:val="2"/>
          <w:numId w:val="1"/>
        </w:numPr>
        <w:rPr/>
      </w:pPr>
      <w:bookmarkStart w:id="19" w:name="pg2858_19419"/>
      <w:bookmarkStart w:id="20" w:name="__RefHeading___Toc2759804_1395250215"/>
      <w:bookmarkStart w:id="21" w:name="_Toc6"/>
      <w:bookmarkEnd w:id="19"/>
      <w:bookmarkEnd w:id="20"/>
      <w:r>
        <w:rPr>
          <w:rtl w:val="true"/>
        </w:rPr>
        <w:t>ما هو علم الرجال ؟</w:t>
      </w:r>
      <w:bookmarkEnd w:id="21"/>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یبحث فیه عن أحوال الرواة من حیث اتّصافهم بشرائط قبول أخبارهم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یبحث فیه عن أحوال رواة الحدیث الّتی لها دخل فی جواز قبول قولهم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یعرّف بأنّه علم وضع لتشخیص رواة الحدیث ذاتا و وصفا، و مدحا و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تشخیص الراوی ذاتا، هو معرفة ذات الشخص و کونه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من التشخیص الوصفی، هو معرفة أوصافه من الوثاقة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مدحا و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لوجوه الوصف، الی غیر ذلک من التعاریف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المطلوب المهمّ فی هذا العلم حسبما یکشف عنه التعریف، هو التعرّف علی أحوال الرواة من حیث کونهم عدولا أو غیر عدول، موثّقین أو غیر موثّقین، ممدوحین أو مذمومین، أو مهملین، أو مجهولین</w:t>
      </w:r>
      <w:r>
        <w:rPr>
          <w:rStyle w:val="FootnoteAnchor"/>
          <w:rtl w:val="true"/>
        </w:rPr>
        <w:footnoteReference w:id="2"/>
      </w:r>
      <w:r>
        <w:rPr>
          <w:rFonts w:ascii="IRNazanin" w:hAnsi="IRNazanin" w:eastAsia="IRNazanin"/>
          <w:color w:val="111111"/>
          <w:sz w:val="28"/>
          <w:sz w:val="28"/>
          <w:szCs w:val="28"/>
          <w:rtl w:val="true"/>
          <w:lang w:bidi="fa-IR"/>
        </w:rPr>
        <w:t xml:space="preserve">و الاطّلاع علی مشایخهم و تلامیذهم و حیاتهم و أعصارهم و طبقاتهم فی الروایة حتی یعرف </w:t>
      </w:r>
      <w:bookmarkStart w:id="22" w:name="pg2858_19420"/>
    </w:p>
    <w:p>
      <w:pPr>
        <w:pStyle w:val="BookText"/>
        <w:rPr/>
      </w:pPr>
      <w:bookmarkEnd w:id="22"/>
      <w:r>
        <w:rPr>
          <w:rFonts w:ascii="IRNazanin" w:hAnsi="IRNazanin" w:eastAsia="IRNazanin"/>
          <w:color w:val="111111"/>
          <w:sz w:val="28"/>
          <w:sz w:val="28"/>
          <w:szCs w:val="28"/>
          <w:rtl w:val="true"/>
          <w:lang w:bidi="fa-IR"/>
        </w:rPr>
        <w:t>المرسل عن المسند و یمیّز المشترک، الی غیر ذلک ممّا یتوقّف علیه قبول الخبر</w:t>
      </w:r>
      <w:r>
        <w:rPr>
          <w:rFonts w:eastAsia="IRNazanin" w:cs="IRNazanin"/>
          <w:color w:val="111111"/>
          <w:sz w:val="28"/>
          <w:szCs w:val="28"/>
          <w:rtl w:val="true"/>
          <w:lang w:bidi="fa-IR"/>
        </w:rPr>
        <w:t>.</w:t>
      </w:r>
    </w:p>
    <w:p>
      <w:pPr>
        <w:pStyle w:val="Heading3"/>
        <w:numPr>
          <w:ilvl w:val="2"/>
          <w:numId w:val="1"/>
        </w:numPr>
        <w:rPr/>
      </w:pPr>
      <w:bookmarkStart w:id="23" w:name="__RefHeading___Toc2759806_1395250215"/>
      <w:bookmarkStart w:id="24" w:name="_Toc7"/>
      <w:bookmarkEnd w:id="23"/>
      <w:r>
        <w:rPr>
          <w:rtl w:val="true"/>
        </w:rPr>
        <w:t>ما هو موضوع علم الرجال ؟</w:t>
      </w:r>
      <w:bookmarkEnd w:id="24"/>
    </w:p>
    <w:p>
      <w:pPr>
        <w:pStyle w:val="BookText"/>
        <w:rPr/>
      </w:pPr>
      <w:r>
        <w:rPr>
          <w:rFonts w:ascii="IRNazanin" w:hAnsi="IRNazanin" w:eastAsia="IRNazanin"/>
          <w:color w:val="111111"/>
          <w:sz w:val="28"/>
          <w:sz w:val="28"/>
          <w:szCs w:val="28"/>
          <w:rtl w:val="true"/>
          <w:lang w:bidi="fa-IR"/>
        </w:rPr>
        <w:t>موضوعه عبارة عن رواة الحدیث الواقعین فی طریقه، فبما أنّ کلّ علم یبحث فیه عن عوارض موضوع معیّن و حالاته الطارئة علیه، ففی المقام یبحث عن أحوال الرواة من حیث دخالتها فی اعتبار قولهم و عدمه، أمّا حالاتهم الاخری الّتی لیست لها دخالة فی قبول قولهم فهو خارج عن هذا العلم، فالبحث فی هذا العلم إنّما هو عن اتّصاف الراوی بکونه ثقة و ضابطا أو عدلا أو غیر ذلک من الأحوال العارضة للموضوع، أمّا الأحوال الاخری ککونه تاجرا أو شاعرا أو غیر ذلک من الأحوال الّتی لا دخالة لها فی قبول حدیثهم فهی خارجة عن هذا العلم</w:t>
      </w:r>
      <w:r>
        <w:rPr>
          <w:rFonts w:eastAsia="IRNazanin" w:cs="IRNazanin"/>
          <w:color w:val="111111"/>
          <w:sz w:val="28"/>
          <w:szCs w:val="28"/>
          <w:rtl w:val="true"/>
          <w:lang w:bidi="fa-IR"/>
        </w:rPr>
        <w:t>.</w:t>
      </w:r>
    </w:p>
    <w:p>
      <w:pPr>
        <w:pStyle w:val="Heading3"/>
        <w:numPr>
          <w:ilvl w:val="2"/>
          <w:numId w:val="1"/>
        </w:numPr>
        <w:rPr/>
      </w:pPr>
      <w:bookmarkStart w:id="25" w:name="__RefHeading___Toc2759808_1395250215"/>
      <w:bookmarkStart w:id="26" w:name="_Toc8"/>
      <w:bookmarkEnd w:id="25"/>
      <w:r>
        <w:rPr>
          <w:rtl w:val="true"/>
        </w:rPr>
        <w:t>ما هو مسائله ؟</w:t>
      </w:r>
      <w:bookmarkEnd w:id="26"/>
    </w:p>
    <w:p>
      <w:pPr>
        <w:pStyle w:val="BookText"/>
        <w:rPr/>
      </w:pPr>
      <w:r>
        <w:rPr>
          <w:rFonts w:ascii="IRNazanin" w:hAnsi="IRNazanin" w:eastAsia="IRNazanin"/>
          <w:color w:val="111111"/>
          <w:sz w:val="28"/>
          <w:sz w:val="28"/>
          <w:szCs w:val="28"/>
          <w:rtl w:val="true"/>
          <w:lang w:bidi="fa-IR"/>
        </w:rPr>
        <w:t>إنّ مسائل علم الرجال هو العلم بأحوال الاشخاص من حیث الوثاقة و غیرها، و عند ذلک یستشکل علی تسمیة ذلک علما، فإنّ مسائل العلم تجب أن تکون کلیّة لا جزئیّة، و اجیب عن هذا الاشکال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التعرّف علی أحوال الراوی کزرارة و محمّد بن مسلم یعطی ضابطة کلیّة للمستنبط بأنّ کلّ ما رواه هذا أو ذاک فهو حجّة، و الشخص مقبول الروایة، کما أنّ التعرّف علی أحوال وهب بن وهب یعطی عکس ذلک، و علی ذلک فیمکن انتزاع قاعدة کلیّة من التعرّف علی أحوال الاشخاص، فکانت المسألة فی هذا العلم تدور 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کلّ ما یرویه زرارة أو محمّد بن مسلم حجّة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کونه ثقة أو ضابطا یعدّ مقدّمة لانتزاع هذه المسألة الکلیّة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الجواب لا یخلو من تکلّف کما هو واضح، لأنّ المسألة الاصلیّة </w:t>
      </w:r>
      <w:bookmarkStart w:id="27" w:name="pg2858_19421"/>
    </w:p>
    <w:p>
      <w:pPr>
        <w:pStyle w:val="BookText"/>
        <w:rPr/>
      </w:pPr>
      <w:bookmarkEnd w:id="27"/>
      <w:r>
        <w:rPr>
          <w:rFonts w:ascii="IRNazanin" w:hAnsi="IRNazanin" w:eastAsia="IRNazanin"/>
          <w:color w:val="111111"/>
          <w:sz w:val="28"/>
          <w:sz w:val="28"/>
          <w:szCs w:val="28"/>
          <w:rtl w:val="true"/>
          <w:lang w:bidi="fa-IR"/>
        </w:rPr>
        <w:t>فی هذا العلم هو وثاقة الراوی المعین و عدمها، لا القاعدة المنتزعة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الموافق للتّحقیق أنّ الالتزام بکون مسائل العلوم مسائل کلیة، التزام بلا جهة، لأنّا نری أنّ مسائل بعض العلوم لیست الا مسائل جزئیّة، و مع ذلک تعدّ من العلوم، کالبحث عن أحوال الموضوعات الواردة فی علمی الهیئة و الجغرافّیة، فإنّ البحث عن أحوال القمر و الشّمس و سائر الکواکب بحوث عن الاعیان الشخصیّة، کما أنّ البحث عن الارض و أحوالها الطبیعیّة و الاقتصادیّة و الأوضاع السیاسیّة الحاکمة علی المناطق منها، أبحاث عن الأحوال العارضة للوجود الشخصیّ، و مع ذلک لا یوجب ذلک خروجهما عن نطاق العلوم، و یقرب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موضوع البحث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مع ذلک فهو من أهمّ المعارف و العلوم، و بذلک یظهر أنّه لا حاجة الی ما التزموا به من لزوم کون مسائل العلوم کلیّة خصوصا العلوم الاعتباریة کالعلوم الأدبیة و الرجال الّتی یکفی فیها کون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کانت أو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طریق الهدف الذی لاجله أسّس العلم الاعتباری</w:t>
      </w:r>
      <w:r>
        <w:rPr>
          <w:rFonts w:eastAsia="IRNazanin" w:cs="IRNazanin"/>
          <w:color w:val="111111"/>
          <w:sz w:val="28"/>
          <w:szCs w:val="28"/>
          <w:rtl w:val="true"/>
          <w:lang w:bidi="fa-IR"/>
        </w:rPr>
        <w:t>.</w:t>
      </w:r>
    </w:p>
    <w:p>
      <w:pPr>
        <w:pStyle w:val="Heading3"/>
        <w:numPr>
          <w:ilvl w:val="2"/>
          <w:numId w:val="1"/>
        </w:numPr>
        <w:rPr/>
      </w:pPr>
      <w:bookmarkStart w:id="28" w:name="__RefHeading___Toc2759810_1395250215"/>
      <w:bookmarkStart w:id="29" w:name="_Toc9"/>
      <w:bookmarkEnd w:id="28"/>
      <w:r>
        <w:rPr>
          <w:rtl w:val="true"/>
        </w:rPr>
        <w:t>علم التراجم و تمایزه عن علم الرجال</w:t>
      </w:r>
      <w:bookmarkEnd w:id="29"/>
    </w:p>
    <w:p>
      <w:pPr>
        <w:pStyle w:val="BookText"/>
        <w:rPr/>
      </w:pPr>
      <w:r>
        <w:rPr>
          <w:rFonts w:ascii="IRNazanin" w:hAnsi="IRNazanin" w:eastAsia="IRNazanin"/>
          <w:color w:val="111111"/>
          <w:sz w:val="28"/>
          <w:sz w:val="28"/>
          <w:szCs w:val="28"/>
          <w:rtl w:val="true"/>
          <w:lang w:bidi="fa-IR"/>
        </w:rPr>
        <w:t>و فی جانب هذا العلم، علم التراجم الّذی یعدّ أخا لعلم الرجال و لیس نفسه، فان علم الرجال یبحث فیه عن أحوال رجال وقعوا فی سند الاحادیث من حیث الوثاقة و غیرها، و أمّا التراجم فهو بحث عن أحوال الشخصیات من العلماء، و غیرهم، سواء کانوا رواة أم لا و بذلک یظهر أن بین العلمین بونا شاسعا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یجتمعان فی مورد، کما اذا کان الراوی عالما مثلا، کالکلینی و الصّدوق، و لکن حیثیّة البحث فیهما مختلفة، فالبحث عن أحوالهما من حیث وقوعهما فی رجال الحدیث و اتّصافهما بما یشترط فی قبول الروایة، غیر البحث عن أحوالهما و بلوغهما شأوا عظیما من العلم و أنّهما مثلا قد ألّفا کتبا </w:t>
      </w:r>
    </w:p>
    <w:p>
      <w:pPr>
        <w:pStyle w:val="BookText"/>
        <w:rPr/>
      </w:pPr>
      <w:r>
        <w:rPr>
          <w:rFonts w:ascii="IRNazanin" w:hAnsi="IRNazanin" w:eastAsia="IRNazanin"/>
          <w:color w:val="111111"/>
          <w:sz w:val="28"/>
          <w:sz w:val="28"/>
          <w:szCs w:val="28"/>
          <w:rtl w:val="true"/>
          <w:lang w:bidi="fa-IR"/>
        </w:rPr>
        <w:t>کثیرة فی مختلف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أدخل القدماء من الرجالیین تراجم خصوص العلماء من علم التراجم فی علم الرجال، من دون أن یفرّقوا بین العلمین حتی إنّ الشیخ منتجب الدین ابن بابویة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ولد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الی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فهرسا فی تراجم الرواة و العلماء المتأخّرین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فی ذلک طریقة من سبقه من علماء الرجال أعنی الشیخ الکشّی و النجاشی و الشیخ الطوسی الذین هم أصحاب الاصول لعلم الرجال و التراجم فی الشیعة، و کذلک فعل الشیخ رشید الدین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بآخره أسماء عدّة من أعلام شعراء الشیعة المخلصین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أدرج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علماء القرن السابع، کما أدرج الشیخ تقی الدین الحسن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العلماء المتأخّرین فی رجاله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 الحال علی ذلک إلی أن استقلّ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کلّ، علما مستقلاّ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الشیخ المحدّث الحرّ العاملی من الشیعة أوّل من قام بالتفکیک بین العلمین فألّف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فی تراجم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بهذا الاسم و الجزء الثانی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المتبحّرین فی ترجمة سائر علماء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الشیخ عام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تألیف ذلک الکتاب عام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بعده توالی التألیف فی التراجم فألّف الشیخ عبد اللّه الأفندی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عام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 مجلّدات الی غیر ذلک من التآلیف القیّمة فی التراجم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الاصفهانی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للمدرّس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الغرض من هذا البحث ایقاف القاریء علی التمییز بین العلمین لاختلاف الاغراض الباعثة الی تدوینهما بصورة علمین متمایزین، و الحیثیّات الراجعة الی الموضوع، المبیّنة لاختلاف الاهداف،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الفرق بین العلمین یمکن بأحد وجوه علی سبیل مانعة الخلوّ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العلمان یتّحدان موضوعا و لکنّ الموضوع فی کلّ واحد یختلف بالحیثّیة، فالشخص بما هو راو و واقع فی سند الحدیث، موضوع لعلم الرجال، و بما أنّ له دورا فی حقل العلم و الاجتماع و الادب و السیاسة و الفنّ و الصناعة، موضوع لعلم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الکلمة العربیّة الّتی من حیث الصحّة و الاعتلال موضوع لعلم الصّرف، و من حیث الاعراب و البناء موضوع لعلم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یکون الموضوع فی علم الرجال هو شخص الراوی و ان لم تکن له شخصیّة اجتماعیة، بخلاف التراجم فإنّ الموضوع فیه، الشخصیات البارزة فی الاجتماع لجهة من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العلمان یتّحدان موضوعا و یختلفان محمولا، فالمحمول فی علم الرجال وثاقة الشخص و ضعفه، و أمّا التعرّف علی طبقته و علی مشایخه و تلامیذه و مقدار روایاته کثرة و قلّة، فمطلوب بالعرض و البحث عنها لأجل الوقوف علی المطلوب بالذّات و هو تمییز الثقة الضابط عن غیره، إذ الوقوف علی طبقة الشخص و الوقوف علی مشایخه و الراوین عنه خیر وسیلة لتمییز المشترکین فی الاسم، و لا یتحقّق التّعرف علی الثقة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الوقوف علی مقدار روایاته و مقایسة ما یرویه مع ما یرویه غیره من حیث اللّفظ و المعنی، سبب للتعرّف علی مکانة الراوی من حیث الضبط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المطلوب فی علم التراجم فهو التعرّف علی أحوال الاشخاص لا من حیث الوثاقة و الضّعف، بل من حیث دورهم فی حقل العلم و الأدب و الفنّ و الصناعة من مجال السیاسة و الاجتماع و تأثیره فی الاحداث و الوقائع الی غیر ذلک مما یطلب من علم التراجم</w:t>
      </w:r>
      <w:r>
        <w:rPr>
          <w:rFonts w:eastAsia="IRNazanin" w:cs="IRNazanin"/>
          <w:color w:val="111111"/>
          <w:sz w:val="28"/>
          <w:szCs w:val="28"/>
          <w:rtl w:val="true"/>
          <w:lang w:bidi="fa-IR"/>
        </w:rPr>
        <w:t xml:space="preserve">. </w:t>
      </w:r>
      <w:bookmarkStart w:id="30" w:name="pg2858_19424"/>
    </w:p>
    <w:p>
      <w:pPr>
        <w:pStyle w:val="BookText"/>
        <w:rPr/>
      </w:pPr>
      <w:bookmarkEnd w:id="3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علم الرجال من العلوم التی أسّسها المسلمون للتعرّف علی رواة آثار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بعده حتی یصحّ الرکون الیها فی مجال العمل و العقیدة، و لو لا لزوم التعرّف علیها فی ذاک المجال لم یؤسّس و لم 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التراجم فهو بما أنّه کان نوعا من علم التاریخ و کان الهدف التعرّف علی الأحداث و الوقائع الجاریة فی المجتمع، کان علما عریقا متقدّما علی الإسلام، موجودا فی الحضارات السابقة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الوجوه الثلاثة نقتدر علی تمییز أحد العلمین عن الاخر</w:t>
      </w:r>
      <w:r>
        <w:rPr>
          <w:rFonts w:eastAsia="IRNazanin" w:cs="IRNazanin"/>
          <w:color w:val="111111"/>
          <w:sz w:val="28"/>
          <w:szCs w:val="28"/>
          <w:rtl w:val="true"/>
          <w:lang w:bidi="fa-IR"/>
        </w:rPr>
        <w:t>.</w:t>
      </w:r>
    </w:p>
    <w:p>
      <w:pPr>
        <w:pStyle w:val="Heading3"/>
        <w:numPr>
          <w:ilvl w:val="2"/>
          <w:numId w:val="1"/>
        </w:numPr>
        <w:rPr/>
      </w:pPr>
      <w:bookmarkStart w:id="31" w:name="__RefHeading___Toc2759812_1395250215"/>
      <w:bookmarkStart w:id="32" w:name="_Toc10"/>
      <w:bookmarkEnd w:id="31"/>
      <w:r>
        <w:rPr>
          <w:rtl w:val="true"/>
        </w:rPr>
        <w:t>الفرق بین علم الرجال و الدرایة</w:t>
      </w:r>
      <w:bookmarkEnd w:id="32"/>
    </w:p>
    <w:p>
      <w:pPr>
        <w:pStyle w:val="BookText"/>
        <w:rPr/>
      </w:pPr>
      <w:r>
        <w:rPr>
          <w:rFonts w:ascii="IRNazanin" w:hAnsi="IRNazanin" w:eastAsia="IRNazanin"/>
          <w:color w:val="111111"/>
          <w:sz w:val="28"/>
          <w:sz w:val="28"/>
          <w:szCs w:val="28"/>
          <w:rtl w:val="true"/>
          <w:lang w:bidi="fa-IR"/>
        </w:rPr>
        <w:t>علم الرجال و الدرایة کوکبان فی سماء الحدیث، و قمران یدوران علی فلک واحد، یتّحدان فی الهدف و الغایة و هو الخدمة للحدیث سندا و متنا، غیر أنّ الرجال یبحث عن سند الحدیث و الدرایة عن متنها، و بذلک یفترق کلّ عن الآخر، افتراق کلّ علم عن العلم الآخر بموضوعاته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الأوّل هو المحدّث، و الغایة، التعرّف علی وثاقته و ضعفه و مدی ضبطه، و موضوع الثانی، هو الحدیث و الغایة، التعرّف علی أقسامها و الطواریء العارضة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یبحث فی علم الدرایة عن مسائل مما لا یمتّ الی الحدیث بصلة مثل البحث عن مشایخ الثقات، و أنّهم ثقات أو لا؟ أو أنّ مشایخ الاجازة تحتاج إلی التّوثیق أو 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عدّ نظائرهما من مسائل علم الرجال، لأنّ مآل البحث فیهما تمییز الثقة عن غیرها عن طریق القاعدتین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البحث عن وثاقة الشخص یتصوّر علی ثلاثة أوجه</w:t>
      </w:r>
      <w:r>
        <w:rPr>
          <w:rFonts w:eastAsia="IRNazanin" w:cs="IRNazanin"/>
          <w:color w:val="111111"/>
          <w:sz w:val="28"/>
          <w:szCs w:val="28"/>
          <w:rtl w:val="true"/>
          <w:lang w:bidi="fa-IR"/>
        </w:rPr>
        <w:t xml:space="preserve">: </w:t>
      </w:r>
      <w:bookmarkStart w:id="33" w:name="pg2858_19425"/>
    </w:p>
    <w:p>
      <w:pPr>
        <w:pStyle w:val="BookText"/>
        <w:rPr/>
      </w:pPr>
      <w:bookmarkEnd w:id="3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عن وثاقة شخص معیّن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عن وثاقة أشخاص معیّنة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مشایخ الأقطاب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 و صفوان بن یحیی و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عن وثاقة عدّة ینطبق علیهم أحد العنوانین المذکورین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من مشایخ الاجازة أو من مشایخ الثقة أو الثقات</w:t>
      </w:r>
      <w:r>
        <w:rPr>
          <w:rFonts w:eastAsia="IRNazanin" w:cs="IRNazanin"/>
          <w:color w:val="111111"/>
          <w:sz w:val="28"/>
          <w:szCs w:val="28"/>
          <w:rtl w:val="true"/>
          <w:lang w:bidi="fa-IR"/>
        </w:rPr>
        <w:t>».</w:t>
      </w:r>
    </w:p>
    <w:p>
      <w:pPr>
        <w:pStyle w:val="Heading3"/>
        <w:numPr>
          <w:ilvl w:val="2"/>
          <w:numId w:val="1"/>
        </w:numPr>
        <w:rPr/>
      </w:pPr>
      <w:bookmarkStart w:id="34" w:name="__RefHeading___Toc2759814_1395250215"/>
      <w:bookmarkStart w:id="35" w:name="_Toc11"/>
      <w:bookmarkEnd w:id="34"/>
      <w:r>
        <w:rPr>
          <w:rtl w:val="true"/>
        </w:rPr>
        <w:t>مدار البحث فی هذه المحاضرات</w:t>
      </w:r>
      <w:bookmarkEnd w:id="35"/>
    </w:p>
    <w:p>
      <w:pPr>
        <w:pStyle w:val="Heading4"/>
        <w:numPr>
          <w:ilvl w:val="3"/>
          <w:numId w:val="1"/>
        </w:numPr>
        <w:rPr/>
      </w:pPr>
      <w:bookmarkStart w:id="36" w:name="__RefHeading___Toc2759816_1395250215"/>
      <w:bookmarkStart w:id="37" w:name="_Toc12"/>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لمّا کان علم الرجال یرکّز البحث علی تمییز الثقة عن غیره، یکون أکثر أبحاثه بحثا صغرویا و أنّه هل الراوی الفلانی ثقة أو لا؟ ضابط أو لا؟ و هذا المنهج من البحث، لا یلیق بالدراسة و إلقاء المحاضرة لکثرتها أوّلا و غنی القاریء عنها بالمراجعة الی الکتب المعدّة لبیان أحوال تلک الصغریات ثانیا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نمط آخر من البحث و هو المحرّک لنا الی إلقاء المحاضرة، و هو البحث عن ضوابط کلیة و قواعد عامّة ینتفع منها المستنبط فی استنباطه و عند مراجعته الی الکتب الرجالیّة، و توجب بصیرة وافرة للعالم الرجالی و هی لا تتجاوز عن عدّة امور نأتی بها واحدا بعد آخر، و قد طرحها الرجالیون فی مقدّمات کتبهم أو مؤخّراتها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858_19427"/>
      <w:bookmarkStart w:id="39" w:name="pg2858_19427"/>
      <w:bookmarkEnd w:id="39"/>
    </w:p>
    <w:p>
      <w:pPr>
        <w:pStyle w:val="Heading4"/>
        <w:numPr>
          <w:ilvl w:val="3"/>
          <w:numId w:val="1"/>
        </w:numPr>
        <w:rPr/>
      </w:pPr>
      <w:bookmarkStart w:id="40" w:name="pg2858_19427"/>
      <w:bookmarkStart w:id="41" w:name="__RefHeading___Toc2759818_1395250215"/>
      <w:bookmarkStart w:id="42" w:name="_Toc13"/>
      <w:bookmarkEnd w:id="40"/>
      <w:bookmarkEnd w:id="41"/>
      <w:r>
        <w:rPr/>
        <w:t>1</w:t>
      </w:r>
      <w:r>
        <w:rPr>
          <w:rtl w:val="true"/>
        </w:rPr>
        <w:t xml:space="preserve"> - </w:t>
      </w:r>
      <w:r>
        <w:rPr>
          <w:rtl w:val="true"/>
        </w:rPr>
        <w:t>أدلّة مثبتی الحاجة الی علم الرجال</w:t>
      </w:r>
      <w:bookmarkEnd w:id="42"/>
    </w:p>
    <w:p>
      <w:pPr>
        <w:pStyle w:val="Heading5"/>
        <w:numPr>
          <w:ilvl w:val="4"/>
          <w:numId w:val="1"/>
        </w:numPr>
        <w:rPr/>
      </w:pPr>
      <w:bookmarkStart w:id="43" w:name="__RefHeading___Toc2759820_1395250215"/>
      <w:bookmarkStart w:id="44" w:name="_Toc14"/>
      <w:bookmarkEnd w:id="43"/>
      <w:r>
        <w:rPr>
          <w:rtl w:val="true"/>
        </w:rPr>
        <w:t>اشارة</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خبر الثقة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بالرجوع الی صفات الراوی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الوضّاعین و المدلّسین و العامی فی الاسانید و بین الرواة</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858_19429"/>
      <w:bookmarkStart w:id="46" w:name="pg2858_19429"/>
      <w:bookmarkEnd w:id="46"/>
    </w:p>
    <w:p>
      <w:pPr>
        <w:pStyle w:val="BookText"/>
        <w:rPr/>
      </w:pPr>
      <w:bookmarkStart w:id="47" w:name="pg2858_19429"/>
      <w:bookmarkEnd w:id="47"/>
      <w:r>
        <w:rPr>
          <w:rFonts w:ascii="IRNazanin" w:hAnsi="IRNazanin" w:eastAsia="IRNazanin"/>
          <w:color w:val="111111"/>
          <w:sz w:val="28"/>
          <w:sz w:val="28"/>
          <w:szCs w:val="28"/>
          <w:rtl w:val="true"/>
          <w:lang w:bidi="fa-IR"/>
        </w:rPr>
        <w:t>الحاجة الی علم الرجال</w:t>
      </w:r>
    </w:p>
    <w:p>
      <w:pPr>
        <w:pStyle w:val="BookText"/>
        <w:rPr/>
      </w:pPr>
      <w:r>
        <w:rPr>
          <w:rFonts w:ascii="IRNazanin" w:hAnsi="IRNazanin" w:eastAsia="IRNazanin"/>
          <w:color w:val="111111"/>
          <w:sz w:val="28"/>
          <w:sz w:val="28"/>
          <w:szCs w:val="28"/>
          <w:rtl w:val="true"/>
          <w:lang w:bidi="fa-IR"/>
        </w:rPr>
        <w:t>لقد طال الحوار حول الحاجة الی علم الرجال و عدمها، فمن قائل بتوقّف الاستنباط علیه و أنّ رحاه یدور علی امور، منها العلم بأحوال الرواة، و لولاه لما تمکّن المستنبط من استخراج کثیر من الاحکام عن أدلّتها، إلی قائل بنفی الحاجة الیه، محتجّا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 أخبار الکتب الأربعة صدورا، إلی ثالث قال بلزوم الحاجة الیه فی غیر ما عمل به المشهور من الروایات، إلی غیر ذلک من الأنظار، و تظهر حقیقة الحال ممّا سیوافیک من أدلّة الأقوال، و الهدف إثبات الحاجة الی ذاک العلم بنحو الایجاب الجزئی، و أنّه مما لا بدّ منه فی استنباط الاحکام فی الجملة، فی مقابل السلب الکلّی الّذی یدّعی قائله بأنّه لا حاجة الیه أبدا،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العلماء علی الحاجة الی علم الرجال بوجوه نذکر أهمّها</w:t>
      </w:r>
      <w:r>
        <w:rPr>
          <w:rFonts w:eastAsia="IRNazanin" w:cs="IRNazanin"/>
          <w:color w:val="111111"/>
          <w:sz w:val="28"/>
          <w:szCs w:val="28"/>
          <w:rtl w:val="true"/>
          <w:lang w:bidi="fa-IR"/>
        </w:rPr>
        <w:t>:</w:t>
      </w:r>
    </w:p>
    <w:p>
      <w:pPr>
        <w:pStyle w:val="Heading5"/>
        <w:numPr>
          <w:ilvl w:val="4"/>
          <w:numId w:val="1"/>
        </w:numPr>
        <w:rPr/>
      </w:pPr>
      <w:bookmarkStart w:id="48" w:name="__RefHeading___Toc2759822_1395250215"/>
      <w:bookmarkStart w:id="49" w:name="_Toc15"/>
      <w:bookmarkEnd w:id="48"/>
      <w:r>
        <w:rPr>
          <w:rtl w:val="true"/>
        </w:rPr>
        <w:t>الاول</w:t>
      </w:r>
      <w:r>
        <w:rPr>
          <w:rtl w:val="true"/>
        </w:rPr>
        <w:t xml:space="preserve">: </w:t>
      </w:r>
      <w:r>
        <w:rPr>
          <w:rtl w:val="true"/>
        </w:rPr>
        <w:t>حجیة قول الثقة</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شکّ أنّ الأدلّة الأربعة دلّت علی حرمة العمل بغیر العلم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تَقْفُ ما لَیْسَ لَکَ بِهِ عِلْمٌ </w:t>
      </w:r>
      <w:r>
        <w:rPr>
          <w:rStyle w:val="FootnoteAnchor"/>
          <w:rtl w:val="true"/>
        </w:rPr>
        <w:footnoteReference w:id="4"/>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الروایات الناهیة عن العمل بغیر العلم فکثیرة لا تحصی، یقف علیها کلّ من راجع الوسائل کتاب القضاء 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 فیری فیها أحادیث کثیرة تمنع من العمل بغیر العلم غیر أنّه قد دلّت الأدلّة الشرعیّة علی حجیّة بعض الظنون، کالظّواهر و خبر الواحد الی غیر ذلک من الظنون المفیدة للاطمئنان فی الموضوعات و الاحکام، و السرّ فی ذلک هو أنّ الکتاب العزیز غیر متکفّل ببیان جمیع الأحکام الفقهیّة،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إنّ الاجماع الکاشف عن قول المعصوم قلیل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ثالثة إنّ العقل قاصر فی أن یستکشف به أحکام اللّه، لعدم احاطته بالجهات الواقعیة الداعیة الی جعل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حجّة فی ما اذا کانت هناک ملازمة بین حکم العقل و الشرع، کما فی ادراکه الملازمة بین وجوب المقدّمة و وجوب ذیها، و وجوب الشّیء و حرمة ضدّه، و الملازمة بین حرمة الشّیء و فساده، الی غیر ذلک من الامور الّتی بحث عنها الاصولیون فی باب الملازمات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الجهات الثّلاث أوجبت کون خبر الواحد بشرائطه الخاصّة حجّة قطعیّة، و عند ذلک صارت الحجج الشرعیّة وافیة باستنباط الأحکام الشرعیة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أنّه لیس مطلق الخبر حجّة، بل الحجّة هو خصوص خبر العدل، کما مال الیه بعض، أو خبر الثقة أعنی من یثق العقلاء بقوله، و من المعلوم أنّ إحراز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الراوی عدلا أو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الی الرجوع الی علم الرجال المتکفل ببیان أحوال الرواة من العدالة و الوثاقة، و عند ذلک </w:t>
      </w:r>
    </w:p>
    <w:p>
      <w:pPr>
        <w:pStyle w:val="BookText"/>
        <w:rPr/>
      </w:pPr>
      <w:r>
        <w:rPr>
          <w:rFonts w:ascii="IRNazanin" w:hAnsi="IRNazanin" w:eastAsia="IRNazanin"/>
          <w:color w:val="111111"/>
          <w:sz w:val="28"/>
          <w:sz w:val="28"/>
          <w:szCs w:val="28"/>
          <w:rtl w:val="true"/>
          <w:lang w:bidi="fa-IR"/>
        </w:rPr>
        <w:t>یقدر المستنبط علی تشخیص الثّقة عن غیره، و الصالح للاستدلال عن غیر الصالح، الی غیر ذلک من الامور الّتی لا یستغنی عنها المستنبط الا بالرجوع الی الکتب المعدّة لبیانها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رأی ثالث یبدو أنه أقوی الاراء فی باب حجّیة الخبر، و هو أنّ الخارج عن تحت الظنون المنهیّة، هو الخبر الموثوق بصدوره و ان لم تحرز وثاقة الراوی، و من المعلوم أنّ إحراز هذا الوصف للخبر، یتوقّف علی جمع أمارات و قرائن تثبت کون الخبر ممّا یوثق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القرائن الدالّة علی کون الخبر موثوق الصدور، هو العلم بأحوال الرواة الواقعة فی اسناد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قول رابع، و هو کون الخارج عن تحت الظّنون الّتی نهی عن العمل بها عبارة عن قول الثّقة المفید للاطمئنان الّذی یعتمد علی مثله العقلاء فی امورهم و معاشهم، و لا شبهة أنّ إحراز هذین الوصفین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الراوی ثقة و الخبر مفیدا للاطمئنان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الا بملاحظة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الوقوف علی أحوال الرواة الواقعة فی طریق الخبر، و لأجل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منتدح لأیّ فقیه بصیر من الرجوع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الوقوف علی أحوال الرواة و خصوصیّاتهم، الی غیر ذلک مما یقف علیه المتتبّع فی ذلک العلم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ذهب هذا القائل إلی الجمع بین الوصفین فی الراوی و المروی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وثاقة الراوی و کون المرویّ مفیدا للاطمئنان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کون الراوی ثقة لا یکفی فی الحجیّة، بل یحتاج مع ذلک إلی إحراز کون الخبر مفیدا للاطمئنان، و لا یتحقّق إلاّ إذا کان الراوی ضابطا للحدیث ناقلا إیّاه حسب ما ألقاه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لا یعرف إلاّ بالمراجعة إلی أحوال الراوی، و من المعلوم أنّ عدم ضابطیّة بعض الرواة مع کونهم ثقات أوجد اضطرابا فی الأحادیث و تعارضا فی الروایات، حیث حذفوا بعض الکلم و الجمل الدخیلة فی فهم الحدیث، أو نقلوه بالمعنی من غیر أن یکون اللّفظ کافیا فی إفادة مراد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یعلم بطلان دلیل نافی الحاجة الی الرجال،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مصیر الأکثر إلی اعتبار الموثّق، بل الحسن، بل الضّعیف المنجبر، ینفی الحاجة الی علم الرجال، لأنّ عملهم یکشف عن عدم الحاجة إلی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یرد علی القول بانحصار الحجّیة فی خبر العدل، و أنّ الرجوع الی کتب الرجال لأجل إحراز الوثاقة بمعنی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بحجّیة الأعمّ من خبر العدل، و قول الثّقة، أو الخبر الموثوق بصدوره أو المجتمع منهما فالرّجوع الی الرجال لأجل تحصیل الوثوق بالصدق أو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التّستری استظهر أنّ مسلک ابن داود فی رجاله و مسلک القدماء هو العمل بالممدوحین و المهملین الّذین لم یردا فیهم تضعیف من الأصحاب، و لأجل ذلک خصّ ابن داود القسم الأوّل من کتابه بالممدوحین و من لم یضعّفهم الأصحاب، بخلاف العلاّمة فإنّه خصّ القسم الأوّل من کتابه بالممدوحین،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الحقیق بالاتّباع و علیه عمل الأصحاب فتری القدماء کما یعملون بالخبر الّذی رواته ممدوحون، یعملون بالخبر الّذی رواته غیر مجروحین، و إنّما یردّون المطعونین، فاستثنی ابن الولید و ابن بابویه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أشخاص، و استثنی المفید من شرائع علیّ بن ابراهیم حدیثا واحدا فی تحریم لحم البعیر، و هذا یدلّ علی أنّ الکتب الّتی لم یطعنوا فی طرقها و لم یستثنوا منها شیئا کان معتبرا عندهم، و رواتها مقبولو الروایة، إن لم یکونوا مطعونین من أئمّة الرجال و لا قرینة، و إلاّ فتقبل</w:t>
      </w:r>
      <w:r>
        <w:rPr>
          <w:rStyle w:val="FootnoteAnchor"/>
          <w:rtl w:val="true"/>
        </w:rPr>
        <w:footnoteReference w:id="6"/>
      </w:r>
      <w:r>
        <w:rPr>
          <w:rFonts w:ascii="IRNazanin" w:hAnsi="IRNazanin" w:eastAsia="IRNazanin"/>
          <w:color w:val="111111"/>
          <w:sz w:val="28"/>
          <w:sz w:val="28"/>
          <w:szCs w:val="28"/>
          <w:rtl w:val="true"/>
          <w:lang w:bidi="fa-IR"/>
        </w:rPr>
        <w:t>مع الطعن ثم ذکر عدّة شواهد علی ذلک فمن أراد فلیلاحظ</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صحّة ما استنتج، فالحاجة الی علم الرّجال فی معرفة الممدوحین و المهملین و المطعونین قائمة بحالها</w:t>
      </w:r>
      <w:r>
        <w:rPr>
          <w:rFonts w:eastAsia="IRNazanin" w:cs="IRNazanin"/>
          <w:color w:val="111111"/>
          <w:sz w:val="28"/>
          <w:szCs w:val="28"/>
          <w:rtl w:val="true"/>
          <w:lang w:bidi="fa-IR"/>
        </w:rPr>
        <w:t xml:space="preserve">. </w:t>
      </w:r>
      <w:bookmarkStart w:id="50" w:name="pg2858_19433"/>
    </w:p>
    <w:p>
      <w:pPr>
        <w:pStyle w:val="BookText"/>
        <w:rPr/>
      </w:pPr>
      <w:bookmarkEnd w:id="50"/>
      <w:r>
        <w:rPr>
          <w:rFonts w:ascii="IRNazanin" w:hAnsi="IRNazanin" w:eastAsia="IRNazanin"/>
          <w:color w:val="111111"/>
          <w:sz w:val="28"/>
          <w:sz w:val="28"/>
          <w:szCs w:val="28"/>
          <w:rtl w:val="true"/>
          <w:lang w:bidi="fa-IR"/>
        </w:rPr>
        <w:t>هذا هو الوجه الأوّل للزوم المراجعة الی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الیک الوجوه الباقیة</w:t>
      </w:r>
      <w:r>
        <w:rPr>
          <w:rFonts w:eastAsia="IRNazanin" w:cs="IRNazanin"/>
          <w:color w:val="111111"/>
          <w:sz w:val="28"/>
          <w:szCs w:val="28"/>
          <w:rtl w:val="true"/>
          <w:lang w:bidi="fa-IR"/>
        </w:rPr>
        <w:t>.</w:t>
      </w:r>
    </w:p>
    <w:p>
      <w:pPr>
        <w:pStyle w:val="Heading5"/>
        <w:numPr>
          <w:ilvl w:val="4"/>
          <w:numId w:val="1"/>
        </w:numPr>
        <w:rPr/>
      </w:pPr>
      <w:bookmarkStart w:id="51" w:name="__RefHeading___Toc2759824_1395250215"/>
      <w:bookmarkStart w:id="52" w:name="_Toc16"/>
      <w:bookmarkEnd w:id="51"/>
      <w:r>
        <w:rPr>
          <w:rtl w:val="true"/>
        </w:rPr>
        <w:t>الثانی</w:t>
      </w:r>
      <w:r>
        <w:rPr>
          <w:rtl w:val="true"/>
        </w:rPr>
        <w:t xml:space="preserve">: </w:t>
      </w:r>
      <w:r>
        <w:rPr>
          <w:rtl w:val="true"/>
        </w:rPr>
        <w:t>الرجوع الی صفات الرّاوی فی الأخبار العلاجیّة</w:t>
      </w:r>
      <w:bookmarkEnd w:id="52"/>
    </w:p>
    <w:p>
      <w:pPr>
        <w:pStyle w:val="BookText"/>
        <w:rPr/>
      </w:pPr>
      <w:r>
        <w:rPr>
          <w:rFonts w:ascii="IRNazanin" w:hAnsi="IRNazanin" w:eastAsia="IRNazanin"/>
          <w:color w:val="111111"/>
          <w:sz w:val="28"/>
          <w:sz w:val="28"/>
          <w:szCs w:val="28"/>
          <w:rtl w:val="true"/>
          <w:lang w:bidi="fa-IR"/>
        </w:rPr>
        <w:t>إنّ الأخبار العلاجیّة تأمر بالرّجوع إلی صفات الرّاوی من الأعدلیّة و الأفقهیّة، حتّی یرتفع التعارض بین الخبرین بترجیح أحدهما علی الآخر فی ضوء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إحراز هذه الصفات فی الرّواة لا یحصل إلاّ بالمراجعة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سؤال عمر بن حنظلة عن اختلاف القضاة فی الحکم مع استناد اختلافهما الی الاختلاف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الی ما یحکم به الآخر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الحدیث و إن کان واردا فی صفات القاضی، غیر أنّ القضاة فی ذلک الوقت کانوا رواة أیضا، و بما أنّ الاجتهاد کان فی ذلک الزّمن قلیل المؤنة، بسیط الحقیقة، لم یکن هناک فرق بین الاستنباط و نقل الحدیث إلاّ قلیلا، و لأجل ذلک تعدّی الفقهاء من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أنّ الروایات العلاجیّة غیر منحصرة بمقبولة عمر بن حنظلة، بل هناک روایات اخر تأمر بترجیح أحد الخبرین علی الآخر بصفات الراوی أیضا، یقف علیها من راجع الباب التاسع من أبواب صفات القاضی من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کتاب القضاء</w:t>
      </w:r>
      <w:r>
        <w:rPr>
          <w:rFonts w:eastAsia="IRNazanin" w:cs="IRNazanin"/>
          <w:color w:val="111111"/>
          <w:sz w:val="28"/>
          <w:szCs w:val="28"/>
          <w:rtl w:val="true"/>
          <w:lang w:bidi="fa-IR"/>
        </w:rPr>
        <w:t>).</w:t>
      </w:r>
    </w:p>
    <w:p>
      <w:pPr>
        <w:pStyle w:val="Heading5"/>
        <w:numPr>
          <w:ilvl w:val="4"/>
          <w:numId w:val="1"/>
        </w:numPr>
        <w:rPr/>
      </w:pPr>
      <w:bookmarkStart w:id="53" w:name="__RefHeading___Toc2759826_1395250215"/>
      <w:bookmarkStart w:id="54" w:name="_Toc17"/>
      <w:bookmarkEnd w:id="53"/>
      <w:r>
        <w:rPr>
          <w:rtl w:val="true"/>
        </w:rPr>
        <w:t>الثالث</w:t>
      </w:r>
      <w:r>
        <w:rPr>
          <w:rtl w:val="true"/>
        </w:rPr>
        <w:t xml:space="preserve">: </w:t>
      </w:r>
      <w:r>
        <w:rPr>
          <w:rtl w:val="true"/>
        </w:rPr>
        <w:t>وجود الوضّاعین و المدلّسین فی الرواة</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راجع أحوال الرواة یقف علی وجود الوضّاعین و المدلّسین </w:t>
      </w:r>
    </w:p>
    <w:p>
      <w:pPr>
        <w:pStyle w:val="BookText"/>
        <w:rPr/>
      </w:pPr>
      <w:r>
        <w:rPr>
          <w:rFonts w:ascii="IRNazanin" w:hAnsi="IRNazanin" w:eastAsia="IRNazanin"/>
          <w:color w:val="111111"/>
          <w:sz w:val="28"/>
          <w:sz w:val="28"/>
          <w:szCs w:val="28"/>
          <w:rtl w:val="true"/>
          <w:lang w:bidi="fa-IR"/>
        </w:rPr>
        <w:t>و المتعمّدین للکذب علی اللّه و رسوله فیهم، و مع هذا کیف یصحّ للمجتهد الافتاء بمجرّد الوقوف علی الخبر من دون التعرّف قبل ذلک علی الراوی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المغیرة بن سعید، دسّ فی کتب أصحاب أبی أحادیث لم یحدّث بها أبی، فاتّقوا اللّه و لا تقبلوا علینا ما خالف قول ربّنا و سنّة نبیّنا محمّد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صادقون لا نخلو من کذّاب یکذب علینا فیسقط صدقنا بکذبه علینا عند الناس</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وافیت العراق فوجدت جماعة من أصحاب أبی جعفر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متوافرین، فسمعت منهم، و أخذت کتبهم، و عرضتها من بعد علی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منها أحادیث کثیرة أن تکون من أصحاب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کذب علی أبی عبد اللّه، لعن اللّه أبا الخطّاب و کذلک أصحاب أبی الخطّاب، یدسّون من هذه الأحادیث إلی یومنا هذا فی کتب أصحاب أبی عبد اللّه فلا تقبلوا علینا خلاف القرآن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الاستدلال بهذه الرّوایات علی فرض تواترها أو استفاضتها سهل، و لعلّ المراجع المتتبّع یقف علی مدی استفاضتها و تواترها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الاستدلال بها یتمّ و إن لم تثبت بإحدی الصّورتین أیضا، بل یکفی کونها أخبار آحاد مردّدة بین کونها صحیحة أو مکذوبة، فلو کانت صحیحة، لصارت حجّة علی المقصود و هو وجود روایات مفتعلة علی لسان النّبیّ الأعظم </w:t>
      </w:r>
    </w:p>
    <w:p>
      <w:pPr>
        <w:pStyle w:val="BookText"/>
        <w:rPr/>
      </w:pPr>
      <w:r>
        <w:rPr>
          <w:rFonts w:ascii="IRNazanin" w:hAnsi="IRNazanin" w:eastAsia="IRNazanin"/>
          <w:color w:val="111111"/>
          <w:sz w:val="28"/>
          <w:sz w:val="28"/>
          <w:szCs w:val="28"/>
          <w:rtl w:val="true"/>
          <w:lang w:bidi="fa-IR"/>
        </w:rPr>
        <w:t>و آله الأکرمین، و إن کانت مکذوبة و باطلة، فیثبت المدّعی أیضا بنفس وجود تلک الروایات المصنوعة فی الکتب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الرّوایات ممّا تثبت بها المدّعی علی کلّ تقدیر سواء أصحّت أم لا تصحّ، و هذا من لطائف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هذا التخلیط من المدلّسین، أمر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الأحادیث علی الکتاب و السنّة، و أنّ کلّ حدیث لا یوافق کتاب اللّه و لا سنّة نبیّه یضرب به عرض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تواترت الروایات علی الترجیح بموافقة الکتاب و السنّة، یقف علیها القاریء اذا راجع الباب التاسع من أبواب صفات القاضی من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یوقفک علی حقیقة الحال ما ذکره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الطّائفة میّزت الرجال الناقلة لهذه الأخبار، فوثّقت الثّقات منهم و ضعّفت الضعفاء، و فرّقوا بین من یعتمد علی حدیثه و روایته و من لا یعتمد علی خبره، و مدحوا الممدوح منهم و ذمّوا المذموم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متّهم فی حدیثه، و فلان کذّاب، و فلان مخلّط، و فلان مخالف فی المذهب و الاعتقاد، و فلان واقفیّ و فلان فطحیّ، و غیر ذلک من الطّعون الّتی ذکروها و صنّفوا فی ذلک الکتب و استثنوا الرجال من جملة ما رووه من التصانیف فی فهارستهم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تنصّ علی وجود المدلّسین و الوضّاعین و المخلّطین بین رواة الشیعة، فکیف یمکن القول بحجّیة کلّ ما فی الکتب الأربعة أو غیرها من دون تمییز بین الثّقة و غیره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ربّما یقال من أنّ أئمّة الحدیث، قد استخرجوا أحادیث الکتب </w:t>
      </w:r>
      <w:bookmarkStart w:id="55" w:name="pg2858_19436"/>
    </w:p>
    <w:p>
      <w:pPr>
        <w:pStyle w:val="BookText"/>
        <w:rPr/>
      </w:pPr>
      <w:bookmarkEnd w:id="55"/>
      <w:r>
        <w:rPr>
          <w:rFonts w:ascii="IRNazanin" w:hAnsi="IRNazanin" w:eastAsia="IRNazanin"/>
          <w:color w:val="111111"/>
          <w:sz w:val="28"/>
          <w:sz w:val="28"/>
          <w:szCs w:val="28"/>
          <w:rtl w:val="true"/>
          <w:lang w:bidi="fa-IR"/>
        </w:rPr>
        <w:t>الاربعة من الاصول و الجوامع الأوّلیة بعد تهذیبها عن هؤلاء الأشخاص، و إن کان صحیحا فی الجملة، و لکن قصاری جهدهم أنّه حصلت للمشایخ الثلاثة و حضرت عندهم قرائن تفید الاطمئنان علی صدور ما رووه فی کتبهم الأربعة أو الثّلاثة</w:t>
      </w:r>
      <w:r>
        <w:rPr>
          <w:rStyle w:val="FootnoteAnchor"/>
          <w:rtl w:val="true"/>
        </w:rPr>
        <w:footnoteReference w:id="13"/>
      </w:r>
      <w:r>
        <w:rPr>
          <w:rFonts w:ascii="IRNazanin" w:hAnsi="IRNazanin" w:eastAsia="IRNazanin"/>
          <w:color w:val="111111"/>
          <w:sz w:val="28"/>
          <w:sz w:val="28"/>
          <w:szCs w:val="28"/>
          <w:rtl w:val="true"/>
          <w:lang w:bidi="fa-IR"/>
        </w:rPr>
        <w:t>عن الأئمة، و لکن من أین نعلم أنّه لو حصلت عندنا تلک القرائن الحاصلة عندهم، لحصل لنا الاطمئنان أیضا مثل ما حصل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أنّ ادّعاء حصول الاطمئنان للمشایخ فی مجموع ما رووه بعید جدّا، لأنّهم رووا ما نقطع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ادّعاء حصول الوثوق و الاطمئنان للمشایخ بصدور عامّة الروایات حتی المتعارضین أمر لا یقبله الذّوق السّلیم</w:t>
      </w:r>
      <w:r>
        <w:rPr>
          <w:rFonts w:eastAsia="IRNazanin" w:cs="IRNazanin"/>
          <w:color w:val="111111"/>
          <w:sz w:val="28"/>
          <w:szCs w:val="28"/>
          <w:rtl w:val="true"/>
          <w:lang w:bidi="fa-IR"/>
        </w:rPr>
        <w:t>.</w:t>
      </w:r>
    </w:p>
    <w:p>
      <w:pPr>
        <w:pStyle w:val="Heading5"/>
        <w:numPr>
          <w:ilvl w:val="4"/>
          <w:numId w:val="1"/>
        </w:numPr>
        <w:rPr/>
      </w:pPr>
      <w:bookmarkStart w:id="56" w:name="__RefHeading___Toc2759828_1395250215"/>
      <w:bookmarkStart w:id="57" w:name="_Toc18"/>
      <w:bookmarkEnd w:id="56"/>
      <w:r>
        <w:rPr>
          <w:rtl w:val="true"/>
        </w:rPr>
        <w:t>الرابع</w:t>
      </w:r>
      <w:r>
        <w:rPr>
          <w:rtl w:val="true"/>
        </w:rPr>
        <w:t xml:space="preserve">: </w:t>
      </w:r>
      <w:r>
        <w:rPr>
          <w:rtl w:val="true"/>
        </w:rPr>
        <w:t>وجود العامی فی أسانید الروایات</w:t>
      </w:r>
      <w:bookmarkEnd w:id="57"/>
    </w:p>
    <w:p>
      <w:pPr>
        <w:pStyle w:val="BookText"/>
        <w:rPr/>
      </w:pPr>
      <w:r>
        <w:rPr>
          <w:rFonts w:ascii="IRNazanin" w:hAnsi="IRNazanin" w:eastAsia="IRNazanin"/>
          <w:color w:val="111111"/>
          <w:sz w:val="28"/>
          <w:sz w:val="28"/>
          <w:szCs w:val="28"/>
          <w:rtl w:val="true"/>
          <w:lang w:bidi="fa-IR"/>
        </w:rPr>
        <w:t xml:space="preserve">إنّ من سبر روایات الکتب الأربعة و غیرها، یقف علی وجود العامی فی أسانید الروایات، و کثیر منهم قد وقعوا فی ذیل السند، و کان الأئمة یفتون لهم بما هو معروف بین أئمّتهم، و قد روی أئمّة الحدیث تلک الأسئلة و الأجوبة، من دون أن یشیروا إلی کون الراوی عامیا یقتفی أثر أئمّته و أنّ الفتوی التی سمعها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منه تقیة، و عندئذ فالرجوع الی أحوال الرواة یوجب تمییز الخبر الصادر تقیة عن غیره</w:t>
      </w:r>
      <w:r>
        <w:rPr>
          <w:rFonts w:eastAsia="IRNazanin" w:cs="IRNazanin"/>
          <w:color w:val="111111"/>
          <w:sz w:val="28"/>
          <w:szCs w:val="28"/>
          <w:rtl w:val="true"/>
          <w:lang w:bidi="fa-IR"/>
        </w:rPr>
        <w:t>.</w:t>
      </w:r>
    </w:p>
    <w:p>
      <w:pPr>
        <w:pStyle w:val="Heading5"/>
        <w:numPr>
          <w:ilvl w:val="4"/>
          <w:numId w:val="1"/>
        </w:numPr>
        <w:rPr/>
      </w:pPr>
      <w:bookmarkStart w:id="58" w:name="__RefHeading___Toc2759830_1395250215"/>
      <w:bookmarkStart w:id="59" w:name="_Toc19"/>
      <w:bookmarkEnd w:id="58"/>
      <w:r>
        <w:rPr>
          <w:rtl w:val="true"/>
        </w:rPr>
        <w:t>الخامس</w:t>
      </w:r>
      <w:r>
        <w:rPr>
          <w:rtl w:val="true"/>
        </w:rPr>
        <w:t xml:space="preserve">: </w:t>
      </w:r>
      <w:r>
        <w:rPr>
          <w:rtl w:val="true"/>
        </w:rPr>
        <w:t>اجماع العلماء</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علماء الامامیّة، بل فرق المسلمین جمیعا فی الأعصار السابقة، علی العنایة بتألیف هذا العلم و تدوینه من عصر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p>
    <w:p>
      <w:pPr>
        <w:pStyle w:val="BookText"/>
        <w:rPr/>
      </w:pPr>
      <w:r>
        <w:rPr>
          <w:rFonts w:ascii="IRNazanin" w:hAnsi="IRNazanin" w:eastAsia="IRNazanin"/>
          <w:color w:val="111111"/>
          <w:sz w:val="28"/>
          <w:sz w:val="28"/>
          <w:szCs w:val="28"/>
          <w:rtl w:val="true"/>
          <w:lang w:bidi="fa-IR"/>
        </w:rPr>
        <w:t>یومنا هذا، و لو لا دخالته فی استنباط الحکم الإلهی، لما کان لهذه العنایة وجه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التزام الفقهاء و المجتهدین، بل المحدّثین فی عامّة العصور، بنقل أسانید الروایات، و البحث عن أوصاف الرواة من حیث العدالة و الوثاقة، و الدّقة و الضبط، یدلّ علی أنّ معرفة رجال الروایات من دعائم الاجتهاد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858_19439"/>
      <w:bookmarkStart w:id="61" w:name="pg2858_19439"/>
      <w:bookmarkEnd w:id="61"/>
    </w:p>
    <w:p>
      <w:pPr>
        <w:pStyle w:val="Heading4"/>
        <w:numPr>
          <w:ilvl w:val="3"/>
          <w:numId w:val="1"/>
        </w:numPr>
        <w:rPr/>
      </w:pPr>
      <w:bookmarkStart w:id="62" w:name="pg2858_19439"/>
      <w:bookmarkStart w:id="63" w:name="__RefHeading___Toc2759832_1395250215"/>
      <w:bookmarkStart w:id="64" w:name="_Toc20"/>
      <w:bookmarkEnd w:id="62"/>
      <w:bookmarkEnd w:id="63"/>
      <w:r>
        <w:rPr/>
        <w:t>2</w:t>
      </w:r>
      <w:r>
        <w:rPr>
          <w:rtl w:val="true"/>
        </w:rPr>
        <w:t xml:space="preserve"> - </w:t>
      </w:r>
      <w:r>
        <w:rPr>
          <w:rtl w:val="true"/>
        </w:rPr>
        <w:t>أدلة نفاة الحاجة الی علم الرجال</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أخبار الکتب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المشهور جابر لضعف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طریق الی اثبات عدالة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تفضیح الناس بهذا العلم و عدم اجتماع شرائط الشهادة</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2858_19441"/>
      <w:bookmarkStart w:id="66" w:name="pg2858_19441"/>
      <w:bookmarkEnd w:id="66"/>
    </w:p>
    <w:p>
      <w:pPr>
        <w:pStyle w:val="Heading2"/>
        <w:numPr>
          <w:ilvl w:val="1"/>
          <w:numId w:val="1"/>
        </w:numPr>
        <w:rPr/>
      </w:pPr>
      <w:bookmarkStart w:id="67" w:name="pg2858_19441"/>
      <w:bookmarkStart w:id="68" w:name="__RefHeading___Toc2759834_1395250215"/>
      <w:bookmarkStart w:id="69" w:name="_Toc21"/>
      <w:bookmarkEnd w:id="67"/>
      <w:bookmarkEnd w:id="68"/>
      <w:r>
        <w:rPr>
          <w:rtl w:val="true"/>
        </w:rPr>
        <w:t>الفصل الثانی</w:t>
      </w:r>
      <w:r>
        <w:rPr>
          <w:rtl w:val="true"/>
        </w:rPr>
        <w:t xml:space="preserve">: </w:t>
      </w:r>
      <w:r>
        <w:rPr>
          <w:rtl w:val="true"/>
        </w:rPr>
        <w:t>الحاجة الی علم الرجال</w:t>
      </w:r>
      <w:bookmarkEnd w:id="69"/>
    </w:p>
    <w:p>
      <w:pPr>
        <w:pStyle w:val="Heading3"/>
        <w:numPr>
          <w:ilvl w:val="2"/>
          <w:numId w:val="1"/>
        </w:numPr>
        <w:rPr/>
      </w:pPr>
      <w:bookmarkStart w:id="70" w:name="__RefHeading___Toc2759836_1395250215"/>
      <w:bookmarkStart w:id="71" w:name="_Toc22"/>
      <w:bookmarkEnd w:id="70"/>
      <w:r>
        <w:rPr>
          <w:rtl w:val="true"/>
        </w:rPr>
        <w:t>اشارة</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أدلّة المثبتین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أدلّة النافین</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2858_19443"/>
      <w:bookmarkStart w:id="73" w:name="pg2858_19443"/>
      <w:bookmarkEnd w:id="73"/>
    </w:p>
    <w:p>
      <w:pPr>
        <w:pStyle w:val="BookText"/>
        <w:rPr/>
      </w:pPr>
      <w:bookmarkStart w:id="74" w:name="pg2858_19443"/>
      <w:bookmarkEnd w:id="74"/>
      <w:r>
        <w:rPr>
          <w:rFonts w:ascii="IRNazanin" w:hAnsi="IRNazanin" w:eastAsia="IRNazanin"/>
          <w:color w:val="111111"/>
          <w:sz w:val="28"/>
          <w:sz w:val="28"/>
          <w:szCs w:val="28"/>
          <w:rtl w:val="true"/>
          <w:lang w:bidi="fa-IR"/>
        </w:rPr>
        <w:t>حجة النافین للحاجة الی علم الرجال</w:t>
      </w:r>
    </w:p>
    <w:p>
      <w:pPr>
        <w:pStyle w:val="BookText"/>
        <w:rPr/>
      </w:pPr>
      <w:r>
        <w:rPr>
          <w:rFonts w:ascii="IRNazanin" w:hAnsi="IRNazanin" w:eastAsia="IRNazanin"/>
          <w:color w:val="111111"/>
          <w:sz w:val="28"/>
          <w:sz w:val="28"/>
          <w:szCs w:val="28"/>
          <w:rtl w:val="true"/>
          <w:lang w:bidi="fa-IR"/>
        </w:rPr>
        <w:t>قد عرفت أدلة القائلین بوجود الحاجة الی علم الرجال فی استنباط الاحکام 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أدلة النافین، و الیک بیان المهم منها</w:t>
      </w:r>
      <w:r>
        <w:rPr>
          <w:rFonts w:eastAsia="IRNazanin" w:cs="IRNazanin"/>
          <w:color w:val="111111"/>
          <w:sz w:val="28"/>
          <w:szCs w:val="28"/>
          <w:rtl w:val="true"/>
          <w:lang w:bidi="fa-IR"/>
        </w:rPr>
        <w:t>:</w:t>
      </w:r>
    </w:p>
    <w:p>
      <w:pPr>
        <w:pStyle w:val="Heading3"/>
        <w:numPr>
          <w:ilvl w:val="2"/>
          <w:numId w:val="1"/>
        </w:numPr>
        <w:rPr/>
      </w:pPr>
      <w:bookmarkStart w:id="75" w:name="__RefHeading___Toc2759838_1395250215"/>
      <w:bookmarkStart w:id="76" w:name="_Toc23"/>
      <w:bookmarkEnd w:id="75"/>
      <w:r>
        <w:rPr>
          <w:rtl w:val="true"/>
        </w:rPr>
        <w:t>الاول</w:t>
      </w:r>
      <w:r>
        <w:rPr>
          <w:rtl w:val="true"/>
        </w:rPr>
        <w:t xml:space="preserve">: </w:t>
      </w:r>
      <w:r>
        <w:rPr>
          <w:rtl w:val="true"/>
        </w:rPr>
        <w:t>قطعیة روایات الکتب الأربعة</w:t>
      </w:r>
      <w:bookmarkEnd w:id="76"/>
    </w:p>
    <w:p>
      <w:pPr>
        <w:pStyle w:val="BookText"/>
        <w:rPr/>
      </w:pPr>
      <w:r>
        <w:rPr>
          <w:rFonts w:ascii="IRNazanin" w:hAnsi="IRNazanin" w:eastAsia="IRNazanin"/>
          <w:color w:val="111111"/>
          <w:sz w:val="28"/>
          <w:sz w:val="28"/>
          <w:szCs w:val="28"/>
          <w:rtl w:val="true"/>
          <w:lang w:bidi="fa-IR"/>
        </w:rPr>
        <w:t xml:space="preserve">ذهبت الأخباریة إلی القول بقطعیّة روایات الکتب الأربعة و أنّ أحادیثها مقطوعة الصّدور عن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فالبحث عن حال الرّاوی من حیث الوثاقة و عدمها، لأجل طلب الاطمئنان بالصدور، و المفروض أنّها مقطوعة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دعوی بلا دلیل، اذ کیف یمکن ادّعاء القطعیّة لأخبارها، مع أنّ مؤلّفیها لم یدّعوا ذلک، و أقصی ما یمکن أن ینسب الیهم أنّهم ادّعوا صحة الأخبار المودعة فیها، و هی غیر کونها متواترة أو قطعیّة، و المراد من الصحّة اقترانها بقرائن تفید الاطمئنان بصدورها عن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الحکم بالصحّة فی جواز العمل بأخبارها بلا تفحّص أو لا، سنعقد فصلا خاصّا للبحث فی ذلک المجال، فتربّص حتی حین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الی ذلک أنّ أدلّة الأحکام الشرعیّة لا تختصّ بالکتب الأربعة، و لأجل ذلک لا مناص عن الاستفسار عن أحوال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فی الوسائل </w:t>
      </w:r>
      <w:bookmarkStart w:id="77" w:name="pg2858_19444"/>
    </w:p>
    <w:p>
      <w:pPr>
        <w:pStyle w:val="BookText"/>
        <w:rPr/>
      </w:pPr>
      <w:bookmarkEnd w:id="77"/>
      <w:r>
        <w:rPr>
          <w:rFonts w:ascii="IRNazanin" w:hAnsi="IRNazanin" w:eastAsia="IRNazanin"/>
          <w:color w:val="111111"/>
          <w:sz w:val="28"/>
          <w:sz w:val="28"/>
          <w:szCs w:val="28"/>
          <w:rtl w:val="true"/>
          <w:lang w:bidi="fa-IR"/>
        </w:rPr>
        <w:t xml:space="preserve">عن سبعین کتابا، أحادیث غیر موجودة فی الکتب الأربعة و قد وقف المتأخّرون علی اصول و کتب لم تصل الیه ید صاحب الوسائل أیضا، فلأجل ذلک قام المحدّث النوری بتألیف کتاب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الأحادیث ما لا غنی عنها للمستنبط</w:t>
      </w:r>
      <w:r>
        <w:rPr>
          <w:rFonts w:eastAsia="IRNazanin" w:cs="IRNazanin"/>
          <w:color w:val="111111"/>
          <w:sz w:val="28"/>
          <w:szCs w:val="28"/>
          <w:rtl w:val="true"/>
          <w:lang w:bidi="fa-IR"/>
        </w:rPr>
        <w:t>.</w:t>
      </w:r>
    </w:p>
    <w:p>
      <w:pPr>
        <w:pStyle w:val="Heading3"/>
        <w:numPr>
          <w:ilvl w:val="2"/>
          <w:numId w:val="1"/>
        </w:numPr>
        <w:rPr/>
      </w:pPr>
      <w:bookmarkStart w:id="78" w:name="__RefHeading___Toc2759840_1395250215"/>
      <w:bookmarkStart w:id="79" w:name="_Toc24"/>
      <w:bookmarkEnd w:id="78"/>
      <w:r>
        <w:rPr>
          <w:rtl w:val="true"/>
        </w:rPr>
        <w:t>الثانی</w:t>
      </w:r>
      <w:r>
        <w:rPr>
          <w:rtl w:val="true"/>
        </w:rPr>
        <w:t xml:space="preserve">: </w:t>
      </w:r>
      <w:r>
        <w:rPr>
          <w:rtl w:val="true"/>
        </w:rPr>
        <w:t>عمل المشهور جابر لضعف السند</w:t>
      </w:r>
      <w:bookmarkEnd w:id="79"/>
    </w:p>
    <w:p>
      <w:pPr>
        <w:pStyle w:val="BookText"/>
        <w:rPr/>
      </w:pPr>
      <w:r>
        <w:rPr>
          <w:rFonts w:ascii="IRNazanin" w:hAnsi="IRNazanin" w:eastAsia="IRNazanin"/>
          <w:color w:val="111111"/>
          <w:sz w:val="28"/>
          <w:sz w:val="28"/>
          <w:szCs w:val="28"/>
          <w:rtl w:val="true"/>
          <w:lang w:bidi="fa-IR"/>
        </w:rPr>
        <w:t>ذهب بعضهم إلی أنّ کلّ خبر عمل به المشهور فهو حجة سواء کان الراوی ثقة أو لا، و کلّ خبر لم یعمل به المشهور لیس بحجّة و إن کانت رواتها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المشهور فی کلّ المسائل أمر مشکل، لأنّ بعض المسائل غیر معنونة فی کتبهم، و جملة اخری منها لا شهرة فیها، و قسم منها یعدّ من الأشهر و المشهور، و لأجل ذلک لا مناص من القول بحجّیة قول الثقات وحده و إن لم یکن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لا یکون معرضا عنه کما حقّق فی محلّه</w:t>
      </w:r>
      <w:r>
        <w:rPr>
          <w:rFonts w:eastAsia="IRNazanin" w:cs="IRNazanin"/>
          <w:color w:val="111111"/>
          <w:sz w:val="28"/>
          <w:szCs w:val="28"/>
          <w:rtl w:val="true"/>
          <w:lang w:bidi="fa-IR"/>
        </w:rPr>
        <w:t>.</w:t>
      </w:r>
    </w:p>
    <w:p>
      <w:pPr>
        <w:pStyle w:val="Heading3"/>
        <w:numPr>
          <w:ilvl w:val="2"/>
          <w:numId w:val="1"/>
        </w:numPr>
        <w:rPr/>
      </w:pPr>
      <w:bookmarkStart w:id="80" w:name="__RefHeading___Toc2759842_1395250215"/>
      <w:bookmarkStart w:id="81" w:name="_Toc25"/>
      <w:bookmarkEnd w:id="80"/>
      <w:r>
        <w:rPr>
          <w:rtl w:val="true"/>
        </w:rPr>
        <w:t>الثالث</w:t>
      </w:r>
      <w:r>
        <w:rPr>
          <w:rtl w:val="true"/>
        </w:rPr>
        <w:t xml:space="preserve">: </w:t>
      </w:r>
      <w:r>
        <w:rPr>
          <w:rtl w:val="true"/>
        </w:rPr>
        <w:t>لا طریق الی اثبات العدالة</w:t>
      </w:r>
      <w:bookmarkEnd w:id="81"/>
    </w:p>
    <w:p>
      <w:pPr>
        <w:pStyle w:val="BookText"/>
        <w:rPr/>
      </w:pPr>
      <w:r>
        <w:rPr>
          <w:rFonts w:ascii="IRNazanin" w:hAnsi="IRNazanin" w:eastAsia="IRNazanin"/>
          <w:color w:val="111111"/>
          <w:sz w:val="28"/>
          <w:sz w:val="28"/>
          <w:szCs w:val="28"/>
          <w:rtl w:val="true"/>
          <w:lang w:bidi="fa-IR"/>
        </w:rPr>
        <w:t>إنّ عدالة الراوی لا طریق الیها إلاّ بالرجوع إلی کتب أهل الرجال الّذین أخذوا عدالة الراوی من کتب غیرهم، و غیرهم من غیرهم، و لا یثبت بذلک، التعدیل المعتبر، لعدم العبرة بالقرطاس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الاعتماد علی الکتب الرجالیة، لأجل ثبوت نسبتها الی مؤلّفیها، لقراءتهم علی تلامیذهم و قراءة هؤلاء علی غیرهم و هکذا، أو بقراءة التّلامیذ علیهم أو بإجازة من المؤلّف علی نقل ما فی الکتاب، و علی ذلک یکون الکتاب مسموعا علی المستنبط أو ثابتة نسبته الی المؤلف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الکتاب اذا ثبتت نسبتها الی کاتبها عن طریق التواتر و الاستفاضة، أو الاطمئنان العقلائی الّذی یعدّ علما عرفیا أو الحجّة الشرعیّة </w:t>
      </w:r>
    </w:p>
    <w:p>
      <w:pPr>
        <w:pStyle w:val="BookText"/>
        <w:rPr/>
      </w:pPr>
      <w:r>
        <w:rPr>
          <w:rFonts w:ascii="IRNazanin" w:hAnsi="IRNazanin" w:eastAsia="IRNazanin"/>
          <w:color w:val="111111"/>
          <w:sz w:val="28"/>
          <w:sz w:val="28"/>
          <w:szCs w:val="28"/>
          <w:rtl w:val="true"/>
          <w:lang w:bidi="fa-IR"/>
        </w:rPr>
        <w:t>یصحّ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تقبل الأقاریر المکتوبة و الوصایا المرقومة بخطوط المقرّ و الموصی أو بخطّ غیرهم، اذا دلّت القرائن علی صحّتها، کما اذا ختمت بخاتم المقرّ و الموصی أو غیر ذلک من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یرفض الکتابة فإنّما یرفضها فی المشکوک لا فی المعلوم و المطمئنّ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تشریع اعتبار العدالة فی الراوی، یجب أن یکون علی وجه یسهل تحصیلها، و لو کان متعسّرا أو متعذّرا، یکون الاعتبار لغوا و التشریع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کانت العدالة المعتبرة فی رواة الأحادیث، ممکنة التحصیل بالطّریق المیسور و هو قول الرجالیین فهو، و إلاّ فلو لم یکن قولهم حجّة، یکون اعتبارها فیهم أمرا لغوا لتعسّر تحصیلها بغیر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للعلاّمة المامقانی جواب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التزکیة لیست شهادة حتّی یعتبر فیها ما یعتبر فی ذلک، من الأصالة و الشفاه و غیرها، و إلاّ لما جاز أخذ الأخبار من الاصول مع أنّها مأخوذة من الاصول الأربعمائة، بل المقصود من الرجوع الی علم الرجال هو التثبّت و تحصیل الظنّ الاطمئنانی الانتظامی الّذی انتظم امور العقلاء به فیما یحتاجون الیه و هو یختلف باختلاف الامور معاشا و معادا و یختلف فی کلّ منهما باعتبار زیادة الاهتمام و نقصانه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انما یتمّ علی مذهب من یجعل الرّجوع إلی الکتب الرجالیة من باب جمع القرائن و الشّواهد لتحصیل الاطمئنان علی وثاقة الراوی أو صدور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مذهب من یعتبر قولهم حجّة من باب الشّهادة فلا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الجواب هو التّفصیل بین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اعتبرنا الرجوع الیهم من باب الشّهادة، فالجواب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اعتبرناه من باب تحصیل القرائن </w:t>
      </w:r>
      <w:bookmarkStart w:id="82" w:name="pg2858_19446"/>
    </w:p>
    <w:p>
      <w:pPr>
        <w:pStyle w:val="BookText"/>
        <w:rPr/>
      </w:pPr>
      <w:bookmarkEnd w:id="82"/>
      <w:r>
        <w:rPr>
          <w:rFonts w:ascii="IRNazanin" w:hAnsi="IRNazanin" w:eastAsia="IRNazanin"/>
          <w:color w:val="111111"/>
          <w:sz w:val="28"/>
          <w:sz w:val="28"/>
          <w:szCs w:val="28"/>
          <w:rtl w:val="true"/>
          <w:lang w:bidi="fa-IR"/>
        </w:rPr>
        <w:t xml:space="preserve">و الشواهد علی صدق الراوی و صدور الروایة، فالجواب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البحث فی حجّیة قولهم، إنّما هو إذا لم یحصل العلم من قولهم أو لم یتحقّق الاطمئنان، و إلاّ انحصر الوجه، فی قبول قولهم من باب التعّبد، و أما الصورتان الاولیان، فخارجتان عن محلّ البحث، لأنّ الأوّل علم قطعیّ، و الثانی علم عرفی و حجّة قطعیة و إن لم تکن حجّیته ذاتیة مثل العلم</w:t>
      </w:r>
      <w:r>
        <w:rPr>
          <w:rFonts w:eastAsia="IRNazanin" w:cs="IRNazanin"/>
          <w:color w:val="111111"/>
          <w:sz w:val="28"/>
          <w:szCs w:val="28"/>
          <w:rtl w:val="true"/>
          <w:lang w:bidi="fa-IR"/>
        </w:rPr>
        <w:t>.</w:t>
      </w:r>
    </w:p>
    <w:p>
      <w:pPr>
        <w:pStyle w:val="Heading3"/>
        <w:numPr>
          <w:ilvl w:val="2"/>
          <w:numId w:val="1"/>
        </w:numPr>
        <w:rPr/>
      </w:pPr>
      <w:bookmarkStart w:id="83" w:name="__RefHeading___Toc2759844_1395250215"/>
      <w:bookmarkStart w:id="84" w:name="_Toc26"/>
      <w:bookmarkEnd w:id="83"/>
      <w:r>
        <w:rPr>
          <w:rtl w:val="true"/>
        </w:rPr>
        <w:t>الرابع</w:t>
      </w:r>
      <w:r>
        <w:rPr>
          <w:rtl w:val="true"/>
        </w:rPr>
        <w:t xml:space="preserve">: </w:t>
      </w:r>
      <w:r>
        <w:rPr>
          <w:rtl w:val="true"/>
        </w:rPr>
        <w:t>الخلاف فی معنی العدالة و الفسق</w:t>
      </w:r>
      <w:bookmarkEnd w:id="84"/>
    </w:p>
    <w:p>
      <w:pPr>
        <w:pStyle w:val="BookText"/>
        <w:rPr/>
      </w:pPr>
      <w:r>
        <w:rPr>
          <w:rFonts w:ascii="IRNazanin" w:hAnsi="IRNazanin" w:eastAsia="IRNazanin"/>
          <w:color w:val="111111"/>
          <w:sz w:val="28"/>
          <w:sz w:val="28"/>
          <w:szCs w:val="28"/>
          <w:rtl w:val="true"/>
          <w:lang w:bidi="fa-IR"/>
        </w:rPr>
        <w:t>إنّ الخلاف العظیم فی معنی العدالة و الفسق، یمنع من الأخذ بتعدیل علماء الرجال بعد عدم معلومیّة مختار المعدّل فی معنی العدالة و مخالفته معنا فی المبنی، فإنّ مختار الشّیخ فی العدالة، أنّها ظهور الإسلام، بل ظاهره دعوی کونه مشهورا، فکیف یعتمد علی تعدیله، من یقول بکون العدالة هی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العلاّمة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مراجعة علماء الرجال إنّما هو من باب التبین الحاصل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عدالة مثل الشیخ و التفاته الی الخلاف فی معنی العدالة، تقتضیان ارادته بالعدالة فیمن أثبت عدالته من الرواة، العدالة المتّفق علیها، فإنّ التألیف و التّصنیف اذا کان لغیره خصوصا للعمل به مدی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یبنی علی مذهب خاصّ الا بالتّنبیه علیه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أنّ المؤلّف لو صرّح بمذهبه فی مجال الجرح و التّعدیل یؤخذ به، و إن ترک التّصریح به، فالظّاهر أنّه یقتضی أثر المشهور فی ذاک المجال و طرق ثبوتهما و غیر ذلک ممّا یتعلّق بهما، اذ لو کان له مذهب خاصّ وراء </w:t>
      </w:r>
    </w:p>
    <w:p>
      <w:pPr>
        <w:pStyle w:val="BookText"/>
        <w:rPr/>
      </w:pPr>
      <w:r>
        <w:rPr>
          <w:rFonts w:ascii="IRNazanin" w:hAnsi="IRNazanin" w:eastAsia="IRNazanin"/>
          <w:color w:val="111111"/>
          <w:sz w:val="28"/>
          <w:sz w:val="28"/>
          <w:szCs w:val="28"/>
          <w:rtl w:val="true"/>
          <w:lang w:bidi="fa-IR"/>
        </w:rPr>
        <w:t>مذهب المشهور لوجب علیه أن ینبّه به، حتّی لا یکون غارّا، لأنّ المفروض أنّ ما قام به من العبء فی هذا المضمار، لم یکن لنفسه و استفادة شخصه، بل الظّاهر أنّه ألّفه لاستفادة العموم و مراجعتهم عند الاستنباط، فلا بدّ أن یکون متّفق الاصطلاح مع المشهور، و إلاّ لوجب التّصریح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القمّی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المصنّف لمثل هذه الکتب لا یرید اختصاص مجتهدی زمانه به، حتّی یقال إنّه صنّفه للعارفین بطریقته، سیّما و طریقة أهل العصر من العلماء عدم الرّجوع إلی کتب معاصریهم من جهة الاستناد غالبا، و إنّما تنفع المصنّفات بعد موت مصنّفیها غالبا إذا تباعد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فعمدة مقاصدهم فی تألیف هذه الکتب بقاؤها أبد الدهر و انتفاع من سیجیء بعدهم منهم، فإذا لوحظ هذا المعنی منضمّا إلی عدالة المصنّفین و ورعهم و تقویهم و فطانتهم و حذاقتهم، یظهر أنّهم أرادوا بما ذکروا من العدالة المعنی الّذی هو مسلّم الکلّ حتّی ینتفع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الغفلة للمؤلّف عن هذا المعنی حین التألیف سیّما مع تمادی زمان التألیف و الانتفاع به فی حیاته فی غایة البعد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قرینة أخری علی أنّهم لا یریدون من الثقة، مجرّد الإسلام مع عدم ظهور الفسق، و إلاّ یلزم توثیق أکثر المسلمین، و لا مجرّد حسن الظّاهر، لعدم حصول الوثوق به ما لم یحرز الملکة الرادعة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هناک قرائن علی أنّهم أرادوا بالعدالة معنی الملکة و هو أنّا وجدنا علماء الرجال قد ذکروا فی جملة من الرواة ما یزید علی ظهور الإسلام و عدم ظهور الفسق، بل علی حسن الظاهر بمراتب و مع ذلک لم یصرّحوا فیهم بالتعدیل و التوثیق، ألا تری أنّهم ذکروا فی إبراهیم بن هاشم، أنّه أوّل من نشر أحادیث الکوفیّین بقم، و هذا یدلّ علی ما هو أقوی من حسن </w:t>
      </w:r>
      <w:bookmarkStart w:id="85" w:name="pg2858_19448"/>
    </w:p>
    <w:p>
      <w:pPr>
        <w:pStyle w:val="BookText"/>
        <w:rPr/>
      </w:pPr>
      <w:bookmarkEnd w:id="85"/>
      <w:r>
        <w:rPr>
          <w:rFonts w:ascii="IRNazanin" w:hAnsi="IRNazanin" w:eastAsia="IRNazanin"/>
          <w:color w:val="111111"/>
          <w:sz w:val="28"/>
          <w:sz w:val="28"/>
          <w:szCs w:val="28"/>
          <w:rtl w:val="true"/>
          <w:lang w:bidi="fa-IR"/>
        </w:rPr>
        <w:t>الظّاهر بمراتب، لأنّ أهل قم کان من شأنهم عدم الوثوق بمن یروی عن الضعفاء، بل کانوا یخرجونه من بلدهم، فکیف بمن کان هو فی نفسه فاسقا أو علی غیر الطّریقة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نشر الأخبار بینهم یدلّ علی کمال جلالته و مع ذلک لم یصرّح فیه أحد بالتّوثیق و التّعدیل</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759846_1395250215"/>
      <w:bookmarkStart w:id="87" w:name="_Toc27"/>
      <w:bookmarkEnd w:id="86"/>
      <w:r>
        <w:rPr>
          <w:rtl w:val="true"/>
        </w:rPr>
        <w:t>الخامس</w:t>
      </w:r>
      <w:r>
        <w:rPr>
          <w:rtl w:val="true"/>
        </w:rPr>
        <w:t xml:space="preserve">: </w:t>
      </w:r>
      <w:r>
        <w:rPr>
          <w:rtl w:val="true"/>
        </w:rPr>
        <w:t>تفضیح الناس فی هذا العلم</w:t>
      </w:r>
      <w:bookmarkEnd w:id="87"/>
    </w:p>
    <w:p>
      <w:pPr>
        <w:pStyle w:val="BookText"/>
        <w:rPr/>
      </w:pPr>
      <w:r>
        <w:rPr>
          <w:rFonts w:ascii="IRNazanin" w:hAnsi="IRNazanin" w:eastAsia="IRNazanin"/>
          <w:color w:val="111111"/>
          <w:sz w:val="28"/>
          <w:sz w:val="28"/>
          <w:szCs w:val="28"/>
          <w:rtl w:val="true"/>
          <w:lang w:bidi="fa-IR"/>
        </w:rPr>
        <w:t>إنّ علم الرجال علم منکر یجب التحرّز عنه، لأنّ فیه تفضیحا للنّاس، و قد نهینا عن التجسّس عن معایبهم و امرنا بالغصّ و التستّر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بباب المرافعات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للمنکر جرح شاهد المدّعی و تکذیبه، و بالأمر بذکر المعایب فی مورد الاستشارة، الی غیر ذلک ممّا یجوز فیه 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الالهیّة أولی بالتحفّظ من الحقوق الّتی اشیر 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الی ذلک أنّه لو کان التفحّص عن الرواة أمرا مرغوبا عنه، فلماذا أمر اللّه سبحانه بالتثبّت و التبیّن عند سماع الخبر، إذ قال سبحانه إِنْ جاءَکُمْ فاسِقٌ بِنَبَإٍ فَتَبَیَّنُوا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به و إن جاء فی مورد الفاسق، لکنّه یعمّ المجهول للتّعلیل الوارد فی ذیل الآیة أَنْ تُصِیبُوا قَوْماً بِجَهالَةٍ فَتُصْبِحُوا عَلی ما فَعَلْتُمْ نادِمِینَ فإنّ احتمال إصابة القوم بجهالة لا یختصّ بمن علم فسقه، بل یعمّ محتمله کما لا یخفی</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759848_1395250215"/>
      <w:bookmarkStart w:id="89" w:name="_Toc28"/>
      <w:bookmarkEnd w:id="88"/>
      <w:r>
        <w:rPr>
          <w:rtl w:val="true"/>
        </w:rPr>
        <w:t>السادس</w:t>
      </w:r>
      <w:r>
        <w:rPr>
          <w:rtl w:val="true"/>
        </w:rPr>
        <w:t xml:space="preserve">: </w:t>
      </w:r>
      <w:r>
        <w:rPr>
          <w:rtl w:val="true"/>
        </w:rPr>
        <w:t>قول الرجالی و شرائط الشهادة</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قلنا باعتبار قول الرجالی من باب الشّهادة، یجب أن یجتمع فیه </w:t>
      </w:r>
    </w:p>
    <w:p>
      <w:pPr>
        <w:pStyle w:val="BookText"/>
        <w:rPr/>
      </w:pPr>
      <w:r>
        <w:rPr>
          <w:rFonts w:ascii="IRNazanin" w:hAnsi="IRNazanin" w:eastAsia="IRNazanin"/>
          <w:color w:val="111111"/>
          <w:sz w:val="28"/>
          <w:sz w:val="28"/>
          <w:szCs w:val="28"/>
          <w:rtl w:val="true"/>
          <w:lang w:bidi="fa-IR"/>
        </w:rPr>
        <w:t>شرائطها الّتی منها الاعتماد علی الحسّ دون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شرط اتّفق علیه العلماء، و من المعلوم عدم تحقّق هذا الشّرط، لعدم تعاصر 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یشترط فی الشهادة، أن یکون المشهود به أمرا حسّیا أو یکون مبادئه قریبة من الحسّ و إن لم یکن بنفسه حسّیا، و ذلک مثل العدالة و الشّجاعة فإنّهما من الامور غیر الحسیّة، لکن مبادئها حسّیة من قبیل الالتزام بالفرائض و النوافل، و الاجتناب عن اقتراف الکبائر فی العدالة، و قرع الأبطال فی میادین الحرب، و الاقدام بالامور الخطیرة بلا تریّث و اکتراث فی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فکما یمکن إحراز عدالة المعاصر بالمعاشرة، أو بقیام القرائن و الشّواهد علی عدالته، أو شهرته و شیاعه بین الناس، علی نحو یفید الاطمئنان، فکذلک یمکن إحراز عدالة الراوی غیر المعاصر من الاشتهار و الشیاع و الأمارات و القرائن المنقولة متواترة عصرا بعد عصر المفیدة للقطع و الیقین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أنّ الکشّی و النجاشی و الشیخ، بما أنّهم کانوا یمارسون المحدّثین 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واقفین علی أحوال الرواة و خصوصیّاتهم و مکانتهم من حیث الوثاقة و الضبط، فلأجل تلک القرائن الواصلة الیهم من مشایخهم و أکابر عصرهم، إلی أن تنتهی الی عصر الرواة، شهدوا بوثاقة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جواب آخر؛ و هو أنّ من المحتمل قوّیا أن تکون شهاداتهم فی حق الرواة، مستندة الی السّماع من شیوخهم، إلی أن تنتهی إلی عصر الرواة، و کانت الطّبقة النهائیّة معاشرة معهم و مخالطة إیّاهم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لم یکن التّعدیل أو الجرح أمرا ارتجالیّا، بل کان مستندا، إمّا إلی القرائن المتواترة و الشواهد القطعیة المفیدة للعلم بعدالة الراوی أو </w:t>
      </w:r>
    </w:p>
    <w:p>
      <w:pPr>
        <w:pStyle w:val="BookText"/>
        <w:rPr/>
      </w:pPr>
      <w:r>
        <w:rPr>
          <w:rFonts w:ascii="IRNazanin" w:hAnsi="IRNazanin" w:eastAsia="IRNazanin"/>
          <w:color w:val="111111"/>
          <w:sz w:val="28"/>
          <w:sz w:val="28"/>
          <w:szCs w:val="28"/>
          <w:rtl w:val="true"/>
          <w:lang w:bidi="fa-IR"/>
        </w:rPr>
        <w:t>ضعفه، أو إلی السّماع من شیخ إلی شیخ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ثالث؛ و هو رجوعهم الی الکتب المؤلفة فی العصور المتقدّمة علیهم، الّتی کانت أصحابها معاصرین مع الرواة و معاشرین معهم، فإنّ قسما مهمّا من مضامین الاصول الخمسة الرجالیّة، ولیدة تلک الکتب المؤلّفة فی العصور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الأعلام المتقدّمین کانوا یعتمدون فی تصریحاتهم علی وثاقة الرّجل، علی الحسّ دون الحدس و ذلک بوجوه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إلی الکتب الّتی کانت بأیدیهم من علم الرجال الّتی ثبتت نسبتها الی مؤلّفیها بالطّرق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السّماع من کابر عن کابر و من ثقة عن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الاستفاضة و الاشتهار بین الأصحاب و هذا من أحسن الطّرق و أمتنها، نظیر علمنا بعدالة صاحب الحدائق و صاحب الجواهر و الشیخ الأنصاری و غیرهم من المشایخ عن طریق الاستفاضة و الاشتهار فی کل جیل و عصر، إلی أن یصل إلی زمان حیاتهم و حینئذ نذعن بوثاقتهم و إن لم تصل الینا بسند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استنادهم الی الحسّ فی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سالفا عن الشیخ، من أنّا وجدنا الطائفة میّزت الرجال الناقلة، فوثّقت الثّقات و ضعّفت الضعفاء، و فرّقوا بین من یعتمد علی حدیثه و روایته، و من لا یعتمد علی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لاجل أن یقف القاریء علی أنّ أکثر ما فی الاصول الخمسة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مستندة إلی شهادة من قبلهم من الاثبات فی کتبهم فی حقّ الرواة، </w:t>
      </w:r>
    </w:p>
    <w:p>
      <w:pPr>
        <w:pStyle w:val="BookText"/>
        <w:rPr/>
      </w:pPr>
      <w:r>
        <w:rPr>
          <w:rFonts w:ascii="IRNazanin" w:hAnsi="IRNazanin" w:eastAsia="IRNazanin"/>
          <w:color w:val="111111"/>
          <w:sz w:val="28"/>
          <w:sz w:val="28"/>
          <w:szCs w:val="28"/>
          <w:rtl w:val="true"/>
          <w:lang w:bidi="fa-IR"/>
        </w:rPr>
        <w:t>نذکر فی المقام أسامی ثلّة من القدماء، قد ألّفوا فی هذا المضمار، لیقف القاریء علی نماذج من الکتب الرجالیّة المؤلّفة قبل الاصول الخمسة أو معها و لنکتف بالقلیل عن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روی عن النبی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مشایخه فی الرجال و هم یزیدون عن مائتی شیخ، طبع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أحمد بن عبد الواحد البزاز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العین المهملة و سکون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رجال الشیخ</w:t>
      </w:r>
      <w:r>
        <w:rPr>
          <w:rStyle w:val="FootnoteAnchor"/>
          <w:rtl w:val="true"/>
        </w:rPr>
        <w:footnoteReference w:id="20"/>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مشایخ الشیخ الطوسی و النجاشی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الشیخ الطوسی فی الفهرس فی ترجمة ابراهیم بن محمد بن سعید الثقفی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العباس أحمد بن محمد بن سعید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بضم العین المهملة و سکون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جمع فیه أسامی من روی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آخر فی هذا المضمار و جمع فیه أسماء الرواة عمن تقدم علی الإمام الصّادق من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العلویّ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یروی عن أبیه، عن إبراهیم بن هاشم القمی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الجوهری البغدادی، ترجمه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الطوسی</w:t>
      </w:r>
      <w:r>
        <w:rPr>
          <w:rStyle w:val="FootnoteAnchor"/>
          <w:rtl w:val="true"/>
        </w:rPr>
        <w:footnoteReference w:id="24"/>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الاشتمال فی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العباس أحمد بن محمّد بن نوح، ساکن البصرة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الذین رووا عن أبی عبد اللّه علیه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الکوفی، ترجمه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الممدوحین و المذمومین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المهملة و تشدید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ستّین رجلا من </w:t>
      </w:r>
    </w:p>
    <w:p>
      <w:pPr>
        <w:pStyle w:val="BookText"/>
        <w:rPr/>
      </w:pPr>
      <w:r>
        <w:rPr>
          <w:rFonts w:ascii="IRNazanin" w:hAnsi="IRNazanin" w:eastAsia="IRNazanin"/>
          <w:color w:val="111111"/>
          <w:sz w:val="28"/>
          <w:sz w:val="28"/>
          <w:szCs w:val="28"/>
          <w:rtl w:val="true"/>
          <w:lang w:bidi="fa-IR"/>
        </w:rPr>
        <w:t xml:space="preserve">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رواة الأخبار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الّذی یعدّ من أئمّة علم الرجال و قد توفّی بعد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کان من أصحاب الرضا و الجواد و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أیام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ینقل عنه العلاّمة فی الخلاصة فی القسم الثّانی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عندی التوقّف فیما یرویه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الکذّابین المشهورین ابن سنان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التّألیف للقدماء فی علم الرّجال و قد جمع أسماءها و ما یرجع الیها من الخصوصیّات، المتتبع الشیخ آغا بزرگ الطهرانی فی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التتبّع فی أحوال العلماء المتقدّمین، یشرف الإنسان علی الاذعان و الیقین بأنّ التوثیقات و التضعیفات الواردة فی کتب الأعلام الخمسة و غیرها، یستند إمّا إلی الوجدان فی الکتاب الثّابت نسبته إلی مؤلّفه، أو إلی النّقل و السّماع، أو إلی الاستفاضة و الاشتهار، أو إلی طریق یقرب منها</w:t>
      </w:r>
      <w:r>
        <w:rPr>
          <w:rFonts w:eastAsia="IRNazanin" w:cs="IRNazanin"/>
          <w:color w:val="111111"/>
          <w:sz w:val="28"/>
          <w:szCs w:val="28"/>
          <w:rtl w:val="true"/>
          <w:lang w:bidi="fa-IR"/>
        </w:rPr>
        <w:t xml:space="preserve">. </w:t>
      </w:r>
      <w:bookmarkStart w:id="90" w:name="pg2858_19454"/>
    </w:p>
    <w:p>
      <w:pPr>
        <w:pStyle w:val="Heading3"/>
        <w:numPr>
          <w:ilvl w:val="2"/>
          <w:numId w:val="1"/>
        </w:numPr>
        <w:rPr/>
      </w:pPr>
      <w:bookmarkStart w:id="91" w:name="__RefHeading___Toc2759850_1395250215"/>
      <w:bookmarkStart w:id="92" w:name="_Toc29"/>
      <w:bookmarkEnd w:id="90"/>
      <w:bookmarkEnd w:id="91"/>
      <w:r>
        <w:rPr>
          <w:rtl w:val="true"/>
        </w:rPr>
        <w:t>السابع</w:t>
      </w:r>
      <w:r>
        <w:rPr>
          <w:rtl w:val="true"/>
        </w:rPr>
        <w:t xml:space="preserve">: </w:t>
      </w:r>
      <w:r>
        <w:rPr>
          <w:rtl w:val="true"/>
        </w:rPr>
        <w:t>التوثیق الإجمالی</w:t>
      </w:r>
      <w:bookmarkEnd w:id="92"/>
    </w:p>
    <w:p>
      <w:pPr>
        <w:pStyle w:val="BookText"/>
        <w:rPr/>
      </w:pPr>
      <w:r>
        <w:rPr>
          <w:rFonts w:ascii="IRNazanin" w:hAnsi="IRNazanin" w:eastAsia="IRNazanin"/>
          <w:color w:val="111111"/>
          <w:sz w:val="28"/>
          <w:sz w:val="28"/>
          <w:szCs w:val="28"/>
          <w:rtl w:val="true"/>
          <w:lang w:bidi="fa-IR"/>
        </w:rPr>
        <w:t>إنّ الغایة المتوخّاة من علم الرجال، هو تمییز الثّقة عن غیره، فلو کان هذا هو الغایة منه، فقد قام مؤلّفوا الکتب الأربعة بهذا العمل، فوثّقوا رجال أحادیثهم و اسناد روایاتهم علی وجه الاجمال دون التّفصیل، فلو کان التّوثیق التفصیلی من نظراء النّجاشی و الشّیخ و أضرابهما حجّة، فالتّوثیق الاجمالی من الکلینی و الصّدوق و الشیخ أیضا حجّة، فهؤلاء الأقطاب الثّلاثة، صحّحوا رجال أحادیث کتبهم و صرّحوا فی دیباجتها بصحّة روایاتها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الکاشانی فی المقدّمة الثانیة من مقدّمات کتابه الوافی فی هذا الصّدد، ما هذا خلاصته</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أرباب الکتب الأربعة قد شهدوا علی صحّة الروایات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فی أوّل کتابه فی جواب من التمس منه التّصنیف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أن یکون عندک کتاب کاف یجمع من جمیع فنون علم الدّین ما یکتفی به المتعلّم، و یرجع إلیه المسترشد، و یأخذ منه من یرید علم الدّین و العمل به بالآثار الصّحیحة عن الصادقین، و السنن القائمة الّتی علیها العمل و بها یؤدّی فرض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یسّر اللّه له الحمد تألیف ما سألت، و أرجو 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الصّدوق فی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أقصد فیه قصد المصنّفین فی إیراد جمیع ما رووه، بل قصدت إلی إیراد ما أفتی به و أحکم بصحّته، و أعتقد فیه أنه حجّة فیما بینی و بین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جمیع ما فیه مستخرج من کتب مشهورة علیها المعوّل و إلیها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ما أورده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أخذه من الاصول المعتمد علیها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التّصریحات أجنبیّة عمّا نحن بصدده، أعنی وثاقة </w:t>
      </w:r>
    </w:p>
    <w:p>
      <w:pPr>
        <w:pStyle w:val="BookText"/>
        <w:rPr/>
      </w:pPr>
      <w:r>
        <w:rPr>
          <w:rFonts w:ascii="IRNazanin" w:hAnsi="IRNazanin" w:eastAsia="IRNazanin"/>
          <w:color w:val="111111"/>
          <w:sz w:val="28"/>
          <w:sz w:val="28"/>
          <w:szCs w:val="28"/>
          <w:rtl w:val="true"/>
          <w:lang w:bidi="fa-IR"/>
        </w:rPr>
        <w:t>رواة الکتب الأربعة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المشایخ شهدوا بصحّة روایات کتبهم، لا بوثاقة رجال روایاتهم، و بین الأمرین بون بعید، و تصحیح الروایات کما یمکن أن یکون مستندا إلی إحراز وثاقة رواتها، یمکن أن یکون مستندا إلی القرائن المنفصلة الّتی صرّح بها المحقّق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الفیض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هذا کیف یمکن القول بأنّ المشایخ شهدوا بوثاقة رواة أحادیث کتبهم؟ و الظّاهر کما هو صریح کلام العلمین، أنّهم استندوا فی التّصحیح علی القرائن لا علی وثاقة الرواة، و یدلّ علی ذلک ما ذکره الفیض حول هذه الکلمات،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اصطلاح المتأخّرین فی تنویع الحدیث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سلک هذا المسلک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الاصطلاح لم یکن معروفا بین قدمائنا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لمن مارس کلامهم، بل کان المتعارف بینهم إطلاق الصّحیح علی کلّ حدیث اعتضد بما یقتضی الاعتماد علیه، و اقترن بما یوجب الوثوق به، و الرکون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کوجوده فی کثیر من الاصول الأربعمائة المشهورة المتداولة بینهم الّتی نقلوها عن مشایخهم بطرقهم المتّصلة بأصحاب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کتکرّره فی أصل أو أصلین منها فصاعدا بطرق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أسانید عدیدة معتبرة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کوجوده فی أصل معروف الانتساب إلی أحد الجماعة الّذین أجمعوا علی تصدیقهم، کزرارة و محمّد بن مسلم و الفضیل بن یسار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تصحیح ما یصحّ عنهم، کصفوان بن یحیی، و یونس بن عبد الرّحمن، و أحمد بن محمّد بن أبی نصر البزنطی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العمل بروایتهم، کعمار الساباطی و نظرائه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کاندراجه فی أحد الکتب الّتی عرضت علی أحد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فأثنوا علی مؤلّفیها، ککتاب عبید اللّه الحلبی الّذی عرض علی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یونس بن عبد الرحمن و الفضل بن شاذان المعروضین علی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کأخذه من أحد الکتب الّتی شاع </w:t>
      </w:r>
    </w:p>
    <w:p>
      <w:pPr>
        <w:pStyle w:val="BookText"/>
        <w:rPr/>
      </w:pPr>
      <w:r>
        <w:rPr>
          <w:rFonts w:ascii="IRNazanin" w:hAnsi="IRNazanin" w:eastAsia="IRNazanin"/>
          <w:color w:val="111111"/>
          <w:sz w:val="28"/>
          <w:sz w:val="28"/>
          <w:szCs w:val="28"/>
          <w:rtl w:val="true"/>
          <w:lang w:bidi="fa-IR"/>
        </w:rPr>
        <w:t>بین سلفهم الوثوق بها و الاعتماد علیها، سواء کان مؤلّفوها من الإمامیّة، ککتاب الصّلاة لحریز بن عبد اللّه السجستانی و کتب ابنی سعید، و علیّ بن مهزیار أو من غیر الإمامیّة، ککتاب حفص بن غیاث القاضی، و الحسین بن عبید اللّه السعدی، و کتاب القبلة لعلی بن الحسن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فحکموا بصحّة حدیث بعض الرواة من غیر الامامیة کعلیّ بن محمد بن ریاح و غیره لما لاح لهم من القرائن المقتضیة للوثوق بهم و الاعتماد علیهم، و إن لم یکونوا فی عداد الجماعة الّذین انعقد الاجماع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لا یعتمدون علی شهادتهم بصحّة کتبهم فلا یعتمدوا علی شهادتهم و شهادة أمثالهم من الجرح و التّعدیل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تعارض الخبران المعتمد علیهما علی طریقة القدماء فاحتجنا إلی التّرجیح بینهما، فعلینا أن نرجع إلی حال رواتهما فی الجرح و التّعدیل المنقولین عن المشایخ فیهم و نبنی الحکم علی ذلک کما اشیر الیه فی الأخبار الواردة فی التراجیح بقولهم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ما حکم به أعدلهما و أورعهما و أصدقهما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وجوه التّراجیح المنصوص علیها، و هذا هو عمدة الأسباب الباعثة لنا علی ذکر الأسانید فی هذا الکتاب</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منشأ حکمهم بصحّتها هو الحکم بوثاقة رواتها، لکن من أین نعلم أنّهم استندوا فی توثیقهم إلی الحسّ، إذ من البعید أن یستندوا فی توثیق هذا العدد الهائل من الرواة الواردة فی هذه الکتب إلی الحسّ، بل من المحتمل قویّا، أنّهم استندوا إلی القرائن الّتی یستنبط وثاقتهم منها، و مثله یکون حجّة للمستنبط و لمن یکون مثله فی حصول القرائن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کونهم مستندین فی توثیق الرّواة إلی الحسّ، و لکنّ الأخذ بقولهم إنّما یصحّ لو لم تظهر کثرة أخطائهم، فإنّ کثرتها تسقط قول </w:t>
      </w:r>
      <w:bookmarkStart w:id="93" w:name="pg2858_19457"/>
    </w:p>
    <w:p>
      <w:pPr>
        <w:pStyle w:val="BookText"/>
        <w:rPr/>
      </w:pPr>
      <w:bookmarkEnd w:id="93"/>
      <w:r>
        <w:rPr>
          <w:rFonts w:ascii="IRNazanin" w:hAnsi="IRNazanin" w:eastAsia="IRNazanin"/>
          <w:color w:val="111111"/>
          <w:sz w:val="28"/>
          <w:sz w:val="28"/>
          <w:szCs w:val="28"/>
          <w:rtl w:val="true"/>
          <w:lang w:bidi="fa-IR"/>
        </w:rPr>
        <w:t>المخبر عن الحجیّة فی الإخبار عن حسّ أیضا، فکیف فی الاخبار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إنّ کثیرا من رواة الکافی ضعّفهم النجاشی و الشیخ، فمع هذه المعارضة الکثیرة تسقط قوله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کانت قلیلة لکان لاعتبار قوله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الشیخ قد ضعّف کثیرا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 و فهرسه، فکیف یمکن أن یعتمد علی ذلک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مناص عن القول بالحاجة إلی علم الرجال و ملاحظة أسناد الروایات، و أنّ مثل هذه الشهادات لا تقوم مکان توثیق رواة تلک الکتب</w:t>
      </w:r>
      <w:r>
        <w:rPr>
          <w:rFonts w:eastAsia="IRNazanin" w:cs="IRNazanin"/>
          <w:color w:val="111111"/>
          <w:sz w:val="28"/>
          <w:szCs w:val="28"/>
          <w:rtl w:val="true"/>
          <w:lang w:bidi="fa-IR"/>
        </w:rPr>
        <w:t>.</w:t>
      </w:r>
    </w:p>
    <w:p>
      <w:pPr>
        <w:pStyle w:val="Heading3"/>
        <w:numPr>
          <w:ilvl w:val="2"/>
          <w:numId w:val="1"/>
        </w:numPr>
        <w:rPr/>
      </w:pPr>
      <w:bookmarkStart w:id="94" w:name="__RefHeading___Toc2759852_1395250215"/>
      <w:bookmarkStart w:id="95" w:name="_Toc30"/>
      <w:bookmarkEnd w:id="94"/>
      <w:r>
        <w:rPr>
          <w:rtl w:val="true"/>
        </w:rPr>
        <w:t>الثامن</w:t>
      </w:r>
      <w:r>
        <w:rPr>
          <w:rtl w:val="true"/>
        </w:rPr>
        <w:t xml:space="preserve">: </w:t>
      </w:r>
      <w:r>
        <w:rPr>
          <w:rtl w:val="true"/>
        </w:rPr>
        <w:t>شهادة المشایخ الثلاثة</w:t>
      </w:r>
      <w:bookmarkEnd w:id="95"/>
    </w:p>
    <w:p>
      <w:pPr>
        <w:pStyle w:val="BookText"/>
        <w:rPr/>
      </w:pPr>
      <w:r>
        <w:rPr>
          <w:rFonts w:ascii="IRNazanin" w:hAnsi="IRNazanin" w:eastAsia="IRNazanin"/>
          <w:color w:val="111111"/>
          <w:sz w:val="28"/>
          <w:sz w:val="28"/>
          <w:szCs w:val="28"/>
          <w:rtl w:val="true"/>
          <w:lang w:bidi="fa-IR"/>
        </w:rPr>
        <w:t>اذا شهد المشایخ الثّلاثة علی صحّة روایات کتبهم، و أنّها صادرة عن الأئمّة بالقرائن الّتی أشار الیه المحقّق الفیض، فهل یمکن الاعتماد فی هذا المورد علی خبر العدل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العدل و شهادته إنّما یکون حجّة إذا أخبر عن الشّیء عن حسّ لا عن حدس، و الاخبار عنه بالحدس لا یکون حجّة إلاّ علی نفس المخبر، و لا یعدو غیره إلاّ فی موارد نادرة، کالمفتی بالنّسبة إلی المستفتی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إخبار هؤلاء عن الصّدور إخبار عن حدس لا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احتمال الخلاف و الوهم فی کلام العادل ینشأ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التعمّد فی الکذب و هو مرتفع بعدالته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الخطأ و الاشتباه و هو مرتفع بالأصل العقلائی المسلّم بینهم من أصالة عدم الخطأ و الاشتباه، لکن ذاک الأصل عند العقلاء مختصّ بما إذا أخبر بالشیء عن حسّ، کما إذا أبصر و سمع، لا ما إذا أخبر عنه عن حدس، و احتمال الخطأ فی الإبصار و السّمع مرتفع بالأصل المسلّم بین العقلاء، و أمّا احتمال الخطأ فی الحدس و الانتقال من المقدّمة الی النتیجة، </w:t>
      </w:r>
    </w:p>
    <w:p>
      <w:pPr>
        <w:pStyle w:val="BookText"/>
        <w:rPr/>
      </w:pPr>
      <w:r>
        <w:rPr>
          <w:rFonts w:ascii="IRNazanin" w:hAnsi="IRNazanin" w:eastAsia="IRNazanin"/>
          <w:color w:val="111111"/>
          <w:sz w:val="28"/>
          <w:sz w:val="28"/>
          <w:szCs w:val="28"/>
          <w:rtl w:val="true"/>
          <w:lang w:bidi="fa-IR"/>
        </w:rPr>
        <w:t>فلیس هنا أصل یرفعه، و لأجل ذلک لا یکون قول المحدس حجّة الا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فإنّ المشایخ لم یروا بأعینهم و لم یسمعوا بآذانهم صدور روایات کتبهم، و تنطّق أئمّتهم بها، و إنّما انتقلوا إلیه عن قرائن و شواهد جرّتهم إلی الاطمئنان بالصّدور، و هو إخبار عن الشیء بالحدس، و لا یجری فی مثله أصالة عدم الخطأ و لا یکون حجّة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الانتقال من تلک القرائن إلی صحّة الروایات و صدورها أمرا یشترک فیه الجمیع او الأغلب من النّاس، بل هو أمر تختلف فیه الأنظار بکثیر، فربّ إنسان تورثه تلک القرائن اطمئنانا فی مقابل إنسان آخر، لا تفیده إلاّ الظنّ الضعیف بالصحّة و الصدور، فإذن کیف یمکن حصول الاطمئنان لأغلب النّاس بصدور جمیع روایات الکتب الأربعة الّتی یناهز عددها ثلاثین ألف حدیث، و لیس الإخبار عن صحّتها کالاخبار عن عدالة إنسان أو شجاعته، فإنّ لهما مبادیء خاصّة معلومة، یشترک فی الانتقال عنها الی ذینک الوصفین أغلب الناس أو جمیعهم، فیکون قول المخبر عنهما حجّة و إن کان الإخبار عن حدس، لأنّه ینتهی الی مبادیء محسوسة، و هی ملموسة لکلّ من أراد أن یتفحّص عن أحوال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یحلق به الإخبار عن صحّة تلک الروایات، مستندا إلی تلک القرائن الّتی یختلف الناس فی الانتقال عنها إلی الصحّة إلی حدّ ربّما لا تفید لبعض الناس إلاّ الظّنّ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القرائن من قبیل وجود الحدیث فی کتاب عرض علی الإمام و نظیره، حتّی یقال إنّها من القرائن الحسیّة، بل أکثرها قرائن حدسیة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إخبارهم عن صحّة کتبهم حجّة لأنفسهم دون غیرهم، فما هو الوجه فی ذکر هذه الشهادات فی دیباجتها؟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الفائدة لا تنحصر فی العمل بها، بل یکفی فیها کون هذا الإخبار باعثا و حافزا إلی تحریک الغیر لتحصیل القرائن و الشواهد، لعلّه یقف </w:t>
      </w:r>
    </w:p>
    <w:p>
      <w:pPr>
        <w:pStyle w:val="BookText"/>
        <w:rPr/>
      </w:pPr>
      <w:r>
        <w:rPr>
          <w:rFonts w:ascii="IRNazanin" w:hAnsi="IRNazanin" w:eastAsia="IRNazanin"/>
          <w:color w:val="111111"/>
          <w:sz w:val="28"/>
          <w:sz w:val="28"/>
          <w:szCs w:val="28"/>
          <w:rtl w:val="true"/>
          <w:lang w:bidi="fa-IR"/>
        </w:rPr>
        <w:t>أیضا علی مثل ما وقف علیه المؤلّف و هو جزء علّة لتحصیل الرّکون لا تمامها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أنّهم مع ذاک التّصدیق، نقلوا الروایات بإسنادها حتّی یتدبّر الآخرون فی ما ینقلونه و یعملوا بما صحّ لدیهم، و لو کانت شهادتهم علی الصحّة حجّة علی الکلّ، لما کان وجه لتحمّل ذاک العبء الثقیل، أعنی نقل الروایات بإسنادها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یعرب عن أنّ المرمی الوحید فی نقل تلک التصحیحات، هو إقناع أنفسهم و إلفات الغیر إلیها حتّی یقوم بنفس ما قام به المؤلّفون و لعلّه یحصّل ما حصّلوه</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858_19461"/>
      <w:bookmarkStart w:id="97" w:name="pg2858_19461"/>
      <w:bookmarkEnd w:id="97"/>
    </w:p>
    <w:p>
      <w:pPr>
        <w:pStyle w:val="Heading2"/>
        <w:numPr>
          <w:ilvl w:val="1"/>
          <w:numId w:val="1"/>
        </w:numPr>
        <w:rPr/>
      </w:pPr>
      <w:bookmarkStart w:id="98" w:name="pg2858_19461"/>
      <w:bookmarkStart w:id="99" w:name="__RefHeading___Toc2759854_1395250215"/>
      <w:bookmarkStart w:id="100" w:name="_Toc31"/>
      <w:bookmarkEnd w:id="98"/>
      <w:bookmarkEnd w:id="99"/>
      <w:r>
        <w:rPr>
          <w:rtl w:val="true"/>
        </w:rPr>
        <w:t>الفصل الثالث</w:t>
      </w:r>
      <w:r>
        <w:rPr>
          <w:rtl w:val="true"/>
        </w:rPr>
        <w:t xml:space="preserve">: </w:t>
      </w:r>
      <w:r>
        <w:rPr>
          <w:rtl w:val="true"/>
        </w:rPr>
        <w:t>المصادر الاولیة لعلم الرجال</w:t>
      </w:r>
      <w:bookmarkEnd w:id="100"/>
    </w:p>
    <w:p>
      <w:pPr>
        <w:pStyle w:val="Heading3"/>
        <w:numPr>
          <w:ilvl w:val="2"/>
          <w:numId w:val="1"/>
        </w:numPr>
        <w:rPr/>
      </w:pPr>
      <w:bookmarkStart w:id="101" w:name="__RefHeading___Toc2759856_1395250215"/>
      <w:bookmarkStart w:id="102" w:name="_Toc32"/>
      <w:bookmarkEnd w:id="101"/>
      <w:r>
        <w:rPr>
          <w:rtl w:val="true"/>
        </w:rPr>
        <w:t>اشارة</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الرجالیة الثمانیة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الغضائری</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858_19463"/>
      <w:bookmarkStart w:id="104" w:name="pg2858_19463"/>
      <w:bookmarkEnd w:id="104"/>
    </w:p>
    <w:p>
      <w:pPr>
        <w:pStyle w:val="Heading3"/>
        <w:numPr>
          <w:ilvl w:val="2"/>
          <w:numId w:val="1"/>
        </w:numPr>
        <w:rPr/>
      </w:pPr>
      <w:bookmarkStart w:id="105" w:name="pg2858_19463"/>
      <w:bookmarkStart w:id="106" w:name="__RefHeading___Toc2759858_1395250215"/>
      <w:bookmarkStart w:id="107" w:name="_Toc33"/>
      <w:bookmarkEnd w:id="105"/>
      <w:bookmarkEnd w:id="106"/>
      <w:r>
        <w:rPr/>
        <w:t>1</w:t>
      </w:r>
      <w:r>
        <w:rPr>
          <w:rtl w:val="true"/>
        </w:rPr>
        <w:t xml:space="preserve"> - </w:t>
      </w:r>
      <w:r>
        <w:rPr>
          <w:rtl w:val="true"/>
        </w:rPr>
        <w:t>الاصول الرجالیة الثمانیة</w:t>
      </w:r>
      <w:bookmarkEnd w:id="107"/>
    </w:p>
    <w:p>
      <w:pPr>
        <w:pStyle w:val="Heading4"/>
        <w:numPr>
          <w:ilvl w:val="3"/>
          <w:numId w:val="1"/>
        </w:numPr>
        <w:rPr/>
      </w:pPr>
      <w:bookmarkStart w:id="108" w:name="__RefHeading___Toc2759860_1395250215"/>
      <w:bookmarkStart w:id="109" w:name="_Toc34"/>
      <w:bookmarkEnd w:id="108"/>
      <w:r>
        <w:rPr>
          <w:rtl w:val="true"/>
        </w:rPr>
        <w:t>اشارة</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الشیخ و فهرسه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أبی غالب الزراری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مشیخة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مشیخة الشیخ الطوسی</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اهتمّ علماء الشیعة من عصر التّابعین إلی یومنا هذا بعلم الرجال، فألّفوا معاجم تتکفّل لبیان أحوال الرواة و بیان وثاقتهم أو ضعفهم، و أوّل تألیف ظهر لهم فی أوائل النصف الثانی من القرن الأوّل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دوّن أسماء الصّحابة الّذین شایعوا علیّا و حضروا حروبه و قاتلوا معه فی البصرة و صفّین و النهروان، و هو مع ذلک کتاب تاریخ و 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ألّف عبد اللّه بن جبلة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فضّال و ابن محبوب و غیرهم فی القرن الثانی إلی أوائل القرن الثالث، کتبا فی هذا المضمار، و استمرّ تدوین الرجال إلی أواخر القرن الرابع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المأسوف علیه، أنّه لم تصل هذه الکتب إلینا، و إنّما الموجود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یعدّ الیوم اصول الکتب الرجالیة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فی القرنین الرابع و الخامس، و إلیک بیان تلک الکتب و الاصول الّتی علیها مدار علم الرجال، و إلیک أسماؤها و أسماء مؤلّفیها و بیان خصوصّیات مؤلّفاتهم</w:t>
      </w:r>
      <w:r>
        <w:rPr>
          <w:rFonts w:eastAsia="IRNazanin" w:cs="IRNazanin"/>
          <w:color w:val="111111"/>
          <w:sz w:val="28"/>
          <w:szCs w:val="28"/>
          <w:rtl w:val="true"/>
          <w:lang w:bidi="fa-IR"/>
        </w:rPr>
        <w:t xml:space="preserve">. </w:t>
      </w:r>
      <w:bookmarkStart w:id="110" w:name="pg2858_19466"/>
    </w:p>
    <w:p>
      <w:pPr>
        <w:pStyle w:val="Heading4"/>
        <w:numPr>
          <w:ilvl w:val="3"/>
          <w:numId w:val="1"/>
        </w:numPr>
        <w:rPr/>
      </w:pPr>
      <w:bookmarkStart w:id="111" w:name="__RefHeading___Toc2759862_1395250215"/>
      <w:bookmarkStart w:id="112" w:name="_Toc35"/>
      <w:bookmarkEnd w:id="110"/>
      <w:bookmarkEnd w:id="111"/>
      <w:r>
        <w:rPr/>
        <w:t>1</w:t>
      </w:r>
      <w:r>
        <w:rPr>
          <w:rtl w:val="true"/>
        </w:rPr>
        <w:t xml:space="preserve"> - </w:t>
      </w:r>
      <w:r>
        <w:rPr>
          <w:rtl w:val="true"/>
        </w:rPr>
        <w:t>رجال الکشّی</w:t>
      </w:r>
      <w:bookmarkEnd w:id="112"/>
    </w:p>
    <w:p>
      <w:pPr>
        <w:pStyle w:val="Heading5"/>
        <w:numPr>
          <w:ilvl w:val="4"/>
          <w:numId w:val="1"/>
        </w:numPr>
        <w:rPr/>
      </w:pPr>
      <w:bookmarkStart w:id="113" w:name="__RefHeading___Toc2759864_1395250215"/>
      <w:bookmarkStart w:id="114" w:name="_Toc36"/>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هو تألیف محمّد بن عمر بن عبد العزیز المعروف بالکشّی، و 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معروف علی مراحل من سمرقند، خرج منه کثیر من مشایخنا و علمائنا، غیر أنّ النّجاشی ضبطه بضمّ الکاف، و لکن الفاضل المهندس البرجندی ضبطه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مساحة الأرض و البلدان و الأقالیم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تشدید الشّین،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من بلاد ماوراء النّهر و هو ثلاثة فراسخ فی ثلاثة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فالکشّی من عیون الثّقات و العلماء و 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عبد العزیز الکشّی أبو عمرو، کان ثقة عینا و روی عن الضّعفاء کثیرا، و صحب العیّاشی و أخذ عنه و تخرّج علیه فی داره الّتی کان مرتعا للشّیعة و أهل العلم، له کتاب الرجال، کثیر العلم و فیه أغلاط کثیرة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بصیر بالأخبار و الرّجال، حسن الاعتقاد، له کتاب الرجال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بصیر بالرجال و الأخبار، مستقیم المذهب</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استاذه العیّاشی أبو النّضر محمّد بن مسعود بن محمّد بن عیّاش السلمی السمرقندی المعروف بالعیّاشی، فهو ثقة صدوق عین من عیون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جعفر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أبو النّضر علی العلم و الحدیث ترکة أبیه و سائرها و کانت ثلاثمائة ألف دینار و کانت داره کالمسجد بین ناسخ أو </w:t>
      </w:r>
      <w:bookmarkStart w:id="115" w:name="pg2858_19467"/>
    </w:p>
    <w:p>
      <w:pPr>
        <w:pStyle w:val="BookText"/>
        <w:rPr/>
      </w:pPr>
      <w:bookmarkEnd w:id="115"/>
      <w:r>
        <w:rPr>
          <w:rFonts w:ascii="IRNazanin" w:hAnsi="IRNazanin" w:eastAsia="IRNazanin"/>
          <w:color w:val="111111"/>
          <w:sz w:val="28"/>
          <w:sz w:val="28"/>
          <w:szCs w:val="28"/>
          <w:rtl w:val="true"/>
          <w:lang w:bidi="fa-IR"/>
        </w:rPr>
        <w:t>مقابل أو قاریء أو معلّق، مملوءة من الناس</w:t>
      </w:r>
      <w:r>
        <w:rPr>
          <w:rStyle w:val="FootnoteAnchor"/>
          <w:rtl w:val="true"/>
        </w:rPr>
        <w:footnoteReference w:id="37"/>
      </w:r>
      <w:r>
        <w:rPr>
          <w:rFonts w:ascii="IRNazanin" w:hAnsi="IRNazanin" w:eastAsia="IRNazanin"/>
          <w:color w:val="111111"/>
          <w:sz w:val="28"/>
          <w:sz w:val="28"/>
          <w:szCs w:val="28"/>
          <w:rtl w:val="true"/>
          <w:lang w:bidi="fa-IR"/>
        </w:rPr>
        <w:t>و له کتب تتجاوز علی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أسمی الکشّی کتابه الرجال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الشّیخ فی ترجمة أحمد بن داود بن سعید الفزاری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یقال بأنّه أسماه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 عن الأئمّة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قد کان هذا الکتاب موجودا عند السید ابن طاووس، لأنّه تصدّی بترتیب هذا الکتاب و تبویبه و ضمّه الی کتب اخری من الکتب الرجالیّة و أسماه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الأشکال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موجودا عند الشهید الثانی، و لکنّ الموجود من کتاب الکشّی فی هذه الأعصار، هو الّذی اختصره الشّیخ مسقطا منه الزّوائد، و أسماه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عدّه الشیخ من جملة کتبه، و علی کلّ تقدیر فهذا الکتاب طبع فی الهند و غیره، و طبع فی النّجف الأشرف و قد فهرس الناشر أسماء الرواة علی ترتیب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اخیرا المتتبّع المحقّق الشیخ حسن المصطفوی بتحقیقه تحقیقا رائعا و فهرس له فهارس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 </w:t>
      </w:r>
      <w:r>
        <w:rPr>
          <w:rFonts w:eastAsia="IRNazanin" w:cs="IRNazanin"/>
          <w:color w:val="111111"/>
          <w:sz w:val="28"/>
          <w:szCs w:val="28"/>
          <w:rtl w:val="true"/>
          <w:lang w:bidi="fa-IR"/>
        </w:rPr>
        <w:t>-.</w:t>
      </w:r>
    </w:p>
    <w:p>
      <w:pPr>
        <w:pStyle w:val="Heading5"/>
        <w:numPr>
          <w:ilvl w:val="4"/>
          <w:numId w:val="1"/>
        </w:numPr>
        <w:rPr/>
      </w:pPr>
      <w:bookmarkStart w:id="116" w:name="__RefHeading___Toc2759866_1395250215"/>
      <w:bookmarkStart w:id="117" w:name="_Toc37"/>
      <w:bookmarkEnd w:id="116"/>
      <w:r>
        <w:rPr>
          <w:rtl w:val="true"/>
        </w:rPr>
        <w:t>کیفیة تهذیب رجال الکشی</w:t>
      </w:r>
      <w:bookmarkEnd w:id="117"/>
    </w:p>
    <w:p>
      <w:pPr>
        <w:pStyle w:val="BookText"/>
        <w:rPr/>
      </w:pPr>
      <w:r>
        <w:rPr>
          <w:rFonts w:ascii="IRNazanin" w:hAnsi="IRNazanin" w:eastAsia="IRNazanin"/>
          <w:color w:val="111111"/>
          <w:sz w:val="28"/>
          <w:sz w:val="28"/>
          <w:szCs w:val="28"/>
          <w:rtl w:val="true"/>
          <w:lang w:bidi="fa-IR"/>
        </w:rPr>
        <w:t>قال القهبائی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کان فی رجال العامّة و الخاصّة فاختار منه الشیخ، الخاصّة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عدم تمامیّته، لأنّه ذکر فیه جمعا من العامّة رووا عن أئمّتنا </w:t>
      </w:r>
      <w:bookmarkStart w:id="118" w:name="pg2858_19468"/>
    </w:p>
    <w:p>
      <w:pPr>
        <w:pStyle w:val="BookText"/>
        <w:rPr/>
      </w:pPr>
      <w:bookmarkEnd w:id="118"/>
      <w:r>
        <w:rPr>
          <w:rFonts w:ascii="IRNazanin" w:hAnsi="IRNazanin" w:eastAsia="IRNazanin"/>
          <w:color w:val="111111"/>
          <w:sz w:val="28"/>
          <w:sz w:val="28"/>
          <w:szCs w:val="28"/>
          <w:rtl w:val="true"/>
          <w:lang w:bidi="fa-IR"/>
        </w:rPr>
        <w:t>کمحمّد بن إسحاق، و محمّد بن المنکدر، و عمرو بن خالد، و عمرو بن جمیع، و عمرو بن قیس، و حفص بن غیاث، و الحسین بن علوان، و عبد الملک بن جریج، و قیس بن الربیع، و مسعدة بن صدقة، و عبّاد بن صهیب، و أبی المقدام، و کثیر النّوا، و یوسف بن الحرث، و عبد اللّه البرقی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تنقیحه کان بصورة تجریده عن الهفوات و الاشتباهات الّتی یظهر من النجاشی وجودها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الخصوصیة التی تمیّز هذا الکتاب عن سائر ما ألّف فی هذا المضمار عبارة عن التّرکیز علی نقل الروایات المربوطة بالرواة الّتی یقدر القاریء بالامعان فیها علی تمییز الثقة عن الضعیف و قد ألّفه علی نهج الطبقات مبتدءا بأصحاب الرسول و الوصیّ إلی أن یصل إلی أصحاب الهادی و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الذین یلونهم و هو بین الشیعة کطبقات ابن سعد بین السنّة</w:t>
      </w:r>
      <w:r>
        <w:rPr>
          <w:rFonts w:eastAsia="IRNazanin" w:cs="IRNazanin"/>
          <w:color w:val="111111"/>
          <w:sz w:val="28"/>
          <w:szCs w:val="28"/>
          <w:rtl w:val="true"/>
          <w:lang w:bidi="fa-IR"/>
        </w:rPr>
        <w:t>.</w:t>
      </w:r>
    </w:p>
    <w:p>
      <w:pPr>
        <w:pStyle w:val="Heading4"/>
        <w:numPr>
          <w:ilvl w:val="3"/>
          <w:numId w:val="1"/>
        </w:numPr>
        <w:rPr/>
      </w:pPr>
      <w:bookmarkStart w:id="119" w:name="__RefHeading___Toc2759868_1395250215"/>
      <w:bookmarkStart w:id="120" w:name="_Toc38"/>
      <w:bookmarkEnd w:id="119"/>
      <w:r>
        <w:rPr/>
        <w:t>2</w:t>
      </w:r>
      <w:r>
        <w:rPr>
          <w:rtl w:val="true"/>
        </w:rPr>
        <w:t xml:space="preserve"> - </w:t>
      </w:r>
      <w:r>
        <w:rPr>
          <w:rtl w:val="true"/>
        </w:rPr>
        <w:t>فهرس النجاشی</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تألیف الثّبت البصیر الشیخ أبی العبّاس</w:t>
      </w:r>
      <w:r>
        <w:rPr>
          <w:rStyle w:val="FootnoteAnchor"/>
          <w:rtl w:val="true"/>
        </w:rPr>
        <w:footnoteReference w:id="41"/>
      </w:r>
      <w:r>
        <w:rPr>
          <w:rFonts w:ascii="IRNazanin" w:hAnsi="IRNazanin" w:eastAsia="IRNazanin"/>
          <w:color w:val="111111"/>
          <w:sz w:val="28"/>
          <w:sz w:val="28"/>
          <w:szCs w:val="28"/>
          <w:rtl w:val="true"/>
          <w:lang w:bidi="fa-IR"/>
        </w:rPr>
        <w:t>أحمد بن علی بن أحمد بن العباس، الشهیر بالنّجاشی، و قد ترجم نفسه فی نفس الکتاب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علی بن أحمد بن العباس بن محمّد بن عبد اللّه بن ابراهیم بن محمد بن عبد اللّه بن النجاشی، الّذی ولی الأهواز و کتب إلی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و کتب إلیه رسالة عبد اللّه بن النجاشی المعروفة</w:t>
      </w:r>
      <w:r>
        <w:rPr>
          <w:rStyle w:val="FootnoteAnchor"/>
          <w:rtl w:val="true"/>
        </w:rPr>
        <w:footnoteReference w:id="42"/>
      </w:r>
      <w:r>
        <w:rPr>
          <w:rFonts w:ascii="IRNazanin" w:hAnsi="IRNazanin" w:eastAsia="IRNazanin"/>
          <w:color w:val="111111"/>
          <w:sz w:val="28"/>
          <w:sz w:val="28"/>
          <w:szCs w:val="28"/>
          <w:rtl w:val="true"/>
          <w:lang w:bidi="fa-IR"/>
        </w:rPr>
        <w:t xml:space="preserve">و لم یر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مصنّف هذا الکتاب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 ما ورد فیه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و ما فیها من الآثار 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بنی نصر بن قعین و أیّامهم و أشعارهم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النّجوم الّتی سمّتها العرب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فی دیباجة الکتاب، الحوافز الّتی دعته إلی تألیف فهرسه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وقفت علی ما ذکره السید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بقاه و أدام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تعییر قوم من مخالفینا أنّه لا سلف لکم و لا مصنّف، و هذا قول من لا علم له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وقف علی أخبارهم، و لا عرف منازلهم و تاریخ أخبار أهل العلم، و لا لقی أحدا فیعرف منه و لا حجّة علینا لمن لا یعلم و لا عرف، و قد جمعت من ذلک ما استطعته و لم أبلغ غایته، لعدم أکثر الکتب، و إنّما ذکرت ذلک عذرا إلی من وقع إلیه کتاب لم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هذا الفنّ کتبا لیست مستغرقة لجمیع ما رسم، و أرجو أن یأتی فی ذلک علی ما رسم و حدّ إن شاء اللّه، و ذکرت لکلّ رجل طریقا واحدا حتّی لا یکثر الطّرق فیخرج عن الغرض</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نقّاد هذا الفنّ و من أجلاّئه و أعیانه، و حاز قصب السبق فی میدانه، قال العلاّمة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معتمد علیه، له کتاب الرجال نقلنا منه فی کتابنا هذا و غیره أشیاء کثیرة، و توفّی بمطیر آباد فی جمادی الاولی سنة خمسین و أربعمائة و کان مولده فی صفر سنة اثنتین و سبعین و ثلاثمائة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اعتمد علیه المحقّق فی کتاب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فی غسالة ماء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جمهور ضعیف جدّا، ذکر ذلک النجاشی فی کتاب الرجال</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أطراه کلّ من تعرّض له، فهو أبو عذر هذا الأمر و سابق حلبته کما لا یخفی، و لکتابه هذا امتیازات نشیر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برجال الشیعة کما ذکره فی مقدّمته، و لا یذکر من غیر الشیعی إلاّ إذا کان عامیا روی عنّا، أو صنّف لنا فیذکره مع التنبیه علیه، کالمدائنی و الطّبری، و کذا فی شیعیّ غیر إمامی فیصرّح کثیرا و قد 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 لجرح الرواة و تعدیلهم غالبا استقلالا أو استطرادا، و ربّ رجل وثّقه فی ضمن ترجمة الغیر، و ربما أعرض عن التعرّض بشیء من الوثاقة و الضّعف فی حقّ بعض من ترجمهم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أهمل فیه القول فذلک آیة أنّ الرجل عنده سالم عن کلّ مغمز و مطعن، و لکنّه غیر ثابت، حیث إنّ کتابه لیس إلاّ مجرّد فهرس لمن صنّف من الشیعة أو صنّف لهم دون الممدوحین و المذمومین، و لیس یجب علی مؤلّف حول الرجال، أن یتعرّض للمدح و الّذم، فسکوته لیس دلیلا علی المدح و لا علی کونه شیعیّا إمامیا، و إن کان الکتاب موضوعا لبیان الشیعی أو من صنّف لهم، لکنّ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دلالته علی کونه شیعیا إمامیا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تأمّل، لتصریحه بأنّ الکتاب لبیان تألیف الأصحاب و مصنّفاتهم، فما دام لم یصرّح بالخلاف یکون الأصل کونه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تثبّته فی مقالاته و تأمّله فی إفاداته، و المعروف أنّه أثبت علماء الرجال و أضبطهم و أضبط من الشّیخ و العلاّمة، لأنّ البناء علی کثرة التألیف یقتضی قلّة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و إن کان غیر خال عن التأمّل لکنّه جار علی الغالب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معرفته بهذا الفنّ، و کثرة اطّلاعه بالأشخاص، و ما یتعلّق بهم من الأوصاف و الأنساب و ما یجری مجراهما، و من تتبّع کلامه عند ذکر الأشخاص یقف علی نهایة معرفته بأحوال الرجال و شدّة إحاطته بما یتعلّق بهذا </w:t>
      </w:r>
    </w:p>
    <w:p>
      <w:pPr>
        <w:pStyle w:val="BookText"/>
        <w:rPr/>
      </w:pPr>
      <w:r>
        <w:rPr>
          <w:rFonts w:ascii="IRNazanin" w:hAnsi="IRNazanin" w:eastAsia="IRNazanin"/>
          <w:color w:val="111111"/>
          <w:sz w:val="28"/>
          <w:sz w:val="28"/>
          <w:szCs w:val="28"/>
          <w:rtl w:val="true"/>
          <w:lang w:bidi="fa-IR"/>
        </w:rPr>
        <w:t>المجال من جهة معاصرته و معاشرته لغیر واحد منهم، کما یشهد استطرافه ذکر امور لا یطّلع علیها إلاّ المصاحب و لا یعرفها عدا المراقب الواجد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حصل له ذاک الاطّلاع الواسع بصحبته کثیرا من العارفین بالرجال کالشیخ أحمد بن الحسین الغضائری، و الشیخ أحمد بن علی بن عباس بن نوح السیرافی</w:t>
      </w:r>
      <w:r>
        <w:rPr>
          <w:rStyle w:val="FootnoteAnchor"/>
          <w:rtl w:val="true"/>
        </w:rPr>
        <w:footnoteReference w:id="48"/>
      </w:r>
      <w:r>
        <w:rPr>
          <w:rFonts w:ascii="IRNazanin" w:hAnsi="IRNazanin" w:eastAsia="IRNazanin"/>
          <w:color w:val="111111"/>
          <w:sz w:val="28"/>
          <w:sz w:val="28"/>
          <w:szCs w:val="28"/>
          <w:rtl w:val="true"/>
          <w:lang w:bidi="fa-IR"/>
        </w:rPr>
        <w:t xml:space="preserve">، و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الجندی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و أبی الفرج محمّد بن علی ابن یعقوب بن اسحاق بن أبی قرّة الکاتب</w:t>
      </w:r>
      <w:r>
        <w:rPr>
          <w:rStyle w:val="FootnoteAnchor"/>
          <w:rtl w:val="true"/>
        </w:rPr>
        <w:footnoteReference w:id="50"/>
      </w:r>
      <w:r>
        <w:rPr>
          <w:rFonts w:ascii="Amiri" w:hAnsi="Amiri" w:eastAsia="Amiri" w:cs="Amiri"/>
          <w:color w:val="111111"/>
          <w:sz w:val="28"/>
          <w:sz w:val="28"/>
          <w:szCs w:val="28"/>
          <w:rtl w:val="true"/>
          <w:lang w:bidi="ar-SA"/>
        </w:rPr>
        <w:t>و غیره من نقّاد هذا الفنّ و أجلاّئه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 فهرسه بعد فهرس الشیخ الطوسی بشهادة أنّه ترجمه و ذکر فیه فهرس الشیخ</w:t>
      </w:r>
      <w:r>
        <w:rPr>
          <w:rStyle w:val="FootnoteAnchor"/>
          <w:rtl w:val="true"/>
        </w:rPr>
        <w:footnoteReference w:id="52"/>
      </w:r>
      <w:r>
        <w:rPr>
          <w:rFonts w:ascii="IRNazanin" w:hAnsi="IRNazanin" w:eastAsia="IRNazanin"/>
          <w:color w:val="111111"/>
          <w:sz w:val="28"/>
          <w:sz w:val="28"/>
          <w:szCs w:val="28"/>
          <w:rtl w:val="true"/>
          <w:lang w:bidi="fa-IR"/>
        </w:rPr>
        <w:t xml:space="preserve">و السابر فی فهرس النجاشی یقف علی أنه کان ناظرا لفهرس معاصره و لعلّ بعض ما جاء فیه مخالفا لما فی فهرس الشیخ کان لغایة التصحیح و کان المحقّق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بأنّ فهرس النجاشی کالذیل لفهرس الشیخ</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فی وفاته هو أنّه توفّی عام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و نص علیه العلاّمة فی خلاصته، لکن القاریء یجد فی طیّات الکتاب أنّه أرّخ فیه وفاة محمد بن الحسن بن حمزة الجعفری عام </w:t>
      </w:r>
      <w:r>
        <w:rPr>
          <w:rFonts w:eastAsia="IRNazanin" w:cs="IRNazanin"/>
          <w:color w:val="111111"/>
          <w:sz w:val="28"/>
          <w:szCs w:val="28"/>
          <w:lang w:bidi="fa-IR"/>
        </w:rPr>
        <w:t>463</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ذلک أن یکون حیّا إلی هذه السنة، و من المحتمل أن یکون الزیادة من النسّاخ أو القرّاء، و کانت </w:t>
      </w:r>
    </w:p>
    <w:p>
      <w:pPr>
        <w:pStyle w:val="BookText"/>
        <w:rPr/>
      </w:pPr>
      <w:r>
        <w:rPr>
          <w:rFonts w:ascii="IRNazanin" w:hAnsi="IRNazanin" w:eastAsia="IRNazanin"/>
          <w:color w:val="111111"/>
          <w:sz w:val="28"/>
          <w:sz w:val="28"/>
          <w:szCs w:val="28"/>
          <w:rtl w:val="true"/>
          <w:lang w:bidi="fa-IR"/>
        </w:rPr>
        <w:t>الزیادة فی الحاشیة، ثمّ أدخلها المتأخّرون من النسّاخ فی المتن زاعمین أنّه منه کما اتّفق ذلک فی غیر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النجاشی قد ترجم عدّة من الرواة و وثّقهم فی غیر تراجمهم، کما أنّه لم یترجم عدّة من الرواة مستقلاّ، و لکن وثّقهم فی تراجم غیرهم، و لأجل إکمال البحث عقدنا العنوانین التالیین لئلاّ یفوت القاریء فهرس الموثوقین فی تراجم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لهم تراجم و لکن وثّقوا فی تراجم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محمّد بن سلیمان الزراری، وثّقه فی ترجمة 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محمّد بن عبد اللّه الخزاعی، وثّقه فی ترجمة أخیه منصور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بن عبد ربّه الأسدی، وثّقه فی ترجمة ابن أخیه إسماعیل بن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خالد المحاملی الکناسی، وثّقه فی باب الکنی فی ترجمة أبی شعیب 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منهال بن مقلاص القیسی، وثّقه فی ترجمة ابنه حسن بن عمرو بن 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عطیّة الحنّاط، وثّقه فی ترجمة أخیه الحسن بن عطیّة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بن سهیل الاسکافی، وثّقه فی ترجمة جعفر بن محمد بن مالک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لهم ترجمة و لکن وثّقوا فی تراجم الغیر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الهیثم العجلی، وثّقه فی ترجمة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بن أعفر المصری، وثّقه فی ترجمة ابنه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أبی السمال الأسدی، وثّقه فی ترجمة أخیه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الفضل بن یعقوب النّوفلی، وثّقه فی ترجمة ابن أخیه الحسین بن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إبراهیم الطالبی الجعفری، وثّقه فی ترجمة ابنه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أبی سارة الرواسی، وثّقه فی ترجمة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شجرة بن میمون الکندی، وثّقه فی ترجمة أخیه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علوان الکلبی، وثّقه فی ترجمة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محمّد بن خالد الطیالسی، وثّقه فی ترجمة أخیه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سابور الزیّات، وثّقه فی ترجمة أخیه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سالم، وثّقه فی ترجمة أخیه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758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حیّان بن علی العنزی، وثّقه فی ترجمة أخیه مندل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سابور الزیّات، وثّقه فی ترجمة أخیه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سابور الزیّات، وثّقه فی ترجمة أخیه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الجعد الأشجعی، وثّقه فی ترجمة ابن ابنه رافع ابن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سوقة العمری، وثّقه فی ترجمة أخیه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زیاد بن أبی الجعد الأشجعی، وثّقه فی ترجمة ابنه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بن میمون بن أبی أراکة الکندی، وثّقه فی ترجمة ابنه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بن موسی الساباطی، وثّقه فی ترجمة أخیه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الأعلی بن علی بن أبی شعبة الحلبی، وثّقه فی تراجم ابن عمّه أحمد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أخویه عبید اللّه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الخالق بن عبد ربّه الأسدی، وثّقه فی ترجمة ابنه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أبی عبد اللّه البصری، وثّقه فی ترجمة ابن ابنه إسماعیل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الرحیم بن عبد ربّه الأسدی، وثّقه فی ترجمة ابن أخیه إسماعیل بن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رباط البجلی، وثّقه فی ترجمة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عثمان بن عمرو الفزاری، وثّقه فی ترجمة أخیه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سعید الکنانی، وثّقه فی ترجمة أخیه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عتبة النّخعی، وثّقه فی ترجمة عبد الملک بن عتبة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شعبة الحلبی، وثّقه فی ترجمة ابنه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بشیر، وثّقه فی ترجمة أخیه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عطیّة الحنّاط، وثّقه فی ترجمة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علیّ بن أبی شعبة الحلبی، وثّقه فی تراجم ابن عمّه أحمد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أخویه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أبی شعبة الحلبی، وثّقه فی ترجمة ابن أخیه عبید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مروان الیشکری، وثّقه فی ترجمة أخیه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موسی الساباطی، وثّقه فی ترجمة أخیه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779</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محمّد بن مهاجر بن عبید الأزدی، وثّقه فی ترجمة ابنه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21" w:name="pg2858_19476"/>
    </w:p>
    <w:p>
      <w:pPr>
        <w:pStyle w:val="BookText"/>
        <w:rPr/>
      </w:pPr>
      <w:bookmarkEnd w:id="121"/>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الهیثم العجلی، وثّقه فی ترجمة ابن ابنه 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سوقة العمری، وثّقه فی ترجمة أخیه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مسلم بن أبی سارة، وثّقه فی ترجمة ابن عمّه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همّام بن عبد الرحمن بن میمون البصری، وثّقه فی ترجمة ابنه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إلیاس بن عمرو البجلی، وثّقه فی ترجمة أخیه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الجعد الأشجعی، وثّقه فی ترجمة ابن حفیده رافع بن سلمة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شعبة الحلبی، وثّقه فی ترجمة ابن ابنه عبید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عامر بن جناح الأزدی، وثّقه فی ترجمة أخیه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4"/>
        <w:numPr>
          <w:ilvl w:val="3"/>
          <w:numId w:val="1"/>
        </w:numPr>
        <w:rPr/>
      </w:pPr>
      <w:bookmarkStart w:id="122" w:name="__RefHeading___Toc2759870_1395250215"/>
      <w:bookmarkStart w:id="123" w:name="_Toc39"/>
      <w:bookmarkEnd w:id="122"/>
      <w:r>
        <w:rPr/>
        <w:t>3</w:t>
      </w:r>
      <w:r>
        <w:rPr>
          <w:rtl w:val="true"/>
        </w:rPr>
        <w:t xml:space="preserve"> - </w:t>
      </w:r>
      <w:r>
        <w:rPr>
          <w:rtl w:val="true"/>
        </w:rPr>
        <w:t>رجال الشیخ</w:t>
      </w:r>
      <w:r>
        <w:rPr>
          <w:rtl w:val="true"/>
        </w:rPr>
        <w:t>:</w:t>
      </w:r>
      <w:bookmarkEnd w:id="123"/>
    </w:p>
    <w:p>
      <w:pPr>
        <w:pStyle w:val="BookText"/>
        <w:rPr/>
      </w:pPr>
      <w:r>
        <w:rPr>
          <w:rFonts w:ascii="IRNazanin" w:hAnsi="IRNazanin" w:eastAsia="IRNazanin"/>
          <w:color w:val="111111"/>
          <w:sz w:val="28"/>
          <w:sz w:val="28"/>
          <w:szCs w:val="28"/>
          <w:rtl w:val="true"/>
          <w:lang w:bidi="fa-IR"/>
        </w:rPr>
        <w:t xml:space="preserve">تألیف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ترتیب عصورهم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المحقّق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مسلک الشیخ فی رجاله یغایر </w:t>
      </w:r>
      <w:bookmarkStart w:id="124" w:name="pg2858_19477"/>
    </w:p>
    <w:p>
      <w:pPr>
        <w:pStyle w:val="BookText"/>
        <w:rPr/>
      </w:pPr>
      <w:bookmarkEnd w:id="124"/>
      <w:r>
        <w:rPr>
          <w:rFonts w:ascii="IRNazanin" w:hAnsi="IRNazanin" w:eastAsia="IRNazanin"/>
          <w:color w:val="111111"/>
          <w:sz w:val="28"/>
          <w:sz w:val="28"/>
          <w:szCs w:val="28"/>
          <w:rtl w:val="true"/>
          <w:lang w:bidi="fa-IR"/>
        </w:rPr>
        <w:t xml:space="preserve">مسلکه فی الفهرس و مسلک النجاشی فی فهرسه، حیث إنّه أراد فی رجاله استقصاء أصحابهم و من روی عنهم مؤمنا کان أو منافقا، إمامیّا کان أو عامیا، فعدّ الخلفاء و معاویة و عمرو بن العاص و نظراءهم من أصحاب النّبی، و عدّ زیاد بن أبیه و ابنه عبید اللّه بن زیاد من أصحاب أمیر المؤمنین، و عدّ منصورا الدّوانیقی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شیء فیهم، فالاستناد إلیه ما لم یحرز إمامیّة رجل غیر جائز حتّی فی أصحاب غیر النّبی و أمیر المؤمنین، فکیف فی أصحابهما؟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فلم یأت بکلّ الصّحابة، و لا بکلّ أصحاب الأئمّة،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حسب ما جاء فی مقدّمته الّف لبیان الرواة من الأئمّة، فالظّاهر کون الراوی إمامیّا ما لم یصرّح بالخلاف أو لا أقلّ شیعیّا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سیّدنا المحقّق البروجردی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الرجال للشیخ کانت مذکّرات له و لم یتوفّق لإکماله، و لأجل ذلک نری أنّه یذکر عدة أسماء و لا یذکر فی حقّهم شیئا من الوثاقة و الضّعف و لا الکتاب و الروایة، بل یعدّهم من أصحاب الرسول و الأئمّة فقط</w:t>
      </w:r>
      <w:r>
        <w:rPr>
          <w:rFonts w:eastAsia="IRNazanin" w:cs="IRNazanin"/>
          <w:color w:val="111111"/>
          <w:sz w:val="28"/>
          <w:szCs w:val="28"/>
          <w:rtl w:val="true"/>
          <w:lang w:bidi="fa-IR"/>
        </w:rPr>
        <w:t>».</w:t>
      </w:r>
    </w:p>
    <w:p>
      <w:pPr>
        <w:pStyle w:val="Heading4"/>
        <w:numPr>
          <w:ilvl w:val="3"/>
          <w:numId w:val="1"/>
        </w:numPr>
        <w:rPr/>
      </w:pPr>
      <w:bookmarkStart w:id="125" w:name="__RefHeading___Toc2759872_1395250215"/>
      <w:bookmarkStart w:id="126" w:name="_Toc40"/>
      <w:bookmarkEnd w:id="125"/>
      <w:r>
        <w:rPr/>
        <w:t>4</w:t>
      </w:r>
      <w:r>
        <w:rPr>
          <w:rtl w:val="true"/>
        </w:rPr>
        <w:t xml:space="preserve"> - </w:t>
      </w:r>
      <w:r>
        <w:rPr>
          <w:rtl w:val="true"/>
        </w:rPr>
        <w:t>فهرس الشیخ</w:t>
      </w:r>
      <w:r>
        <w:rPr>
          <w:rtl w:val="true"/>
        </w:rPr>
        <w:t>:</w:t>
      </w:r>
      <w:bookmarkEnd w:id="126"/>
    </w:p>
    <w:p>
      <w:pPr>
        <w:pStyle w:val="BookText"/>
        <w:rPr/>
      </w:pPr>
      <w:r>
        <w:rPr>
          <w:rFonts w:ascii="IRNazanin" w:hAnsi="IRNazanin" w:eastAsia="IRNazanin"/>
          <w:color w:val="111111"/>
          <w:sz w:val="28"/>
          <w:sz w:val="28"/>
          <w:szCs w:val="28"/>
          <w:rtl w:val="true"/>
          <w:lang w:bidi="fa-IR"/>
        </w:rPr>
        <w:t xml:space="preserve">و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أتی بأسماء الّذین لهم أصل أو تصنیف</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الشّیخ الطّوسی مؤلف الرجال و الفهرس أظهر من أن یعرف، إذ هو الحبر الّذی یقتطف منه أزهار العلوم، و یقتبس منه أنواع الفضل، فهو رئیس المذهب و الملّة، و شیخ المشایخ الأجلّة، فقد أطراه کلّ من ذکره، و وصفه بشیخ الطّائفة علی الإطلاق، و رئیسها الّذی تلوی إلیه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فی </w:t>
      </w:r>
    </w:p>
    <w:p>
      <w:pPr>
        <w:pStyle w:val="BookText"/>
        <w:rPr/>
      </w:pPr>
      <w:r>
        <w:rPr>
          <w:rFonts w:ascii="IRNazanin" w:hAnsi="IRNazanin" w:eastAsia="IRNazanin"/>
          <w:color w:val="111111"/>
          <w:sz w:val="28"/>
          <w:sz w:val="28"/>
          <w:szCs w:val="28"/>
          <w:rtl w:val="true"/>
          <w:lang w:bidi="fa-IR"/>
        </w:rPr>
        <w:t>جمیع علوم الإسلام، فهو مضافا إلی اختیار الکشّی، صنّف الفهرس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الفهرس فهو موضوع لذکر الاصول و المصنّفات، و ذکر الطّرق إلیها غالبا و هو یفید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الطّرق إلی نفس هذه الاصول و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نقل فی التّهذیب روایات من هذه الاصول و المصنّفات، و لم یذکر طریقه إلی تلک الاصول و المصنّفات، لا فی نفس الکتاب و لا فی خاتمة الکتاب، و لکن ذکر طریقه إلیها فی الفهرس، بل ربّما یکون مفیدا من وجه ثالث و هو أنّه ربّما یکون طریق الشّیخ إلی هذه الاصول و المصنّفات ضعیفا فی التّهذیب، و لکنّه صحیح فی الفهرس، فیصحّ توصیف الخبر بالصحّة لأجل الطّریق الموجود فی الفهرس، لکن بشرط أن یعلم أنّ الحدیث مأخوذ من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فالفهرس موضوع لبیان مؤلّفی الشیعة علی الإطلاق سواء کان إمامیّا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ذکرت کلّ واحد من المصنّفین و أصحاب الاصول فلا بدّ أن اشیر إلی ما قیل فیه من التّعدیل و التجریح، و هل یعوّل علی روایته أو لا، و ابیّن اعتقاده و هل هو موافق للحقّ أو هو مخالف له؟ لأنّ کثیرا من مصنّفی أصحابنا و أصحاب الاصول ینتحلون المذاهب الفاسدة و إن کانت کتبهم معتمدة، فإذا سهّل اللّه إتمام هذا الکتاب فإنّه یطلع علی أکثر ما عمل من التّصانیف و الاصول و یعرف به قدر صالح من الرجال و طرائقهم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 بوعده فی کثیر من ذوی المذاهب الفاسدة، فلم یقل فی إبراهیم بن أبی بکیر بن أبی السمال شیئا، مع أنّه کان واقفیا کما </w:t>
      </w:r>
      <w:bookmarkStart w:id="127" w:name="pg2858_19479"/>
    </w:p>
    <w:p>
      <w:pPr>
        <w:pStyle w:val="BookText"/>
        <w:rPr/>
      </w:pPr>
      <w:bookmarkEnd w:id="127"/>
      <w:r>
        <w:rPr>
          <w:rFonts w:ascii="IRNazanin" w:hAnsi="IRNazanin" w:eastAsia="IRNazanin"/>
          <w:color w:val="111111"/>
          <w:sz w:val="28"/>
          <w:sz w:val="28"/>
          <w:szCs w:val="28"/>
          <w:rtl w:val="true"/>
          <w:lang w:bidi="fa-IR"/>
        </w:rPr>
        <w:t xml:space="preserve">صرّح به الکشّی و النجاشی، و لم یذکر شیئا فی کثیر من الضعفاء حتی فی مثل الحسن بن علی السجّاد الّذی کان یفضّل أبا الخطّاب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مع أنّه لم یعد ذلک فی أوّل کتابه، أکثر ذکرا منه بفساد مذهب الفاسدین و ضعف الضّعفاء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759874_1395250215"/>
      <w:bookmarkStart w:id="129" w:name="_Toc41"/>
      <w:bookmarkEnd w:id="128"/>
      <w:r>
        <w:rPr/>
        <w:t>5</w:t>
      </w:r>
      <w:r>
        <w:rPr>
          <w:rtl w:val="true"/>
        </w:rPr>
        <w:t xml:space="preserve"> - </w:t>
      </w:r>
      <w:r>
        <w:rPr>
          <w:rtl w:val="true"/>
        </w:rPr>
        <w:t>رجال البرقی</w:t>
      </w:r>
      <w:bookmarkEnd w:id="129"/>
    </w:p>
    <w:p>
      <w:pPr>
        <w:pStyle w:val="BookText"/>
        <w:rPr/>
      </w:pPr>
      <w:r>
        <w:rPr>
          <w:rFonts w:ascii="IRNazanin" w:hAnsi="IRNazanin" w:eastAsia="IRNazanin"/>
          <w:color w:val="111111"/>
          <w:sz w:val="28"/>
          <w:sz w:val="28"/>
          <w:szCs w:val="28"/>
          <w:rtl w:val="true"/>
          <w:lang w:bidi="fa-IR"/>
        </w:rPr>
        <w:t xml:space="preserve">کتاب الرجال للبرقی کرجال الشیخ، أتی فیه أسماء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إلی الحجّة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فیه أیّ تعدیل و تجریح، و ذکر النجاشی فی عداد مصنّفات البرقی کتاب الطبقات، ثمّ ذکر ثلاثة کتب اخر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الموجود هو الطبقات المعروف برجال البرقی، المطبوع مع رجال أبی داود فی طهران، و اختلفت کلماتهم فی أن رجال البرقی هل هو تألیف أحمد بن محمّد بن خالد البرقی صاحب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تألیف أبیه، و القرائن تشهد علی خلاف کلتا النظریتین و إلیک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کثیرا ما یستند فی رجاله إلی کتاب سعد بن عبد اللّه بن أبی خلف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عبد اللّه ممّن یروی عن أحمد بن محمّد بن خالد فهو شیخه، و لا معنی لاستناد البرقی الی کتاب تلمیذه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عنون فیه عبد اللّه بن جعفر الحمیری و صرّح بسماعه منه و هو مؤلّف قرب الاسناد و شیخ القمیّین، و هو یروی عن أحمد بن محمد بن خالد البرقی، فیکون البرقی شیخه، فکیف یصرّح بسماعه منه؟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30" w:name="pg2858_19480"/>
    </w:p>
    <w:p>
      <w:pPr>
        <w:pStyle w:val="BookText"/>
        <w:rPr/>
      </w:pPr>
      <w:bookmarkEnd w:id="13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عنون فیه أحمد بن أبی عبد اللّه، و هو نفس أحمد بن محمد بن خالد البرقی المعروف، و لم یذکر أنّه مصنّف الکتاب کما هو القاعدة فیمن یذکر نفسه فی کتابه، کما فعل الشیخ و النجاشی فی فهرسیهما و العلامة و ابن داود فی کتابیهما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عنون محمد بن خالد و لم یشر إلی أنّه أبوه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القرائن تشهد أنّه لیس تألیف البرقی و لا والده، و هو إمّا من تألیف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عبد اللّه بن أحمد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عنه الکلینی، أو تألیف نجله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أحمد بن عبد اللّه بن أحمد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یروی عنه الصدوق، و الثانی أقرب لعنوانه سعدا و الحمیری اللذین یعدان معاصرین للابن و فی طبقة المشیخة للنّجل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759876_1395250215"/>
      <w:bookmarkStart w:id="132" w:name="_Toc42"/>
      <w:bookmarkEnd w:id="131"/>
      <w:r>
        <w:rPr/>
        <w:t>6</w:t>
      </w:r>
      <w:r>
        <w:rPr>
          <w:rtl w:val="true"/>
        </w:rPr>
        <w:t xml:space="preserve"> - </w:t>
      </w:r>
      <w:r>
        <w:rPr>
          <w:rtl w:val="true"/>
        </w:rPr>
        <w:t>رسالة أبی غالب الزراری</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رسالة للشّیخ أبی غالب، أحمد بن محمّد الّذی ینتهی نسبه إلی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الرسالة فی نسب آل أعین، و تراجم المحدّثین منهم، کتبها أبو غالب الی ابن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أبی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إجازة منه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جدّدها 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بعد ذلک بسنة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تلک الرسالة بضعة و عشرین من مشایخه،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أبو طاهر الذی مات سنة </w:t>
      </w:r>
      <w:r>
        <w:rPr>
          <w:rFonts w:eastAsia="IRNazanin" w:cs="IRNazanin"/>
          <w:color w:val="111111"/>
          <w:sz w:val="28"/>
          <w:szCs w:val="28"/>
          <w:lang w:bidi="fa-IR"/>
        </w:rPr>
        <w:t>300</w:t>
      </w:r>
      <w:r>
        <w:rPr>
          <w:rStyle w:val="FootnoteAnchor"/>
          <w:rtl w:val="true"/>
        </w:rPr>
        <w:footnoteReference w:id="63"/>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الذی ورد الکوفة سنة </w:t>
      </w:r>
      <w:r>
        <w:rPr>
          <w:rFonts w:eastAsia="IRNazanin" w:cs="IRNazanin"/>
          <w:color w:val="111111"/>
          <w:sz w:val="28"/>
          <w:szCs w:val="28"/>
          <w:lang w:bidi="fa-IR"/>
        </w:rPr>
        <w:t>297</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33" w:name="pg2858_19481"/>
    </w:p>
    <w:p>
      <w:pPr>
        <w:pStyle w:val="BookText"/>
        <w:rPr/>
      </w:pPr>
      <w:bookmarkEnd w:id="133"/>
      <w:r>
        <w:rPr>
          <w:rFonts w:ascii="IRNazanin" w:hAnsi="IRNazanin" w:eastAsia="IRNazanin"/>
          <w:color w:val="111111"/>
          <w:sz w:val="28"/>
          <w:sz w:val="28"/>
          <w:szCs w:val="28"/>
          <w:rtl w:val="true"/>
          <w:lang w:bidi="fa-IR"/>
        </w:rPr>
        <w:t>و فی أواخر الرسالة ذکر فهرس الکتب الموجودة عنده، الّتی یرویها هو عن مؤلّفیها، و تبلغ مائة و اثنین و عشرین کتابا، و جزء، و أجاز لابن ابنه المذکور روایتها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الکتب الّتی أجزت لک روایتها علی الحال الّتی قدّمت ذکرها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الکتاب تراجم کثیرة من آل أعین الّذین کان منهم فی عصر واحد أربعون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فی وقتی من آل أعین أحد یروی الحدیث، و لا یطلب العلم، و شححت علی أهل هذا البیت الّذی لم یخل من محدّث أن یضمحلّ ذکرهم، و یدرس رسمهم، و یبطل حدیثهم من أولادهم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هذه الرسالة مع صغر حجمها تعدّ من الاصول الرجالیّة و هی بعینها مندرجة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أخیرا مع شرح العلاّمة الحجة السیّد محمّد علی الأبطحی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فوائد مهمة</w:t>
      </w:r>
      <w:r>
        <w:rPr>
          <w:rFonts w:eastAsia="IRNazanin" w:cs="IRNazanin"/>
          <w:color w:val="111111"/>
          <w:sz w:val="28"/>
          <w:szCs w:val="28"/>
          <w:rtl w:val="true"/>
          <w:lang w:bidi="fa-IR"/>
        </w:rPr>
        <w:t>.</w:t>
      </w:r>
    </w:p>
    <w:p>
      <w:pPr>
        <w:pStyle w:val="Heading4"/>
        <w:numPr>
          <w:ilvl w:val="3"/>
          <w:numId w:val="1"/>
        </w:numPr>
        <w:rPr/>
      </w:pPr>
      <w:bookmarkStart w:id="134" w:name="__RefHeading___Toc2759878_1395250215"/>
      <w:bookmarkStart w:id="135" w:name="_Toc43"/>
      <w:bookmarkEnd w:id="134"/>
      <w:r>
        <w:rPr/>
        <w:t>7</w:t>
      </w:r>
      <w:r>
        <w:rPr>
          <w:rtl w:val="true"/>
        </w:rPr>
        <w:t xml:space="preserve"> - </w:t>
      </w:r>
      <w:r>
        <w:rPr>
          <w:rtl w:val="true"/>
        </w:rPr>
        <w:t>مشیخة الصدوق</w:t>
      </w:r>
      <w:r>
        <w:rPr>
          <w:rtl w:val="true"/>
        </w:rPr>
        <w:t>:</w:t>
      </w:r>
      <w:bookmarkEnd w:id="13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تألیف الشیخ الصّدوق أبی جعفر محمّد بن علیّ بن الحسین بن بابویه المولود بدعاء الحجّة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هو أوسط المحمّدین الثلاثة المصنّفین للکتب الأربعة، و هو قد سلک فی کتابه هذا مسلکا غیر ما سلکه الشیخ الکلینی، فإنّ ثقة الإسلام یذکر جمیع السند غالبا إلاّ قلیلا، اعتمادا علی ما ذکره فی الأخبار السابقة، و أمّا الشیخ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w:t>
      </w:r>
      <w:bookmarkStart w:id="136" w:name="pg2858_19482"/>
    </w:p>
    <w:p>
      <w:pPr>
        <w:pStyle w:val="BookText"/>
        <w:rPr/>
      </w:pPr>
      <w:bookmarkEnd w:id="136"/>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بنی من أوّل الأمر علی اختصار الأسانید، و حذف أوائل الإسناد، ثمّ وضع فی آخره مشیخة یعرف بها طریقه إلی من روی عنه، فهی المرجع فی اتّصال سنده فی أخبار هذا الکتاب، و هذه المشیخة إحدی الرسائل الرجالیّة الّتی لا تخلو من فوائد، و قد أدرجها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Heading4"/>
        <w:numPr>
          <w:ilvl w:val="3"/>
          <w:numId w:val="1"/>
        </w:numPr>
        <w:rPr/>
      </w:pPr>
      <w:bookmarkStart w:id="137" w:name="__RefHeading___Toc2759880_1395250215"/>
      <w:bookmarkStart w:id="138" w:name="_Toc44"/>
      <w:bookmarkEnd w:id="137"/>
      <w:r>
        <w:rPr/>
        <w:t>8</w:t>
      </w:r>
      <w:r>
        <w:rPr>
          <w:rtl w:val="true"/>
        </w:rPr>
        <w:t xml:space="preserve"> - </w:t>
      </w:r>
      <w:r>
        <w:rPr>
          <w:rtl w:val="true"/>
        </w:rPr>
        <w:t>مشیخة الشیخ الطوسی فی کتابی</w:t>
      </w:r>
      <w:r>
        <w:rPr>
          <w:rtl w:val="true"/>
        </w:rPr>
        <w:t xml:space="preserve">: </w:t>
      </w:r>
      <w:r>
        <w:rPr>
          <w:rtl w:val="true"/>
        </w:rPr>
        <w:t>التهذیب و الاستبصار</w:t>
      </w:r>
      <w:bookmarkEnd w:id="138"/>
    </w:p>
    <w:p>
      <w:pPr>
        <w:pStyle w:val="Heading5"/>
        <w:numPr>
          <w:ilvl w:val="4"/>
          <w:numId w:val="1"/>
        </w:numPr>
        <w:rPr/>
      </w:pPr>
      <w:bookmarkStart w:id="139" w:name="__RefHeading___Toc2759882_1395250215"/>
      <w:bookmarkStart w:id="140" w:name="_Toc45"/>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هی کمشیخة الصّدوق، فقد صدّر الشیخ أحادیث الکتابین بأسماء أصحاب الاصول و المصنّفات، و ذکر سنده إلیهم فی مشیخة الکتابین الّتی جعلها فی آخر کل من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البحث حول المشیختین</w:t>
      </w:r>
      <w:r>
        <w:rPr>
          <w:rFonts w:eastAsia="IRNazanin" w:cs="IRNazanin"/>
          <w:color w:val="111111"/>
          <w:sz w:val="28"/>
          <w:szCs w:val="28"/>
          <w:rtl w:val="true"/>
          <w:lang w:bidi="fa-IR"/>
        </w:rPr>
        <w:t>.</w:t>
      </w:r>
    </w:p>
    <w:p>
      <w:pPr>
        <w:pStyle w:val="Heading5"/>
        <w:numPr>
          <w:ilvl w:val="4"/>
          <w:numId w:val="1"/>
        </w:numPr>
        <w:rPr/>
      </w:pPr>
      <w:bookmarkStart w:id="141" w:name="__RefHeading___Toc2759884_1395250215"/>
      <w:bookmarkStart w:id="142" w:name="_Toc46"/>
      <w:bookmarkEnd w:id="141"/>
      <w:r>
        <w:rPr>
          <w:rtl w:val="true"/>
        </w:rPr>
        <w:t>توالی التألیف فی علم الرجال</w:t>
      </w:r>
      <w:bookmarkEnd w:id="142"/>
    </w:p>
    <w:p>
      <w:pPr>
        <w:pStyle w:val="BookText"/>
        <w:rPr/>
      </w:pPr>
      <w:r>
        <w:rPr>
          <w:rFonts w:ascii="IRNazanin" w:hAnsi="IRNazanin" w:eastAsia="IRNazanin"/>
          <w:color w:val="111111"/>
          <w:sz w:val="28"/>
          <w:sz w:val="28"/>
          <w:szCs w:val="28"/>
          <w:rtl w:val="true"/>
          <w:lang w:bidi="fa-IR"/>
        </w:rPr>
        <w:t>و قد توالی التألیف فی علم الرجال بعد هذه الاصول الثمانیة، و لکن لا یقاس فی الوزن و القیمة بها، و لأجل ذلک یجب الوقوف علیها و استخراج ما فیها من النّصوص فی حقّ الرواة، و سیوافیک وجه الفرق بین هذه الکتب و ما ألّف بعدها و قیمة توثیق المتأخّرین</w:t>
      </w:r>
      <w:r>
        <w:rPr>
          <w:rFonts w:eastAsia="IRNazanin" w:cs="IRNazanin"/>
          <w:color w:val="111111"/>
          <w:sz w:val="28"/>
          <w:szCs w:val="28"/>
          <w:rtl w:val="true"/>
          <w:lang w:bidi="fa-IR"/>
        </w:rPr>
        <w:t>.</w:t>
      </w:r>
    </w:p>
    <w:p>
      <w:pPr>
        <w:pStyle w:val="Heading5"/>
        <w:numPr>
          <w:ilvl w:val="4"/>
          <w:numId w:val="1"/>
        </w:numPr>
        <w:rPr/>
      </w:pPr>
      <w:bookmarkStart w:id="143" w:name="__RefHeading___Toc2759886_1395250215"/>
      <w:bookmarkStart w:id="144" w:name="_Toc47"/>
      <w:bookmarkEnd w:id="143"/>
      <w:r>
        <w:rPr>
          <w:rtl w:val="true"/>
        </w:rPr>
        <w:t>الفرق بین الرجال و الفهرس</w:t>
      </w:r>
      <w:bookmarkEnd w:id="144"/>
    </w:p>
    <w:p>
      <w:pPr>
        <w:pStyle w:val="BookText"/>
        <w:rPr/>
      </w:pPr>
      <w:r>
        <w:rPr>
          <w:rFonts w:ascii="IRNazanin" w:hAnsi="IRNazanin" w:eastAsia="IRNazanin"/>
          <w:color w:val="111111"/>
          <w:sz w:val="28"/>
          <w:sz w:val="28"/>
          <w:szCs w:val="28"/>
          <w:rtl w:val="true"/>
          <w:lang w:bidi="fa-IR"/>
        </w:rPr>
        <w:t>قد أومأنا الی أنّ الصحیح هو تسمیة کتاب النجاشی بالفهرس لا بالرجال، و لإکمال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کتاب الرجال و فهرس الاصول و المصنّفات، أنّ الرجال ما کان مبنیّا علی بیان طبقات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کما علیه رجال الشیخ، </w:t>
      </w:r>
    </w:p>
    <w:p>
      <w:pPr>
        <w:pStyle w:val="BookText"/>
        <w:rPr/>
      </w:pPr>
      <w:r>
        <w:rPr>
          <w:rFonts w:ascii="IRNazanin" w:hAnsi="IRNazanin" w:eastAsia="IRNazanin"/>
          <w:color w:val="111111"/>
          <w:sz w:val="28"/>
          <w:sz w:val="28"/>
          <w:szCs w:val="28"/>
          <w:rtl w:val="true"/>
          <w:lang w:bidi="fa-IR"/>
        </w:rPr>
        <w:t xml:space="preserve">حیث شرع بتدوین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الفهارس؛ فیکتفی فیها بمجرّد ذکر الاصول و المصنّفات و مؤلفیها و ذکر الطرق إلیها، و لأجل ذلک تری النجاشی یقول فی حقّ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أصحاب الفهرس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أصحاب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یؤیّد ذلک ما ذکره نفس النجاشی و مقدّمة الجزء الأوّل من الکتاب</w:t>
      </w:r>
      <w:r>
        <w:rPr>
          <w:rStyle w:val="FootnoteAnchor"/>
          <w:rtl w:val="true"/>
        </w:rPr>
        <w:footnoteReference w:id="68"/>
      </w:r>
      <w:r>
        <w:rPr>
          <w:rFonts w:ascii="IRNazanin" w:hAnsi="IRNazanin" w:eastAsia="IRNazanin"/>
          <w:color w:val="111111"/>
          <w:sz w:val="28"/>
          <w:sz w:val="28"/>
          <w:szCs w:val="28"/>
          <w:rtl w:val="true"/>
          <w:lang w:bidi="fa-IR"/>
        </w:rPr>
        <w:t>و فی أوّل الجزء الثّانی منه حیث یصفه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الثانی من کتاب فهرس أسماء مصنّفی الشیعة و ذکر طرف من کناهم و ألقابهم و منازلهم و أنسابهم و ما قیل فی کلّ رجل منهم من مدح أو ذمّ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کتب فن الرجال العامّ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بعنوان الرجال المجرّد و منها بعنوان معرفة الرّجال، و منها بعنوان تاریخ الرجال، و منها بعنوان الفهرس، و منها بعنوان الممدوحین و المذمومین، و منها بعنوان المشیخة، و لکلّ واحد موضوع خاصّ</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2858_19485"/>
      <w:bookmarkStart w:id="146" w:name="pg2858_19485"/>
      <w:bookmarkEnd w:id="146"/>
    </w:p>
    <w:p>
      <w:pPr>
        <w:pStyle w:val="Heading3"/>
        <w:numPr>
          <w:ilvl w:val="2"/>
          <w:numId w:val="1"/>
        </w:numPr>
        <w:rPr/>
      </w:pPr>
      <w:bookmarkStart w:id="147" w:name="pg2858_19485"/>
      <w:bookmarkStart w:id="148" w:name="__RefHeading___Toc2759888_1395250215"/>
      <w:bookmarkStart w:id="149" w:name="_Toc48"/>
      <w:bookmarkEnd w:id="147"/>
      <w:bookmarkEnd w:id="148"/>
      <w:r>
        <w:rPr/>
        <w:t>2</w:t>
      </w:r>
      <w:r>
        <w:rPr>
          <w:rtl w:val="true"/>
        </w:rPr>
        <w:t xml:space="preserve"> - </w:t>
      </w:r>
      <w:r>
        <w:rPr>
          <w:rtl w:val="true"/>
        </w:rPr>
        <w:t>رجال ابن الغضائری</w:t>
      </w:r>
      <w:bookmarkEnd w:id="149"/>
    </w:p>
    <w:p>
      <w:pPr>
        <w:pStyle w:val="Heading4"/>
        <w:numPr>
          <w:ilvl w:val="3"/>
          <w:numId w:val="1"/>
        </w:numPr>
        <w:rPr/>
      </w:pPr>
      <w:bookmarkStart w:id="150" w:name="__RefHeading___Toc2759890_1395250215"/>
      <w:bookmarkStart w:id="151" w:name="_Toc49"/>
      <w:bookmarkEnd w:id="150"/>
      <w:r>
        <w:rPr>
          <w:rtl w:val="true"/>
        </w:rPr>
        <w:t>اشارة</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الغضائری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ابن الغضائری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وقوف العلماء علی کتاب الضعفاء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الکتاب للغضائری أو لابنه؟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رابع کتبه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قیمته عند العلماء</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2858_19487"/>
      <w:bookmarkStart w:id="153" w:name="pg2858_19487"/>
      <w:bookmarkEnd w:id="153"/>
    </w:p>
    <w:p>
      <w:pPr>
        <w:pStyle w:val="BookText"/>
        <w:rPr/>
      </w:pPr>
      <w:bookmarkStart w:id="154" w:name="pg2858_19487"/>
      <w:bookmarkEnd w:id="154"/>
      <w:r>
        <w:rPr>
          <w:rFonts w:ascii="IRNazanin" w:hAnsi="IRNazanin" w:eastAsia="IRNazanin"/>
          <w:color w:val="111111"/>
          <w:sz w:val="28"/>
          <w:sz w:val="28"/>
          <w:szCs w:val="28"/>
          <w:rtl w:val="true"/>
          <w:lang w:bidi="fa-IR"/>
        </w:rPr>
        <w:t xml:space="preserve">من الکتب الرّجالیة المؤلّفة فی العصور المتقدّمة الّتی تعدّ عند البعض من أمّهات الکتب الرجالیّة، الکتاب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و لیس هو إلاّ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أدرجه العلاّمة فی خلاصته، و القهبائی فی 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لرفع السّتر عن وجه الحقیقة یجب الوقوف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البحث عنها واحدا بعد الآخر</w:t>
      </w:r>
      <w:r>
        <w:rPr>
          <w:rFonts w:eastAsia="IRNazanin" w:cs="IRNazanin"/>
          <w:color w:val="111111"/>
          <w:sz w:val="28"/>
          <w:szCs w:val="28"/>
          <w:rtl w:val="true"/>
          <w:lang w:bidi="fa-IR"/>
        </w:rPr>
        <w:t>:</w:t>
      </w:r>
    </w:p>
    <w:p>
      <w:pPr>
        <w:pStyle w:val="Heading4"/>
        <w:numPr>
          <w:ilvl w:val="3"/>
          <w:numId w:val="1"/>
        </w:numPr>
        <w:rPr/>
      </w:pPr>
      <w:bookmarkStart w:id="155" w:name="__RefHeading___Toc2759892_1395250215"/>
      <w:bookmarkStart w:id="156" w:name="_Toc50"/>
      <w:bookmarkEnd w:id="155"/>
      <w:r>
        <w:rPr>
          <w:rtl w:val="true"/>
        </w:rPr>
        <w:t xml:space="preserve">أ </w:t>
      </w:r>
      <w:r>
        <w:rPr>
          <w:rtl w:val="true"/>
        </w:rPr>
        <w:t xml:space="preserve">- </w:t>
      </w:r>
      <w:r>
        <w:rPr>
          <w:rtl w:val="true"/>
        </w:rPr>
        <w:t>ترجمة الغضائری</w:t>
      </w:r>
      <w:r>
        <w:rPr>
          <w:rtl w:val="true"/>
        </w:rPr>
        <w:t>:</w:t>
      </w:r>
      <w:bookmarkEnd w:id="156"/>
    </w:p>
    <w:p>
      <w:pPr>
        <w:pStyle w:val="BookText"/>
        <w:rPr/>
      </w:pPr>
      <w:r>
        <w:rPr>
          <w:rFonts w:ascii="IRNazanin" w:hAnsi="IRNazanin" w:eastAsia="IRNazanin"/>
          <w:color w:val="111111"/>
          <w:sz w:val="28"/>
          <w:sz w:val="28"/>
          <w:szCs w:val="28"/>
          <w:rtl w:val="true"/>
          <w:lang w:bidi="fa-IR"/>
        </w:rPr>
        <w:t>الحسین بن عبید اللّه بن ابراهیم الغضائری من رجال الشیعة و هو معنی فی کتب الرجال بإکبار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رحمه اللّه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أسماء تآلیفه البالغة إلی أربعة عشر کتابا و لم یسمّ له أیّ کتاب فی الرجال،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أجازنا جمیعها و جمیع روایاته عن شیوخه 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منتصف شهر صفر سنة إحدی عشر و أربعمائة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57" w:name="pg2858_19488"/>
    </w:p>
    <w:p>
      <w:pPr>
        <w:pStyle w:val="BookText"/>
        <w:rPr/>
      </w:pPr>
      <w:bookmarkEnd w:id="157"/>
      <w:r>
        <w:rPr>
          <w:rFonts w:ascii="IRNazanin" w:hAnsi="IRNazanin" w:eastAsia="IRNazanin"/>
          <w:color w:val="111111"/>
          <w:sz w:val="28"/>
          <w:sz w:val="28"/>
          <w:szCs w:val="28"/>
          <w:rtl w:val="true"/>
          <w:lang w:bidi="fa-IR"/>
        </w:rPr>
        <w:t>و قال الشیخ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عبید اللّه الغضائری یکنّی أبا عبد اللّه، کثیر السّماع، عارف بالرجال و له تصانیف ذکرناها فی الفهرس، سمعنا منه و أجاز لنا بجمیع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 عشر و أربعمائة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لکنّ النّسخ الموجودة من الفهرس خالیة من ترجمته و لعلّ ذلک 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أو سقط من النسخ المطبوعة، و لا یخفی أنّ هذه التعابیر دالّة علی وثاقة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کونه من مشایخ النجاشی و الشیخ، و قد ثبت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مشایخ النجاشی کلّهم ثقات</w:t>
      </w:r>
      <w:r>
        <w:rPr>
          <w:rFonts w:eastAsia="IRNazanin" w:cs="IRNazanin"/>
          <w:color w:val="111111"/>
          <w:sz w:val="28"/>
          <w:szCs w:val="28"/>
          <w:rtl w:val="true"/>
          <w:lang w:bidi="fa-IR"/>
        </w:rPr>
        <w:t>.</w:t>
      </w:r>
    </w:p>
    <w:p>
      <w:pPr>
        <w:pStyle w:val="Heading4"/>
        <w:numPr>
          <w:ilvl w:val="3"/>
          <w:numId w:val="1"/>
        </w:numPr>
        <w:rPr/>
      </w:pPr>
      <w:bookmarkStart w:id="158" w:name="__RefHeading___Toc2759894_1395250215"/>
      <w:bookmarkStart w:id="159" w:name="_Toc51"/>
      <w:bookmarkEnd w:id="158"/>
      <w:r>
        <w:rPr>
          <w:rtl w:val="true"/>
        </w:rPr>
        <w:t xml:space="preserve">ب </w:t>
      </w:r>
      <w:r>
        <w:rPr>
          <w:rtl w:val="true"/>
        </w:rPr>
        <w:t xml:space="preserve">- </w:t>
      </w:r>
      <w:r>
        <w:rPr>
          <w:rtl w:val="true"/>
        </w:rPr>
        <w:t>ترجمة ابن الغضائری</w:t>
      </w:r>
      <w:r>
        <w:rPr>
          <w:rtl w:val="true"/>
        </w:rPr>
        <w:t>:</w:t>
      </w:r>
      <w:bookmarkEnd w:id="159"/>
    </w:p>
    <w:p>
      <w:pPr>
        <w:pStyle w:val="BookText"/>
        <w:rPr/>
      </w:pPr>
      <w:r>
        <w:rPr>
          <w:rFonts w:ascii="IRNazanin" w:hAnsi="IRNazanin" w:eastAsia="IRNazanin"/>
          <w:color w:val="111111"/>
          <w:sz w:val="28"/>
          <w:sz w:val="28"/>
          <w:szCs w:val="28"/>
          <w:rtl w:val="true"/>
          <w:lang w:bidi="fa-IR"/>
        </w:rPr>
        <w:t>هو أحمد بن الحسین بن عبید اللّه، ذکره الشیخ فی مقدّمة الفهرس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لمّا رأیت جماعة من شیوخ طائفتنا من أصحاب الحدیث عملوا فهرس کتب أصحابنا و ما صنّفوه من التّصانیف و رووه من الاصول، و لم أجد أحدا استوفی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قصده أبو الحسین أحمد بن 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عمل کتابین، أحدهما ذکر فیه المصنّفات و الآخر ذکر فیه الاصول، و استوفاهما علی مبلغ ما وجده و قدر علیه، غیر أنّ هذین الکتابین لم ینسخهما أحد من أصحابنا و اخترم هو و عمد بعض ورثته الی إهلاک هذین الکتابین و غیرهما من الکتب علی ما حکی بعضهم عنه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تفید أنّه قد تلف الکتابان قبل استنساخهما، غیر أنّ النجاشی کما سیوافیک ینقل عنه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عنه غیر هذین الکتابین کما سیوافیک بیانه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النجاشی فی ترجمة أحمد بن الحسین الصیقل أنّه اشترک مع ابن الغضائری فی الأخذ عن والده و غیره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کتب لا یعرف منها إلاّ </w:t>
      </w:r>
    </w:p>
    <w:p>
      <w:pPr>
        <w:pStyle w:val="BookText"/>
        <w:rPr/>
      </w:pPr>
      <w:r>
        <w:rPr>
          <w:rFonts w:ascii="IRNazanin" w:hAnsi="IRNazanin" w:eastAsia="IRNazanin"/>
          <w:color w:val="111111"/>
          <w:sz w:val="28"/>
          <w:sz w:val="28"/>
          <w:szCs w:val="28"/>
          <w:rtl w:val="true"/>
          <w:lang w:bidi="fa-IR"/>
        </w:rPr>
        <w:t xml:space="preserve">النوادر، قرأته أنا و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أبیه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کما یظهر ذلک أیضا فی ترجمة علیّ بن الحسن بن فضّال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أحمد بن الحسین کتاب الصّلاة و الزکاة و مناسک الحجّ و الصیام و الطلاق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أحمد بن عبد الواحد فی مدّة سمعتها معه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یظهر ذلک فی ترجمة عبد اللّه بن أبی عبد اللّه محمّد بن خالد بن عمر الطیالسی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لعبد اللّه کتاب 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اخری نوادر صغیرة رواه أبو الحسین النصیبی، أخبرناها بقراءة أحمد بن الحسین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یظهر من ترجمة علیّ بن محمّد بن شیران أنّه من أساتذة النجاشی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نجتمع معه عند أحمد بن الحسین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الاجتماع عند العالم لا یکون الاّ للاستفادة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النجاشی مع کمال صلته به و مخالطته معه لم یعنونه فی فهرسه مستقلاّ، و لم یذکر ما قاله الشیخ فی حقّه من أنّه کان له کتابان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نعم نقل عنه فی موارد و أشار فی ترجمة أحمد بن محمّد بن خالد البرقی إلی کتاب تاریخه و یحتمل أنّه غیر رجاله، کما یحتمل أن یکون نفسه، لشیوع إطلاق لفظ التاریخ علی کتاب الرجال کتاریخ البخاری و هو کتاب رجاله المعروف، و تاریخ بغداد و هو نوع رجال، و یکفی فی وثاقة الرجال اعتماد مثل النّجاشی علیه و التعبیر عنه بما یشعر بالتکریم، و قد نقل المحقّق الکلباسی کلمات العلماء فی حقّه فلاحظ</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60" w:name="pg2858_19490"/>
    </w:p>
    <w:p>
      <w:pPr>
        <w:pStyle w:val="Heading4"/>
        <w:numPr>
          <w:ilvl w:val="3"/>
          <w:numId w:val="1"/>
        </w:numPr>
        <w:rPr/>
      </w:pPr>
      <w:bookmarkStart w:id="161" w:name="__RefHeading___Toc2759896_1395250215"/>
      <w:bookmarkStart w:id="162" w:name="_Toc52"/>
      <w:bookmarkEnd w:id="160"/>
      <w:bookmarkEnd w:id="161"/>
      <w:r>
        <w:rPr>
          <w:rtl w:val="true"/>
        </w:rPr>
        <w:t xml:space="preserve">ج </w:t>
      </w:r>
      <w:r>
        <w:rPr>
          <w:rtl w:val="true"/>
        </w:rPr>
        <w:t xml:space="preserve">- </w:t>
      </w:r>
      <w:r>
        <w:rPr>
          <w:rtl w:val="true"/>
        </w:rPr>
        <w:t>کیفیة وقوف العلماء علی کتاب الضعفاء</w:t>
      </w:r>
      <w:bookmarkEnd w:id="162"/>
    </w:p>
    <w:p>
      <w:pPr>
        <w:pStyle w:val="BookText"/>
        <w:rPr/>
      </w:pPr>
      <w:r>
        <w:rPr>
          <w:rFonts w:ascii="IRNazanin" w:hAnsi="IRNazanin" w:eastAsia="IRNazanin"/>
          <w:color w:val="111111"/>
          <w:sz w:val="28"/>
          <w:sz w:val="28"/>
          <w:szCs w:val="28"/>
          <w:rtl w:val="true"/>
          <w:lang w:bidi="fa-IR"/>
        </w:rPr>
        <w:t xml:space="preserve">إنّ أوّل من وجده هو السیّد جمال الدین أبو الفضائل أحمد بن طاووس الحسنی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عام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و جمع فیه عبارات الکتب الخمسة الرجالیّة و هی رجال الطوسی و فهرسه و اختیار الکشی و فهرس النجاشی و کتاب الضعفاء المنسوب الی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فی أوّل کتابه بعد ذکر الکتب بهذا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بالجمیع روایات متّصلة سوی کتاب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أنّه لم یروه عن أحد و إنّما وجده منسوبا إلیه، و لم یجد السیّد کتابا آخر للممدوحین منسوبا إلی ابن الغضائری و إلاّ أدرجه أیضا و لم یقتصر بالضعفاء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تبع السیّد تلمیذاه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الخلاصة و ابن داود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فی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فأدرجا فی کتابیهما عین ما أدرجه استاذهما السید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صرّح ابن داود عند ترجمة استاذه المذکور بأنّ اکثر فوائد هذا الکتاب و نکته من إشارات هذا الاستاذ و 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المتأخّرین عن العلاّمة و ابن داود کلّهم ینقلون عنهما، لأنّ نسخة الضعفاء الّتی وجدها السید بن طاووس قد انقطع خبرها عن المتأخرین عنه، و لم یبق من الکتاب المنسوب الی ابن الغضائری إلاّ ما وضعه السید 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لولاه لما بقی منه أثر، و لم یکن ادراجه فیه من السیّد لأجل اعتباره عنده، بل لیکون الناظر فی کتابه علی بصیرة، و یطّلع علی جمیع ما قیل أو یقال فی حقّ الرجل حقا أو باطلا، لیصیر ملزما بالتتبّع عن حقیقة الأمر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موجودا بخطّ مؤلّفه عند الشهید </w:t>
      </w:r>
    </w:p>
    <w:p>
      <w:pPr>
        <w:pStyle w:val="BookText"/>
        <w:rPr/>
      </w:pPr>
      <w:r>
        <w:rPr>
          <w:rFonts w:ascii="IRNazanin" w:hAnsi="IRNazanin" w:eastAsia="IRNazanin"/>
          <w:color w:val="111111"/>
          <w:sz w:val="28"/>
          <w:sz w:val="28"/>
          <w:szCs w:val="28"/>
          <w:rtl w:val="true"/>
          <w:lang w:bidi="fa-IR"/>
        </w:rPr>
        <w:t xml:space="preserve">الثّانی، کما ذکره فی اجازته للشیخ حسین بن عبد الصمد، و بعده انتقل الی ولده صاحب المعالم، فاستخرج منه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حصلت تلک النسخة بعینها عند المولی عبد اللّه بن الحسین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الرجالیین فی عصره، و کانت مخرقة مشرفة علی التلف، فاستخرج منها خصوص عبارات کتاب الضعفاء، المنسوب الی ابن الغضائری، مرتّبا علی الحروف و ذکر فی أوّله سبب استخراجه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 تلمیذه المولی عنایة اللّه القهبائی، تمام ما استخرجه المولی عبد اللّه المذکور، فی کتابه مجمع الرجال المجموع فیه الکتب الخمسة الرجالیّة حتّی إنّ خطبها ذکرت فی أوّل هذا المجمع</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إلیک نصّ ما ذکره المولی عبد اللّه التستری حسب ما نقله عنه تلمیذه القهبائی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و إیّانا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لما وقفت علی کتاب السید المعظم السید جمال الدین أحمد بن طاووس فی الرجال، فرأیته مشتملا علی نقل ما فی کتب السلف، و قد کنت رزقت بحمد اللّه النافع من تلک الکتب، إلاّ کتاب ابن الغضائری، فإنّی کنت ما سمعت له وجودا فی زماننا و کان کتاب السید هذا بخطّه الشریف مشتملا علیه فحدانی التبرّک به مع ظنّ الانتفاع بکتاب ابن الغضائری أن أجعله منفردا عنه راجیا من اللّه الجواد، الوصول إلی سبیل الرشاد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علی ذلک فالطّریق إلی ما ذکره ابن الغضائری عبارة عمّا أدرجه العلاّمة و ابن داود فی رجالیهما و أخیرا ما أدرجه القهبائی ممّا جرّده استاذه التستری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کتابا مستقلاّ، و أمّا طریق السید إلی الکتاب فغیر معلوم أو غیر موجود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حال کتاب ابن الغضائری و کیفیّة الوقوف علیه و وصوله إلینا</w:t>
      </w:r>
      <w:r>
        <w:rPr>
          <w:rFonts w:eastAsia="IRNazanin" w:cs="IRNazanin"/>
          <w:color w:val="111111"/>
          <w:sz w:val="28"/>
          <w:szCs w:val="28"/>
          <w:rtl w:val="true"/>
          <w:lang w:bidi="fa-IR"/>
        </w:rPr>
        <w:t xml:space="preserve">. </w:t>
      </w:r>
      <w:bookmarkStart w:id="163" w:name="pg2858_19492"/>
    </w:p>
    <w:p>
      <w:pPr>
        <w:pStyle w:val="Heading4"/>
        <w:numPr>
          <w:ilvl w:val="3"/>
          <w:numId w:val="1"/>
        </w:numPr>
        <w:rPr/>
      </w:pPr>
      <w:bookmarkStart w:id="164" w:name="__RefHeading___Toc2759898_1395250215"/>
      <w:bookmarkStart w:id="165" w:name="_Toc53"/>
      <w:bookmarkEnd w:id="163"/>
      <w:bookmarkEnd w:id="164"/>
      <w:r>
        <w:rPr>
          <w:rtl w:val="true"/>
        </w:rPr>
        <w:t xml:space="preserve">د </w:t>
      </w:r>
      <w:r>
        <w:rPr>
          <w:rtl w:val="true"/>
        </w:rPr>
        <w:t xml:space="preserve">- </w:t>
      </w:r>
      <w:r>
        <w:rPr>
          <w:rtl w:val="true"/>
        </w:rPr>
        <w:t>الکتاب تألیف نفس الغضائری أو تألیف ابنه</w:t>
      </w:r>
      <w:bookmarkEnd w:id="165"/>
    </w:p>
    <w:p>
      <w:pPr>
        <w:pStyle w:val="BookText"/>
        <w:rPr/>
      </w:pPr>
      <w:r>
        <w:rPr>
          <w:rFonts w:ascii="IRNazanin" w:hAnsi="IRNazanin" w:eastAsia="IRNazanin"/>
          <w:color w:val="111111"/>
          <w:sz w:val="28"/>
          <w:sz w:val="28"/>
          <w:szCs w:val="28"/>
          <w:rtl w:val="true"/>
          <w:lang w:bidi="fa-IR"/>
        </w:rPr>
        <w:t>هیهنا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فقد ذهب الشهید الثانی إلی أنّه تألیف نفس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تألیف ابنه،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مستدلاّ بما جاء فی الخلاصة فی ترجمة سهل بن زیاد الآدمی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کاتب أبا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محمّد بن عبد الحمید العطّار فی المنتصف من شهر ربیع الآخر سنة خمس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أحمد بن علی بن نوح و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ضعیفا</w:t>
      </w:r>
      <w:r>
        <w:rPr>
          <w:rStyle w:val="FootnoteAnchor"/>
          <w:rtl w:val="true"/>
        </w:rPr>
        <w:footnoteReference w:id="81"/>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عطف ابن الغضائری علی أحمد بن الحسین یدلّ علی أنّه غیره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عدم دلالته علی ما ذکره، لأنّ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أحمد بن علی بن نوح و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تتمة کلام النجاشی الّذی نقله العلاّمة عنه فی کتابه، فإنّ النجاشی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الحدیث غیر معتمد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أحمد بن محمد بن عیسی یشهد علیه بالغلوّ و الکذب و أخرجه من قم إلی الریّ، و کان یسکنها و قد کاتب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بالاسترحام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کلام النّجاشی، ثمّ إنّ العلاّمة بعد ما نقل عن النّجاشی کلام ابن نوح و أحمد بن الحسین فی حقّ الرّجل، أراد أن یأتی بنصّ کلام ابن الغضائری أیضا فی کتاب الضعفاء، و لأجل ذلک عاد و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جدّا فاسد الروایة و المذهب و کان أحمد بن محمّد بن عیسی الأشعریّ أخرجه عن قم و أظهر البراءة منه و نهی الناس عن </w:t>
      </w:r>
    </w:p>
    <w:p>
      <w:pPr>
        <w:pStyle w:val="BookText"/>
        <w:rPr/>
      </w:pPr>
      <w:r>
        <w:rPr>
          <w:rFonts w:ascii="IRNazanin" w:hAnsi="IRNazanin" w:eastAsia="IRNazanin"/>
          <w:color w:val="111111"/>
          <w:sz w:val="28"/>
          <w:sz w:val="28"/>
          <w:szCs w:val="28"/>
          <w:rtl w:val="true"/>
          <w:lang w:bidi="fa-IR"/>
        </w:rPr>
        <w:t>السماع منه و الروایة عنه و یروی المراسیل و یعتمد المجاهیل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فعطف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المغایرة بعد الوقوف علی ما ذکرناه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هذا القول من غیره، فقد نقل المحقّق الکلباسی، أنّه یظهر من نظام الدین محمّد بن الحسین الساوجی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تألیف الأب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صنّف أسلافنا و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کتبا کثیرة ککتاب الکشّی، و فهرس الشیخ الطوسی، و الرجال له أیضا، و کتاب الحسین بن عبید اللّه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أکتفی فی هذا الکتاب عن أحمد بن علی النجاشی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الحسین بن عبید اللّه الغضائری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ذکره کلما اطلق ابن الغضائری فالمراد هو الوالد، و امّا الولد فیکون نجل الغضائری لا ابنه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التردّد من المحقّق الجلیل مؤلّف معجم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 علی عدم ثبوت نسبة الکتاب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النّجاشی لم یتعرّض له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بیان الکتب الّتی صنّفها الامامیّة، حتّی إنّه یذکر ما لم یره من الکتب و إنّما سمعه من غیره أو رآه فی کتابه، فکیف لا یذکر کتاب شیخه الحسین بن عبید اللّه او ابنه أحمد؟ و قد 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لترجمة الحسین بن عبید اللّه و ذکر کتبه و لم یذکر فیها کتاب الرجال، کما أنّه حکی عن أحمد بن </w:t>
      </w:r>
    </w:p>
    <w:p>
      <w:pPr>
        <w:pStyle w:val="BookText"/>
        <w:rPr/>
      </w:pPr>
      <w:r>
        <w:rPr>
          <w:rFonts w:ascii="IRNazanin" w:hAnsi="IRNazanin" w:eastAsia="IRNazanin"/>
          <w:color w:val="111111"/>
          <w:sz w:val="28"/>
          <w:sz w:val="28"/>
          <w:szCs w:val="28"/>
          <w:rtl w:val="true"/>
          <w:lang w:bidi="fa-IR"/>
        </w:rPr>
        <w:t>الحسین فی عدّة موارد و لم یذکر أنّ له کتاب الرجال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النّجاشی نقل عن ابن الغضائری کثیرا و کلّما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المراد، و صرّح فی ترجمة البرقی بأنّ له کتاب التاریخ و من القریب أنّ مراده منه هو کتاب رجاله، لشیوع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بالتاریخ کما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فهو أنّ الکتاب علی فرض ثبوت النسبة، من تآلیف ابن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کما عرفت ذکر لأحمد بن الحسین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الاصول و الآخر فی المصنّفات، و لم یذکر للوالد أیّ کتاب فی الرجال، و إن وصفه الشّیخ و النجاشی بکونه کثیر السّماع، عارفا بالرجال، غیر أنّ المعرفة بالرجال لا تستلزم التألیف فیه، و من المحتمل أنّ هذا الکتاب هو أحد هذین أو هو کتاب ثالث وضع لذکر خصوص الضعفاء و المذمومین، کما احتمله صاحب مجمع الرجال، و یحتمل أن یکون له کتاب آخر فی الثقات و الممدوحین و إن لم یصل إلینا منه خبر و لا أثر، کما ذکره الفاضل الخاجوئی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محتملا أن یکون کتاب الممدوحین، أحد الکتابین اللّذین صرّح بهما الشیخ فی أوّل الفهرس علی ما نقله صاحب سماء المقال</w:t>
      </w:r>
      <w:r>
        <w:rPr>
          <w:rStyle w:val="FootnoteAnchor"/>
          <w:rtl w:val="true"/>
        </w:rPr>
        <w:footnoteReference w:id="88"/>
      </w:r>
      <w:r>
        <w:rPr>
          <w:rFonts w:ascii="IRNazanin" w:hAnsi="IRNazanin" w:eastAsia="IRNazanin"/>
          <w:color w:val="111111"/>
          <w:sz w:val="28"/>
          <w:sz w:val="28"/>
          <w:szCs w:val="28"/>
          <w:rtl w:val="true"/>
          <w:lang w:bidi="fa-IR"/>
        </w:rPr>
        <w:t>و لکنّ الظّاهر خلافه، و سیوافیک حقّ القول فی ذلک فانتظر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وقف علی هذا الکتاب هو السیّد الجلیل ابن طاووس الحلّی، فقد نسبه إلی الابن فی مقدّمة کتابه علی ما نقله عنه فی التحریر الطاووسی،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قد عزمت علی أن أجمع فی کتابی هذا أسماء </w:t>
      </w:r>
      <w:bookmarkStart w:id="166" w:name="pg2858_19495"/>
    </w:p>
    <w:p>
      <w:pPr>
        <w:pStyle w:val="BookText"/>
        <w:rPr/>
      </w:pPr>
      <w:bookmarkEnd w:id="166"/>
      <w:r>
        <w:rPr>
          <w:rFonts w:ascii="IRNazanin" w:hAnsi="IRNazanin" w:eastAsia="IRNazanin"/>
          <w:color w:val="111111"/>
          <w:sz w:val="28"/>
          <w:sz w:val="28"/>
          <w:szCs w:val="28"/>
          <w:rtl w:val="true"/>
          <w:lang w:bidi="fa-IR"/>
        </w:rPr>
        <w:t>الرجال المصنّفین و غیرهم من کتب خمسة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أبی الحسین أحمد بن الحسین بن عبید اللّه الغضائری فی ذکر الضعفاء خاصة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المتتبّع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یری أنّه یعتقد بأنّه من تآلیف ابن الغضائری، فلاحظ ترجمة عمر بن ثابت، و سلیمان النخعی، یقول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 قاله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کذاب النخّع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أنّه یحتمل أن یکون ابن الغضائری کنیة للوالد، و یکون الجدّ منسوبا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بمعنی الطین اللازب الحر، قال العلامة فی إسماعیل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أبو الحسین أحمد بن الحسین بن عبید اللّه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یکنّی أبا محمّد، لیس حدیثه بالنقی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فکلّما أطلق ابن الغضائری یرید به أحمد ابن الحسین،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أنّ الکتاب من تألیف ابن الغضائری، أنّ بعض ما ینقله النّجاشی فی فهرسه عن أحمد بن الحسین موجود فی هذا الکتاب، و أمّا الاختلاف من حیث العبارة فسیوافیک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قرائن اخر جمعها المتتبّع الخبیر الکلباسی فی کتابه سماء المقال فلاحظ</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2759900_1395250215"/>
      <w:bookmarkStart w:id="168" w:name="_Toc54"/>
      <w:bookmarkEnd w:id="167"/>
      <w:r>
        <w:rPr>
          <w:rtl w:val="true"/>
        </w:rPr>
        <w:t xml:space="preserve">ه </w:t>
      </w:r>
      <w:r>
        <w:rPr>
          <w:rtl w:val="true"/>
        </w:rPr>
        <w:t xml:space="preserve">- </w:t>
      </w:r>
      <w:r>
        <w:rPr>
          <w:rtl w:val="true"/>
        </w:rPr>
        <w:t>کتاب الضعفاء رابع کتبه</w:t>
      </w:r>
      <w:bookmarkEnd w:id="168"/>
    </w:p>
    <w:p>
      <w:pPr>
        <w:pStyle w:val="BookText"/>
        <w:rPr/>
      </w:pPr>
      <w:r>
        <w:rPr>
          <w:rFonts w:ascii="IRNazanin" w:hAnsi="IRNazanin" w:eastAsia="IRNazanin"/>
          <w:color w:val="111111"/>
          <w:sz w:val="28"/>
          <w:sz w:val="28"/>
          <w:szCs w:val="28"/>
          <w:rtl w:val="true"/>
          <w:lang w:bidi="fa-IR"/>
        </w:rPr>
        <w:t>الظّاهر أنّ ابن الغضائری ألّف کتبا أربعة و أنّ کتاب الضّعفاء رابع کتبه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 الثّانی ما أشار إلیهما الشّیخ فی مقدّمة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ذکر فیه المصنّفات و الآخر ذکر فیه الاصول و استوفاهما علی مبلغ ما وجده و قدر علیه، غیر أنّ هذین الکتابین لم ینسخهما أحد من أصحابنا </w:t>
      </w:r>
    </w:p>
    <w:p>
      <w:pPr>
        <w:pStyle w:val="BookText"/>
        <w:rPr/>
      </w:pPr>
      <w:r>
        <w:rPr>
          <w:rFonts w:ascii="IRNazanin" w:hAnsi="IRNazanin" w:eastAsia="IRNazanin"/>
          <w:color w:val="111111"/>
          <w:sz w:val="28"/>
          <w:sz w:val="28"/>
          <w:szCs w:val="28"/>
          <w:rtl w:val="true"/>
          <w:lang w:bidi="fa-IR"/>
        </w:rPr>
        <w:t xml:space="preserve">و اخترم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 بعض ورثته إلی إهلاک هذین الکتابین و غیرهما من الکتب علی ما حکی بعضهم عنه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 هو کتاب الممدوحین و لم یصل إلینا أبدا، لکن ینقل عنه العلاّمة فی الخلاصة، و الرابع هو کتاب الضّعفاء الّذی وصل إلینا علی النّحو الّذی وقفت علیه، و الظّاهر أنّ النّجاشی لأجل مخالطته و معاشرته معه قد وقف علی مسودّاته و مذکّراته فنقل ما نقل عنها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البعید جدّا أن یکون کتاب الضعفاء نفس الکتابین اللّذین ذکرهما الشیخ فی مقدّمة الفهرس، و ما عمل من کتابین کان مقصورا فی بیان المصنّفات و الاصول، کفهرس الشیخ من دون تعرّض لوثاقة شخص أو ضعفه، فعلی ذلک یجب أن یکون للرجل وراءهما کتاب رجال لبیان الضعفاء و الممدوحین، کما أنّ من البعید أن یؤلّف کتابا فی الضعفاء فقط، دون أن یؤلّف کتابا فی الثقات أو الممدوحین، و الدّلیل علی تألیفه کتابا فی الممدوحین وجود التوثیقات منه فی حقّ عّدة من الرّواة، و نقلها النّجاشی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العلاّمة یصرّح بتعدّد کتابه و یقول فی ترجمة سلیمان النخعی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الغضائری سلیمان بن هارون النخعی أبو داود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النخع، روی عن أبی عبد اللّه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عمر أبو داود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قال فی ترجمة عمر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قاله ابن الغضائری و قال فی کتابه الآخر عمر بن أبی المقدام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قال فی ترجمة محمد بن مصادف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قول ابن الغضائری فیه ففی أحد الکتابین إنّه ضعیف و فی الآخر إنّه ثقة</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النصوص تعطی أنّ للرجل کتابین، </w:t>
      </w:r>
      <w:bookmarkStart w:id="169" w:name="pg2858_19497"/>
    </w:p>
    <w:p>
      <w:pPr>
        <w:pStyle w:val="BookText"/>
        <w:rPr/>
      </w:pPr>
      <w:bookmarkEnd w:id="169"/>
      <w:r>
        <w:rPr>
          <w:rFonts w:ascii="IRNazanin" w:hAnsi="IRNazanin" w:eastAsia="IRNazanin"/>
          <w:color w:val="111111"/>
          <w:sz w:val="28"/>
          <w:sz w:val="28"/>
          <w:szCs w:val="28"/>
          <w:rtl w:val="true"/>
          <w:lang w:bidi="fa-IR"/>
        </w:rPr>
        <w:t>أحدهما للضّعفاء و المذمومین، و الآخر للممدوحین و الموثّقین، و قد عرفت أنّ ما ذکره الشیخ فی أوّل الفهرس لا صلة لهما بهذین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الرّجل و ترک ثروة علمیّة مفیدة</w:t>
      </w:r>
      <w:r>
        <w:rPr>
          <w:rFonts w:eastAsia="IRNazanin" w:cs="IRNazanin"/>
          <w:color w:val="111111"/>
          <w:sz w:val="28"/>
          <w:szCs w:val="28"/>
          <w:rtl w:val="true"/>
          <w:lang w:bidi="fa-IR"/>
        </w:rPr>
        <w:t>.</w:t>
      </w:r>
    </w:p>
    <w:p>
      <w:pPr>
        <w:pStyle w:val="Heading4"/>
        <w:numPr>
          <w:ilvl w:val="3"/>
          <w:numId w:val="1"/>
        </w:numPr>
        <w:rPr/>
      </w:pPr>
      <w:bookmarkStart w:id="170" w:name="__RefHeading___Toc2759902_1395250215"/>
      <w:bookmarkStart w:id="171" w:name="_Toc55"/>
      <w:bookmarkEnd w:id="170"/>
      <w:r>
        <w:rPr>
          <w:rtl w:val="true"/>
        </w:rPr>
        <w:t xml:space="preserve">و </w:t>
      </w:r>
      <w:r>
        <w:rPr>
          <w:rtl w:val="true"/>
        </w:rPr>
        <w:t xml:space="preserve">- </w:t>
      </w:r>
      <w:r>
        <w:rPr>
          <w:rtl w:val="true"/>
        </w:rPr>
        <w:t>کتاب الضعفاء و قیمته العلمیة عند العلماء</w:t>
      </w:r>
      <w:bookmarkEnd w:id="171"/>
    </w:p>
    <w:p>
      <w:pPr>
        <w:pStyle w:val="Heading5"/>
        <w:numPr>
          <w:ilvl w:val="4"/>
          <w:numId w:val="1"/>
        </w:numPr>
        <w:rPr/>
      </w:pPr>
      <w:bookmarkStart w:id="172" w:name="__RefHeading___Toc2759904_1395250215"/>
      <w:bookmarkStart w:id="173" w:name="_Toc56"/>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لقد اختلف نظریّة العلماء حول الکتاب اختلافا عمیقا، فمن ذاهب إلی أنّه مختلق لبعض معاندی الشیعة أراد به الوقیعة فیهم، إلی قائل بثبوت الکتاب ثبوتا قطعیّا و أنّه حجة ما لم یعارض توثیق الشیخ و النجاشی، إلی ثالث بأنّ الکتاب له و أنّه نقّاد هذا العلم و لا یقدّم توثیق الشیخ و النجاشی علیه، إلی رابع بأنّ الکتاب له، غیر أنّ جرحه و تضعیفه غیر معتبر، لأنّه لم یکن فی الجرح و التّضعیف مستندا إلی الشّهادة و لا إلی القرائن المفیدة للاطمئنان بل إلی اجتهاده فی متن الحدیث، فلو کان الحدیث مشتملا علی الغلوّ و الارتفاع فی حقّ الأئمّة حسب نظره، وصف الراوی بالوضع و ضعّفه و إلیک هذه الأقوال</w:t>
      </w:r>
      <w:r>
        <w:rPr>
          <w:rFonts w:eastAsia="IRNazanin" w:cs="IRNazanin"/>
          <w:color w:val="111111"/>
          <w:sz w:val="28"/>
          <w:szCs w:val="28"/>
          <w:rtl w:val="true"/>
          <w:lang w:bidi="fa-IR"/>
        </w:rPr>
        <w:t>:</w:t>
      </w:r>
    </w:p>
    <w:p>
      <w:pPr>
        <w:pStyle w:val="Heading5"/>
        <w:numPr>
          <w:ilvl w:val="4"/>
          <w:numId w:val="1"/>
        </w:numPr>
        <w:rPr/>
      </w:pPr>
      <w:bookmarkStart w:id="174" w:name="__RefHeading___Toc2759906_1395250215"/>
      <w:bookmarkStart w:id="175" w:name="_Toc57"/>
      <w:bookmarkEnd w:id="174"/>
      <w:r>
        <w:rPr>
          <w:rtl w:val="true"/>
        </w:rPr>
        <w:t>النظریة الاولی</w:t>
      </w:r>
      <w:bookmarkEnd w:id="175"/>
    </w:p>
    <w:p>
      <w:pPr>
        <w:pStyle w:val="Heading6"/>
        <w:numPr>
          <w:ilvl w:val="5"/>
          <w:numId w:val="1"/>
        </w:numPr>
        <w:rPr/>
      </w:pPr>
      <w:bookmarkStart w:id="176" w:name="__RefHeading___Toc2759908_1395250215"/>
      <w:bookmarkStart w:id="177" w:name="_Toc58"/>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إنّ شیخنا المتتبّع الطهرانی بعد ما سرد وضع الکتاب و أوضح کیفیّة الاطّلاع علیه، حکم بعدم ثبوت نسبة الکتاب الی ابن الغضائری، و أنّ المؤلّف له کان من المعاندین لأکابر الشیعة، و کان یرید الوقیعة فیهم بکلّ حیلة، و لأجل ذلک ألّف هذا الکتاب و أدرج فیه بعض مقالات ابن الغضائری تمویها لیقبل عنه جمیع ما أراد إثباته من الوقائع و القبائح</w:t>
      </w:r>
      <w:r>
        <w:rPr>
          <w:rStyle w:val="FootnoteAnchor"/>
          <w:rtl w:val="true"/>
        </w:rPr>
        <w:footnoteReference w:id="95"/>
      </w:r>
      <w:r>
        <w:rPr>
          <w:rFonts w:ascii="IRNazanin" w:hAnsi="IRNazanin" w:eastAsia="IRNazanin"/>
          <w:color w:val="111111"/>
          <w:sz w:val="28"/>
          <w:sz w:val="28"/>
          <w:szCs w:val="28"/>
          <w:rtl w:val="true"/>
          <w:lang w:bidi="fa-IR"/>
        </w:rPr>
        <w:t>و یمکن تأییده فی بادیء النظر بوجوه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کانت بین النّجاشی و ابن الغضائری خلطة و صداقة فی أیّام الدراسة و التحصیل، و کانا یدرسان عند والد ابن الغضائری، کما کانا یدرسان عند غیره، علی ما مرّ فی ترجمتهما فلو کان الکتاب من تألیف ابن الغضائری، </w:t>
      </w:r>
    </w:p>
    <w:p>
      <w:pPr>
        <w:pStyle w:val="BookText"/>
        <w:rPr/>
      </w:pPr>
      <w:r>
        <w:rPr>
          <w:rFonts w:ascii="IRNazanin" w:hAnsi="IRNazanin" w:eastAsia="IRNazanin"/>
          <w:color w:val="111111"/>
          <w:sz w:val="28"/>
          <w:sz w:val="28"/>
          <w:szCs w:val="28"/>
          <w:rtl w:val="true"/>
          <w:lang w:bidi="fa-IR"/>
        </w:rPr>
        <w:t xml:space="preserve">اقتضی طبع الحال وقوف النجاشی علیه وقوف الصّدیق علی أسرار صدیقه، و إکثار النّقل منه، مع أنّه لا ینقل عنه إلاّ فی موارد لا تتجاوز بضعة و عشرین موردا، و هو یقول فی کثیر من هذه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بأخذه منه مشافهة لا نقلا عن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یقول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أنّه أخذه من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الظّاهر من الشیخ الطّوسی أنّ ما ألّفه ابن الغضائری اهلک قبل أن یستنسخ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اخترم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 بعض ورثته الی إهلاک هذین الکتابین و غیرهما من الکتب علی ما حکی بعضهم عنه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أطلقه الشّیخ علیه، یکشف عن أنّ الرجل مات بالموت الاخترامی، و هو موت من لم یتجاوز الأربعین و بما أنّ النّجاشی الّذی هو زمیله تولّد عام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یمکن أن یقال إنّه أیضا من موالید ذلک العام أو ما قبله بقلیل، و بما أنّ موته کان موتا اخترامیّا، یمکن التنبّؤ بأنّه مات بعد أبیه بقلیل، فیکون وفاته حوالی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و علی ذلک فمن البعید أن یصل الکتاب إلی ید النجاشی و لا یصل إلی ید الشّیخ، مع أنّ بیئة بغداد کانت تجمع بین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و لیلة، و قد توفّی الشیخ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و توفّی النجاشی علی المشهور عام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فهل یمکن بعد هذا وقوف النجاشی علی الکتاب و عدم وقوف الشیخ علیه؟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الغضائری ترک أوراقا مسودّة فی علم الرجال، و وقف علیها النجاشی، و نقل عنه ما نقل، ثمّ زاد علیه بعض المعاندین ما تقشعرّ منه الجلود و ترتعد منه الفرائض من جرح المشایخ و رمیهم بالدسّ و الوضع، و هو کما قال السید الداماد فی رواشحه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أن یسلم أحد من </w:t>
      </w:r>
      <w:bookmarkStart w:id="178" w:name="pg2858_19499"/>
    </w:p>
    <w:p>
      <w:pPr>
        <w:pStyle w:val="BookText"/>
        <w:rPr/>
      </w:pPr>
      <w:bookmarkEnd w:id="178"/>
      <w:r>
        <w:rPr>
          <w:rFonts w:ascii="IRNazanin" w:hAnsi="IRNazanin" w:eastAsia="IRNazanin"/>
          <w:color w:val="111111"/>
          <w:sz w:val="28"/>
          <w:sz w:val="28"/>
          <w:szCs w:val="28"/>
          <w:rtl w:val="true"/>
          <w:lang w:bidi="fa-IR"/>
        </w:rPr>
        <w:t>جرحه أو ینجو ثقة من قدحه</w:t>
      </w:r>
      <w:r>
        <w:rPr>
          <w:rFonts w:eastAsia="IRNazanin" w:cs="IRNazanin"/>
          <w:color w:val="111111"/>
          <w:sz w:val="28"/>
          <w:szCs w:val="28"/>
          <w:rtl w:val="true"/>
          <w:lang w:bidi="fa-IR"/>
        </w:rPr>
        <w:t>».</w:t>
      </w:r>
    </w:p>
    <w:p>
      <w:pPr>
        <w:pStyle w:val="Heading6"/>
        <w:numPr>
          <w:ilvl w:val="5"/>
          <w:numId w:val="1"/>
        </w:numPr>
        <w:rPr/>
      </w:pPr>
      <w:bookmarkStart w:id="179" w:name="__RefHeading___Toc2759910_1395250215"/>
      <w:bookmarkStart w:id="180" w:name="_Toc59"/>
      <w:bookmarkEnd w:id="179"/>
      <w:r>
        <w:rPr>
          <w:rtl w:val="true"/>
        </w:rPr>
        <w:t>تحلیل هذه النظریة</w:t>
      </w:r>
      <w:bookmarkEnd w:id="180"/>
    </w:p>
    <w:p>
      <w:pPr>
        <w:pStyle w:val="BookText"/>
        <w:rPr/>
      </w:pPr>
      <w:r>
        <w:rPr>
          <w:rFonts w:ascii="IRNazanin" w:hAnsi="IRNazanin" w:eastAsia="IRNazanin"/>
          <w:color w:val="111111"/>
          <w:sz w:val="28"/>
          <w:sz w:val="28"/>
          <w:szCs w:val="28"/>
          <w:rtl w:val="true"/>
          <w:lang w:bidi="fa-IR"/>
        </w:rPr>
        <w:t>هذه النظریة فی غایة التّفریط، فی مقابل النظریة الثالثة الّتی هی فی غایة الإفراط و لا یخفی وهن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صحّة نسبة الکتاب إلی ابن الغضائری تطابق ما نقله النّجاشی فی موارد کثیرة مع الموجود منه، و عدم استیعابه بنقل کلّ ما فیه، لأجل عدم ثبوته عنده، و لذلک ضرب عنه صفحا إلاّ فی موارد خاصّة لاختلاف مشربهما فی نقد الرجال و تمییز الثقات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کتاب الضعفاء، غیر ما ألّفه حول الاصول و المصنّفات، و هو غیر کتاب الممدوحین، الّذی ربّما ینقل عنه العلاّمة کما عرفت، و تعمّد الورثة علی إهلاک الأوّلین لا یکون دلیلا علی إهلاک الآخرین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الاعتذار من عدم اطّلاع الشیخ علی بقیّة کتب ابن الغضائری، أنّ الشیخ کان رجلا عالمیّا مشارکا فی أکثر العلوم الاسلامیّة و متخصّصا فی بعض النواحی منها، زعیما للشیعة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الغفلة عن مثل هذا الشّخص المتبحّر فی العلوم، و المتحمّل للمسؤولیّات الدینیة و الاجتماعیة، أمر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النّجاشی الّذی کان زمیلا و مشارکا له فی دروس أبیه و غیره، متخصّصا فی علم الرجال و الأنساب، و الغفلة عن مثله أمر علی خلاف العادة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صاحب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قصور المقتضی </w:t>
      </w:r>
      <w:bookmarkStart w:id="181" w:name="pg2858_19500"/>
    </w:p>
    <w:p>
      <w:pPr>
        <w:pStyle w:val="BookText"/>
        <w:rPr/>
      </w:pPr>
      <w:bookmarkEnd w:id="181"/>
      <w:r>
        <w:rPr>
          <w:rFonts w:ascii="IRNazanin" w:hAnsi="IRNazanin" w:eastAsia="IRNazanin"/>
          <w:color w:val="111111"/>
          <w:sz w:val="28"/>
          <w:sz w:val="28"/>
          <w:szCs w:val="28"/>
          <w:rtl w:val="true"/>
          <w:lang w:bidi="fa-IR"/>
        </w:rPr>
        <w:t>و عدم ثبوت نسبة هذا الکتاب الی مؤلّفه</w:t>
      </w:r>
      <w:r>
        <w:rPr>
          <w:rStyle w:val="FootnoteAnchor"/>
          <w:rtl w:val="true"/>
        </w:rPr>
        <w:footnoteReference w:id="98"/>
      </w:r>
      <w:r>
        <w:rPr>
          <w:rFonts w:ascii="IRNazanin" w:hAnsi="IRNazanin" w:eastAsia="IRNazanin"/>
          <w:color w:val="111111"/>
          <w:sz w:val="28"/>
          <w:sz w:val="28"/>
          <w:szCs w:val="28"/>
          <w:rtl w:val="true"/>
          <w:lang w:bidi="fa-IR"/>
        </w:rPr>
        <w:t>غیر تامّ، لأنّ هذه القرائن تکفی فی ثبوت النسبة، و لولا الاعتماد علیها للزم رد کثیر من الکتب غیر الواصلة إلینا من طرق الروایة و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یصحّ رد الکتاب بهذه الوجوه الموهونة</w:t>
      </w:r>
      <w:r>
        <w:rPr>
          <w:rFonts w:eastAsia="IRNazanin" w:cs="IRNazanin"/>
          <w:color w:val="111111"/>
          <w:sz w:val="28"/>
          <w:szCs w:val="28"/>
          <w:rtl w:val="true"/>
          <w:lang w:bidi="fa-IR"/>
        </w:rPr>
        <w:t>.</w:t>
      </w:r>
    </w:p>
    <w:p>
      <w:pPr>
        <w:pStyle w:val="Heading5"/>
        <w:numPr>
          <w:ilvl w:val="4"/>
          <w:numId w:val="1"/>
        </w:numPr>
        <w:rPr/>
      </w:pPr>
      <w:bookmarkStart w:id="182" w:name="__RefHeading___Toc2759912_1395250215"/>
      <w:bookmarkStart w:id="183" w:name="_Toc60"/>
      <w:bookmarkEnd w:id="182"/>
      <w:r>
        <w:rPr>
          <w:rtl w:val="true"/>
        </w:rPr>
        <w:t>النظریة الثانیة</w:t>
      </w:r>
      <w:bookmarkEnd w:id="183"/>
    </w:p>
    <w:p>
      <w:pPr>
        <w:pStyle w:val="BookText"/>
        <w:rPr/>
      </w:pPr>
      <w:r>
        <w:rPr>
          <w:rFonts w:ascii="IRNazanin" w:hAnsi="IRNazanin" w:eastAsia="IRNazanin"/>
          <w:color w:val="111111"/>
          <w:sz w:val="28"/>
          <w:sz w:val="28"/>
          <w:szCs w:val="28"/>
          <w:rtl w:val="true"/>
          <w:lang w:bidi="fa-IR"/>
        </w:rPr>
        <w:t>الظاهر من العلاّمة فی الخلاصة ثبوت نسبة الکتاب الی ابن الغضائری ثبوتا قطعیّا، و لأجل ذلک توقّف فی کثیر من الرواة لأجل تضعیف ابن الغضائری، و إنّما خالف فی موارد، لتوثیق النجاشی و الشیخ و ترجیح توثیقهما علی جرحه</w:t>
      </w:r>
      <w:r>
        <w:rPr>
          <w:rFonts w:eastAsia="IRNazanin" w:cs="IRNazanin"/>
          <w:color w:val="111111"/>
          <w:sz w:val="28"/>
          <w:szCs w:val="28"/>
          <w:rtl w:val="true"/>
          <w:lang w:bidi="fa-IR"/>
        </w:rPr>
        <w:t>.</w:t>
      </w:r>
    </w:p>
    <w:p>
      <w:pPr>
        <w:pStyle w:val="Heading5"/>
        <w:numPr>
          <w:ilvl w:val="4"/>
          <w:numId w:val="1"/>
        </w:numPr>
        <w:rPr/>
      </w:pPr>
      <w:bookmarkStart w:id="184" w:name="__RefHeading___Toc2759914_1395250215"/>
      <w:bookmarkStart w:id="185" w:name="_Toc61"/>
      <w:bookmarkEnd w:id="184"/>
      <w:r>
        <w:rPr>
          <w:rtl w:val="true"/>
        </w:rPr>
        <w:t>النظریة الثالثة</w:t>
      </w:r>
      <w:bookmarkEnd w:id="185"/>
    </w:p>
    <w:p>
      <w:pPr>
        <w:pStyle w:val="BookText"/>
        <w:rPr/>
      </w:pPr>
      <w:r>
        <w:rPr>
          <w:rFonts w:ascii="IRNazanin" w:hAnsi="IRNazanin" w:eastAsia="IRNazanin"/>
          <w:color w:val="111111"/>
          <w:sz w:val="28"/>
          <w:sz w:val="28"/>
          <w:szCs w:val="28"/>
          <w:rtl w:val="true"/>
          <w:lang w:bidi="fa-IR"/>
        </w:rPr>
        <w:t>إنّ هذا الکتاب و إن اشتهر من عصر المجلسی بأنّه لا عبرة به، لأنّه یتسرّع إلی جرح الأجلّة، إلاّ أنّه کلام قشریّ و أنّه لم یر مثله فی دقّة النّظر، و یکفیه اعتماد مثل النّجاشی الّذی هو أضبط أهل الرّجال علیه، و قد عرفت من الشیخ أنّه أوّل من ألّف فهرسا کاملا فی مصنّفات الشیعة و اصولهم، و الرجل نقّاد هذا العلم، و لم یکن متسرّعا فی الجرح بل کان متأمّلا متثبّتا فی التّضعیف، قد قوّی من ضعّفه القمیّون جمیعا کأحمد بن الحسین بن سعید، و الحسین بن آذویه و زید الزرّاد و زید النرسی و محمّد بن أورمة بأنّه رأی کتبهم، و أحادیثهم صحیحة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المتأخرین شهروا ابن الغضائری بأنّه یتسرّع إلی الجرح فلا عبرة بطعونه، مع أنّ الّذی وجدناه بالسبر فی الذین وقفنا علی کتبهم ممّن طعن </w:t>
      </w:r>
      <w:bookmarkStart w:id="186" w:name="pg2858_19501"/>
    </w:p>
    <w:p>
      <w:pPr>
        <w:pStyle w:val="BookText"/>
        <w:rPr/>
      </w:pPr>
      <w:bookmarkEnd w:id="186"/>
      <w:r>
        <w:rPr>
          <w:rFonts w:ascii="IRNazanin" w:hAnsi="IRNazanin" w:eastAsia="IRNazanin"/>
          <w:color w:val="111111"/>
          <w:sz w:val="28"/>
          <w:sz w:val="28"/>
          <w:szCs w:val="28"/>
          <w:rtl w:val="true"/>
          <w:lang w:bidi="fa-IR"/>
        </w:rPr>
        <w:t>فیهم، ککتاب الاستغاثة لعلیّ بن أحمد الکوفی، و کتاب تفسیر محمد بن القاسم الاسترآبادی، و کتاب الحسین بن عباس ابن الجریش أنّ الامر کما ذکر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تلک النظریة فی جانب الافراط، و لو کان الکتاب بتلک المنزلة لماذا لم یستند إلیه النّجاشی فی عامّة الموارد، بل لم یستند الیه إلاّ فی بضعة و عشرین موردا؟ مع أنّه ضعّف کثیرا من المشایخ التی وثاقتهم عندنا کالشمس فی رائعة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العبرة بطعونه لیس لأجل تسرّعه إلی الجرح و أنّه کان جرّاحا للرواة خارجا عن الحدّ المتعارف، بل لأجل أنّه لم یستند فی جرحه بل و تعدیله إلی الطّرق الحسیّة، بل استند إلی استنباطات و اجتهادات شخصیة کما سیوافیک بیانه فی النظریة الرابعة</w:t>
      </w:r>
      <w:r>
        <w:rPr>
          <w:rFonts w:eastAsia="IRNazanin" w:cs="IRNazanin"/>
          <w:color w:val="111111"/>
          <w:sz w:val="28"/>
          <w:szCs w:val="28"/>
          <w:rtl w:val="true"/>
          <w:lang w:bidi="fa-IR"/>
        </w:rPr>
        <w:t>.</w:t>
      </w:r>
    </w:p>
    <w:p>
      <w:pPr>
        <w:pStyle w:val="Heading5"/>
        <w:numPr>
          <w:ilvl w:val="4"/>
          <w:numId w:val="1"/>
        </w:numPr>
        <w:rPr/>
      </w:pPr>
      <w:bookmarkStart w:id="187" w:name="__RefHeading___Toc2759916_1395250215"/>
      <w:bookmarkStart w:id="188" w:name="_Toc62"/>
      <w:bookmarkEnd w:id="187"/>
      <w:r>
        <w:rPr>
          <w:rtl w:val="true"/>
        </w:rPr>
        <w:t>النظریة الرابعة</w:t>
      </w:r>
      <w:bookmarkEnd w:id="188"/>
    </w:p>
    <w:p>
      <w:pPr>
        <w:pStyle w:val="Heading6"/>
        <w:numPr>
          <w:ilvl w:val="5"/>
          <w:numId w:val="1"/>
        </w:numPr>
        <w:rPr/>
      </w:pPr>
      <w:bookmarkStart w:id="189" w:name="__RefHeading___Toc2759918_1395250215"/>
      <w:bookmarkStart w:id="190" w:name="_Toc63"/>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إنّ کتاب الضعفاء هو لابن الغضائری، غیر أنّ تضعیفه و جرحه للرواة و المشایخ لم یکن مستندا إلی الشّهادة و السماع، بل کان اجتهادا منه عند النظر إلی روایات الأفراد، فإن رآها مشتملة علی الغلوّ و الارتفاع حسب نظره، وصفه بالضّعف و وضع الحدیث، و قد عرفت أنّه صحّح روایات عدّة من القمیّین بأنّه رأی کتبهم، و أحادیثهم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بملاحظة مطابقتها لمعتقده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إلی ذلک ما ذکره المحقّق الوحید البهبهانی فی بعض المقامات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الظّاهر أنّ کثیرا من القدماء سیّما القمّیین منهم و الغضائری کانوا یعتقدون للائمّة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خاصّة من الرفعة و الجلالة، و مرتبة معیّنة من العصمة و الکمال بحسب اجتهادهم و رأیهم، و ما </w:t>
      </w:r>
      <w:bookmarkStart w:id="191" w:name="pg2858_19502"/>
    </w:p>
    <w:p>
      <w:pPr>
        <w:pStyle w:val="BookText"/>
        <w:rPr/>
      </w:pPr>
      <w:bookmarkEnd w:id="191"/>
      <w:r>
        <w:rPr>
          <w:rFonts w:ascii="IRNazanin" w:hAnsi="IRNazanin" w:eastAsia="IRNazanin"/>
          <w:color w:val="111111"/>
          <w:sz w:val="28"/>
          <w:sz w:val="28"/>
          <w:szCs w:val="28"/>
          <w:rtl w:val="true"/>
          <w:lang w:bidi="fa-IR"/>
        </w:rPr>
        <w:t xml:space="preserve">کانوا یجوّزون التعدّی عنها، و کانوا یعدّون التعدّی ارتفاعا و غلوّا حسب معتقدهم، حتّی إنّهم جعلوا مثل نفی السهو عنهم غلوّا، بل ربّما جعلوا مطلق التّفویض إلیهم أو التّفویض الّذی اختلف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المبالغة فی معجزاتهم و نقل العجائب من خوارق العادات عنهم، أو الإغراق فی شأنهم و إجلالهم و تنزیههم عن کثیر من النقائص، و إظهار کثیر قدرة لهم، و ذکر علمهم بمکنونات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 أو مورثا للتّهمة به، سیّما بجهة أنّ الغلاة کانوا مختفین فی الشیعة مخلوطین بهم 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أنّ القدماء کانوا مختلفین فی المسائل الاصولیة أیضا فربّما کان شیء عند بعضهم فاسدا أو کفرا أو غلوّا أو تفویضا أو جبرا أو تشبیها أو غیر ذلک، و کان عند آخر ممّا یجب اعتقاده أو 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کان منشأ جرحهم بالامور المذکورة وجدان الروایة الظاهرة فیها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ادّعاء أرباب المذاهب کونه منهم أو روایتهم عنه و ربّما کان المنشأ روایتهم المناکیر عنه، إلی غیر ذلک، فعلی هذا ربّما یحصل التأمّل فی جرحهم بأمثال الامور المذکورة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الغضائری ربّما ینسبان الراوی إلی الکذب و وضع الحدیث أیضا بعد ما نسباه إلی الغلوّ و کأنّه لروایته ما یدلّ علیه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2759920_1395250215"/>
      <w:bookmarkStart w:id="193" w:name="_Toc64"/>
      <w:bookmarkEnd w:id="192"/>
      <w:r>
        <w:rPr>
          <w:rtl w:val="true"/>
        </w:rPr>
        <w:t>اجابة المحقق التستری عن هذه النظریة</w:t>
      </w:r>
      <w:bookmarkEnd w:id="1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المحقّق التستری أجاب عن هذه النظریة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کثیرا ما یردّ المتأخّرون طعن القدماء فی رجل بالغلوّ، بأنّهم رموه به لنقله معجزاتهم و هو غیر صحیح، فإنّ کونهم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معجزات من ضروریات مذهب </w:t>
      </w:r>
    </w:p>
    <w:p>
      <w:pPr>
        <w:pStyle w:val="BookText"/>
        <w:rPr/>
      </w:pPr>
      <w:r>
        <w:rPr>
          <w:rFonts w:ascii="IRNazanin" w:hAnsi="IRNazanin" w:eastAsia="IRNazanin"/>
          <w:color w:val="111111"/>
          <w:sz w:val="28"/>
          <w:sz w:val="28"/>
          <w:szCs w:val="28"/>
          <w:rtl w:val="true"/>
          <w:lang w:bidi="fa-IR"/>
        </w:rPr>
        <w:t xml:space="preserve">الإمامیّة، و هل معجزاتهم وصلت إلینا إلاّ بنقلهم؟ و إنّما مرادهم بالغلوّ ترک العبادة اعتمادا علی ولایتهم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أحمد بن الحسین الغضائری، عن الحسن بن محمّد بن بندار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مشایخی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أورمة لما طعن علیه بالغلوّ بعث إلیه الأشاعرة لیقتلوه، فوجدوه یصلّی اللّیل من أوّله إلی آخره، لیالی عدّة فتوقّفوا عن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فلاح السّائل</w:t>
      </w:r>
      <w:r>
        <w:rPr>
          <w:rStyle w:val="FootnoteAnchor"/>
          <w:rtl w:val="true"/>
        </w:rPr>
        <w:footnoteReference w:id="101"/>
      </w:r>
      <w:r>
        <w:rPr>
          <w:rFonts w:ascii="IRNazanin" w:hAnsi="IRNazanin" w:eastAsia="IRNazanin"/>
          <w:color w:val="111111"/>
          <w:sz w:val="28"/>
          <w:sz w:val="28"/>
          <w:szCs w:val="28"/>
          <w:rtl w:val="true"/>
          <w:lang w:bidi="fa-IR"/>
        </w:rPr>
        <w:t>لعلیّ بن طاووس عن الحسین بن أحمد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بن ملیک الکرخیّ</w:t>
      </w:r>
      <w:r>
        <w:rPr>
          <w:rStyle w:val="FootnoteAnchor"/>
          <w:rtl w:val="true"/>
        </w:rPr>
        <w:footnoteReference w:id="102"/>
      </w:r>
      <w:r>
        <w:rPr>
          <w:rFonts w:ascii="Amiri" w:hAnsi="Amiri" w:eastAsia="Amiri" w:cs="Amiri"/>
          <w:color w:val="111111"/>
          <w:sz w:val="28"/>
          <w:sz w:val="28"/>
          <w:szCs w:val="28"/>
          <w:rtl w:val="true"/>
          <w:lang w:bidi="ar-SA"/>
        </w:rPr>
        <w:t>عمّا یقال فی محمّد بن سنان من أمر الغلوّ،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هو و اللّه علّمنی الطّهور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عنون الکشّی</w:t>
      </w:r>
      <w:r>
        <w:rPr>
          <w:rStyle w:val="FootnoteAnchor"/>
          <w:rtl w:val="true"/>
        </w:rPr>
        <w:footnoteReference w:id="103"/>
      </w:r>
      <w:r>
        <w:rPr>
          <w:rFonts w:ascii="IRNazanin" w:hAnsi="IRNazanin" w:eastAsia="IRNazanin"/>
          <w:color w:val="111111"/>
          <w:sz w:val="28"/>
          <w:sz w:val="28"/>
          <w:szCs w:val="28"/>
          <w:rtl w:val="true"/>
          <w:lang w:bidi="fa-IR"/>
        </w:rPr>
        <w:t>جمعا، منهم علیّ بن عبد اللّه بن مروان و قال إنّه سأل العیّاشی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بن عبد اللّه بن مروان فإنّ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تمتحن فی أوقات الصّلوات و لم أحضره وقت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 الکشّی</w:t>
      </w:r>
      <w:r>
        <w:rPr>
          <w:rStyle w:val="FootnoteAnchor"/>
          <w:rtl w:val="true"/>
        </w:rPr>
        <w:footnoteReference w:id="104"/>
      </w:r>
      <w:r>
        <w:rPr>
          <w:rFonts w:ascii="IRNazanin" w:hAnsi="IRNazanin" w:eastAsia="IRNazanin"/>
          <w:color w:val="111111"/>
          <w:sz w:val="28"/>
          <w:sz w:val="28"/>
          <w:szCs w:val="28"/>
          <w:rtl w:val="true"/>
          <w:lang w:bidi="fa-IR"/>
        </w:rPr>
        <w:t xml:space="preserve">أیضا الغلاة فی وقت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أحمد بن محمّد بن عیسی أنّه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یتکلّمون و یقرؤون أحادیث ینسبونها </w:t>
      </w:r>
    </w:p>
    <w:p>
      <w:pPr>
        <w:pStyle w:val="BookText"/>
        <w:rPr/>
      </w:pPr>
      <w:r>
        <w:rPr>
          <w:rFonts w:ascii="Amiri" w:hAnsi="Amiri" w:eastAsia="Amiri" w:cs="Amiri"/>
          <w:color w:val="111111"/>
          <w:sz w:val="28"/>
          <w:sz w:val="28"/>
          <w:szCs w:val="28"/>
          <w:rtl w:val="true"/>
          <w:lang w:bidi="ar-SA"/>
        </w:rPr>
        <w:t xml:space="preserve">إلیک و إلی آبائک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أقاویلهم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 إِنَّ الصَّلاةَ تَنْهی عَنِ الْفَحْشاءِ وَ الْمُنْکَرِ معناها رجل، لا سجود و لا رکوع، و کذلک الزکاة معناها ذلک الرجل لا عدد دراهم و لا إخراج مال، و أشیاء من الفرائض و السنن و المعاصی تأوّلوها و صیّروها علی هذا الحدّ الّذی ذکرت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الغلاة کانوا یمتحنون فی أوقات الصّلاة صحیح فی الجملة، و یدلّ علیه مضافا إلی ما ذکره،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علی شبابکم الغلاة لا یفسدوهم، فإنّ الغلاة شرّ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یرجع الغالی فلا نقبله، و بنا یلحق المقصّر فنقبله،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الغالی قد اعتاد ترک الصّلاة و الزّکاة و الصّیام و الحجّ، فلا یقدر علی ترک عادته و علی الرّجوع إلی طاعة اللّه عزّ و جلّ أبدا و إنّ المقصر إذا عرف عمل و أطاع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بعض أصحابنا إلی أبی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حسکة یدّعی أنّه من أولیائک و أنّک أنت الأوّل القدیم و أنّه بابک و نبیّک أمرته أن یدعو إلی ذلک و یزعم أنّ الصّلاة و الزّکاة و الحجّ و الصّوم کل ذلک معرفتک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الکشّی عن یحیی بن عبد الحمید الحمّانی، فی کتابه المؤلّف فی إثبات إمامة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الإمام تکفی من الصّوم و الصّلاة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مع هذا الاعتراف إنّ هذه الروایات لا تثبت ما رامه و هو أنّ الغلوّ کان له معنی واحد فی جمیع الأزمنة، و لازمه ترک الفرائض، و أنّ ذلک المعنی کان مقبولا عند الکلّ من عصر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عصر الغضائری اذ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یظهر عما نقله الکشّی عن عثمان بن عیسی الکلابی أنّ محمد بن بشیر أحد رؤساء الغلاة فی عصره، و أتباعه کانوا یأخذون بعض الفرائض و ینکرون البعض الآخر، حیث زعموا أنّ الفرائض علیهم من اللّه تعالی إقامة الصّلاة و الخمس و صوم شهر رمضان، و فی الوقت نفسه، أنکروا الزّکاة و الحجّ و سائر الفرائض</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فما ذکره من امتحان الغلاة فی أوقات الصّلاة راجع إلی صنف خاصّ من الغلاة دون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کلمات القدماء أنّهم لم یتّفقوا فی معنی الغلوّ بشکل خاصّ علی ما حکی شیخنا المفید عن محمّد بن الحسن بن أحمد 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فی الغلوّ، نفی السهو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الإمام، 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صحّت هذه الحکایة عنه فهو مقصّر، مع أنّه من علماء القمیین و مشیختهم، و قد وجدنا جماعة وردت إلینا من قم یقصّرون تقصیرا ظاهرا فی الدین، ینزلون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مراتبهم، و یزعمون أنّهم کانوا لا یعرفون کثیرا من الأحکام الدینیّة، حتّی ینکت فی قلوبهم، و رأینا من یقول إنّهم کانوا یلجأون فی حکم الشریعة إلی الرّأی و الظّنون و یدّعون مع ذلک أنّهم من العلماء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کانت المشایخ من القمیّین و غیرهم یعتقدون فی حقّ الأئمّة ما نقله </w:t>
      </w:r>
    </w:p>
    <w:p>
      <w:pPr>
        <w:pStyle w:val="BookText"/>
        <w:rPr/>
      </w:pPr>
      <w:r>
        <w:rPr>
          <w:rFonts w:ascii="IRNazanin" w:hAnsi="IRNazanin" w:eastAsia="IRNazanin"/>
          <w:color w:val="111111"/>
          <w:sz w:val="28"/>
          <w:sz w:val="28"/>
          <w:szCs w:val="28"/>
          <w:rtl w:val="true"/>
          <w:lang w:bidi="fa-IR"/>
        </w:rPr>
        <w:t>الشیخ المفید، فإذا وجدوا روایة علی خلاف معتقدهم وصفوها بحسب الطّبع بالضّعف و راویها بالجعل و الدسّ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فسّر الغلوّ فی النّبی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أفرط بعض المتکلّمین و المحدّثین فی الغلوّ لقصورهم عن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عجزهم عن إدراک غرائب أحوالهم و عجائب شؤونهم، فقدحوا فی کثیر من الرواة الثقات بعض غرائب المعجزات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الغلوّ نفی السهو عنهم، أو القول بأنّهم یعلمون ما کان و ما یکون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ذلک، فلیس من البعید أنّ الغضائری و نظراءه الّذین ینسبون کثیرا من الرّواة إلی الضّعف و الجعل، کانوا یعتقدون فی حقّ النّبی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هذه المشایخ، فإذا وجدوا أنّ الرّوایة لا توافق معتقدهم اتّهموه بالکذب و وضع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الآفة کلّ الآفة هو أن یکون ملاک تصحیح الرّوایة عقیدة الشّخص و سلیقته الخاصّة فإنّ ذلک یوجب طرح کثیر من الروایات الصّحیحة و اتّهام کثیر من 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الغضائری کان له مذاق خاصّ فی تصحیح الروایات و توثیق الرواة، فقد جعل إتقان الروایات فی المضمون، حسب مذاقه، دلیلا علی وثاقة الراوی، و لأجل ذلک صحّح روایات عدّة من القمّیین، ممّن ضعّفهم غیره، لأجل أنّه رأی کتبهم، و أحادیثهم صحیحة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جعل ضعف الروایة فی المضمون، و مخالفته مع معتقده فی ما یرجع إلی الأئمّة، دلیلا علی ضعف الروایة، و کون الراوی جاعلا للحدیث، </w:t>
      </w:r>
    </w:p>
    <w:p>
      <w:pPr>
        <w:pStyle w:val="BookText"/>
        <w:rPr/>
      </w:pPr>
      <w:r>
        <w:rPr>
          <w:rFonts w:ascii="IRNazanin" w:hAnsi="IRNazanin" w:eastAsia="IRNazanin"/>
          <w:color w:val="111111"/>
          <w:sz w:val="28"/>
          <w:sz w:val="28"/>
          <w:szCs w:val="28"/>
          <w:rtl w:val="true"/>
          <w:lang w:bidi="fa-IR"/>
        </w:rPr>
        <w:t>أو راویا ممّن یضع الحدیث، و التوثیق و الجرح المبنیّان علی إتقان المتن، و موافقته مع العقیدة، من أخطر الطّرق إلی تشخیص صفات الراوی من الوثاقة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ما ذکرنا أنّ الشیخ و النجاشی ضعّفا محمّد بن أورمة، لأنّه مطعون علیه بالغلوّ و ما تفرّد به لم یجز العمل به</w:t>
      </w:r>
      <w:r>
        <w:rPr>
          <w:rStyle w:val="FootnoteAnchor"/>
          <w:rtl w:val="true"/>
        </w:rPr>
        <w:footnoteReference w:id="112"/>
      </w:r>
      <w:r>
        <w:rPr>
          <w:rFonts w:ascii="IRNazanin" w:hAnsi="IRNazanin" w:eastAsia="IRNazanin"/>
          <w:color w:val="111111"/>
          <w:sz w:val="28"/>
          <w:sz w:val="28"/>
          <w:szCs w:val="28"/>
          <w:rtl w:val="true"/>
          <w:lang w:bidi="fa-IR"/>
        </w:rPr>
        <w:t>و لکن ابن الغضائری أبرأه عنه، فنظر فی کتبه و روایاته کلّها متأمّلا فیها، فوجدها نقیّة لا فساد فیها، إلا فی أوراق الصقت علی الکتاب، فحمله علی أنّها موضوعة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یشهد أنّ مصدر قضائه هو التتبّع فی کتب الراوی، و تشخیص أفکاره و عقائده و أعماله من نفس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للمحقّق الشیخ أبی الهدی الکلباسی کلاما حول هذا الکتاب یقرب مما ذکره المحقّق البهبهانی، و نحن نأتی بملخّصه و هو لا یخلو من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سماء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دعوی التسارع غیر بعیدة نظرا إلی أمور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کمال الاستقراء فی أرجاء عبائره، أنّه کان یری نقل بعض غرائب الامور من الأئمّة علیهم السلام من الغلوّ علی حسب مذاق القمّیین، فکان إذا رأی من أحدهم ذکر شیء غیر موافق لاعتقاده، یجزم بأنّه من الغلوّ، فیعتقد بکذبه و افترائه، فیحکم بضعفه و غلوّه، و لذا یکثر حکمه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بالضعف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ذلک ممّا ذکره من أنّه کان غالیا کذّابا کما فی سلیمان الدیلمی، و فی آخر من أنّه ضعیف جدّا لا یلتفت إلیه، أو فی مذهبه غلوّ کما فی </w:t>
      </w:r>
    </w:p>
    <w:p>
      <w:pPr>
        <w:pStyle w:val="BookText"/>
        <w:rPr/>
      </w:pPr>
      <w:r>
        <w:rPr>
          <w:rFonts w:ascii="IRNazanin" w:hAnsi="IRNazanin" w:eastAsia="IRNazanin"/>
          <w:color w:val="111111"/>
          <w:sz w:val="28"/>
          <w:sz w:val="28"/>
          <w:szCs w:val="28"/>
          <w:rtl w:val="true"/>
          <w:lang w:bidi="fa-IR"/>
        </w:rPr>
        <w:t>عبد الرحمن بن أبی حمّاد، فإنّ الظاهر أن منشأ تضعیفه ما ذکره من غلوّه، و مثله ما فی خلف بن محمّد من أنّه کان غالیا، فی مذهبه ضعف لا یلتفت الیه، و ما فی سهل بن زیاد من أنه کان ضعیفا جدّا فاسد الروایة و المذهب، و کان أحمد بن محمّد بن عیسی أخرجه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منشأ جمیعه ما حکاه النجاشی عن أحمد المذکور من أنّه کان یشهد علیه بالغلوّ و الکذب، فأخرجه عنه</w:t>
      </w:r>
      <w:r>
        <w:rPr>
          <w:rStyle w:val="FootnoteAnchor"/>
          <w:rtl w:val="true"/>
        </w:rPr>
        <w:footnoteReference w:id="114"/>
      </w:r>
      <w:r>
        <w:rPr>
          <w:rFonts w:ascii="IRNazanin" w:hAnsi="IRNazanin" w:eastAsia="IRNazanin"/>
          <w:color w:val="111111"/>
          <w:sz w:val="28"/>
          <w:sz w:val="28"/>
          <w:szCs w:val="28"/>
          <w:rtl w:val="true"/>
          <w:lang w:bidi="fa-IR"/>
        </w:rPr>
        <w:t>و ما فی حسن بن میّاح من أنّه ضعیف غال، و فی 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کذّاب وضّاع للحدیث، لا خیر فیه و لا فی سائر 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صالح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کذّاب لا یلتفت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عبد اللّه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عبد اللّه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مرتفع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 فی عبد اللّه بن سالم و عبد اللّه بن بحر و عبد اللّه بن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أنّه کان غیورا فی دینه، حامیا عنه، فکان إذا رأی مکروها اشتدّت عنده بشاعته و کثرت لدیه شناعته، مکثرا علی مقترفه من الطّعن و التّشنیع و اللّعن و التفظیع، یشهد علیه سیاق عبارته، فأنت تری أنّ غیره فی مقام التّضعیف یقتصر بما فیه بیان الضّعف، بخلافه فإنّه یرخی عنان القلم فی المیدان باتّهامه بالخبث و التهالک و اللعان، فیضعّف مؤکّدا و إلیک 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 مرتفع القول، له کتاب فی الزیارات یدلّ علی خبث عظیم و مذهب متهافت و کان من کذابة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حول کتاب علیّ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تصنیف یدلّ علی خبثه و تهالک مذهبه لا یلتفت إلیه و لا یعبأ بما رواه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جعفر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متروک الحدیث جملة، و کان فی مذهبه ارتفاع، و یروی عن الضعفاء و المجاهیل، و کلّ عیوب الضعفاء مجتمعة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 أنّه کان یکبّر کثیرا من الامور الصغیرة و کانت له روحیّة خاصّة تحمله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أنّ الشّیخ و النّجاشی ربّما ضعّفا رجلا، و الغضائری أیضا ضعّفه، لکنّ بین التّعبیرین اختلافا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ذکر الشّیخ فی عبد اللّه بن محمّد أنّه کان واعظا فقیها، و ضعّفه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الغضائری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کذّاب، وضّاع للحدیث لا یلتفت إلی حدیثه و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علیّ بن أبی حمزة البطائنی الّذی ضعّفه أهل الرجال، فعّرفه الشیخ بأنّه واقفیّ، و العلاّمة بأنّه أحد عمد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حمزة لعنه اللّه، أصل الوقف و أشدّ الخلق عداوة للولیّ من بعد أبی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إسحاق بن أحمد المکنّی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 أخی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التّخلیط و له کتب فی التخلیط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المذهب، کذّاب فی الروایة، وضّاع للحدیث، لا یلتفت إلی ما رواه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یعلم ضعف ما استدلّ به علی عدم صحّة نسبة الکتاب إلی ابن الغضائری من أنّ النّجاشی ذکر فی ترجمة الخیبری عن ابن الغضائری، أنّه ضعیف فی مذهبه، و لکن فی الکتاب المنسوب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 الحدیث، غالی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هذا الکتاب، لذکر النّجاشی ما هو الموجود أیضا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لما عرفت من أنّ الرجل کان ذا روحیّة خاصّة، و کان إذا رأی </w:t>
      </w:r>
      <w:bookmarkStart w:id="194" w:name="pg2858_19510"/>
    </w:p>
    <w:p>
      <w:pPr>
        <w:pStyle w:val="BookText"/>
        <w:rPr/>
      </w:pPr>
      <w:bookmarkEnd w:id="194"/>
      <w:r>
        <w:rPr>
          <w:rFonts w:ascii="IRNazanin" w:hAnsi="IRNazanin" w:eastAsia="IRNazanin"/>
          <w:color w:val="111111"/>
          <w:sz w:val="28"/>
          <w:sz w:val="28"/>
          <w:szCs w:val="28"/>
          <w:rtl w:val="true"/>
          <w:lang w:bidi="fa-IR"/>
        </w:rPr>
        <w:t>مکروها، اشتدّت عنده بشاعته و کثرت لدیه شناعته، فیأتی بألفاظ لا یصحّ التعبیر بها إلاّ عند صاحب هذه الروحیّة، و لمّا کان النّجاشی علی جهة الاعتدال نقل مرامه من دون غلوّ و إغراق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الآفة کلّ الآفة فی رجاله هو تضعیف الأجلّة و الموثّقین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مهران روی عنه الکلینی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ثقة الإسلام یروی عنه بلا واسطة، و یترحّم علیه کما فی باب مولد الزهراء سلام اللّه علیها</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و أحمد بن إدریس عن محمّد بن عبد الجبّار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لا یمکن الاعتماد علی تضعیفاته، فضلا عن معارضته بتوثیق النّجاشی خبیر الفنّ و الشیخ عماد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 توثیقاته فی أعلی مراتب الاعتبار و لکنّه قلیل و قد عرفت من المحقّق الداماد من أنّه قل أن یسلم أحد من جرحه أو ینجو ثقة من قدحه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آنفا و سیأتی أنّ الاعتماد علی توثیقه کالاعتماد علی جرحه</w:t>
      </w:r>
      <w:r>
        <w:rPr>
          <w:rFonts w:eastAsia="IRNazanin" w:cs="IRNazanin"/>
          <w:color w:val="111111"/>
          <w:sz w:val="28"/>
          <w:szCs w:val="28"/>
          <w:rtl w:val="true"/>
          <w:lang w:bidi="fa-IR"/>
        </w:rPr>
        <w:t>.</w:t>
      </w:r>
    </w:p>
    <w:p>
      <w:pPr>
        <w:pStyle w:val="Heading5"/>
        <w:numPr>
          <w:ilvl w:val="4"/>
          <w:numId w:val="1"/>
        </w:numPr>
        <w:rPr/>
      </w:pPr>
      <w:bookmarkStart w:id="195" w:name="__RefHeading___Toc2759922_1395250215"/>
      <w:bookmarkStart w:id="196" w:name="_Toc65"/>
      <w:bookmarkEnd w:id="195"/>
      <w:r>
        <w:rPr>
          <w:rtl w:val="true"/>
        </w:rPr>
        <w:t>النظریة الخامسة</w:t>
      </w:r>
      <w:bookmarkEnd w:id="196"/>
    </w:p>
    <w:p>
      <w:pPr>
        <w:pStyle w:val="BookText"/>
        <w:rPr/>
      </w:pPr>
      <w:r>
        <w:rPr>
          <w:rFonts w:ascii="IRNazanin" w:hAnsi="IRNazanin" w:eastAsia="IRNazanin"/>
          <w:color w:val="111111"/>
          <w:sz w:val="28"/>
          <w:sz w:val="28"/>
          <w:szCs w:val="28"/>
          <w:rtl w:val="true"/>
          <w:lang w:bidi="fa-IR"/>
        </w:rPr>
        <w:t>و فی الختام نشیر إلی نظریّة خامسة و إن لم نوعز إلیها فی صدر الکلام و هی أنّه ربّما یقال بعدم اعتبار تضعیفات ابن الغضائری لأنّه کان جرّاحا کثیر الردّ علی الرواة، و قلیل التّعدیل و التّصدیق بهم و مثل هذا یعدّ خرقا للعادة و تجاوزا عنها، و إنّما یعتبر قول الشاهد إذا کان انسانا متعارفا غیر خارق للعادة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لو ادّعی رجلان رؤیة الهلال مع الغیم الکثیف فی السّماء و کثرة النّاظرین، لا یقبل قولهما، لأنّ مثل تلک الشهادة تعدّ علی خلاف العادة، و علی ذلک فلا یقبل تضعیفه، و لکن یقبل تعدیله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لو وصل إلینا کتاب الممدوحین منه، فعندئذ لو کان المضعّفون أکثر من الممدوحین و الموثّقین، لکان لهذا الرأی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إلینا ذلک الکتاب، حتّی نقف علی مقدار تعدیله و تصدیقه، فمن الممکن أن یکون الممدوحون عنده أکثر من الضّعفاء، و معه کیف یرمی بالخروج عن المتعارف؟</w:t>
      </w:r>
    </w:p>
    <w:p>
      <w:pPr>
        <w:pStyle w:val="BookText"/>
        <w:rPr/>
      </w:pPr>
      <w:r>
        <w:rPr>
          <w:rFonts w:ascii="IRNazanin" w:hAnsi="IRNazanin" w:eastAsia="IRNazanin"/>
          <w:color w:val="111111"/>
          <w:sz w:val="28"/>
          <w:sz w:val="28"/>
          <w:szCs w:val="28"/>
          <w:rtl w:val="true"/>
          <w:lang w:bidi="fa-IR"/>
        </w:rPr>
        <w:t>و لأجل ذلک نجد أنّ النّسبة بین ما ضعّفه الشیخ و النجاشی أو وثّقاه، و ما ضعّفه ابن الغضائری أو وثّقه،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ضعیف عندهما ثقة عنده و بالعکس، و علی ذلک فلا یصحّ رد تضعیفاته بحجّة أنّه کان خارجا عن الحدّ المتعارف فی مجال الجرح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الحقّ فی عدم قبوله هو ما أوعزنا إلیه من أنّ توثیقاته و تضعیفاته لم تکن مستندة إلی الحسّ و الشهود و السّماع عن المشایخ و الثّقات، بل کانت مستندة إلی الحدس و الاستنباط و قراءة المتون و الروایات، ثمّ القضاء فی حقّ الراوی بما نقل من الرّوایة، و مثل هذه الشّهادة لا تکون حجّة لا فی التّضعیف و لا فی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کلامه حجّة فی غیر هذا المجال، کما إذا وصف الراوی بأنّه کوفیّ أو بصریّ أو واقفیّ أو فطحیّ أو له کتب، و اللّه العالم بالحقائق</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858_19513"/>
      <w:bookmarkStart w:id="198" w:name="pg2858_19513"/>
      <w:bookmarkEnd w:id="198"/>
    </w:p>
    <w:p>
      <w:pPr>
        <w:pStyle w:val="Heading2"/>
        <w:numPr>
          <w:ilvl w:val="1"/>
          <w:numId w:val="1"/>
        </w:numPr>
        <w:rPr/>
      </w:pPr>
      <w:bookmarkStart w:id="199" w:name="pg2858_19513"/>
      <w:bookmarkStart w:id="200" w:name="__RefHeading___Toc2759924_1395250215"/>
      <w:bookmarkStart w:id="201" w:name="_Toc66"/>
      <w:bookmarkEnd w:id="199"/>
      <w:bookmarkEnd w:id="200"/>
      <w:r>
        <w:rPr>
          <w:rtl w:val="true"/>
        </w:rPr>
        <w:t>الفصل الرابع</w:t>
      </w:r>
      <w:r>
        <w:rPr>
          <w:rtl w:val="true"/>
        </w:rPr>
        <w:t xml:space="preserve">: </w:t>
      </w:r>
      <w:r>
        <w:rPr>
          <w:rtl w:val="true"/>
        </w:rPr>
        <w:t>المصادر الثانویة لعلم الرجال</w:t>
      </w:r>
      <w:bookmarkEnd w:id="201"/>
    </w:p>
    <w:p>
      <w:pPr>
        <w:pStyle w:val="Heading3"/>
        <w:numPr>
          <w:ilvl w:val="2"/>
          <w:numId w:val="1"/>
        </w:numPr>
        <w:rPr/>
      </w:pPr>
      <w:bookmarkStart w:id="202" w:name="__RefHeading___Toc2759926_1395250215"/>
      <w:bookmarkStart w:id="203" w:name="_Toc67"/>
      <w:bookmarkEnd w:id="202"/>
      <w:r>
        <w:rPr>
          <w:rtl w:val="true"/>
        </w:rPr>
        <w:t>اشارة</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الرجالیة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الجوامع الرجالیة فی العصور المتأخرة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الجوامع الرجالیة الدارجة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تطوّر فی تألیف الجوامع الحدیثة</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858_19515"/>
      <w:bookmarkStart w:id="205" w:name="pg2858_19515"/>
      <w:bookmarkEnd w:id="205"/>
    </w:p>
    <w:p>
      <w:pPr>
        <w:pStyle w:val="Heading3"/>
        <w:numPr>
          <w:ilvl w:val="2"/>
          <w:numId w:val="1"/>
        </w:numPr>
        <w:rPr/>
      </w:pPr>
      <w:bookmarkStart w:id="206" w:name="pg2858_19515"/>
      <w:bookmarkStart w:id="207" w:name="__RefHeading___Toc2759928_1395250215"/>
      <w:bookmarkStart w:id="208" w:name="_Toc68"/>
      <w:bookmarkEnd w:id="206"/>
      <w:bookmarkEnd w:id="207"/>
      <w:r>
        <w:rPr/>
        <w:t>1</w:t>
      </w:r>
      <w:r>
        <w:rPr>
          <w:rtl w:val="true"/>
        </w:rPr>
        <w:t xml:space="preserve"> - </w:t>
      </w:r>
      <w:r>
        <w:rPr>
          <w:rtl w:val="true"/>
        </w:rPr>
        <w:t>الاصول الرجالیة الاربعة</w:t>
      </w:r>
      <w:bookmarkEnd w:id="208"/>
    </w:p>
    <w:p>
      <w:pPr>
        <w:pStyle w:val="Heading4"/>
        <w:numPr>
          <w:ilvl w:val="3"/>
          <w:numId w:val="1"/>
        </w:numPr>
        <w:rPr/>
      </w:pPr>
      <w:bookmarkStart w:id="209" w:name="__RefHeading___Toc2759930_1395250215"/>
      <w:bookmarkStart w:id="210" w:name="_Toc69"/>
      <w:bookmarkEnd w:id="209"/>
      <w:r>
        <w:rPr>
          <w:rtl w:val="true"/>
        </w:rPr>
        <w:t>اشارة</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الشیخ منتجب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الاقوال فی علم الرجال</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الاصول الرجالیة الاربعة</w:t>
      </w:r>
    </w:p>
    <w:p>
      <w:pPr>
        <w:pStyle w:val="BookText"/>
        <w:rPr/>
      </w:pPr>
      <w:r>
        <w:rPr>
          <w:rFonts w:ascii="IRNazanin" w:hAnsi="IRNazanin" w:eastAsia="IRNazanin"/>
          <w:color w:val="111111"/>
          <w:sz w:val="28"/>
          <w:sz w:val="28"/>
          <w:szCs w:val="28"/>
          <w:rtl w:val="true"/>
          <w:lang w:bidi="fa-IR"/>
        </w:rPr>
        <w:t xml:space="preserve">قد وقفت بفضل الأبحاث السابقة، علی الاصول الأوّلیّة لعلم الرجال، الّتی تعدّ امّهات الکتب المؤلّفة فی العصور المتأخّرة، و مؤلّفو هذه الاصول یعدّون فی الرّعیل الأوّل من علماء الرجال، لا یدرک لهم شأو، و لا یشق لهم غبار،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عاصروا أساتذة الحدیث و أساطینه، و کانوا قریبی العهد من رواة الأخبار و نقلة الآثار، و لأجل ذلک تمکّنوا تمکّنا تامّا مورثا للاطمئنان، من الوقوف علی أحوالهم و خصوصیّات حیاتهم، إمّا عن طریق الحسّ و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طریق جمع القرائن و الشواهد المورثة للاطمئنان الذی هو علم عرفیّ، کما سیوافیک تحقیقه فی الأبحاث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تلت الطّبقة الاولی، طبقة اخری تعدّ من أشهر علماء الرجال بعدهم، کما تعدّ کتبهم مصادر له بعد الاصول الأوّلیة، نأتی بأسمائهم و أسماء کتبهم، و کلّهم کانوا عائشین فی القرن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أقدم فهرس عامّ لکتب الشیعة، هو فهرس الشیخ أحمد بن الحسین بن عبید اللّه الغضائری، الّذی قد تعرّفت علیه و ما حوله من الأقوال و الآراء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فهرس أبی الفرج محمّد بن إسحاق المعروف بابن النّدیم </w:t>
      </w:r>
      <w:bookmarkStart w:id="211" w:name="pg2858_19518"/>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أقدم من فهرس ابن الغضائری، لکنّه غیر مختصّ بکتب الشیعة، و إنّما یضمّ بین دفّتیه الکتب الاسلامیّة و غیرها، و قد أشار إلی تصانیف قلیلة من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الشیخ الطّوسی بعد ابن الغضائری، فألّف فهرسه المعروف حول کتب الشیعة و مؤلّفاتهم، و هو من أحسن الفهارس المؤلّفة، و قد نقل عنه النّجاشی فی فهرسه و اعتمد علیه، و إن کان النّجاشی أقدم منه عصرا و أرسخ منه قدما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بعدهم فی القرن السادس، العلاّمتان الجلیلان، الشیخ الحافظ أبو الحسن منتجب الدین الرازی، و الشیخ الحافظ محمّد بن علیّ بن شهر آشوب السروی المازندرانی، فأکملا عمل الشیخ الطوسی و جهوده إلی عصرهما، و إلیک الکلام فیهما إجمالا</w:t>
      </w:r>
      <w:r>
        <w:rPr>
          <w:rFonts w:eastAsia="IRNazanin" w:cs="IRNazanin"/>
          <w:color w:val="111111"/>
          <w:sz w:val="28"/>
          <w:szCs w:val="28"/>
          <w:rtl w:val="true"/>
          <w:lang w:bidi="fa-IR"/>
        </w:rPr>
        <w:t>:</w:t>
      </w:r>
    </w:p>
    <w:p>
      <w:pPr>
        <w:pStyle w:val="Heading4"/>
        <w:numPr>
          <w:ilvl w:val="3"/>
          <w:numId w:val="1"/>
        </w:numPr>
        <w:rPr/>
      </w:pPr>
      <w:bookmarkStart w:id="212" w:name="__RefHeading___Toc2759932_1395250215"/>
      <w:bookmarkStart w:id="213" w:name="_Toc70"/>
      <w:bookmarkEnd w:id="212"/>
      <w:r>
        <w:rPr/>
        <w:t>1</w:t>
      </w:r>
      <w:r>
        <w:rPr>
          <w:rtl w:val="true"/>
        </w:rPr>
        <w:t xml:space="preserve"> - </w:t>
      </w:r>
      <w:r>
        <w:rPr>
          <w:rtl w:val="true"/>
        </w:rPr>
        <w:t>فهرس الشیخ منتجب الدین</w:t>
      </w:r>
      <w:bookmarkEnd w:id="213"/>
    </w:p>
    <w:p>
      <w:pPr>
        <w:pStyle w:val="BookText"/>
        <w:rPr/>
      </w:pPr>
      <w:r>
        <w:rPr>
          <w:rFonts w:ascii="IRNazanin" w:hAnsi="IRNazanin" w:eastAsia="IRNazanin"/>
          <w:color w:val="111111"/>
          <w:sz w:val="28"/>
          <w:sz w:val="28"/>
          <w:szCs w:val="28"/>
          <w:rtl w:val="true"/>
          <w:lang w:bidi="fa-IR"/>
        </w:rPr>
        <w:t xml:space="preserve">و هو تألیف الحافظ علیّ بن عبید اللّه بن الحسن بن الحسین بن الحسن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صاحب الرّیاض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بحرا لا ینزف، شیخ الأصحاب، صاحب کتاب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الفتوح الرازی و عن جمع کثیر من علماء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 الشیخ الطّوسی بواسطة عمّه الشیخ بابویه بن سعد،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الإمام الرّافعی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الشیخ أبو القاسم عبد الکریم بن محمّد الرافعی الشافعی، المتوفّی عام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عبید اللّه بن الحسن بن الحسین بن بابویه شیخ ریّان من علم الحدیث سماعا و ضبطا و حفظا و جمعا، قلّ من یدانیه فی هذه الأعصار فی کثرة الجمع و السماع، قرأت علیه بالریّ سنة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و تولّد سنة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و مات بعد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أطلت عند ذکره بعض الإطالة فقد کثر انتفاعی بمکتوباته و تعالیقه فقضیت بعض حقّه بإشاعة ذکره و أحواله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الحرّ العاملی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علیّ بن عبید اللّه بن الحسن بن الحسین بن بابویه القمّی، کان فاضلا عالما ثقة صدوقا محدّثا حافظا راویة علاّمة، له کتاب الفهرس فی ذکر المشایخ المعاصرین للشّیخ الطّوسی و المتأخّرین إلی زمانه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ألّفه للسید الجلیل أبی القاسم یحیی بن الصدر</w:t>
      </w:r>
      <w:r>
        <w:rPr>
          <w:rStyle w:val="FootnoteAnchor"/>
          <w:rtl w:val="true"/>
        </w:rPr>
        <w:footnoteReference w:id="121"/>
      </w:r>
      <w:r>
        <w:rPr>
          <w:rFonts w:ascii="IRNazanin" w:hAnsi="IRNazanin" w:eastAsia="IRNazanin"/>
          <w:color w:val="111111"/>
          <w:sz w:val="28"/>
          <w:sz w:val="28"/>
          <w:szCs w:val="28"/>
          <w:rtl w:val="true"/>
          <w:lang w:bidi="fa-IR"/>
        </w:rPr>
        <w:t>السعید المرتضی باستدعاء منه حیث قال السید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شیخنا الموفّق السعید أبا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 کتابا فی أسامی مشایخ الشیعة و مصنّفیهم، و لم یصنّف بعده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الشّیخ منتجب الدین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أخّر اللّه أجلی و حقّق أملی، لأضفت إلیه ما عندی من أسماء مشایخ الشیعة و مصنّفیهم، الّذین تأخّر زمانهم عن زمان الشّیخ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بنیت هذا الکتاب علی حروف المعجم اقتداء بالشیخ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لیکون أسهل مأخذا و من اللّه التوفیق</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 هذا ینبیء عن أنّه لم یصل إلیه تألیف معاصره الشیخ محمّد بن علیّ بن شهر آشوب، الّذی کتب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لفهرس الشیخ، و لأجل ذلک قام بهذا العمل من غیر ذکر لذلک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ألّف الشیخ الطّوسی الفهرس بأمر استاذه المفید الّذی 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فی حیاته، کما صرّح به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الشیخ منتجب الدین فی فهرسه هذا، من کان فی عصر المفید إلی عصره المتجاوز عن مائة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الحافظ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أکثر النقل عن هذا الفهرس فی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معبّرا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یرید منهما إلاّ هذا الفهرس، و یعلم ذلک بملاحظة ما نقله فی لسان المیزان، مع ما جاء فی هذا الفهرس، کما أنّ لصاحب هذا الفهرس تألیفا آخر أسماه تاریخ الریّ، و ینقل منه أیضا ابن حجر فی کتابه المزبور، و الأسف کلّ الأسف أنّ هذا الکتاب و غیره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أبی طیّ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وقف علی الجمیع، ابن حجر فی عصره و نقل عنها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 إلینا، لعلّ اللّه یحدث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الغایة من اقتراح السید عزّ الدین یحیی، نقیب السادات، هو کتابة ذیل لفهرس الشیخ علی غراره، بأن یشتمل علی أسامی المؤلّفین، و مؤلّفاتهم واحدا بعد واحد، و قد قبل الشیخ منتجب الدین اقتراح السیّد، و قام بهذا العمل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عند الاشتغال بتألیف الفهرس عن هذا النّمط، فجاء بترجمة کثیر من شخصیّات الشّیعة، یناهز عددهم إلی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علمیّة و حدیثیّة من دون أن یذکر لهم أصلا و تصنیفا، و من ذکر لهم کتابا لا یتجاوز عن حدود مائة شخص</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یوافیک من الفهرس الآخر لمعاصره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غرار فهرس الشیخ حذو القذّة بالقذّة</w:t>
      </w:r>
      <w:r>
        <w:rPr>
          <w:rFonts w:eastAsia="IRNazanin" w:cs="IRNazanin"/>
          <w:color w:val="111111"/>
          <w:sz w:val="28"/>
          <w:szCs w:val="28"/>
          <w:rtl w:val="true"/>
          <w:lang w:bidi="fa-IR"/>
        </w:rPr>
        <w:t xml:space="preserve">. </w:t>
      </w:r>
      <w:bookmarkStart w:id="214" w:name="pg2858_19521"/>
    </w:p>
    <w:p>
      <w:pPr>
        <w:pStyle w:val="Heading4"/>
        <w:numPr>
          <w:ilvl w:val="3"/>
          <w:numId w:val="1"/>
        </w:numPr>
        <w:rPr/>
      </w:pPr>
      <w:bookmarkStart w:id="215" w:name="__RefHeading___Toc2759934_1395250215"/>
      <w:bookmarkStart w:id="216" w:name="_Toc71"/>
      <w:bookmarkEnd w:id="214"/>
      <w:bookmarkEnd w:id="215"/>
      <w:r>
        <w:rPr/>
        <w:t>2</w:t>
      </w:r>
      <w:r>
        <w:rPr>
          <w:rtl w:val="true"/>
        </w:rPr>
        <w:t xml:space="preserve"> - </w:t>
      </w:r>
      <w:r>
        <w:rPr>
          <w:rtl w:val="true"/>
        </w:rPr>
        <w:t>معالم العلماء فی فهرس کتب الشیعة و أسماء المصنفین</w:t>
      </w:r>
      <w:bookmarkEnd w:id="216"/>
    </w:p>
    <w:p>
      <w:pPr>
        <w:pStyle w:val="BookText"/>
        <w:rPr/>
      </w:pPr>
      <w:r>
        <w:rPr>
          <w:rFonts w:ascii="IRNazanin" w:hAnsi="IRNazanin" w:eastAsia="IRNazanin"/>
          <w:color w:val="111111"/>
          <w:sz w:val="28"/>
          <w:sz w:val="28"/>
          <w:szCs w:val="28"/>
          <w:rtl w:val="true"/>
          <w:lang w:bidi="fa-IR"/>
        </w:rPr>
        <w:t xml:space="preserve">و هو تألیف الحافظ الشهیر محمّد بن علیّ بن شهر آشوب المازندرانی، المولود عام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و هو أشهر من أن یعرف، فقد أطراه أرباب المعاجم من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صلاح الدین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شهر آشوب أبو جعفر السّروی المازندرانی، رشید الدین الشیعی، أحد شیوخ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القرآن و له ثمان سنین، و بلغ النّهایة فی اصول الشیعة، کان یرحل إلیه من البلاد، ثمّ تقدّم فی علم القرآن و الغریب و النّحو، ذکره ابن أبی طیّ فی تاریخه، و أثنی علیه ثناء بلیغا، و کذلک الفیروز آبادی فی کتاب البلغة فی تراجم أئمّة النّحو و اللغة، و زاد أنّه کان واسع العلم، کثیر العبادة دائم الوضوء، و عاش مائة سنة إلاّ ثمانیة أشهر، و مات سنة </w:t>
      </w:r>
      <w:r>
        <w:rPr>
          <w:rFonts w:eastAsia="IRNazanin" w:cs="IRNazanin"/>
          <w:color w:val="111111"/>
          <w:sz w:val="28"/>
          <w:szCs w:val="28"/>
          <w:lang w:bidi="fa-IR"/>
        </w:rPr>
        <w:t>588</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الشیخ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المحمّدین، و ذکر کتبه الکثیرة، الّتی أعرفها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أربعة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محاسن الکتب و قد طبع فی مجلد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نحن بصدد تعریفه، و هذا الکتاب یتضمّن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جهل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بعض شعراء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الفهرس، کفهرس الشیخ منتجب الدّین تکملة لفهرس الشیخ الطوسی، و المؤلّفان متعاصران، و الکتابان متقاربا التألیف، و قد أصبح معالم العلماء من المدارک المهمّة لعلماء الرجال، کالعلاّمة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بعده</w:t>
      </w:r>
      <w:r>
        <w:rPr>
          <w:rFonts w:eastAsia="IRNazanin" w:cs="IRNazanin"/>
          <w:color w:val="111111"/>
          <w:sz w:val="28"/>
          <w:szCs w:val="28"/>
          <w:rtl w:val="true"/>
          <w:lang w:bidi="fa-IR"/>
        </w:rPr>
        <w:t xml:space="preserve">. </w:t>
      </w:r>
      <w:bookmarkStart w:id="217" w:name="pg2858_19522"/>
    </w:p>
    <w:p>
      <w:pPr>
        <w:pStyle w:val="Heading4"/>
        <w:numPr>
          <w:ilvl w:val="3"/>
          <w:numId w:val="1"/>
        </w:numPr>
        <w:rPr/>
      </w:pPr>
      <w:bookmarkStart w:id="218" w:name="__RefHeading___Toc2759936_1395250215"/>
      <w:bookmarkStart w:id="219" w:name="_Toc72"/>
      <w:bookmarkEnd w:id="217"/>
      <w:bookmarkEnd w:id="218"/>
      <w:r>
        <w:rPr/>
        <w:t>3</w:t>
      </w:r>
      <w:r>
        <w:rPr>
          <w:rtl w:val="true"/>
        </w:rPr>
        <w:t xml:space="preserve"> - </w:t>
      </w:r>
      <w:r>
        <w:rPr>
          <w:rtl w:val="true"/>
        </w:rPr>
        <w:t>رجال ابن داود</w:t>
      </w:r>
      <w:bookmarkEnd w:id="219"/>
    </w:p>
    <w:p>
      <w:pPr>
        <w:pStyle w:val="Heading5"/>
        <w:numPr>
          <w:ilvl w:val="4"/>
          <w:numId w:val="1"/>
        </w:numPr>
        <w:rPr/>
      </w:pPr>
      <w:bookmarkStart w:id="220" w:name="__RefHeading___Toc2759938_1395250215"/>
      <w:bookmarkStart w:id="221" w:name="_Toc7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و هو تألیف تقی الدّین الحسن بن علیّ بن داود الحلّی، المولود سنة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أی قبل تولد العلاّمة بسنة، و المتوفّی بعد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تتلمذ علی السّید جمال الدین أحمد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علیه أکثر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فوائد هذا الکتاب من إشاراته و تحقیقاته، ربّانی و علّمنی و أحسن إلیّ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قرء علی الإمام نجم الدّین جعفر بن الحسن بن یحیی المعروف بالمحقّق، و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علیه و ربّانی صغیرا، و کان له علیّ إحسان عظیم و التفات، و أجاز لی جمیع ما صنّفه و قرأه و رواه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2759940_1395250215"/>
      <w:bookmarkStart w:id="223" w:name="_Toc74"/>
      <w:bookmarkEnd w:id="222"/>
      <w:r>
        <w:rPr>
          <w:rtl w:val="true"/>
        </w:rPr>
        <w:t>ممیزات رجال ابن داود</w:t>
      </w:r>
      <w:bookmarkEnd w:id="223"/>
    </w:p>
    <w:p>
      <w:pPr>
        <w:pStyle w:val="BookText"/>
        <w:rPr/>
      </w:pPr>
      <w:r>
        <w:rPr>
          <w:rFonts w:ascii="IRNazanin" w:hAnsi="IRNazanin" w:eastAsia="IRNazanin"/>
          <w:color w:val="111111"/>
          <w:sz w:val="28"/>
          <w:sz w:val="28"/>
          <w:szCs w:val="28"/>
          <w:rtl w:val="true"/>
          <w:lang w:bidi="fa-IR"/>
        </w:rPr>
        <w:t>و من مزایا ذلک الکتاب، أنّه سلک فیه مسلکا لم یسبقه أحد من الأصحاب، لأنّه رتّبه علی الحروف، الأوّل فالأوّل، من الأسماء و أسماء الآباء و الأجداد، و جمع ما وصل إلیه من کتب الرجال مع حسن الترتیب و زیادة التّهذیب، فنقل ما فی فهرس الشیخ و النّجاشی، و رجال الکشّی، و الشیخ و ابن الغضائری و البرقی و العقیقی و ابن عقدة و الفضل بن شاذان و ابن عبدون، و جعل لکلّ کتاب علامة، و لم یذکر المتأخّرین عن الشیخ إلاّ أسماء یسیرة، و جعل کتابه فی جزئین، الأوّل یختصّ بذکر الموثّقین و المهملین، و الثّانی بالمجروحین و المجهولین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آخر القسم الأوّل، تحت عنوان خاصّ، جماعة وصفهم النجاشی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عدّتهم أربعة و ثلاثون رجلا مرتّبین علی </w:t>
      </w:r>
    </w:p>
    <w:p>
      <w:pPr>
        <w:pStyle w:val="BookText"/>
        <w:rPr/>
      </w:pPr>
      <w:r>
        <w:rPr>
          <w:rFonts w:ascii="IRNazanin" w:hAnsi="IRNazanin" w:eastAsia="IRNazanin"/>
          <w:color w:val="111111"/>
          <w:sz w:val="28"/>
          <w:sz w:val="28"/>
          <w:szCs w:val="28"/>
          <w:rtl w:val="true"/>
          <w:lang w:bidi="fa-IR"/>
        </w:rPr>
        <w:t xml:space="preserve">حروف الهجاء، ثمّ أضاف بأنّ الغضائری جاء فی کتابه خمسة رجال زیادة علی ما ذکره النّجاشی، و وصف کلاّ منهم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ثمّ ذکر خمسة فصول لا غنی للباحث عنها، کلّ فصل معنون بعنوان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آخر القسم الثّانی، سبعة عشر فصلا لا یستغنی عنها الباحثون، کلّ فصل معنون بعنوان خاصّ ثمّ أورد تنبیهات تسعة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أنّه وقع فی هذا الکتاب اشتباهات عند النّقل عن کتب الرجال، مثلا نقل عن النّجاشی مطلبا و هو للکشّی أو بالعکس، قام المحقّق الکبیر السید محمّد صادق آل بحر العلوم فی تعلیقاته علی الکتاب، بإصلاح تلک الهفوات، و لعلّ أکثر تلک الهفوات نشأت من استنساخ النسّاخ، و علی کلّ تقدیر، فلهذا الکتاب مزیّة خاصّة لا توجد فی قرینه الآتی أعنی خلاصة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الأفندی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أنّ نقل ابن داود فی رجاله عن کتب رجال الأصحاب، ما لیس فیها، ممّا لیس فیه طعن علیه، إذ أکثر هذا نشأ من اختلاف النّسخ، و الازدیاد و النقصان الحاصلین من جانب المولّفین أنفسهم بعد اشتهار بعض نسخها و بقی فی أیدی الناس علی حاله الاولی من غیر تغییر، کما یشاهد فی مصنّفات معاصرینا أیضا و لا سیّما فی کتب الرجال الّتی یزید فیها مؤلّفوها، الأسامی و الأحوال یوما فیوما، و قد رأیت نظیر ذلک فی کتاب فهرس الشیخ منتجب الدین، و فهرس الشیخ الطوسی، و کتاب رجال النجاشی و غیرها، حتّی إنّی رأیت فی بلدة الساری نسخة من خلاصة العلاّمة قد کتبها تلمیذه فی عصره و کان علیها خطّه و فیه اختلاف شدید مع النسخ المشهورة بل لم یکن فیها کثیر من الأسامی و الأحوال المذکورة فی النسخ المتداولة منه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أنّ المؤلّفات المطبوعة فی عصرنا هذا تزید و تنقص حسب طبعاتها المختلفة، فیقوم المؤلّف فی الطبعة اللاّحقة بتنقیح ما کتب باسقاط بعض ما کتبه و إضافة ما لم یقف علیه فی الطبعة الاولی، و لأجل ذلک تختلف الکتب للمعاصرین حسب اختلاف الطّبعات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الختام نذکر نصّ اجازة السیّد أحمد بن طاووس، لتلمیذه ابن داود مؤلّف الرجال، و هی تعرب عن وجود صلة وثیقة بین الاستاذ و المؤلّف فانّه بعد ما قرأ ابن داود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عثمانیّة جاحظ</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علی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الاستاذ اجازة له و هذه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تصنیفی، الولد العالم الأدیب التّقی، حسن بن علیّ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عاقبته و شرّف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له فی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إلی اللّه تعالی أحمد بن طاووس حامدا للّه و مصلّیا علی رسوله، و الطاهرین من عترته، و المهدیّین من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الرسالة ما هذه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أنجزت الرسالة، و الحمد للّه علی نعمه، و صلاته علی سیّدنا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العبد الفقیر إلی اللّه تعالی، حسن بن علیّ بن داود ربیب صدقات مولانا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مجده و أمتعه اللّه بطول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صلاته علی سیّدنا محمّد النّبی و آله و سلامه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نسخ الکتاب فی شوّال من سنة خمس و ستّین و ستّمائة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24" w:name="pg2858_19525"/>
    </w:p>
    <w:p>
      <w:pPr>
        <w:pStyle w:val="Heading5"/>
        <w:numPr>
          <w:ilvl w:val="4"/>
          <w:numId w:val="1"/>
        </w:numPr>
        <w:rPr/>
      </w:pPr>
      <w:bookmarkStart w:id="225" w:name="__RefHeading___Toc2759942_1395250215"/>
      <w:bookmarkStart w:id="226" w:name="_Toc75"/>
      <w:bookmarkEnd w:id="224"/>
      <w:bookmarkEnd w:id="225"/>
      <w:r>
        <w:rPr>
          <w:rtl w:val="true"/>
        </w:rPr>
        <w:t>مشایخه</w:t>
      </w:r>
      <w:bookmarkEnd w:id="226"/>
    </w:p>
    <w:p>
      <w:pPr>
        <w:pStyle w:val="BookText"/>
        <w:rPr/>
      </w:pPr>
      <w:r>
        <w:rPr>
          <w:rFonts w:ascii="IRNazanin" w:hAnsi="IRNazanin" w:eastAsia="IRNazanin"/>
          <w:color w:val="111111"/>
          <w:sz w:val="28"/>
          <w:sz w:val="28"/>
          <w:szCs w:val="28"/>
          <w:rtl w:val="true"/>
          <w:lang w:bidi="fa-IR"/>
        </w:rPr>
        <w:t>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ابن داود عن جماعة من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جمال الدین أبو الفضائل أحمد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مفید الدین محمّد بن جهیم الأسدی علی ما یظهر من دیباجة رجاله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یروی عن جماعة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نجم الدین جعفر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نجیب الدین أبو زکریا یحیی بن سعید الحّلی ابن عمّ المحقق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سدید الدین یوسف بن علی بن المطهر الحلّی والد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الأفندی فی الریاض أنّه کان شریک الدرس مع السید عبد الکریم بن جمال الدین</w:t>
      </w:r>
      <w:r>
        <w:rPr>
          <w:rStyle w:val="FootnoteAnchor"/>
          <w:rtl w:val="true"/>
        </w:rPr>
        <w:footnoteReference w:id="130"/>
      </w:r>
      <w:r>
        <w:rPr>
          <w:rFonts w:ascii="IRNazanin" w:hAnsi="IRNazanin" w:eastAsia="IRNazanin"/>
          <w:color w:val="111111"/>
          <w:sz w:val="28"/>
          <w:sz w:val="28"/>
          <w:szCs w:val="28"/>
          <w:rtl w:val="true"/>
          <w:lang w:bidi="fa-IR"/>
        </w:rPr>
        <w:t xml:space="preserve">أحمد بن طاووس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العلاّمة الأمینی عدّه من مشایخه</w:t>
      </w:r>
      <w:r>
        <w:rPr>
          <w:rStyle w:val="FootnoteAnchor"/>
          <w:rtl w:val="true"/>
        </w:rPr>
        <w:footnoteReference w:id="131"/>
      </w:r>
      <w:r>
        <w:rPr>
          <w:rFonts w:ascii="IRNazanin" w:hAnsi="IRNazanin" w:eastAsia="IRNazanin"/>
          <w:color w:val="111111"/>
          <w:sz w:val="28"/>
          <w:sz w:val="28"/>
          <w:szCs w:val="28"/>
          <w:rtl w:val="true"/>
          <w:lang w:bidi="fa-IR"/>
        </w:rPr>
        <w:t>و الظاهر اتقان الأوّل</w:t>
      </w:r>
      <w:r>
        <w:rPr>
          <w:rFonts w:eastAsia="IRNazanin" w:cs="IRNazanin"/>
          <w:color w:val="111111"/>
          <w:sz w:val="28"/>
          <w:szCs w:val="28"/>
          <w:rtl w:val="true"/>
          <w:lang w:bidi="fa-IR"/>
        </w:rPr>
        <w:t>.</w:t>
      </w:r>
    </w:p>
    <w:p>
      <w:pPr>
        <w:pStyle w:val="Heading5"/>
        <w:numPr>
          <w:ilvl w:val="4"/>
          <w:numId w:val="1"/>
        </w:numPr>
        <w:rPr/>
      </w:pPr>
      <w:bookmarkStart w:id="227" w:name="__RefHeading___Toc2759944_1395250215"/>
      <w:bookmarkStart w:id="228" w:name="_Toc76"/>
      <w:bookmarkEnd w:id="227"/>
      <w:r>
        <w:rPr>
          <w:rtl w:val="true"/>
        </w:rPr>
        <w:t>تلامیذه</w:t>
      </w:r>
      <w:bookmarkEnd w:id="2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عنه جماعة کثیرة</w:t>
      </w:r>
      <w:r>
        <w:rPr>
          <w:rFonts w:eastAsia="IRNazanin" w:cs="IRNazanin"/>
          <w:color w:val="111111"/>
          <w:sz w:val="28"/>
          <w:szCs w:val="28"/>
          <w:rtl w:val="true"/>
          <w:lang w:bidi="fa-IR"/>
        </w:rPr>
        <w:t xml:space="preserve">: </w:t>
      </w:r>
      <w:bookmarkStart w:id="229" w:name="pg2858_19526"/>
    </w:p>
    <w:p>
      <w:pPr>
        <w:pStyle w:val="BookText"/>
        <w:rPr/>
      </w:pPr>
      <w:bookmarkEnd w:id="229"/>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رضی الدین علیّ بن أحمد المزیدی الحلی</w:t>
      </w:r>
      <w:r>
        <w:rPr>
          <w:rStyle w:val="FootnoteAnchor"/>
          <w:rtl w:val="true"/>
        </w:rPr>
        <w:footnoteReference w:id="132"/>
      </w:r>
      <w:r>
        <w:rPr>
          <w:rFonts w:ascii="IRNazanin" w:hAnsi="IRNazanin" w:eastAsia="IRNazanin"/>
          <w:color w:val="111111"/>
          <w:sz w:val="28"/>
          <w:sz w:val="28"/>
          <w:szCs w:val="28"/>
          <w:rtl w:val="true"/>
          <w:lang w:bidi="fa-IR"/>
        </w:rPr>
        <w:t xml:space="preserve">، استاذ الشهید الأوّل، المتوفّی عام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أبو الحسن علیّ بن طراد المطارآبادی، المتوفّی بالحلّة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Heading5"/>
        <w:numPr>
          <w:ilvl w:val="4"/>
          <w:numId w:val="1"/>
        </w:numPr>
        <w:rPr/>
      </w:pPr>
      <w:bookmarkStart w:id="230" w:name="__RefHeading___Toc2759946_1395250215"/>
      <w:bookmarkStart w:id="231" w:name="_Toc77"/>
      <w:bookmarkEnd w:id="230"/>
      <w:r>
        <w:rPr>
          <w:rtl w:val="true"/>
        </w:rPr>
        <w:t>تآلیفه</w:t>
      </w:r>
      <w:bookmarkEnd w:id="231"/>
    </w:p>
    <w:p>
      <w:pPr>
        <w:pStyle w:val="BookText"/>
        <w:rPr/>
      </w:pPr>
      <w:r>
        <w:rPr>
          <w:rFonts w:ascii="IRNazanin" w:hAnsi="IRNazanin" w:eastAsia="IRNazanin"/>
          <w:color w:val="111111"/>
          <w:sz w:val="28"/>
          <w:sz w:val="28"/>
          <w:szCs w:val="28"/>
          <w:rtl w:val="true"/>
          <w:lang w:bidi="fa-IR"/>
        </w:rPr>
        <w:t>للمترجم له تآلیف قیّمة تبلغ ثلاثین کتابا ذکر أسماءها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الرائق قوله فی حقّ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نظرت إلی خطاب محمّد یوم الغدیر إذ استقّر المنزل</w:t>
      </w:r>
    </w:p>
    <w:p>
      <w:pPr>
        <w:pStyle w:val="BookText"/>
        <w:rPr/>
      </w:pPr>
      <w:r>
        <w:rPr>
          <w:rFonts w:ascii="IRNazanin" w:hAnsi="IRNazanin" w:eastAsia="IRNazanin"/>
          <w:color w:val="111111"/>
          <w:sz w:val="28"/>
          <w:sz w:val="28"/>
          <w:szCs w:val="28"/>
          <w:rtl w:val="true"/>
          <w:lang w:bidi="fa-IR"/>
        </w:rPr>
        <w:t>من کنت مولاه فهذا حیدر مولاه لا یرتاب فیه محصّل</w:t>
      </w:r>
    </w:p>
    <w:p>
      <w:pPr>
        <w:pStyle w:val="BookText"/>
        <w:rPr/>
      </w:pPr>
      <w:r>
        <w:rPr>
          <w:rFonts w:ascii="IRNazanin" w:hAnsi="IRNazanin" w:eastAsia="IRNazanin"/>
          <w:color w:val="111111"/>
          <w:sz w:val="28"/>
          <w:sz w:val="28"/>
          <w:szCs w:val="28"/>
          <w:rtl w:val="true"/>
          <w:lang w:bidi="fa-IR"/>
        </w:rPr>
        <w:t>لعرفت نصّ المصطفی بخلافة من بعده غراء لا یتأوّل</w:t>
      </w:r>
    </w:p>
    <w:p>
      <w:pPr>
        <w:pStyle w:val="BookText"/>
        <w:rPr/>
      </w:pPr>
      <w:r>
        <w:rPr>
          <w:rFonts w:ascii="IRNazanin" w:hAnsi="IRNazanin" w:eastAsia="IRNazanin"/>
          <w:color w:val="111111"/>
          <w:sz w:val="28"/>
          <w:sz w:val="28"/>
          <w:szCs w:val="28"/>
          <w:rtl w:val="true"/>
          <w:lang w:bidi="fa-IR"/>
        </w:rPr>
        <w:t>و له ارجوزة فی الإمامة، طویلة، مستهلّها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جرت لی قصّة غریبة قد نتجت قضیّة عجیبة</w:t>
      </w:r>
      <w:r>
        <w:rPr>
          <w:rStyle w:val="FootnoteAnchor"/>
          <w:rtl w:val="true"/>
        </w:rPr>
        <w:footnoteReference w:id="133"/>
      </w:r>
    </w:p>
    <w:p>
      <w:pPr>
        <w:pStyle w:val="Heading5"/>
        <w:numPr>
          <w:ilvl w:val="4"/>
          <w:numId w:val="1"/>
        </w:numPr>
        <w:rPr/>
      </w:pPr>
      <w:bookmarkStart w:id="232" w:name="__RefHeading___Toc2759948_1395250215"/>
      <w:bookmarkStart w:id="233" w:name="_Toc78"/>
      <w:bookmarkEnd w:id="232"/>
      <w:r>
        <w:rPr>
          <w:rtl w:val="true"/>
        </w:rPr>
        <w:t>وفاته</w:t>
      </w:r>
      <w:bookmarkEnd w:id="2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 قد فرغ من رجاله عام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و لم یعلم تاریخ وفاته علی وجه الیقین، غیر أنّ العلاّمة الأمینی ینقل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فی مشهد الرضا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المترجم له،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مملوکه حقّا حسن بن علیّ بن داود غفر له فی ثالث عشر شهر رمضان المبارک سنة احدی و أربعین و سبعمائة حامدا مصلّیا مستغفرا</w:t>
      </w:r>
      <w:r>
        <w:rPr>
          <w:rFonts w:eastAsia="IRNazanin" w:cs="IRNazanin"/>
          <w:color w:val="111111"/>
          <w:sz w:val="28"/>
          <w:szCs w:val="28"/>
          <w:rtl w:val="true"/>
          <w:lang w:bidi="fa-IR"/>
        </w:rPr>
        <w:t xml:space="preserve">». </w:t>
      </w:r>
      <w:bookmarkStart w:id="234" w:name="pg2858_19527"/>
    </w:p>
    <w:p>
      <w:pPr>
        <w:pStyle w:val="BookText"/>
        <w:rPr/>
      </w:pPr>
      <w:bookmarkEnd w:id="234"/>
      <w:r>
        <w:rPr>
          <w:rFonts w:ascii="IRNazanin" w:hAnsi="IRNazanin" w:eastAsia="IRNazanin"/>
          <w:color w:val="111111"/>
          <w:sz w:val="28"/>
          <w:sz w:val="28"/>
          <w:szCs w:val="28"/>
          <w:rtl w:val="true"/>
          <w:lang w:bidi="fa-IR"/>
        </w:rPr>
        <w:t xml:space="preserve">فیکون له من العمر حینذاک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فیکون من المعمّرین، و لم یذکر منهم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759950_1395250215"/>
      <w:bookmarkStart w:id="236" w:name="_Toc79"/>
      <w:bookmarkEnd w:id="235"/>
      <w:r>
        <w:rPr/>
        <w:t>4</w:t>
      </w:r>
      <w:r>
        <w:rPr>
          <w:rtl w:val="true"/>
        </w:rPr>
        <w:t xml:space="preserve"> - </w:t>
      </w:r>
      <w:r>
        <w:rPr>
          <w:rtl w:val="true"/>
        </w:rPr>
        <w:t>خلاصة الاقوال فی علم الرجال</w:t>
      </w:r>
      <w:bookmarkEnd w:id="236"/>
    </w:p>
    <w:p>
      <w:pPr>
        <w:pStyle w:val="Heading5"/>
        <w:numPr>
          <w:ilvl w:val="4"/>
          <w:numId w:val="1"/>
        </w:numPr>
        <w:rPr/>
      </w:pPr>
      <w:bookmarkStart w:id="237" w:name="__RefHeading___Toc2759952_1395250215"/>
      <w:bookmarkStart w:id="238" w:name="_Toc80"/>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و هی للعلاّمة</w:t>
      </w:r>
      <w:r>
        <w:rPr>
          <w:rStyle w:val="FootnoteAnchor"/>
          <w:rtl w:val="true"/>
        </w:rPr>
        <w:footnoteReference w:id="135"/>
      </w:r>
      <w:r>
        <w:rPr>
          <w:rFonts w:ascii="IRNazanin" w:hAnsi="IRNazanin" w:eastAsia="IRNazanin"/>
          <w:color w:val="111111"/>
          <w:sz w:val="28"/>
          <w:sz w:val="28"/>
          <w:szCs w:val="28"/>
          <w:rtl w:val="true"/>
          <w:lang w:bidi="fa-IR"/>
        </w:rPr>
        <w:t xml:space="preserve">علی الاطلاق الحسن بن یوسف بن المطهّر، المولود عام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الّذی طارت صیته فی الآفاق، برع فی المعقول و المنقول، و تقدّم علی الفحول و هو فی عصر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فی فقه الشریعة مطوّلات و متوسّطات و مختصرات، و کتابه هذا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فیمن اعتمد علیه و فیه سبعة عشر فصلا، و القسم الثانی؛ مختصّ بذکر الضعفاء و من ردّ قوله أو وقف فیه، و فیه أیضا سبعة عشر فصلا، و فی آخر القسم الثانی خاتمة تشتمل علی عشر فوائد مهمّة، و کتابه هذا خلاصة ما فی فهرس الشیخ و النجاشی و قد یزید علیهما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ینقله العلاّمة من رجال الکشّی و الشیخ و فهرس النجاشی مع وجود المنقول فی هذه الکتب غیر مفید، و إنّما یفید فی ما لم نقف علی مستنده، کما فی ما ینقل من جزء من رجال العقیقی، و جزء من رجال ابن عقدة، و جزء من ثقات کتاب ابن الغضائری، و من کتاب آخر له فی المذمومین لم یصل إلینا، کما یظهر منه فی سلیمان النخعی، کما یفید أیضا فیما ینقله من النّجاشی فی ما لم یکن فی نسختنا، فکان عنده النسخة الکاملة من النّجاشی و أکمل من الموجود من ابن الغضائری، کما فی لیث البختری، و هشام بن إبراهیم العبّاسی، و محمّد بن نصیر، و محمّد بن أحمد بن محمّد بن سنان، و محمّد بن أحمد بن قضاعة، و محمّد بن الولید الصیرفی، و المغیرة بن </w:t>
      </w:r>
      <w:bookmarkStart w:id="239" w:name="pg2858_19528"/>
    </w:p>
    <w:p>
      <w:pPr>
        <w:pStyle w:val="BookText"/>
        <w:rPr/>
      </w:pPr>
      <w:bookmarkEnd w:id="239"/>
      <w:r>
        <w:rPr>
          <w:rFonts w:ascii="IRNazanin" w:hAnsi="IRNazanin" w:eastAsia="IRNazanin"/>
          <w:color w:val="111111"/>
          <w:sz w:val="28"/>
          <w:sz w:val="28"/>
          <w:szCs w:val="28"/>
          <w:rtl w:val="true"/>
          <w:lang w:bidi="fa-IR"/>
        </w:rPr>
        <w:t>سعید، و نقیع بن الحارث، و کما ینقل فی بعضهم أخبارا لم نقف علی مأخذها، کما فی إسماعیل بن الفضل الهاشمی، و فیما أخذه من مطاوی الکتب کمحمّد بن أحمد النطنزی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هذا الکتاب و رجال ابن داود متماثلان فی التنسیق و کیفیّة التألیف،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واحدا منهما اقتبس المنهج عن الآخر، کما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کلیهما قد استقلاّ فی التنسیق و المنهج، بلا استلهام من آخر، غیر أنّ المظنون هو أنّ المؤلّفین، بما أنّهما تتلمذا علی السیّد جمال الدین أحمد بن طاووس المتوفّی سنة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و قد کان هو رجالیّ عصره و محقّق زمانه فی ذلک الفنّ، قد اقتفیا فی تنسیق الکتاب ما خطّه استاذهما فی ذلک الموقف، و اللّه العالم</w:t>
      </w:r>
      <w:r>
        <w:rPr>
          <w:rFonts w:eastAsia="IRNazanin" w:cs="IRNazanin"/>
          <w:color w:val="111111"/>
          <w:sz w:val="28"/>
          <w:szCs w:val="28"/>
          <w:rtl w:val="true"/>
          <w:lang w:bidi="fa-IR"/>
        </w:rPr>
        <w:t>.</w:t>
      </w:r>
    </w:p>
    <w:p>
      <w:pPr>
        <w:pStyle w:val="Heading5"/>
        <w:numPr>
          <w:ilvl w:val="4"/>
          <w:numId w:val="1"/>
        </w:numPr>
        <w:rPr/>
      </w:pPr>
      <w:bookmarkStart w:id="240" w:name="__RefHeading___Toc2759954_1395250215"/>
      <w:bookmarkStart w:id="241" w:name="_Toc81"/>
      <w:bookmarkEnd w:id="240"/>
      <w:r>
        <w:rPr>
          <w:rtl w:val="true"/>
        </w:rPr>
        <w:t>الفروق بین رجالی العلامة و ابن داود</w:t>
      </w:r>
      <w:bookmarkEnd w:id="241"/>
    </w:p>
    <w:p>
      <w:pPr>
        <w:pStyle w:val="BookText"/>
        <w:rPr/>
      </w:pPr>
      <w:r>
        <w:rPr>
          <w:rFonts w:ascii="IRNazanin" w:hAnsi="IRNazanin" w:eastAsia="IRNazanin"/>
          <w:color w:val="111111"/>
          <w:sz w:val="28"/>
          <w:sz w:val="28"/>
          <w:szCs w:val="28"/>
          <w:rtl w:val="true"/>
          <w:lang w:bidi="fa-IR"/>
        </w:rPr>
        <w:t>ثمّ إنّ هنا فروقا بین رجالی العلاّمة و ابن داود یجب الوقوف علیها، و إلیک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القسم الأوّل من الخلاصة مختصّ بمن یعمل بروایته، و الثّانی بمن لا یعمل بروایته،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فی من اعتمد علی روایته أو ترجّح عندی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فیمن ترکت روایته أو توّقفت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یذکر فی الأوّل الممدوح، لعمله بروایته، کما یذکر فیه فاسد المذهب إذا عمل بروایته کابن بکیر و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الموثّقون الّذین لیسوا کذلک، فیعنونهم فی الجزء الثّانی لعدم عمله بخبرهم، هذا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الجزء الأوّل من کتاب ابن داود فیمن ورد فیه أدنی مدح و لو مع ورود ذموم کثیرة أیضا فیه و لم یعمل بخبره، و الجزء الثانی من کتابه، فیمن ورد فیه </w:t>
      </w:r>
    </w:p>
    <w:p>
      <w:pPr>
        <w:pStyle w:val="BookText"/>
        <w:rPr/>
      </w:pPr>
      <w:r>
        <w:rPr>
          <w:rFonts w:ascii="IRNazanin" w:hAnsi="IRNazanin" w:eastAsia="IRNazanin"/>
          <w:color w:val="111111"/>
          <w:sz w:val="28"/>
          <w:sz w:val="28"/>
          <w:szCs w:val="28"/>
          <w:rtl w:val="true"/>
          <w:lang w:bidi="fa-IR"/>
        </w:rPr>
        <w:t>أدنی ذمّ و لو کان أوثق الثقات و عمل بخبره، و لأجل ذلک ذکر بریدا العجلی مع جلالته فی الثّانی، کما ذکر هشام بن الحکم فیه أیضا لأجل ورود ذمّ ما فیه، أعنی کونه من تلامیذ أبی شاکر الزندیق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لا یعنون المختلف فیه فی القسمین، بل إن رجّح المدح یذکره فی الأوّل، و إن رجّح الذمّ أو توقّف یذکره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داود فیذکر المختلف فیه فی الأوّل باعتبار مدحه، و فی الثانی باعتبار جرحه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اذا أخذ من الکشّی أو النّجاشی أو فهرس الشیخ أو رجاله أو الغضائری لا یذکر المستند، بل یعبّر بعین عبائرهم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نقل عن غیبة الشیخ أو عن رجال ابن عقدة أو رجال العقیقی فیما وجد من کتابیهما، یصرّح بالمستند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 أصحاب الرجال الخمسة مختلفین فی رجل، یصرّح بأسمائهم، و حینئذ فان قال فی عنوان شیئا و سکت عن مستنده، یستکشف أنّه مذکور فی الکتب الخمسة و لو لم نقف علیه فی نسختنا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داود فیلتزم بذکر جمیع من أخذ عنه، فلو لم یذکر المستند، علم أنّه سقط من نسختنا رمزه، إلاّ ما کان مشتبها عنده فلا یرمزه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العلاّمة یقتصر علی الممدوحین فی الأوّل، بخلاف ابن داود، فإنّه یذکر فیه المهملین أیضا، و المراد من المهمل من عنونه الأصحاب و لم یضعّفوه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الجزء الأوّل من الکتاب فی ذکر الممدوحین و من لم یضعّفهم الأصحاب، و المفهوم منه أنّه یعمل بخبر رواته مهملون، لم یذکروا بمدح و لا قدح، کما یعمل بخبر رواته ممدوحون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 إن استقصی الممدوحین، لکنّه لم یستقص المهملین</w:t>
      </w:r>
      <w:r>
        <w:rPr>
          <w:rFonts w:eastAsia="IRNazanin" w:cs="IRNazanin"/>
          <w:color w:val="111111"/>
          <w:sz w:val="28"/>
          <w:szCs w:val="28"/>
          <w:rtl w:val="true"/>
          <w:lang w:bidi="fa-IR"/>
        </w:rPr>
        <w:t xml:space="preserve">. </w:t>
      </w:r>
      <w:bookmarkStart w:id="242" w:name="pg2858_19530"/>
    </w:p>
    <w:p>
      <w:pPr>
        <w:pStyle w:val="BookText"/>
        <w:rPr/>
      </w:pPr>
      <w:bookmarkEnd w:id="242"/>
      <w:r>
        <w:rPr>
          <w:rFonts w:ascii="IRNazanin" w:hAnsi="IRNazanin" w:eastAsia="IRNazanin"/>
          <w:color w:val="111111"/>
          <w:sz w:val="28"/>
          <w:sz w:val="28"/>
          <w:szCs w:val="28"/>
          <w:rtl w:val="true"/>
          <w:lang w:bidi="fa-IR"/>
        </w:rPr>
        <w:t>هذه هی الفروق الجوهریّة بین الرجالین</w:t>
      </w:r>
      <w:r>
        <w:rPr>
          <w:rFonts w:eastAsia="IRNazanin" w:cs="IRNazanin"/>
          <w:color w:val="111111"/>
          <w:sz w:val="28"/>
          <w:szCs w:val="28"/>
          <w:rtl w:val="true"/>
          <w:lang w:bidi="fa-IR"/>
        </w:rPr>
        <w:t>.</w:t>
      </w:r>
    </w:p>
    <w:p>
      <w:pPr>
        <w:pStyle w:val="Heading5"/>
        <w:numPr>
          <w:ilvl w:val="4"/>
          <w:numId w:val="1"/>
        </w:numPr>
        <w:rPr/>
      </w:pPr>
      <w:bookmarkStart w:id="243" w:name="__RefHeading___Toc2759956_1395250215"/>
      <w:bookmarkStart w:id="244" w:name="_Toc82"/>
      <w:bookmarkEnd w:id="243"/>
      <w:r>
        <w:rPr>
          <w:rtl w:val="true"/>
        </w:rPr>
        <w:t>المجهول فی مصطلح العلاّمة و ابن داود</w:t>
      </w:r>
      <w:bookmarkEnd w:id="244"/>
    </w:p>
    <w:p>
      <w:pPr>
        <w:pStyle w:val="BookText"/>
        <w:rPr/>
      </w:pPr>
      <w:r>
        <w:rPr>
          <w:rFonts w:ascii="IRNazanin" w:hAnsi="IRNazanin" w:eastAsia="IRNazanin"/>
          <w:color w:val="111111"/>
          <w:sz w:val="28"/>
          <w:sz w:val="28"/>
          <w:szCs w:val="28"/>
          <w:rtl w:val="true"/>
          <w:lang w:bidi="fa-IR"/>
        </w:rPr>
        <w:t>إن هناک فرقا بین مصطلح العلاّمة و ابن داود، و مصطلح المتأخّرین فی لفظ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فالمجهول فی کلامهما غیر المهمل الذی عنونه الرجالیّون و لم یضعّفوه، بل المراد منه من صرّح أئمّة الرجال فیه بالمجهولیّة، و هو أحد ألفاظ الجرح، و لذا لم یعنوناه إلاّ فی الجزء الثّانی من کتابیهما، المعدّ للمجروحین، و قد عقد ابن داود لهم فصلا فی آخر الجزء الثانی من کتابه، کما عقد فصلا لکلّ من المجروحین من العامّة و الزیدیّة و الواقفیة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المجهول فی کلام المتأخّرین، من الشهید الثانی و المجلسی و المامقانی، أعمّ منه و من المهمل الّذی لم یذکر فیه مدح و لا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العلاّمة لا یعنون المهمل أصلا، و ابن داود یعنونه فی الجزء الأوّل کالممدوح، و کان القدماء یعملون بالمهمل کالممدوح، و یردّون المجهول و قد تفطّن بذلک ابن داود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الکتب الأربعة، هی الاصول الثانویّة 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الأوّل و الثّانی منهما فی القرن السادس، کما الّف الثّالث و الرابع فی القرن السابع، و العجب أنّ المؤلّفین متعاصرون و متماثلو التنسیق و المنهج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 ابن داود العلاّمة فی رجاله، و لم یترجمه العلاّمة فی الخلاصة، و إنّ ذا ممّا یقضی منه العجب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اصول الکتب الرجالیّة أولیّتها و ثانویّتها، و هناک کتب اخری لم تطبع و لم تنشر و لم تتداولها الأیدی، و لأجل ذلک لم نذکر عنها شیئا و من أراد الوقوف علیها فلیرجع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مؤلّفی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p>
    <w:p>
      <w:pPr>
        <w:pStyle w:val="BookText"/>
        <w:rPr/>
      </w:pPr>
      <w:r>
        <w:rPr>
          <w:rFonts w:ascii="IRNazanin" w:hAnsi="IRNazanin" w:eastAsia="IRNazanin"/>
          <w:color w:val="111111"/>
          <w:sz w:val="28"/>
          <w:sz w:val="28"/>
          <w:szCs w:val="28"/>
          <w:rtl w:val="true"/>
          <w:lang w:bidi="fa-IR"/>
        </w:rPr>
        <w:t xml:space="preserve">المتتبّع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الاصول الأوّلیّة الثمانیة و الثانویّة الأربعة لعلم الرجال، و أمّا الجوامع الرجالیة فسیوافیک ذکرها عن قریب</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2858_19533"/>
      <w:bookmarkStart w:id="246" w:name="pg2858_19533"/>
      <w:bookmarkEnd w:id="246"/>
    </w:p>
    <w:p>
      <w:pPr>
        <w:pStyle w:val="Heading3"/>
        <w:numPr>
          <w:ilvl w:val="2"/>
          <w:numId w:val="1"/>
        </w:numPr>
        <w:rPr/>
      </w:pPr>
      <w:bookmarkStart w:id="247" w:name="pg2858_19533"/>
      <w:bookmarkStart w:id="248" w:name="__RefHeading___Toc2759958_1395250215"/>
      <w:bookmarkStart w:id="249" w:name="_Toc83"/>
      <w:bookmarkEnd w:id="247"/>
      <w:bookmarkEnd w:id="248"/>
      <w:r>
        <w:rPr/>
        <w:t>2</w:t>
      </w:r>
      <w:r>
        <w:rPr>
          <w:rtl w:val="true"/>
        </w:rPr>
        <w:t xml:space="preserve"> - </w:t>
      </w:r>
      <w:r>
        <w:rPr>
          <w:rtl w:val="true"/>
        </w:rPr>
        <w:t>الجوامع الرجالیة فی العصور المتأخرة</w:t>
      </w:r>
      <w:bookmarkEnd w:id="249"/>
    </w:p>
    <w:p>
      <w:pPr>
        <w:pStyle w:val="Heading4"/>
        <w:numPr>
          <w:ilvl w:val="3"/>
          <w:numId w:val="1"/>
        </w:numPr>
        <w:rPr/>
      </w:pPr>
      <w:bookmarkStart w:id="250" w:name="__RefHeading___Toc2759960_1395250215"/>
      <w:bookmarkStart w:id="251" w:name="_Toc84"/>
      <w:bookmarkEnd w:id="250"/>
      <w:r>
        <w:rPr>
          <w:rtl w:val="true"/>
        </w:rPr>
        <w:t>اشارة</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2858_19535"/>
      <w:bookmarkStart w:id="253" w:name="pg2858_19535"/>
      <w:bookmarkEnd w:id="253"/>
    </w:p>
    <w:p>
      <w:pPr>
        <w:pStyle w:val="BookText"/>
        <w:rPr/>
      </w:pPr>
      <w:bookmarkStart w:id="254" w:name="pg2858_19535"/>
      <w:bookmarkEnd w:id="254"/>
      <w:r>
        <w:rPr>
          <w:rFonts w:ascii="IRNazanin" w:hAnsi="IRNazanin" w:eastAsia="IRNazanin"/>
          <w:color w:val="111111"/>
          <w:sz w:val="28"/>
          <w:sz w:val="28"/>
          <w:szCs w:val="28"/>
          <w:rtl w:val="true"/>
          <w:lang w:bidi="fa-IR"/>
        </w:rPr>
        <w:t>قد وقفت علی الاصول الرجالیّة، و هناک جوامع رجالیّة مطبوعة و منتشرة یجب علی القاریء الکریم التعرّف بها، و هذه الجوامع الّفت فی أواخر القرن العاشر إلی اواخر القرن الثانی عشر، تلقّاها العلماء بالقبول و رکنوا إلیها و لا بدّ من التعرّف علیها</w:t>
      </w:r>
      <w:r>
        <w:rPr>
          <w:rFonts w:eastAsia="IRNazanin" w:cs="IRNazanin"/>
          <w:color w:val="111111"/>
          <w:sz w:val="28"/>
          <w:szCs w:val="28"/>
          <w:rtl w:val="true"/>
          <w:lang w:bidi="fa-IR"/>
        </w:rPr>
        <w:t>.</w:t>
      </w:r>
    </w:p>
    <w:p>
      <w:pPr>
        <w:pStyle w:val="Heading4"/>
        <w:numPr>
          <w:ilvl w:val="3"/>
          <w:numId w:val="1"/>
        </w:numPr>
        <w:rPr/>
      </w:pPr>
      <w:bookmarkStart w:id="255" w:name="__RefHeading___Toc2759962_1395250215"/>
      <w:bookmarkStart w:id="256" w:name="_Toc85"/>
      <w:bookmarkEnd w:id="255"/>
      <w:r>
        <w:rPr/>
        <w:t>1</w:t>
      </w:r>
      <w:r>
        <w:rPr>
          <w:rtl w:val="true"/>
        </w:rPr>
        <w:t xml:space="preserve"> - </w:t>
      </w:r>
      <w:r>
        <w:rPr>
          <w:rtl w:val="true"/>
        </w:rPr>
        <w:t>مجمع الرجال</w:t>
      </w:r>
      <w:bookmarkEnd w:id="256"/>
    </w:p>
    <w:p>
      <w:pPr>
        <w:pStyle w:val="BookText"/>
        <w:rPr/>
      </w:pPr>
      <w:r>
        <w:rPr>
          <w:rFonts w:ascii="IRNazanin" w:hAnsi="IRNazanin" w:eastAsia="IRNazanin"/>
          <w:color w:val="111111"/>
          <w:sz w:val="28"/>
          <w:sz w:val="28"/>
          <w:szCs w:val="28"/>
          <w:rtl w:val="true"/>
          <w:lang w:bidi="fa-IR"/>
        </w:rPr>
        <w:t xml:space="preserve">تألیف زکی الدین عنایة اللّه القهبائی، من تلامیذ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عبد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ذلک الکتاب تمام ما فی الاصول الرجالیّة الأوّلیة، حتّی أدخل فیه کتاب الضعفاء للغضائری و قد طبع الکتاب فی عدة أجزاء</w:t>
      </w:r>
      <w:r>
        <w:rPr>
          <w:rFonts w:eastAsia="IRNazanin" w:cs="IRNazanin"/>
          <w:color w:val="111111"/>
          <w:sz w:val="28"/>
          <w:szCs w:val="28"/>
          <w:rtl w:val="true"/>
          <w:lang w:bidi="fa-IR"/>
        </w:rPr>
        <w:t>.</w:t>
      </w:r>
    </w:p>
    <w:p>
      <w:pPr>
        <w:pStyle w:val="Heading4"/>
        <w:numPr>
          <w:ilvl w:val="3"/>
          <w:numId w:val="1"/>
        </w:numPr>
        <w:rPr/>
      </w:pPr>
      <w:bookmarkStart w:id="257" w:name="__RefHeading___Toc2759964_1395250215"/>
      <w:bookmarkStart w:id="258" w:name="_Toc86"/>
      <w:bookmarkEnd w:id="257"/>
      <w:r>
        <w:rPr/>
        <w:t>2</w:t>
      </w:r>
      <w:r>
        <w:rPr>
          <w:rtl w:val="true"/>
        </w:rPr>
        <w:t xml:space="preserve"> - </w:t>
      </w:r>
      <w:r>
        <w:rPr>
          <w:rtl w:val="true"/>
        </w:rPr>
        <w:t>منهج المقال</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السیّد المیرزا محمّد بن علی بن ابراهیم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59" w:name="pg2858_19536"/>
    </w:p>
    <w:p>
      <w:pPr>
        <w:pStyle w:val="BookText"/>
        <w:rPr/>
      </w:pPr>
      <w:bookmarkEnd w:id="259"/>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استاذ المولی محمّد أمین الاسترآبادی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ثلاثة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الوسیط، الّذی ربما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الصغیر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مطبوع، و الثّانی مخطوط و لکن نسخه شائعة، و الثالث توجد نسخة منه فی الخزانة الرضویّة کما جاء فی فهرسها</w:t>
      </w:r>
      <w:r>
        <w:rPr>
          <w:rFonts w:eastAsia="IRNazanin" w:cs="IRNazanin"/>
          <w:color w:val="111111"/>
          <w:sz w:val="28"/>
          <w:szCs w:val="28"/>
          <w:rtl w:val="true"/>
          <w:lang w:bidi="fa-IR"/>
        </w:rPr>
        <w:t>.</w:t>
      </w:r>
    </w:p>
    <w:p>
      <w:pPr>
        <w:pStyle w:val="Heading4"/>
        <w:numPr>
          <w:ilvl w:val="3"/>
          <w:numId w:val="1"/>
        </w:numPr>
        <w:rPr/>
      </w:pPr>
      <w:bookmarkStart w:id="260" w:name="__RefHeading___Toc2759966_1395250215"/>
      <w:bookmarkStart w:id="261" w:name="_Toc87"/>
      <w:bookmarkEnd w:id="260"/>
      <w:r>
        <w:rPr/>
        <w:t>3</w:t>
      </w:r>
      <w:r>
        <w:rPr>
          <w:rtl w:val="true"/>
        </w:rPr>
        <w:t xml:space="preserve"> - </w:t>
      </w:r>
      <w:r>
        <w:rPr>
          <w:rtl w:val="true"/>
        </w:rPr>
        <w:t>جامع الرواة</w:t>
      </w:r>
      <w:bookmarkEnd w:id="261"/>
    </w:p>
    <w:p>
      <w:pPr>
        <w:pStyle w:val="BookText"/>
        <w:rPr/>
      </w:pPr>
      <w:r>
        <w:rPr>
          <w:rFonts w:ascii="IRNazanin" w:hAnsi="IRNazanin" w:eastAsia="IRNazanin"/>
          <w:color w:val="111111"/>
          <w:sz w:val="28"/>
          <w:sz w:val="28"/>
          <w:szCs w:val="28"/>
          <w:rtl w:val="true"/>
          <w:lang w:bidi="fa-IR"/>
        </w:rPr>
        <w:t>تألیف الشیخ محمّد بن علی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عمره فی جمعه ما یقرب من عشرین سنة، و ابتکر قواعد رجالیّة صار ببرکتها کثیر من الأخبار الّتی کانت مجهولة أو ضعیفة أو مرسلة، معلومة الحال، صحیحة مسندة، و طبع الکتاب فی مجلّدین، و قدّم له الإمام المغفور له الاستاذ الحاج آقا حسین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أدرجه شیخنا النوری بجمیعه أو ملخّصه فی الفائدة الخامسة من فوائد خاتمة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مزایا هذا الکتاب أنّه جمع رواة الکتب الأربعة، و ذکر فی کل راو ترجمة من رووا عنه و من روی عنهم، و عیّن مقدار روایاتهم و رفع بذلک، النّقص الموجود فی کتب الرجال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سنح بخاطره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بتفضّله غیر المتناهی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استعلام أحوال الرواة المطلقة الذکر، من الراوی و المرویّ عنه بحیث لا یبقی اشتباه و غموض، و علماء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یذکروا و لم یضبطوا جمیع الرواة، بل ذکروا فی بعض المواضع تحت بعض الأسماء بعنوان أنّه روی عنه جماعة، منهم فلان و فلان، و لم یکن هذا کافیا فی حصول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متوکّلا علی ربّ الأرباب، منتظما علی التدریج راوی کلّ واحد من الرواة فی سلک التّحریر، حتّی إنّه رأی الکتب الأربعة المشهورة، و الفهرس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 </w:t>
      </w:r>
      <w:bookmarkStart w:id="262" w:name="pg2858_19537"/>
    </w:p>
    <w:p>
      <w:pPr>
        <w:pStyle w:val="BookText"/>
        <w:rPr/>
      </w:pPr>
      <w:bookmarkEnd w:id="262"/>
      <w:r>
        <w:rPr>
          <w:rFonts w:ascii="IRNazanin" w:hAnsi="IRNazanin" w:eastAsia="IRNazanin"/>
          <w:color w:val="111111"/>
          <w:sz w:val="28"/>
          <w:sz w:val="28"/>
          <w:szCs w:val="28"/>
          <w:rtl w:val="true"/>
          <w:lang w:bidi="fa-IR"/>
        </w:rPr>
        <w:t>للشیخ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مشیخة الفقیه و التهذیب و الاستبصار، و کتب جمیع الرواة الّذین کانوا فیها، و رأی أیضا کثیرا من الرواة رووا عن المعصوم، و لم یذکر علماء الرّجال روایتهم عنه علیه السلام، و البعض الذین عدّوه من رجال الصادق، رأی روایته عن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الّذین ذکروا ممّن لم یرو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أنّه 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بعض الرّواة الّذین وثّقوه و لم ینقلوا أنّه روی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أنّه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 أیضا، حتّی تظهر فائدته فی حال نقل الحدیث مضمرا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فوائد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التعرّف علی الرّاوی و المرویّ عنه، لو وقع فی بعض الکتب اشتباه فی عدم ثبت الرّاوی فی موقعه یعلم أنّه غلط و واقع غیر موقعه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جمع کثیر من الثّقات و غیرهم عن شخص واحد تفید أنّه کان حسن الحال أو کان من مشایخ الإجازة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الرجل مبتکر فی فنّه، مبدع فی عمله، کشف بعمله هذا السّتر عن کثیر من المبهمات، و مع أنّه تحمّل فی تألیف هذا الکتاب طیلة عشرین سنة، جهودا جبّارة، بحیث میّز التلمیذ عن الشیخ، و الراوی عن المرویّ عنه، و لکن لم یجعل کتابه علی أساس الطّبقات حتّی یقسّم الرواة إلی طبقة و طبقة، و یعیّن طبقة الرّاوی و من روی هو عنه، أو رووا عنه، مع أنّه کان یمکنه القیام بهذا العمل فی ثنایا عمله بسبر جمیع الکتب و المسانید بإمعان ودقّة</w:t>
      </w:r>
      <w:r>
        <w:rPr>
          <w:rFonts w:eastAsia="IRNazanin" w:cs="IRNazanin"/>
          <w:color w:val="111111"/>
          <w:sz w:val="28"/>
          <w:szCs w:val="28"/>
          <w:rtl w:val="true"/>
          <w:lang w:bidi="fa-IR"/>
        </w:rPr>
        <w:t>.</w:t>
      </w:r>
    </w:p>
    <w:p>
      <w:pPr>
        <w:pStyle w:val="Heading4"/>
        <w:numPr>
          <w:ilvl w:val="3"/>
          <w:numId w:val="1"/>
        </w:numPr>
        <w:rPr/>
      </w:pPr>
      <w:bookmarkStart w:id="263" w:name="__RefHeading___Toc2759968_1395250215"/>
      <w:bookmarkStart w:id="264" w:name="_Toc88"/>
      <w:bookmarkEnd w:id="263"/>
      <w:r>
        <w:rPr/>
        <w:t>4</w:t>
      </w:r>
      <w:r>
        <w:rPr>
          <w:rtl w:val="true"/>
        </w:rPr>
        <w:t xml:space="preserve"> - </w:t>
      </w:r>
      <w:r>
        <w:rPr>
          <w:rtl w:val="true"/>
        </w:rPr>
        <w:t>نقد الرجال</w:t>
      </w:r>
      <w:bookmarkEnd w:id="2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السیّد مصطفی التّفریشی ألّفه عام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و هو من تلامیذ المولی عبد اللّه التستری و قد طبع فی مجلّد</w:t>
      </w:r>
      <w:r>
        <w:rPr>
          <w:rFonts w:eastAsia="IRNazanin" w:cs="IRNazanin"/>
          <w:color w:val="111111"/>
          <w:sz w:val="28"/>
          <w:szCs w:val="28"/>
          <w:rtl w:val="true"/>
          <w:lang w:bidi="fa-IR"/>
        </w:rPr>
        <w:t xml:space="preserve">. </w:t>
      </w:r>
      <w:bookmarkStart w:id="265" w:name="pg2858_19538"/>
    </w:p>
    <w:p>
      <w:pPr>
        <w:pStyle w:val="BookText"/>
        <w:rPr/>
      </w:pPr>
      <w:bookmarkEnd w:id="265"/>
      <w:r>
        <w:rPr>
          <w:rFonts w:ascii="IRNazanin" w:hAnsi="IRNazanin" w:eastAsia="IRNazanin"/>
          <w:color w:val="111111"/>
          <w:sz w:val="28"/>
          <w:sz w:val="28"/>
          <w:szCs w:val="28"/>
          <w:rtl w:val="true"/>
          <w:lang w:bidi="fa-IR"/>
        </w:rPr>
        <w:t>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أن أکتب کتابا یشتمل علی جمیع أسماء الرّجال من الممدوحین و المذمومین و المهملین، یخلو من تکرار و غلط، ینطوی علی حسن التّرتیب، یحتوی علی جمیع أقوال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المدح و الذمّ إلاّ شاذا شدید الشّذوذ</w:t>
      </w:r>
      <w:r>
        <w:rPr>
          <w:rFonts w:eastAsia="IRNazanin" w:cs="IRNazanin"/>
          <w:color w:val="111111"/>
          <w:sz w:val="28"/>
          <w:szCs w:val="28"/>
          <w:rtl w:val="true"/>
          <w:lang w:bidi="fa-IR"/>
        </w:rPr>
        <w:t>».</w:t>
      </w:r>
    </w:p>
    <w:p>
      <w:pPr>
        <w:pStyle w:val="Heading4"/>
        <w:numPr>
          <w:ilvl w:val="3"/>
          <w:numId w:val="1"/>
        </w:numPr>
        <w:rPr/>
      </w:pPr>
      <w:bookmarkStart w:id="266" w:name="__RefHeading___Toc2759970_1395250215"/>
      <w:bookmarkStart w:id="267" w:name="_Toc89"/>
      <w:bookmarkEnd w:id="266"/>
      <w:r>
        <w:rPr/>
        <w:t>5</w:t>
      </w:r>
      <w:r>
        <w:rPr>
          <w:rtl w:val="true"/>
        </w:rPr>
        <w:t xml:space="preserve"> - </w:t>
      </w:r>
      <w:r>
        <w:rPr>
          <w:rtl w:val="true"/>
        </w:rPr>
        <w:t>منتهی المقال فی أحوال الرجال</w:t>
      </w:r>
      <w:bookmarkEnd w:id="267"/>
    </w:p>
    <w:p>
      <w:pPr>
        <w:pStyle w:val="BookText"/>
        <w:rPr/>
      </w:pPr>
      <w:r>
        <w:rPr>
          <w:rFonts w:ascii="IRNazanin" w:hAnsi="IRNazanin" w:eastAsia="IRNazanin"/>
          <w:color w:val="111111"/>
          <w:sz w:val="28"/>
          <w:sz w:val="28"/>
          <w:szCs w:val="28"/>
          <w:rtl w:val="true"/>
          <w:lang w:bidi="fa-IR"/>
        </w:rPr>
        <w:t xml:space="preserve">المعروف برجال أبی علی الحائری، تألیف الشیخ أبی علی محمّد بن اسماعیل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عام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ابتدء فی کلّ ترجمة بکلام المیرزا فی الرجال الکبیر، ثمّ بما ذکره الوحید فی التعلیقة علیه، ثمّ بکلمات اخری، و قد شرح نمط بحثه فی أوّل الکتاب، و ترک ذکر جماعة بزعم أنّهم من المجاهیل و عدم الفائدة فی ذکرهم، و لکنّهم لیسوا بمجاهیل، بل أکثرهم مهملون فی الرجال، و قد عرفت الفرق بین المجهول و 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الکتب الخمسة کلها الّفت بین أواخر القرن العاشر إلی أواخر القرن الثانی عشر، و قد اجتهد مؤلّفوها فی جمع القرائن علی وثاقة الراوی أو ضعفها، و اعتمدوا علی حدسیّات و تقریبات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الجوامع الرجالیّة المؤلّفة فی القرون الماضیة، و هناک مؤلّفات اخری بین مطوّلات و مختصرات الّفت فی القرون الأخیرة و نحن نشیر إلی ما هو الدارج بین العلماء فی عصرنا هذا</w:t>
      </w:r>
      <w:r>
        <w:rPr>
          <w:rFonts w:eastAsia="IRNazanin" w:cs="IRNazanin"/>
          <w:color w:val="111111"/>
          <w:sz w:val="28"/>
          <w:szCs w:val="28"/>
          <w:rtl w:val="true"/>
          <w:lang w:bidi="fa-IR"/>
        </w:rPr>
        <w:t xml:space="preserve">. </w:t>
      </w:r>
      <w:bookmarkStart w:id="268" w:name="pg2858_19539"/>
    </w:p>
    <w:p>
      <w:pPr>
        <w:pStyle w:val="Heading3"/>
        <w:numPr>
          <w:ilvl w:val="2"/>
          <w:numId w:val="1"/>
        </w:numPr>
        <w:rPr/>
      </w:pPr>
      <w:bookmarkStart w:id="269" w:name="__RefHeading___Toc2759972_1395250215"/>
      <w:bookmarkStart w:id="270" w:name="_Toc90"/>
      <w:bookmarkEnd w:id="268"/>
      <w:bookmarkEnd w:id="269"/>
      <w:r>
        <w:rPr/>
        <w:t>3</w:t>
      </w:r>
      <w:r>
        <w:rPr>
          <w:rtl w:val="true"/>
        </w:rPr>
        <w:t xml:space="preserve"> - </w:t>
      </w:r>
      <w:r>
        <w:rPr>
          <w:rtl w:val="true"/>
        </w:rPr>
        <w:t>الجوامع الرجالیة الدارجة علی منهج القدماء</w:t>
      </w:r>
      <w:bookmarkEnd w:id="270"/>
    </w:p>
    <w:p>
      <w:pPr>
        <w:pStyle w:val="Heading4"/>
        <w:numPr>
          <w:ilvl w:val="3"/>
          <w:numId w:val="1"/>
        </w:numPr>
        <w:rPr/>
      </w:pPr>
      <w:bookmarkStart w:id="271" w:name="__RefHeading___Toc2759974_1395250215"/>
      <w:bookmarkStart w:id="272" w:name="_Toc91"/>
      <w:bookmarkEnd w:id="271"/>
      <w:r>
        <w:rPr>
          <w:rtl w:val="true"/>
        </w:rPr>
        <w:t>اشارة</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 وقفت علی الجوامع الرجالیّة المؤلّفة فی القرن الحادی عشر و الثّانی عشر، و هناک مؤلّفات رجالیّة الّفت فی أواخر القرن الثالث عشر و القرن الرابع عشر، و لکنّها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تبع فی تألیفه خطّة الماضین فی نقل أقوال الرجالیّین السابقین و اللاّحقین، و جمع القرائن و الشّواهد علی وثاقة الرّاوی، و القضاء بین کلمات أهل الفنّ، إلی غیر ذلک من المزایا الّتی أوجبت تکامل فنّ الرجال من حیث الکمّیة، من دون إحداث کیفیّة جدیدة وراء خطّة السّابقین، و صنف آخر أحدث کیفیّة جدیدة فی فنّ الرّجال و أبدع اسلوبا خاصّا لما یهمّ المستنبط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الوقوف علی طبقة الرّاوی من حیث الرّوایة، و معرفة عصره و أساتیذه و تلامیذه، و مدی علمه و فضله، و کمّیة روایاته من حیث الکثرة و القلّة، و مقدار ضبطه للرّوایة، و إتقانه فی نقل الحدیث، من أهمّ الامور فی علم الحدیث و معرفة حال الراوی، و قد اهملت تلک النّاحیة فی اسلوب القدماء غالبا إلاّ علی وجه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الاسلوب یباین خطّة الماضین فی العصور السابقة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یجب علینا أن نعرف کلّ صنف بواقعه و نعطی کلّ ذی حقّ حقّه، و کلّ ذی فضل فضله، بلا تحیّز إلی فئة، و لا إنکار فضیلة لأحد</w:t>
      </w:r>
      <w:r>
        <w:rPr>
          <w:rFonts w:eastAsia="IRNazanin" w:cs="IRNazanin"/>
          <w:color w:val="111111"/>
          <w:sz w:val="28"/>
          <w:szCs w:val="28"/>
          <w:rtl w:val="true"/>
          <w:lang w:bidi="fa-IR"/>
        </w:rPr>
        <w:t xml:space="preserve">. </w:t>
      </w:r>
      <w:bookmarkStart w:id="273" w:name="pg2858_19542"/>
    </w:p>
    <w:p>
      <w:pPr>
        <w:pStyle w:val="Heading4"/>
        <w:numPr>
          <w:ilvl w:val="3"/>
          <w:numId w:val="1"/>
        </w:numPr>
        <w:rPr/>
      </w:pPr>
      <w:bookmarkStart w:id="274" w:name="__RefHeading___Toc2759976_1395250215"/>
      <w:bookmarkStart w:id="275" w:name="_Toc92"/>
      <w:bookmarkEnd w:id="273"/>
      <w:bookmarkEnd w:id="274"/>
      <w:r>
        <w:rPr/>
        <w:t>1</w:t>
      </w:r>
      <w:r>
        <w:rPr>
          <w:rtl w:val="true"/>
        </w:rPr>
        <w:t xml:space="preserve"> - «</w:t>
      </w:r>
      <w:r>
        <w:rPr>
          <w:rtl w:val="true"/>
        </w:rPr>
        <w:t>بهجة الامال فی شرح زبدة المقال فی علم الرجال</w:t>
      </w:r>
      <w:r>
        <w:rPr>
          <w:rtl w:val="true"/>
        </w:rPr>
        <w:t>»</w:t>
      </w:r>
      <w:bookmarkEnd w:id="275"/>
    </w:p>
    <w:p>
      <w:pPr>
        <w:pStyle w:val="BookText"/>
        <w:rPr/>
      </w:pPr>
      <w:r>
        <w:rPr>
          <w:rFonts w:ascii="IRNazanin" w:hAnsi="IRNazanin" w:eastAsia="IRNazanin"/>
          <w:color w:val="111111"/>
          <w:sz w:val="28"/>
          <w:sz w:val="28"/>
          <w:szCs w:val="28"/>
          <w:rtl w:val="true"/>
          <w:lang w:bidi="fa-IR"/>
        </w:rPr>
        <w:t xml:space="preserve">تألیف العلاّمة الحاج الشیخ علی بن عبد اللّه محمّد بن محب اللّه بن محمّد جعفر العلیاری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قد الّف فی خمسة مجلّدات کبار، ثلاثة منها شرح مزجیّ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المقال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العلاّمة السید حسین البروجردی و هو منظومة فی علم الرجال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بزبدة المقال فی البحث عن معرفة الرجال</w:t>
      </w:r>
    </w:p>
    <w:p>
      <w:pPr>
        <w:pStyle w:val="BookText"/>
        <w:rPr/>
      </w:pPr>
      <w:r>
        <w:rPr>
          <w:rFonts w:ascii="IRNazanin" w:hAnsi="IRNazanin" w:eastAsia="IRNazanin"/>
          <w:color w:val="111111"/>
          <w:sz w:val="28"/>
          <w:sz w:val="28"/>
          <w:szCs w:val="28"/>
          <w:rtl w:val="true"/>
          <w:lang w:bidi="fa-IR"/>
        </w:rPr>
        <w:t>ناظمه الفقیر فی الکونین هو الحسین بن رضا الحسینی</w:t>
      </w:r>
    </w:p>
    <w:p>
      <w:pPr>
        <w:pStyle w:val="BookText"/>
        <w:rPr/>
      </w:pPr>
      <w:r>
        <w:rPr>
          <w:rFonts w:ascii="IRNazanin" w:hAnsi="IRNazanin" w:eastAsia="IRNazanin"/>
          <w:color w:val="111111"/>
          <w:sz w:val="28"/>
          <w:sz w:val="28"/>
          <w:szCs w:val="28"/>
          <w:rtl w:val="true"/>
          <w:lang w:bidi="fa-IR"/>
        </w:rPr>
        <w:t xml:space="preserve">و اثنان منها 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منظومة للشّارح تمّم بها منظومة البروجردی، و حیث إنّ البروجردی لم یذکر المتأخّرین و لا المجاهیل من الرواة، فأتمّها و أکملها الشارح بالنظم و الشرح فی ذینک المجلّدین، و الکتاب مشتمل علی مقدّمة و فیها أحد عشر فصلا، و الفصل الحادی عشر فی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عدّة أبحاث متفرّقة، و الکتاب لو طبع علی طراز الطبعة الحدیثة لتجاوز عشرة أجزاء و قد طبع منه لحدّ الآن ستة أجزاء و الباقی تحت الطبع</w:t>
      </w:r>
      <w:r>
        <w:rPr>
          <w:rFonts w:eastAsia="IRNazanin" w:cs="IRNazanin"/>
          <w:color w:val="111111"/>
          <w:sz w:val="28"/>
          <w:szCs w:val="28"/>
          <w:rtl w:val="true"/>
          <w:lang w:bidi="fa-IR"/>
        </w:rPr>
        <w:t>.</w:t>
      </w:r>
    </w:p>
    <w:p>
      <w:pPr>
        <w:pStyle w:val="Heading4"/>
        <w:numPr>
          <w:ilvl w:val="3"/>
          <w:numId w:val="1"/>
        </w:numPr>
        <w:rPr/>
      </w:pPr>
      <w:bookmarkStart w:id="276" w:name="__RefHeading___Toc2759978_1395250215"/>
      <w:bookmarkStart w:id="277" w:name="_Toc93"/>
      <w:bookmarkEnd w:id="276"/>
      <w:r>
        <w:rPr/>
        <w:t>2</w:t>
      </w:r>
      <w:r>
        <w:rPr>
          <w:rtl w:val="true"/>
        </w:rPr>
        <w:t xml:space="preserve"> - «</w:t>
      </w:r>
      <w:r>
        <w:rPr>
          <w:rtl w:val="true"/>
        </w:rPr>
        <w:t>تنقیح المقال فی معرفة علم الرجال</w:t>
      </w:r>
      <w:r>
        <w:rPr>
          <w:rtl w:val="true"/>
        </w:rPr>
        <w:t>»</w:t>
      </w:r>
      <w:bookmarkEnd w:id="277"/>
    </w:p>
    <w:p>
      <w:pPr>
        <w:pStyle w:val="BookText"/>
        <w:rPr/>
      </w:pPr>
      <w:r>
        <w:rPr>
          <w:rFonts w:ascii="IRNazanin" w:hAnsi="IRNazanin" w:eastAsia="IRNazanin"/>
          <w:color w:val="111111"/>
          <w:sz w:val="28"/>
          <w:sz w:val="28"/>
          <w:szCs w:val="28"/>
          <w:rtl w:val="true"/>
          <w:lang w:bidi="fa-IR"/>
        </w:rPr>
        <w:t xml:space="preserve">للعلاّمة الشیخ عبد 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أجزاء کبار، و هو أجمع کتاب ألّف فی الموضوع، و قد جمع جلّ ما ورد فی الکتب الرجالیّة المتقدّمة و المتأخّرة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أبسط ما کتب فی الرّجال، حیث إنّه أدرج فیه تراجم جمیع الصّحابة و التّابعین، و سائر أصحاب الأئمّة و غیرهم من الرّواة إلی القرن الرابع، و قلیل من العلماء المحدّثین فی ثلاثة أجزاء کبار، لم </w:t>
      </w:r>
    </w:p>
    <w:p>
      <w:pPr>
        <w:pStyle w:val="BookText"/>
        <w:rPr/>
      </w:pPr>
      <w:r>
        <w:rPr>
          <w:rFonts w:ascii="IRNazanin" w:hAnsi="IRNazanin" w:eastAsia="IRNazanin"/>
          <w:color w:val="111111"/>
          <w:sz w:val="28"/>
          <w:sz w:val="28"/>
          <w:szCs w:val="28"/>
          <w:rtl w:val="true"/>
          <w:lang w:bidi="fa-IR"/>
        </w:rPr>
        <w:t>یتجاوز جمعه و ترتیبه و تهذیبه عن ثلاث سنین، و هذا ممّا یعدّ من خوارق العادات و الخاصّة من التأییدات، فللّه درّ مؤلّفه من مصنّف ما سبقه مصنّفوا الرّجال، و من تنقیح ما أتی بمثله الأمثال</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اخذ علیه، هو خلطه بین المهمل 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عبارة عمّن لم یذکر فیه مدح و لا قدح، و قد ذکر ابن داود المهمل فی جنب الممدوح، زعما منه بأنّه یجب العمل بخبره کالممدوح، و أنّ غیر الحجّة فی الخبر عبارة عن المطعون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المجهول فإنّه عبارة عمّن صرّح أئمّة الرّجال فیه بالمجهولیّة و هو أحد ألفاظ الجرح، فیذکرون المجهول فی باب المجروحین و یعاملون معه معاملة المجروح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لاحظت فهرس تنقیح المقال، الّذی طبع مستقلاّ و سمّاه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 إلاّ المجاهیل، و المراد منه الأعم ممّن حکم علیه أئمّة الرّجال بالمجهولیّة و من لم یذکر فیه مدح و لا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الخلط لا یختصّ به، بل هو رائج من عصر الشّهید الثانی و المجلسی إلی عصره، مع أنّ المحقّق الداماد قال فی الراشحة الثالثة عشر من رواشحه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إطلاق المجهول الاصطلاحی إلاّ علی من حکم بجهالته أئمّة الرجال</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ذبّ شیخنا العلاّمة الطهرانی هذا الإشکال عن مؤلّفه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المؤلّف لم یکن غیر واقف بکلام المحقّق الداماد، و صرّح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أواخر الصفحة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راجع المتتبّع جمیع مظانّ استعلام حال رجل و مع ذلک لم یظفر بشیء من ترجمة أحواله أبدا فلا یجوز التّسارع علیه بالحکم بالجهالة، لسعة دائرة هذا العلم، و کثرة مدارک معرفة الرّجال، و من هذا </w:t>
      </w:r>
      <w:bookmarkStart w:id="278" w:name="pg2858_19544"/>
    </w:p>
    <w:p>
      <w:pPr>
        <w:pStyle w:val="BookText"/>
        <w:rPr/>
      </w:pPr>
      <w:bookmarkEnd w:id="278"/>
      <w:r>
        <w:rPr>
          <w:rFonts w:ascii="IRNazanin" w:hAnsi="IRNazanin" w:eastAsia="IRNazanin"/>
          <w:color w:val="111111"/>
          <w:sz w:val="28"/>
          <w:sz w:val="28"/>
          <w:szCs w:val="28"/>
          <w:rtl w:val="true"/>
          <w:lang w:bidi="fa-IR"/>
        </w:rPr>
        <w:t xml:space="preserve">التّصریح یحصل الجزم بأنّ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أنّه محکوم بالجهالة عند علماء الرجال، حتّی یصیر هو السبب فی صیرورة الحدیث من جهته ضعیفا، بل مراده أنّه مجهول عندی و لم أظفر بترجمة مبیّنة لأحواله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759980_1395250215"/>
      <w:bookmarkStart w:id="280" w:name="_Toc94"/>
      <w:bookmarkEnd w:id="279"/>
      <w:r>
        <w:rPr/>
        <w:t>3</w:t>
      </w:r>
      <w:r>
        <w:rPr>
          <w:rtl w:val="true"/>
        </w:rPr>
        <w:t xml:space="preserve"> - «</w:t>
      </w:r>
      <w:r>
        <w:rPr>
          <w:rtl w:val="true"/>
        </w:rPr>
        <w:t>قاموس الرجال</w:t>
      </w:r>
      <w:r>
        <w:rPr>
          <w:rtl w:val="true"/>
        </w:rPr>
        <w:t>»</w:t>
      </w:r>
      <w:bookmarkEnd w:id="280"/>
    </w:p>
    <w:p>
      <w:pPr>
        <w:pStyle w:val="BookText"/>
        <w:rPr/>
      </w:pPr>
      <w:r>
        <w:rPr>
          <w:rFonts w:ascii="IRNazanin" w:hAnsi="IRNazanin" w:eastAsia="IRNazanin"/>
          <w:color w:val="111111"/>
          <w:sz w:val="28"/>
          <w:sz w:val="28"/>
          <w:szCs w:val="28"/>
          <w:rtl w:val="true"/>
          <w:lang w:bidi="fa-IR"/>
        </w:rPr>
        <w:t xml:space="preserve">للعلاّمة المحقّق الشیخ محمد تقی التستری، کتبه أوّلا بصورة التّعلیقة علی رجال العلاّمة المامقانی، و ناقش کثیرا من منقولاته و نظریّاته، ثمّ أخرجه بصورة کتاب مستقلّ و طبع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المؤلّف حقّا أحد أبطال هذا العلم و نقّاده، و قد بسطنا الکلام حول الکتاب، و نشرته صحیفة کیهان فی نشرته المستقلّة حول حیاة المؤلّف بقلم عدّة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لا یتّبع فی تألیف الکتاب روح العصر، فتری أنّه یکتب عدّة صحائف من دون أن یفصل بین المطالب بعنوان خاصّ، کما أنّه لا یأتی بأسماء الکتب الرجالیّة و الأئمّة إلاّ بالرّموز، و ذلک أوجد غلقا فی قراءة الکتاب و فهم مقاصده، أضف إلی ذلک أنّه یروی عن کثیر من الکتب التاریخیّة و الحدیثیّة، و لا یعیّن مواضعها، و لکن ما ذکرناه یرجع إلی نفس الکتاب، و أمّا المؤلّف فهو من المشایخ الأعاظم الّذین یضنّ بهم الدّهر إلاّ فی فترات قلیلة و له علی العلم و أهله أیادی مشکورة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الکتب مع الثّناء الوافر علی مؤلّفیها لا تخلو من عل أو علات الّتی یجب أن ننبّه إلیها</w:t>
      </w:r>
      <w:r>
        <w:rPr>
          <w:rFonts w:eastAsia="IRNazanin" w:cs="IRNazanin"/>
          <w:color w:val="111111"/>
          <w:sz w:val="28"/>
          <w:szCs w:val="28"/>
          <w:rtl w:val="true"/>
          <w:lang w:bidi="fa-IR"/>
        </w:rPr>
        <w:t xml:space="preserve">. </w:t>
      </w:r>
      <w:bookmarkStart w:id="281" w:name="pg2858_19545"/>
    </w:p>
    <w:p>
      <w:pPr>
        <w:pStyle w:val="Heading3"/>
        <w:numPr>
          <w:ilvl w:val="2"/>
          <w:numId w:val="1"/>
        </w:numPr>
        <w:rPr/>
      </w:pPr>
      <w:bookmarkStart w:id="282" w:name="__RefHeading___Toc2759982_1395250215"/>
      <w:bookmarkStart w:id="283" w:name="_Toc95"/>
      <w:bookmarkEnd w:id="281"/>
      <w:bookmarkEnd w:id="282"/>
      <w:r>
        <w:rPr/>
        <w:t>4</w:t>
      </w:r>
      <w:r>
        <w:rPr>
          <w:rtl w:val="true"/>
        </w:rPr>
        <w:t xml:space="preserve"> - </w:t>
      </w:r>
      <w:r>
        <w:rPr>
          <w:rtl w:val="true"/>
        </w:rPr>
        <w:t>تطور فی تألیف الجوامع الرجالیة</w:t>
      </w:r>
      <w:bookmarkEnd w:id="283"/>
    </w:p>
    <w:p>
      <w:pPr>
        <w:pStyle w:val="Heading4"/>
        <w:numPr>
          <w:ilvl w:val="3"/>
          <w:numId w:val="1"/>
        </w:numPr>
        <w:rPr/>
      </w:pPr>
      <w:bookmarkStart w:id="284" w:name="__RefHeading___Toc2759984_1395250215"/>
      <w:bookmarkStart w:id="285" w:name="_Toc96"/>
      <w:bookmarkEnd w:id="284"/>
      <w:r>
        <w:rPr>
          <w:rtl w:val="true"/>
        </w:rPr>
        <w:t>اشارة</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اسانید الکتب الاربعة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الجوامع المذکورة مع أهمّیتها و عظمتها، فاقدة لبعض ما یهمّ المستنبط و الفقیه فی تحصیل حجّیة الخبر و عدمها، فإنّها و إن کانت توقفنا علی وثاقة الرّاوی و ضعفه إجمالا، غیر أنّها لا تفی ببعض ما یجب علی المستنبط تحصیله و إلیک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الخطّة الّتی رسمها القدماء و تبعها المتأخّرون، مع أهمّیتها و جلالتها، لا تخرج عن إطار التّقلید لأئمّة علم الرجال فی التعّرف علی وثاقة الرّاوی و ضعفه و قلیل من سائر أحواله، ممّا ترجع إلی شخصیّته الحدیثیّة، و لیس طریقا مباشریّا للمؤلّف الرجالیّ، فضلا عمّن یرجع إلیه و یطالعه، للتعرّف علی أحوال الرّاوی، بأن یلمس بفهمه و ذکائه و یقف مباشرة علی کلّ ما یرجع إلی الرّاوی من حیث الطّبقة و العصر أوّلا، و مدی الضّبط و الإتقان ثانیا، و کمّیة روایاته کثرة و قلّة ثالثا، و مقدار فضله و علمه و کماله رابعا، و هذا بخلاف ما رسّمه الأساتذة المتأخّرون و خطّطوه، فإنّ العالم الرجالی فیه یقف بطریق مباشریّ دون تقلید، علی هذه الامور و أشباهها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الکتب المؤلّفة حول الرّجال، تستمدّ من قول أئمّة الفنّ فی جرح الرّواة و تعدیلهم، و بالأخصّ تتبع مؤلّفی الاصول الخمسة، الّتی نبّهنا بأسمائهم و کتبهم فیما سبق، فقول هؤلاء و من عاصرهم أو تأخّر عنهم </w:t>
      </w:r>
    </w:p>
    <w:p>
      <w:pPr>
        <w:pStyle w:val="BookText"/>
        <w:rPr/>
      </w:pPr>
      <w:r>
        <w:rPr>
          <w:rFonts w:ascii="IRNazanin" w:hAnsi="IRNazanin" w:eastAsia="IRNazanin"/>
          <w:color w:val="111111"/>
          <w:sz w:val="28"/>
          <w:sz w:val="28"/>
          <w:szCs w:val="28"/>
          <w:rtl w:val="true"/>
          <w:lang w:bidi="fa-IR"/>
        </w:rPr>
        <w:t>هو المعیار فی معرفة الرّجال و تمییز الثقات عن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هذا طریق صحیح یعدّ من الطّرق الوثیقة، لکنّه لیس طریقا وحیدا فی تشخیص حال الرواة و معرفتهم، بل طریق تقلیدیّ لأئمّة الرّجال، و لیس طریقا مباشرّیا إلی أحوال الرواة، و لا یعّد طریقا أحسن و 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أنّ التّحریف و التّصحیف تطرّق إلی کثیر من أسناد الأحادیث المرویّة فی الکتب الأربعة و غیرها، و ربّما سقط الراوی من السّند من دون أن یکون هناک ما یدّلنا علیه، و علی ذلک یجب أن یکون الکتب الرجالیّة بصورة توقفنا علی طبقات الرّواة من حیث المشایخ و التّلامیذ، حتّی یقف الباحث ببرکة التعرّف علی الطبقات، علی نقصان السّند و کماله، و الحال أنّ هذه الکتب المؤلّفة کتبت علی حسب حروف المعجم مبتدأة بالألف و منتهیة بالیاء، لا یعرف الانسان عصر الرّاوی و طبقته فی الحدیث، و لا أساتذته و لا تلامذته إلاّ علی وجه الإجمال و التبعیّة، و بصورة قلیلة دون الإحصاء، و الکتاب الّذی یمکن أن یشتمل علی هذه المزیّة، یجب أن یکون علی طراز رجال الشیخ الّذی کتب علی حسب عهد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عقد لکلّ من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أبوابا خاصّة یعرف منها حسب الإجمال طبقة الرّاوی و مشایخه و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النّمط من التألیف و إن کان لا یفی بتلک الامنیّة الکبری کلّها، لکنّه یفی بها إجمالا، حیث نری أنّه یقسّم الرّواة إلی الطّبقات حسب الزمان من زمن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الأعصار الّتی انقلبت فیها سلسلة الرّواة إلی سلسلة العلماء، و عندئذ یمکن تمییز السّند الکامل من السّند الناقص، و لو کان الرّجالیّون بعد الشیخ یتّبعون أثره لأصبحت الکتب الرجالیّة أکثر فائدة ممّا هی الآن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أسماء کثیرة من الرواة مشترکة بین عدّة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ثقة یرکن </w:t>
      </w:r>
      <w:bookmarkStart w:id="286" w:name="pg2858_19549"/>
    </w:p>
    <w:p>
      <w:pPr>
        <w:pStyle w:val="BookText"/>
        <w:rPr/>
      </w:pPr>
      <w:bookmarkEnd w:id="286"/>
      <w:r>
        <w:rPr>
          <w:rFonts w:ascii="IRNazanin" w:hAnsi="IRNazanin" w:eastAsia="IRNazanin"/>
          <w:color w:val="111111"/>
          <w:sz w:val="28"/>
          <w:sz w:val="28"/>
          <w:szCs w:val="28"/>
          <w:rtl w:val="true"/>
          <w:lang w:bidi="fa-IR"/>
        </w:rPr>
        <w:t>إلیه، و ضعیف یردّ روایته، و عندما یلاحظ المستنبط الأسماء المشترکة فی الأسناد لا یقدر علی تعیین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عمد الرّجالیون إلی تأسیس فرع آخر لعلم الرجال أسموه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أهمّها و أعظمها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المشترکات للعلاّمة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یجب علی المستنبط فی تعیین المراد من الأسماء المشترکة، إلی مراجعة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لولاه لما انحلت العقدة، غیر أنّ کثیرا من کتب الرجال فاقدة لهذا الفرع، و إنّما یذکرون الأسماء بالآباء و الأجداد، من دون أن یذکروا ما یمیّز به المشترک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أدخل العلاّمة المامقانی ما کتبه العلاّمة الکاظمی فی رجاله، و بذلک صار کتابا جامعا بالنّسبة، و قد تطرّق ذلک النّقص إلی أکثر الکتب الرجالیّة، لأجل أنّها الّفت علی ما رسّمه القدماء علی ترتیب الحروف الهجائیة، دون ترتیب الطبقات</w:t>
      </w:r>
      <w:r>
        <w:rPr>
          <w:rFonts w:eastAsia="IRNazanin" w:cs="IRNazanin"/>
          <w:color w:val="111111"/>
          <w:sz w:val="28"/>
          <w:szCs w:val="28"/>
          <w:rtl w:val="true"/>
          <w:lang w:bidi="fa-IR"/>
        </w:rPr>
        <w:t>.</w:t>
      </w:r>
    </w:p>
    <w:p>
      <w:pPr>
        <w:pStyle w:val="Heading4"/>
        <w:numPr>
          <w:ilvl w:val="3"/>
          <w:numId w:val="1"/>
        </w:numPr>
        <w:rPr/>
      </w:pPr>
      <w:bookmarkStart w:id="287" w:name="__RefHeading___Toc2759986_1395250215"/>
      <w:bookmarkStart w:id="288" w:name="_Toc97"/>
      <w:bookmarkEnd w:id="287"/>
      <w:r>
        <w:rPr>
          <w:rtl w:val="true"/>
        </w:rPr>
        <w:t>بروز نمط خاصّ فی تألیف الرجال</w:t>
      </w:r>
      <w:bookmarkEnd w:id="288"/>
    </w:p>
    <w:p>
      <w:pPr>
        <w:pStyle w:val="BookText"/>
        <w:rPr/>
      </w:pPr>
      <w:r>
        <w:rPr>
          <w:rFonts w:ascii="IRNazanin" w:hAnsi="IRNazanin" w:eastAsia="IRNazanin"/>
          <w:color w:val="111111"/>
          <w:sz w:val="28"/>
          <w:sz w:val="28"/>
          <w:szCs w:val="28"/>
          <w:rtl w:val="true"/>
          <w:lang w:bidi="fa-IR"/>
        </w:rPr>
        <w:t>و لأجل هذه النّقائص الفنّیة فی هذه الخطّة، نهضت عدّة من الأعلام و المشایخ فی العصر الماضی و الحاضر إلی فتح طریق آخر فی وجوه المجتهدین و المستنبطین، و هذا الطّریق هو لمس حالهم بالمباشرة لا بالرّجوع إلی أقوال أئمّة الرّجال بل بالرّجوع إلی سند الروایات المتکرّرة فی الکتب الحدیثیّة المشتملة علی اسم الراوی، فإنّ فی هذا الطّریق إمکان التعرّف علی میزان علم الراوی و فقهه و ضبطه و وثاقته فی النّقل، إذ بالرّجوع إلی متون أحادیث الرّاوی المبعثرة علی الأبواب و ملاحظتها لفظا و معنی، و کمّا و کیفا یعرف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یفهم من روایاته، مدی تضلّع الراوی فی الفقه و الکلام و التاریخ و التفسیر و غیرها من المعارف، کما یعرف عدم مهارته و حذاقته فی شیء منها، إذا قیست روایاته بعضها ببعض، و بما رواه آخرون فی معناها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مقدار روایاته قلّة و کثرة، و أنّه هل هو ضابط فیما یروی أو </w:t>
      </w:r>
    </w:p>
    <w:p>
      <w:pPr>
        <w:pStyle w:val="BookText"/>
        <w:rPr/>
      </w:pPr>
      <w:r>
        <w:rPr>
          <w:rFonts w:ascii="Amiri" w:hAnsi="Amiri" w:eastAsia="Amiri" w:cs="Amiri"/>
          <w:color w:val="111111"/>
          <w:sz w:val="28"/>
          <w:sz w:val="28"/>
          <w:szCs w:val="28"/>
          <w:rtl w:val="true"/>
          <w:lang w:bidi="ar-SA"/>
        </w:rPr>
        <w:t>مخلّط أو مدلّس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تعرف طبقات الرواة مشایخهم و تلامیذهم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یحصل التعرّف علی وضع الأسناد من حیث الکمال و السّقط، فربّما تکون الروایة فی الکتب الأربعة مسندة إلی الإمام، و لکنّ الواقف علی طبقات الرجال یعرف الحلقة المفقودة أثناء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الاستاذ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واعظ زاده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نشرت بمناسبة الذکری الألفیّة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الرجالیّین کانوا و ما یزالون یتعبّدون فی الأکثر بقول أئمّة هذا الفنّ و یقلّدونهم فی جرح الرّواة و تعدیلهم، إلاّ أنّ الأمر لا ینحصر فیه، فهناک بإزاء ذاک، باب مفتوح إلی معرفة الرّواة و لمس حالهم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یحصل بالرجوع إلی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إلی أسناد الروایات المتکرّرة فی الکتب الحدیثیّة المشتملة علی اسم الراوی، و بذلک یظهر الخلل فی کثیر من الأسانید، و ینکشف الارسال فیها بسقوط بعض الوسائط و عدم اتّصال السلسلة، و یمکننا معرفة الحلقة المفقودة فی سلسلة حدیث باستقراء الأشباه و النظائر إذا توفّرت و کثرت القرائن، و قامت الشواهد فی الأسانید المتکثّرة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إلی متون أحادیث الراوی المبعثرة علی الأبواب، و اعتبارها لفظا و معنی و کمّا و کیفا، فیفهم منها أنّ الراوی هل کان متضلّعا فی علم الفقه أو التّفسیر أو غیرهما من المعارف، أو لم یکن له مهارة و حذاقة فی شیء منها؟ یفهم ذلک کلّه إذا قیست روایاته بعضها ببعض و بما رواه الآخرون فی معناها، و یلاحظ أنّه قلیل الروایة أو کثیرها و أنّه ثبت ضابط فیما یرویه أو مخلّط مدلّس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انضمّ إلیه أمر ثالث ینکشف حال الراوی أتمّ الانکشاف، و هو مراجعة الأحادیث الّتی وردت فی حال الرّواة، و قد جمع معظمها أبو عمرو </w:t>
      </w:r>
      <w:bookmarkStart w:id="289" w:name="pg2858_19551"/>
    </w:p>
    <w:p>
      <w:pPr>
        <w:pStyle w:val="BookText"/>
        <w:rPr/>
      </w:pPr>
      <w:bookmarkEnd w:id="289"/>
      <w:r>
        <w:rPr>
          <w:rFonts w:ascii="IRNazanin" w:hAnsi="IRNazanin" w:eastAsia="IRNazanin"/>
          <w:color w:val="111111"/>
          <w:sz w:val="28"/>
          <w:sz w:val="28"/>
          <w:szCs w:val="28"/>
          <w:rtl w:val="true"/>
          <w:lang w:bidi="fa-IR"/>
        </w:rPr>
        <w:t>الکشّی فی رجاله، فهی تعطینا بصیرة بحال رواة الحدیث من ناحیة اخری و هی موقف الرّواة من الأئمّة الهداة، و درجات قرب الرّجال و بعدهم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فمعرفة الرّواة و طبقاتهم عن طریق أحادیثهم و ملاحظتها متنا و سندا، تکاد تکون معرفة بالمباشرة و النّظر لا بالتّقلید و الأثر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2759988_1395250215"/>
      <w:bookmarkStart w:id="291" w:name="_Toc98"/>
      <w:bookmarkEnd w:id="290"/>
      <w:r>
        <w:rPr/>
        <w:t>1</w:t>
      </w:r>
      <w:r>
        <w:rPr>
          <w:rtl w:val="true"/>
        </w:rPr>
        <w:t xml:space="preserve"> - </w:t>
      </w:r>
      <w:r>
        <w:rPr>
          <w:rtl w:val="true"/>
        </w:rPr>
        <w:t>جامع الرواة</w:t>
      </w:r>
      <w:bookmarkEnd w:id="291"/>
    </w:p>
    <w:p>
      <w:pPr>
        <w:pStyle w:val="BookText"/>
        <w:rPr/>
      </w:pPr>
      <w:r>
        <w:rPr>
          <w:rFonts w:ascii="IRNazanin" w:hAnsi="IRNazanin" w:eastAsia="IRNazanin"/>
          <w:color w:val="111111"/>
          <w:sz w:val="28"/>
          <w:sz w:val="28"/>
          <w:szCs w:val="28"/>
          <w:rtl w:val="true"/>
          <w:lang w:bidi="fa-IR"/>
        </w:rPr>
        <w:t xml:space="preserve">إنّ أوّل من قام بهذا العمل بصورة النّواة، هو الشیخ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للعلاّمة المجلسی، فإنّه یلتقط فی ترجمة الرجال جملة من الأسانید عن الکتب الأربعة و غیرها، و یجعلها دلیلا علی التعرّف علی شیوخ الرّاوی و تلامیذه و طبقته و عصره</w:t>
      </w:r>
      <w:r>
        <w:rPr>
          <w:rFonts w:eastAsia="IRNazanin" w:cs="IRNazanin"/>
          <w:color w:val="111111"/>
          <w:sz w:val="28"/>
          <w:szCs w:val="28"/>
          <w:rtl w:val="true"/>
          <w:lang w:bidi="fa-IR"/>
        </w:rPr>
        <w:t>.</w:t>
      </w:r>
    </w:p>
    <w:p>
      <w:pPr>
        <w:pStyle w:val="Heading4"/>
        <w:numPr>
          <w:ilvl w:val="3"/>
          <w:numId w:val="1"/>
        </w:numPr>
        <w:rPr/>
      </w:pPr>
      <w:bookmarkStart w:id="292" w:name="__RefHeading___Toc2759990_1395250215"/>
      <w:bookmarkStart w:id="293" w:name="_Toc99"/>
      <w:bookmarkEnd w:id="292"/>
      <w:r>
        <w:rPr/>
        <w:t>2</w:t>
      </w:r>
      <w:r>
        <w:rPr>
          <w:rtl w:val="true"/>
        </w:rPr>
        <w:t xml:space="preserve"> - </w:t>
      </w:r>
      <w:r>
        <w:rPr>
          <w:rtl w:val="true"/>
        </w:rPr>
        <w:t>طرائف المقال</w:t>
      </w:r>
      <w:bookmarkEnd w:id="293"/>
    </w:p>
    <w:p>
      <w:pPr>
        <w:pStyle w:val="BookText"/>
        <w:rPr/>
      </w:pPr>
      <w:r>
        <w:rPr>
          <w:rFonts w:ascii="IRNazanin" w:hAnsi="IRNazanin" w:eastAsia="IRNazanin"/>
          <w:color w:val="111111"/>
          <w:sz w:val="28"/>
          <w:sz w:val="28"/>
          <w:szCs w:val="28"/>
          <w:rtl w:val="true"/>
          <w:lang w:bidi="fa-IR"/>
        </w:rPr>
        <w:t xml:space="preserve">و قام بعده بهذا العمل السیّد محمّد شفیع الموسوی التفریشی، فألّف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فی معرفة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مشایخه الطّبقة الاولی، ثمّ مشایخ مشایخه، الطّبقة الثّانیة، إلی أن ینتهی إلی عصر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الکلّ فی اثنتین و ثلاثین طبقة و جعل الشیخ الطّوسی و من فی طبقته، الطبقة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 هذا الأثر النفیس فی 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بعد لم یطبع</w:t>
      </w:r>
      <w:r>
        <w:rPr>
          <w:rFonts w:eastAsia="IRNazanin" w:cs="IRNazanin"/>
          <w:color w:val="111111"/>
          <w:sz w:val="28"/>
          <w:szCs w:val="28"/>
          <w:rtl w:val="true"/>
          <w:lang w:bidi="fa-IR"/>
        </w:rPr>
        <w:t>.</w:t>
      </w:r>
    </w:p>
    <w:p>
      <w:pPr>
        <w:pStyle w:val="Heading4"/>
        <w:numPr>
          <w:ilvl w:val="3"/>
          <w:numId w:val="1"/>
        </w:numPr>
        <w:rPr/>
      </w:pPr>
      <w:bookmarkStart w:id="294" w:name="__RefHeading___Toc2759992_1395250215"/>
      <w:bookmarkStart w:id="295" w:name="_Toc100"/>
      <w:bookmarkEnd w:id="294"/>
      <w:r>
        <w:rPr/>
        <w:t>3</w:t>
      </w:r>
      <w:r>
        <w:rPr>
          <w:rtl w:val="true"/>
        </w:rPr>
        <w:t xml:space="preserve"> - </w:t>
      </w:r>
      <w:r>
        <w:rPr>
          <w:rtl w:val="true"/>
        </w:rPr>
        <w:t>مرتب الاسانید</w:t>
      </w:r>
      <w:bookmarkEnd w:id="295"/>
    </w:p>
    <w:p>
      <w:pPr>
        <w:pStyle w:val="BookText"/>
        <w:rPr/>
      </w:pPr>
      <w:r>
        <w:rPr>
          <w:rFonts w:ascii="IRNazanin" w:hAnsi="IRNazanin" w:eastAsia="IRNazanin"/>
          <w:color w:val="111111"/>
          <w:sz w:val="28"/>
          <w:sz w:val="28"/>
          <w:szCs w:val="28"/>
          <w:rtl w:val="true"/>
          <w:lang w:bidi="fa-IR"/>
        </w:rPr>
        <w:t>و قام بعده المحقّق البروجردی، إمام هذا الفّن بعملین ضخیمین یعدّ من أبرز الأعمال و أعمقها فی الرجال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أسانید کلّ من الکتب الأربعة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 أسانید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أسانید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انصرف إلی ترتیب أسانید الکتب الأربعة الرّجالیة و غیرها من کتب الحدیث، مراعیا فیها ترتیب الحروف، فباستیفاء الأسانید و قیاس بعضها مع بعض یعرف جمیع شیوخ الراوی و تلامیذه و طبقته و غیرها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فبالرجوع إلی هذا الفهرس یعلم مقدار مشایخ الراوی و تلامیذه، کما یعرف من هو مشارکه فی نقل الحدیث و کان فی طبقته، کما یعلم مشایخ کلّ واحد من هؤلاء الرّواة و طرقهم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بتألیف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سلسلة الرواة من عصر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الشّیخ الطّوسی اثنتی عشرة طبقة، فجعل الصّحابة الطّبقة الاولی، و من أخذ عنهم الحدیث الطّبقة الثانیة، و هکذا و العمل الثانی منتزع من العمل الأوّل أعنی تجرید الأسانید، و هذا الأثر النّفیس، بل الآثار النّفیسة بعد غیر مطبوعة، بل مخزونة فی مکتبته الشخصیّة العامرة، نسأل اللّه سبحانه أن یوفّق أهل الجدّ و العلم للقیام بطبع هذه الترکة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یحدّث عن الإمام البروجردی فی تلک الرّسالة و أنّه أحد من سلک هذا الطّریق، و إن لم یکن مبتکرا فی فتح هذا الباب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الإشراف علی جمیع روایات الرّاوی یستدعی جمعها فی کرّاس واحد، و هذا ما عمله قدیما علماء الحدیث من الجمهور، و سمّوا هذا النوع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الغرض الأهمّ لهم من هذا العمل، التلاقی مع الرواة فی 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الإمامیّة فلم یهتمّوا بالمسانید و کان الإمام البروجردی، یحبّذ هذا العمل و یرغّب طلاب العلم بالاشتغال به، و لا ریب أنّه فراغ فی حدیثنا یجب أن 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الإمام البروجردی اکتفی من ذلک بجمع أسانید کلّ راو إلی الإمام فقط، و رتّبها فی فهارس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ابتکره الإمام و لم یسبقه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استخبار طبقة الرواة و شیوخهم و تلامیذهم من سند الأحادیث لم یتغافل عنه السّابقون، کیف و إنّهم یستدلّون بذلک فی کتبهم، و قد أکثر الشیخ محمّد الأردبیلی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یلتقط فی ترجمة الرجال، جملة من الأسانید من الکتب الأربعة و غیرها، و یستدلّ بها علی شیوخ الراوی و تلامیذهم و طبقته من دون 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البروجردی لیس أوّل من تفطّن و التفت إلی مدی تأثیر الأسانید فی معرفة الرواة و طبقاتهم، و إنّما الأستاذ أوّل من رتّب الأسانید و استقصاه فی فهارس جامعة، و بذلک وضع أمام المحقّقین ذریعة محکمة للاستشراف علی شتّی أسانید للرواة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الاستاذ لما أحسّ بضرورة استقصاء الأسانید الّتی وقع فیها اسم الراوی، و کانت الأسانید مبعثرة مع أحادیثها فی ثنایا الکتب، بحیث یصعب أو یستحیل الاحاطة بها عادة، تفطّن بأنّه یجب أن یلتقطها من مواضعها فیرتّبها فی قوائم و 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ابتدأ عمله هذا بأسانید الکتب الأربعة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أسانید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أسانید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إلی الکتب الأربعة الرجالیّة و کثیر من غیرها من کتب الحدیث مراعیا ترتیب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نعرض نموذجا من عمل الإمام الأکبر حتّی یعرف منها ما تحمّله من المشاقّ فی سدّ هذا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لاحظ هذا الانموذج، یعرف مدی ما لهذه الفهارس من الأثر فی علم الرّجال کما یقف علی اسلوبها، و لتوضیح حال هذا الانموذج نقول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الشّیخ الطّوسی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جمیع ما یرویه فی </w:t>
      </w:r>
      <w:bookmarkStart w:id="296" w:name="pg2858_19554"/>
    </w:p>
    <w:p>
      <w:pPr>
        <w:pStyle w:val="BookText"/>
        <w:rPr/>
      </w:pPr>
      <w:bookmarkEnd w:id="296"/>
      <w:r>
        <w:rPr>
          <w:rFonts w:ascii="IRNazanin" w:hAnsi="IRNazanin" w:eastAsia="IRNazanin"/>
          <w:color w:val="111111"/>
          <w:sz w:val="28"/>
          <w:sz w:val="28"/>
          <w:szCs w:val="28"/>
          <w:rtl w:val="true"/>
          <w:lang w:bidi="fa-IR"/>
        </w:rPr>
        <w:t xml:space="preserve">هذین الکتابین، من کتب و جوامع ظهرت فی القرن الثانی إلی القرن الرابع الهجری، فیکتفی فی نقل الحدیث باسم صاحب الکتاب فی أوّل السند، ثمّ یذکر طریقه إلی أرباب الکتب فی خاتمة الکتابین، فی باب أسماه المشیخة، و قد سبقه إلی هذا العمل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نقل فی التهذیب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من کتابه أحادیث کثیرة فی مختلف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البروجردی ذکر طرق ابن سماعة إلی الأئمّة علی ترتیب الحروف، فیبدأ باسم أحمد بن أبی بشیر، ثمّ أحمد بن الحسن المیثمی، ثمّ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فی هذا الانموذج یعلم مشایخ ابن سماعة فی التّهذیب و یعلم مشایخ هذه المشایخ و طرقهم إلی الإمام، فإذا ضمّ ترتیب أسانید الحسن بن محمّد بن سماعة فی التّهذیب إلی سائر الکتب یعلم من المجموع مشایخه و مشایخ مشایخه و طبقاتهم، کما یعرف من ملاحظة المتون مقدار تضلّعه فی الحدیث و ضبطه و إتقانه إلی غیر ذلک من الفوائد</w:t>
      </w:r>
      <w:r>
        <w:rPr>
          <w:rFonts w:eastAsia="IRNazanin" w:cs="IRNazanin"/>
          <w:color w:val="111111"/>
          <w:sz w:val="28"/>
          <w:szCs w:val="28"/>
          <w:rtl w:val="true"/>
          <w:lang w:bidi="fa-IR"/>
        </w:rPr>
        <w:t>».</w:t>
      </w:r>
    </w:p>
    <w:p>
      <w:pPr>
        <w:pStyle w:val="Heading4"/>
        <w:numPr>
          <w:ilvl w:val="3"/>
          <w:numId w:val="1"/>
        </w:numPr>
        <w:rPr/>
      </w:pPr>
      <w:bookmarkStart w:id="297" w:name="__RefHeading___Toc2759994_1395250215"/>
      <w:bookmarkStart w:id="298" w:name="_Toc101"/>
      <w:bookmarkEnd w:id="297"/>
      <w:r>
        <w:rPr/>
        <w:t>4</w:t>
      </w:r>
      <w:r>
        <w:rPr>
          <w:rtl w:val="true"/>
        </w:rPr>
        <w:t xml:space="preserve"> - </w:t>
      </w:r>
      <w:r>
        <w:rPr>
          <w:rtl w:val="true"/>
        </w:rPr>
        <w:t>معجم رجال الحدیث</w:t>
      </w:r>
      <w:bookmarkEnd w:id="298"/>
    </w:p>
    <w:p>
      <w:pPr>
        <w:pStyle w:val="BookText"/>
        <w:rPr/>
      </w:pPr>
      <w:r>
        <w:rPr>
          <w:rFonts w:ascii="IRNazanin" w:hAnsi="IRNazanin" w:eastAsia="IRNazanin"/>
          <w:color w:val="111111"/>
          <w:sz w:val="28"/>
          <w:sz w:val="28"/>
          <w:szCs w:val="28"/>
          <w:rtl w:val="true"/>
          <w:lang w:bidi="fa-IR"/>
        </w:rPr>
        <w:t xml:space="preserve">و أخیرا قام العلاّمة المحقّق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بتألیف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خصائص و مزایا هذا الکتاب هی أنّه قد ذکر فی ترجمة کلّ شخص جمیع رواته و من روی هو عنهم فی الکتب الأربعة، و قد یذکر ما فی غیرها أیضا و لا سیّما رجال الکشّی، فقد ذکر أکثر ما فیه من الرواة و المرویّ عنهم، و بذلک خدم علم الرجال خدمة کبیرة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بالمراجعة إلی تفصیل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الّذی ذیّل به کلّ جزء من أجزاء کتابه البالغة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الرواة من حیث العصر و المشایخ و التّلامیذ، و بذلک یقف الانسان علی کمال السّند و نقصانه، و ربّما </w:t>
      </w:r>
    </w:p>
    <w:p>
      <w:pPr>
        <w:pStyle w:val="BookText"/>
        <w:rPr/>
      </w:pPr>
      <w:r>
        <w:rPr>
          <w:rFonts w:ascii="IRNazanin" w:hAnsi="IRNazanin" w:eastAsia="IRNazanin"/>
          <w:color w:val="111111"/>
          <w:sz w:val="28"/>
          <w:sz w:val="28"/>
          <w:szCs w:val="28"/>
          <w:rtl w:val="true"/>
          <w:lang w:bidi="fa-IR"/>
        </w:rPr>
        <w:t>یعرف الحلقة المفقودة فی أثنائه إذا کان حافظا للمشایخ و التّلامیذ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التمییز الکامل بین المشترکات غالبا، فإنّ قسما کبیرا من الرواة مشترک الاسم فی الشّخص و الأب فلا یعرف الانسان أنّه من هو، و لکن بالوقوف علی تفصیل طبقات الرواة یمیّز المشترک و یعیّن الراوی بشخصه، و الکتاب من حسنات الدّهر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الماضین من علمائنا و حفظ الباقین منهم و جعلنا مقتفین لآثارهم إن شاء اللّه</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2858_19557"/>
      <w:bookmarkStart w:id="300" w:name="pg2858_19557"/>
      <w:bookmarkEnd w:id="300"/>
    </w:p>
    <w:p>
      <w:pPr>
        <w:pStyle w:val="Heading2"/>
        <w:numPr>
          <w:ilvl w:val="1"/>
          <w:numId w:val="1"/>
        </w:numPr>
        <w:rPr/>
      </w:pPr>
      <w:bookmarkStart w:id="301" w:name="pg2858_19557"/>
      <w:bookmarkStart w:id="302" w:name="__RefHeading___Toc2759996_1395250215"/>
      <w:bookmarkStart w:id="303" w:name="_Toc102"/>
      <w:bookmarkEnd w:id="301"/>
      <w:bookmarkEnd w:id="302"/>
      <w:r>
        <w:rPr>
          <w:rtl w:val="true"/>
        </w:rPr>
        <w:t>الفصل الخامس</w:t>
      </w:r>
      <w:r>
        <w:rPr>
          <w:rtl w:val="true"/>
        </w:rPr>
        <w:t xml:space="preserve">: </w:t>
      </w:r>
      <w:r>
        <w:rPr>
          <w:rtl w:val="true"/>
        </w:rPr>
        <w:t>التوثیقات الخاصة</w:t>
      </w:r>
      <w:bookmarkEnd w:id="303"/>
    </w:p>
    <w:p>
      <w:pPr>
        <w:pStyle w:val="Heading3"/>
        <w:numPr>
          <w:ilvl w:val="2"/>
          <w:numId w:val="1"/>
        </w:numPr>
        <w:rPr/>
      </w:pPr>
      <w:bookmarkStart w:id="304" w:name="__RefHeading___Toc2759998_1395250215"/>
      <w:bookmarkStart w:id="305" w:name="_Toc103"/>
      <w:bookmarkEnd w:id="304"/>
      <w:r>
        <w:rPr>
          <w:rtl w:val="true"/>
        </w:rPr>
        <w:t>اشارة</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أحد المعصومین أو الأعلام المتقدّمین أو المتأخّرین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الاجماع أو المدح الکاشف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المستنبط علی جمع القرائن</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2858_19559"/>
      <w:bookmarkStart w:id="307" w:name="pg2858_19559"/>
      <w:bookmarkEnd w:id="307"/>
    </w:p>
    <w:p>
      <w:pPr>
        <w:pStyle w:val="BookText"/>
        <w:rPr/>
      </w:pPr>
      <w:bookmarkStart w:id="308" w:name="pg2858_19559"/>
      <w:bookmarkEnd w:id="308"/>
      <w:r>
        <w:rPr>
          <w:rFonts w:ascii="IRNazanin" w:hAnsi="IRNazanin" w:eastAsia="IRNazanin"/>
          <w:color w:val="111111"/>
          <w:sz w:val="28"/>
          <w:sz w:val="28"/>
          <w:szCs w:val="28"/>
          <w:rtl w:val="true"/>
          <w:lang w:bidi="fa-IR"/>
        </w:rPr>
        <w:t>المراد من التّوثیقات الخاصّة، التّوثیق الوارد فی حقّ شخص أو شخصین من دون أن یکون هناک ضابطة خاصّة تعمّهما و غیرهما، و تقابلها التّوثیقات العامّة، و یراد منها توثیق جماعة تحت ضابطة خاصّة و عنوان معیّن، و سنذکرها فی فصل قادم،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التوثیق الخاصّ بوجوه نذکرها واحدا بعد آخر</w:t>
      </w:r>
      <w:r>
        <w:rPr>
          <w:rFonts w:eastAsia="IRNazanin" w:cs="IRNazanin"/>
          <w:color w:val="111111"/>
          <w:sz w:val="28"/>
          <w:szCs w:val="28"/>
          <w:rtl w:val="true"/>
          <w:lang w:bidi="fa-IR"/>
        </w:rPr>
        <w:t>:</w:t>
      </w:r>
    </w:p>
    <w:p>
      <w:pPr>
        <w:pStyle w:val="Heading3"/>
        <w:numPr>
          <w:ilvl w:val="2"/>
          <w:numId w:val="1"/>
        </w:numPr>
        <w:rPr/>
      </w:pPr>
      <w:bookmarkStart w:id="309" w:name="__RefHeading___Toc2760000_1395250215"/>
      <w:bookmarkStart w:id="310" w:name="_Toc104"/>
      <w:bookmarkEnd w:id="309"/>
      <w:r>
        <w:rPr>
          <w:rtl w:val="true"/>
        </w:rPr>
        <w:t>الأوّل</w:t>
      </w:r>
      <w:r>
        <w:rPr>
          <w:rtl w:val="true"/>
        </w:rPr>
        <w:t xml:space="preserve">: </w:t>
      </w:r>
      <w:r>
        <w:rPr>
          <w:rtl w:val="true"/>
        </w:rPr>
        <w:t>نصّ أحد المعصومین علیهم السلام</w:t>
      </w:r>
      <w:bookmarkEnd w:id="310"/>
    </w:p>
    <w:p>
      <w:pPr>
        <w:pStyle w:val="BookText"/>
        <w:rPr/>
      </w:pPr>
      <w:r>
        <w:rPr>
          <w:rFonts w:ascii="IRNazanin" w:hAnsi="IRNazanin" w:eastAsia="IRNazanin"/>
          <w:color w:val="111111"/>
          <w:sz w:val="28"/>
          <w:sz w:val="28"/>
          <w:szCs w:val="28"/>
          <w:rtl w:val="true"/>
          <w:lang w:bidi="fa-IR"/>
        </w:rPr>
        <w:t xml:space="preserve">إذا نصّ أحد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وثاقة الرجل، فإنّ ذلک یثبت وثاقته قطعا، و هذا من أوضح الطّرق و أسماها، و لکن یتوقّف ذلک علی ثبوته بالعلم الوجدانی، أو بروایة معتبرة، و الأوّل غیر متحقّق فی زماننا، إلاّ أنّ الثّانی موجود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الکشّی بسند صحیح عن علیّ بن المسیّب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 لست أصل إلیک فی کلّ وقت، فعمّن آخذ معالم دینی؟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یجب أن یصل التّوثیق بسند صحیح، و یترتب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الاستدلال علی وثاقة شخص بروایة نفسه عن الإمام، فإنّ إثبات وثاقة الشّخص بقوله یستلزم الدّور الواضح، و کان سیدنا الاستاذ الإمام الخمینی</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ناقل الوثاقة هو نفس الرّاوی، فإنّ ذلک یثیر سوء الظن به، حیث قام بنقل مدائحه و فضائله فی الملأ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وثاقة الرّجل بالرّوایة الضّعیفة، فإنّ الروایة إذا لم تکن قابلة للاعتماد کیف تثبت بها وثاقة الرّجل؟</w:t>
      </w:r>
    </w:p>
    <w:p>
      <w:pPr>
        <w:pStyle w:val="BookText"/>
        <w:rPr/>
      </w:pPr>
      <w:r>
        <w:rPr>
          <w:rFonts w:ascii="IRNazanin" w:hAnsi="IRNazanin" w:eastAsia="IRNazanin"/>
          <w:color w:val="111111"/>
          <w:sz w:val="28"/>
          <w:sz w:val="28"/>
          <w:szCs w:val="28"/>
          <w:rtl w:val="true"/>
          <w:lang w:bidi="fa-IR"/>
        </w:rPr>
        <w:t>و ربّما یستدلّ علی صحّة الاستدلال بالخبر الضّعیف لإثبات وثاقة الرّاوی إذا تضمّن وثاقته، بادّعاء انسداد باب العلم فی علم الرّجال، فینتهی الأمر إلی العمل بالظّنّ لا محالة، علی تقدیر انسداد باب العلم إجماعا، و لکنّه مردود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 و العلمیّ بالتّوثیقات غیر منسدّ، لما ورد من التّوثیقات الکثیرة من طرق الأعلام المتقدّمین بل المتأخّرین، لو قلنا بکفایة توثیقاتهم، و فیها غنی و کفایة للمستنبط، خصوصا إذا قمنا بجمع القرائن و الشّواهد علی وثاقة الرّاوی، فإنّ کثرة القرائن توجب الاطمئنان العقلائی علی وثاقة الرّاوی و هو علم عرفیّ، و حجّة بلا إشکال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یرجع إلی انسداد باب العلم فی موضوع التّوثیقات، و لکن لیس انسداد باب العلم فی کلّ موضوع موجبا لحجّیة الظنّ فی ذلک الموضوع، و إنّما الاعتبار بانسداد باب العلم فی معظم الأحکام الشّرعیّة، فإن ثبت الأخیر کان الظّنّ بالحکم الشرعی من أی مصدر جاء حجّة، سواء کان باب </w:t>
      </w:r>
      <w:bookmarkStart w:id="311" w:name="pg2858_19561"/>
    </w:p>
    <w:p>
      <w:pPr>
        <w:pStyle w:val="BookText"/>
        <w:rPr/>
      </w:pPr>
      <w:bookmarkEnd w:id="311"/>
      <w:r>
        <w:rPr>
          <w:rFonts w:ascii="IRNazanin" w:hAnsi="IRNazanin" w:eastAsia="IRNazanin"/>
          <w:color w:val="111111"/>
          <w:sz w:val="28"/>
          <w:sz w:val="28"/>
          <w:szCs w:val="28"/>
          <w:rtl w:val="true"/>
          <w:lang w:bidi="fa-IR"/>
        </w:rPr>
        <w:t>العلم فی الرّجال منسدّا أم لم یکن، و إذا کان باب العلم و العلمیّ بمعظمها مفتوحا، لم یکن الظنّ الرّجالی حجّة سواء کان أیضا باب العلم بالتّوثیقات منسدّا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انسداد باب العلم و العلمی فی خصوص الأحکام الشرعیّة هو المناط لحجیّة کلّ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الظنّ الرجالی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طریقا إلی الأحکام الشرعیّة، أمّا إذا فرضنا باب العلم و العلمیّ مفتوحا فی باب الأحکام، فلا یکون الظنّ الرجالیّ حجّة و إن کان باب العلم و العلمی فیه منسدّا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ما ذکرنا الشیخ الأعظم فی فرائده عند البحث عن حجیة قول اللغوی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عمل بالظنّ فی مطلق الأحکام الشرعیّة، یلزمه العمل بالظنّ بالحکم النّاشی من الظنّ بقول اللّغوی، لکنّه لا یحتاج إلی دعوی انسداد باب العلم فی اللّغات، بل العبرة عندهم بانسداد باب العلم فی معظم الأحکام، فإنّه یوجب الرّجوع إلی الظنّ بالحکم، الحاصل من الظنّ باللّغة، و إن فرض انفتاح باب العلم فی ما عدا هذا المورد من اللّغات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760002_1395250215"/>
      <w:bookmarkStart w:id="313" w:name="_Toc105"/>
      <w:bookmarkEnd w:id="312"/>
      <w:r>
        <w:rPr>
          <w:rtl w:val="true"/>
        </w:rPr>
        <w:t>الثانیة</w:t>
      </w:r>
      <w:r>
        <w:rPr>
          <w:rtl w:val="true"/>
        </w:rPr>
        <w:t xml:space="preserve">: </w:t>
      </w:r>
      <w:r>
        <w:rPr>
          <w:rtl w:val="true"/>
        </w:rPr>
        <w:t>نص أحد أعلام المتقدمین</w:t>
      </w:r>
      <w:bookmarkEnd w:id="3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نصّ أحد أعلام المتقدّمین کالبرقی و الکشّی و ابن قولویه و الصّدوق و المفید و النّجاشی و الشّیخ و أمثالهم علی وثاقة الرّجل، یثبت به حال الرّجل بلا کلام، غیر أنّ هناک بحثا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یکتفی بتوثیق واحد منهم أو یحتاج إلی توثیقین؟ و تحقیق المسألة موکول إلی محلّها فی الفقه و خلاصة الکلام هو أنّ حجّیة خبر الثّقة هل یختص بالأحکام الشرعیّة أو تعمّ الموضوعات أیضا؟ فعلی القول الأوّل لا یصحّ الاعتماد علی توثیق واحد، بل یحتاج إلی ضمّ توثیق </w:t>
      </w:r>
      <w:bookmarkStart w:id="314" w:name="pg2858_19562"/>
    </w:p>
    <w:p>
      <w:pPr>
        <w:pStyle w:val="BookText"/>
        <w:rPr/>
      </w:pPr>
      <w:bookmarkEnd w:id="314"/>
      <w:r>
        <w:rPr>
          <w:rFonts w:ascii="IRNazanin" w:hAnsi="IRNazanin" w:eastAsia="IRNazanin"/>
          <w:color w:val="111111"/>
          <w:sz w:val="28"/>
          <w:sz w:val="28"/>
          <w:szCs w:val="28"/>
          <w:rtl w:val="true"/>
          <w:lang w:bidi="fa-IR"/>
        </w:rPr>
        <w:t>آخر، و علی الثّانی یکتفی بالتّوثیق الواحد، و یکون خبر الثّقة حجّة فی الأحکام و الموضوعات، إلاّ ما قام الدّلیل علی اعتبار التعدّد فیه، کما فی المرافعات و ثبوت الهلال، و المشهور هو الأوّل، و الأقوی هو الثّانی و سیوافیک بیانه فی آخر البحث</w:t>
      </w:r>
      <w:r>
        <w:rPr>
          <w:rFonts w:eastAsia="IRNazanin" w:cs="IRNazanin"/>
          <w:color w:val="111111"/>
          <w:sz w:val="28"/>
          <w:szCs w:val="28"/>
          <w:rtl w:val="true"/>
          <w:lang w:bidi="fa-IR"/>
        </w:rPr>
        <w:t>.</w:t>
      </w:r>
    </w:p>
    <w:p>
      <w:pPr>
        <w:pStyle w:val="Heading3"/>
        <w:numPr>
          <w:ilvl w:val="2"/>
          <w:numId w:val="1"/>
        </w:numPr>
        <w:rPr/>
      </w:pPr>
      <w:bookmarkStart w:id="315" w:name="__RefHeading___Toc2760004_1395250215"/>
      <w:bookmarkStart w:id="316" w:name="_Toc106"/>
      <w:bookmarkEnd w:id="315"/>
      <w:r>
        <w:rPr>
          <w:rtl w:val="true"/>
        </w:rPr>
        <w:t>الثالثة</w:t>
      </w:r>
      <w:r>
        <w:rPr>
          <w:rtl w:val="true"/>
        </w:rPr>
        <w:t xml:space="preserve">: </w:t>
      </w:r>
      <w:r>
        <w:rPr>
          <w:rtl w:val="true"/>
        </w:rPr>
        <w:t>نص أحد أعلام المتأخرین</w:t>
      </w:r>
      <w:bookmarkEnd w:id="316"/>
    </w:p>
    <w:p>
      <w:pPr>
        <w:pStyle w:val="BookText"/>
        <w:rPr/>
      </w:pPr>
      <w:r>
        <w:rPr>
          <w:rFonts w:ascii="IRNazanin" w:hAnsi="IRNazanin" w:eastAsia="IRNazanin"/>
          <w:color w:val="111111"/>
          <w:sz w:val="28"/>
          <w:sz w:val="28"/>
          <w:szCs w:val="28"/>
          <w:rtl w:val="true"/>
          <w:lang w:bidi="fa-IR"/>
        </w:rPr>
        <w:t>و ممّا تثبت به وثاقة الراوی أو حسن حاله هو نصّ أحد أعلام المتأخّرین عن الشّیخ و ذلک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مستند إلی الحسّ و قسم مستند إلی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کما فی توثیقات الشّیخ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عام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فإنّهم لأجل قرب عصرهم لعصور الرواة، و وجود الکتب الرجالیّة المؤلّفة فی العصور المتقدّمة بینهم، کانوا یعتمدون فی التّوثیقات و التّضعیفات إلی السّماع، أو الوجدان فی الکتاب المعروف أو إلی الاستفاضة و الاشتهار و دونهما فی الاعتماد ما ینقله ابن داود فی رجاله، و العلاّمة فی خلاصته عن بعض علماء الرجال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کالتّوثیقات الواردة فی رجال من تأخّر عنهم، کالمیرزا الاسترآبادی و السیّد التفریشی و الأردبیلی و القهبائی و المجلسی و المحقّق البهبهانی و أضرابهم، فإنّ توثیقاتهم مبنیّة علی الحدس و الاجتهاد، کما تفصح عنه کتبهم، فلو قلنا بأنّ حجّیة قول الرجالی من باب الشّهادة، فلا تعتبر توثیقات المتأخّرین، لأنّ آراءهم فی حقّ الرّواة مبنیّة علی الاجتهاد و الحدس، و لا شکّ فی أنّه یعتبر فی قبول الشّهادة إحراز کونها مستندة إلی الحسّ دون الحدس، کیف و قد ورد فی باب الشّهادة أنّ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عن النّبی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الشّهادة،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قلنا بأنّ العمل بقول الرجالی من باب الشّهادة، و أمّا إذا قلنا بأنّ الرجوع إلیهم من باب الرّجوع إلی أهل الخبرة، فإجمال الکلام فیه أنّه لا یشترط فی الاعتماد علی قول أهل الخبرة أن یکون نظره مستندا إلی الحسّ، فإنّ قول المقوّم حجّة فی الخسارات و غیرها، و لا شکّ أنّ التّقویم لا یمکن أن یکون مستندا إلی الحسّ فی عامّة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فلو کان الرّجوع إلی علماء الرجال من ذاک الباب، فالرّجوع إلی أعلام المتأخّرین المتخصّصین فی تمییز الثّقة عن غیره بالطرق و القرائن المفیدة للاطمئنان ممّا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الفقیه غیر معذور فی التّقلید، فیجب علی الفقیه أن یکون بنفسه ذا خبرة فی التعرّف علی أحوال الرّواة، غیر تامّ، لأنّ تحصیل الخبرویّة فی کلّ ما یرجع إلی الاستنباط أمر عسیر، لو لم یکن بمستحیل، فإنّ مقدّمات الاستنباط کثیرة، و قد أنهاها بعضهم إلی أربعة عشر فنّا، و لا یمکن للمجتهد فی هذه الأیّام أن یکون متخصّصا فی کلّ واحد من هذه الفنون، بل یجوز أن یرجع فی بعض المقدّمات البعیدة أو القریبة إلی المتخصّصین الموثوق بهم فی ذاک الفنّ، و قد جرت علی ذلک سیرة الفقهاء، بالأخصّ فی ما یرجع إلی الأدب العربی و لغات القرآن و السنّة و غیر ذلک، و لیکن منها تمییز الثقة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بأنّ الرجوع إلی أهل الرّجال من باب الرجوع إلی أهل الخبرة الموثوق بقولهم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وجه ثالث فی توثیقات المتأخّرین، و هو أنّ الحجّة هو الخبر الموثوق بصدوره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خبر الثّقة، و بینهما فرق واضح، إذ لو قلنا بأنّ الحجّة قول الثّقة یکون المناط وثاقة الرّجل و إن لم یکن نفس الخبر موثوقا بالصّدور</w:t>
      </w:r>
      <w:r>
        <w:rPr>
          <w:rFonts w:eastAsia="IRNazanin" w:cs="IRNazanin"/>
          <w:color w:val="111111"/>
          <w:sz w:val="28"/>
          <w:szCs w:val="28"/>
          <w:rtl w:val="true"/>
          <w:lang w:bidi="fa-IR"/>
        </w:rPr>
        <w:t xml:space="preserve">. </w:t>
      </w:r>
      <w:bookmarkStart w:id="317" w:name="pg2858_19564"/>
    </w:p>
    <w:p>
      <w:pPr>
        <w:pStyle w:val="BookText"/>
        <w:rPr/>
      </w:pPr>
      <w:bookmarkEnd w:id="317"/>
      <w:r>
        <w:rPr>
          <w:rFonts w:ascii="IRNazanin" w:hAnsi="IRNazanin" w:eastAsia="IRNazanin"/>
          <w:color w:val="111111"/>
          <w:sz w:val="28"/>
          <w:sz w:val="28"/>
          <w:szCs w:val="28"/>
          <w:rtl w:val="true"/>
          <w:lang w:bidi="fa-IR"/>
        </w:rPr>
        <w:t xml:space="preserve">و لا ملازمة بین وثاقة الرّاوی و کون الخبر موثوقا بالصّدور، بل ربّما یکون الراوی ثقة، و لکنّ القرائن و الأمارات تشهد علی عدم صدور الخبر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الثّقة قد التبس علیه الأمر، و هذا بخلاف ما لو قلنا بأنّ المناط هو کون الخبر موثوق الصّدور، إذ عندئذ تکون وثاقة الرّاوی من إحدی الأمارات علی کون الخبر موثوق الصّدور، و لا تنحصر الحجیّة بخبر الثّقة، بل لو لم یحرز وثاقة الراوی و دلّت القرائن علی صدق الخبر و صحّته یجوز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غیر بعید بالنّظر إلی سیرة العقلاء، فقد جرت سیرتهم علی الأخذ بالخبر الموثوق الصّدور، و إن لم تحرز وثاقة المخبر، لأنّ وثاقة المخبر طریق إلی إحراز صدق الخبر، و علی ذلک فیجوز الأخذ بمطلق الموثوق بصدوره إذا شهدت القرائن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یوضح هذا مفاد آیة النّبأ و هو لزوم التثبّت و التوقّف حتّی یتبیّن الحال، فإذا تبیّنت و انکشف الواقع انکشافا عقلائیا بحیث یرکن إلیه العقلاء یجوز الرکون إلیه و الاعتماد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فإنّ ظاهره أنّ المناط هو تبیّن الحال و إن کان الرّاوی غیر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حجّیة الخبر الموثوق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الرّکون إلی توثیقات المتأخّرین المتخصّصین الماهرین فی هذا الفنّ، إذا کان قولهم و رأیهم أوجب الوثوق بصدور الخبر، خصوصا إذا انضمّ إلیها ما یستخرجه المستنبط من قرائن اخر ممّا یوقفه علی صحّة الخبر و صدوره</w:t>
      </w:r>
      <w:r>
        <w:rPr>
          <w:rFonts w:eastAsia="IRNazanin" w:cs="IRNazanin"/>
          <w:color w:val="111111"/>
          <w:sz w:val="28"/>
          <w:szCs w:val="28"/>
          <w:rtl w:val="true"/>
          <w:lang w:bidi="fa-IR"/>
        </w:rPr>
        <w:t>.</w:t>
      </w:r>
    </w:p>
    <w:p>
      <w:pPr>
        <w:pStyle w:val="Heading3"/>
        <w:numPr>
          <w:ilvl w:val="2"/>
          <w:numId w:val="1"/>
        </w:numPr>
        <w:rPr/>
      </w:pPr>
      <w:bookmarkStart w:id="318" w:name="__RefHeading___Toc2760006_1395250215"/>
      <w:bookmarkStart w:id="319" w:name="_Toc107"/>
      <w:bookmarkEnd w:id="318"/>
      <w:r>
        <w:rPr>
          <w:rtl w:val="true"/>
        </w:rPr>
        <w:t>الرابعة</w:t>
      </w:r>
      <w:r>
        <w:rPr>
          <w:rtl w:val="true"/>
        </w:rPr>
        <w:t xml:space="preserve">: </w:t>
      </w:r>
      <w:r>
        <w:rPr>
          <w:rtl w:val="true"/>
        </w:rPr>
        <w:t>دعوی الاجماع من قبل الأقدمین</w:t>
      </w:r>
      <w:bookmarkEnd w:id="3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تثبت به الوثاقة أو حسن حال الراوی أن یدّعی أحد من الأقدمین، الاجماع علی وثاقة الراوی إجماعا منقولا، فإنّه لا یقصر عن توثیق مدّعی الاجماع بنفسه، و علی ذلک یمکن الاعتماد علی الاجماع المنقول فی حقّ </w:t>
      </w:r>
      <w:bookmarkStart w:id="320" w:name="pg2858_19565"/>
    </w:p>
    <w:p>
      <w:pPr>
        <w:pStyle w:val="BookText"/>
        <w:rPr/>
      </w:pPr>
      <w:bookmarkEnd w:id="320"/>
      <w:r>
        <w:rPr>
          <w:rFonts w:ascii="IRNazanin" w:hAnsi="IRNazanin" w:eastAsia="IRNazanin"/>
          <w:color w:val="111111"/>
          <w:sz w:val="28"/>
          <w:sz w:val="28"/>
          <w:szCs w:val="28"/>
          <w:rtl w:val="true"/>
          <w:lang w:bidi="fa-IR"/>
        </w:rPr>
        <w:t>إبراهیم بن هاشم والد علیّ بن إبراهیم القمّی، فقد ادّعی ابن طاووس الاتّفاق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الدعوی تکشف عن توثیق بعض القدماء لا محالة و هو یکفی فی إثبات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الاعتماد علی مثل تلک الاجماعات المنقولة حتّی إذا کانت فی کلمات المتأخّرین، فإنّه یکشف أیضا عن توثیق بعض القدماء لا محالة</w:t>
      </w:r>
      <w:r>
        <w:rPr>
          <w:rFonts w:eastAsia="IRNazanin" w:cs="IRNazanin"/>
          <w:color w:val="111111"/>
          <w:sz w:val="28"/>
          <w:szCs w:val="28"/>
          <w:rtl w:val="true"/>
          <w:lang w:bidi="fa-IR"/>
        </w:rPr>
        <w:t>.</w:t>
      </w:r>
    </w:p>
    <w:p>
      <w:pPr>
        <w:pStyle w:val="Heading3"/>
        <w:numPr>
          <w:ilvl w:val="2"/>
          <w:numId w:val="1"/>
        </w:numPr>
        <w:rPr/>
      </w:pPr>
      <w:bookmarkStart w:id="321" w:name="__RefHeading___Toc2760008_1395250215"/>
      <w:bookmarkStart w:id="322" w:name="_Toc108"/>
      <w:bookmarkEnd w:id="321"/>
      <w:r>
        <w:rPr>
          <w:rtl w:val="true"/>
        </w:rPr>
        <w:t>الخامسة</w:t>
      </w:r>
      <w:r>
        <w:rPr>
          <w:rtl w:val="true"/>
        </w:rPr>
        <w:t xml:space="preserve">: </w:t>
      </w:r>
      <w:r>
        <w:rPr>
          <w:rtl w:val="true"/>
        </w:rPr>
        <w:t>المدح الکاشف عن حسن الظاهر</w:t>
      </w:r>
      <w:bookmarkEnd w:id="322"/>
    </w:p>
    <w:p>
      <w:pPr>
        <w:pStyle w:val="BookText"/>
        <w:rPr/>
      </w:pPr>
      <w:r>
        <w:rPr>
          <w:rFonts w:ascii="IRNazanin" w:hAnsi="IRNazanin" w:eastAsia="IRNazanin"/>
          <w:color w:val="111111"/>
          <w:sz w:val="28"/>
          <w:sz w:val="28"/>
          <w:szCs w:val="28"/>
          <w:rtl w:val="true"/>
          <w:lang w:bidi="fa-IR"/>
        </w:rPr>
        <w:t>إنّ کثیرا من المدائح الواردة فی لسان الرجالیّین، یکشف عن حسن الظّاهر الکاشف عن ملکة العدالة، فإنّ استکشاف عدالة الراوی لا یختصّ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أو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کثیر من الألفاظ الّتی عدّوها من المدائح، یمکن أن یستکشف بها العدالة، و هذا بحث ضاف سیوافیک شرحه</w:t>
      </w:r>
      <w:r>
        <w:rPr>
          <w:rFonts w:eastAsia="IRNazanin" w:cs="IRNazanin"/>
          <w:color w:val="111111"/>
          <w:sz w:val="28"/>
          <w:szCs w:val="28"/>
          <w:rtl w:val="true"/>
          <w:lang w:bidi="fa-IR"/>
        </w:rPr>
        <w:t>.</w:t>
      </w:r>
    </w:p>
    <w:p>
      <w:pPr>
        <w:pStyle w:val="Heading3"/>
        <w:numPr>
          <w:ilvl w:val="2"/>
          <w:numId w:val="1"/>
        </w:numPr>
        <w:rPr/>
      </w:pPr>
      <w:bookmarkStart w:id="323" w:name="__RefHeading___Toc2760010_1395250215"/>
      <w:bookmarkStart w:id="324" w:name="_Toc109"/>
      <w:bookmarkEnd w:id="323"/>
      <w:r>
        <w:rPr>
          <w:rtl w:val="true"/>
        </w:rPr>
        <w:t>السادسة</w:t>
      </w:r>
      <w:r>
        <w:rPr>
          <w:rtl w:val="true"/>
        </w:rPr>
        <w:t xml:space="preserve">: </w:t>
      </w:r>
      <w:r>
        <w:rPr>
          <w:rtl w:val="true"/>
        </w:rPr>
        <w:t>سعی المستنبط علی جمع القرائن</w:t>
      </w:r>
      <w:bookmarkEnd w:id="324"/>
    </w:p>
    <w:p>
      <w:pPr>
        <w:pStyle w:val="BookText"/>
        <w:rPr/>
      </w:pPr>
      <w:r>
        <w:rPr>
          <w:rFonts w:ascii="IRNazanin" w:hAnsi="IRNazanin" w:eastAsia="IRNazanin"/>
          <w:color w:val="111111"/>
          <w:sz w:val="28"/>
          <w:sz w:val="28"/>
          <w:szCs w:val="28"/>
          <w:rtl w:val="true"/>
          <w:lang w:bidi="fa-IR"/>
        </w:rPr>
        <w:t>إنّ سعی المستنبط علی جمع القرائن و الشّواهد المفیدة للاطمئنان علی وثاقة الرّاوی أو خلافها، من أوثق الطّرق و أسدّها، و لکن سلوک ذاک الطّریق یتوقّف علی وجود قابلیات فی السّالک و صلاحیّات فیه، ألزمها التسلّط علی طبقات الرّواة و الاحاطة علی خصوصیّات الراوی، من حیث المشایخ و التّلامیذ، و کمیّة روایاته من حیث القلّة و الکثرة، و مدی ضبطه، إلی غیر ذلک من الامور الّتی لا تندرج تحت ضابط معیّن، و لکنّها تورث الاطمئنان الذی هو علم عرفا و لا شکّ فی حجّیته، و بما أنّ سلوک هذا الطّریق لا ینفکّ عن تحمّل مشاقّ لا تستسهل، قلّ سالکه و عزّ طارقه، و السائد علی العلماء فی التعرّف علی الرّواة، الرّجوع إلی نقل التوثیقات و التضعیفات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الطّرق ممّا تثبت بها وثاقة الرّاوی بلا کلام و هی طرق خاصّة تثبت بها وثاقة فرد خاصّ، و هناک طرق عامّة توصف بالتّوثیقات العامّة، تثبت بها وثاقة جمع من الرّواة و سیأتی البحث عنها فی الفصل القادم إن شاء اللّه</w:t>
      </w:r>
      <w:r>
        <w:rPr>
          <w:rFonts w:eastAsia="IRNazanin" w:cs="IRNazanin"/>
          <w:color w:val="111111"/>
          <w:sz w:val="28"/>
          <w:szCs w:val="28"/>
          <w:rtl w:val="true"/>
          <w:lang w:bidi="fa-IR"/>
        </w:rPr>
        <w:t xml:space="preserve">. </w:t>
      </w:r>
      <w:bookmarkStart w:id="325" w:name="pg2858_19566"/>
    </w:p>
    <w:p>
      <w:pPr>
        <w:pStyle w:val="Heading3"/>
        <w:numPr>
          <w:ilvl w:val="2"/>
          <w:numId w:val="1"/>
        </w:numPr>
        <w:rPr/>
      </w:pPr>
      <w:bookmarkStart w:id="326" w:name="__RefHeading___Toc2760012_1395250215"/>
      <w:bookmarkStart w:id="327" w:name="_Toc110"/>
      <w:bookmarkEnd w:id="325"/>
      <w:bookmarkEnd w:id="326"/>
      <w:r>
        <w:rPr>
          <w:rtl w:val="true"/>
        </w:rPr>
        <w:t>بحث استطرادی و هو هل یکفی تزکیة العدل الواحد؟</w:t>
      </w:r>
      <w:bookmarkEnd w:id="327"/>
    </w:p>
    <w:p>
      <w:pPr>
        <w:pStyle w:val="BookText"/>
        <w:rPr/>
      </w:pPr>
      <w:r>
        <w:rPr>
          <w:rFonts w:ascii="IRNazanin" w:hAnsi="IRNazanin" w:eastAsia="IRNazanin"/>
          <w:color w:val="111111"/>
          <w:sz w:val="28"/>
          <w:sz w:val="28"/>
          <w:szCs w:val="28"/>
          <w:rtl w:val="true"/>
          <w:lang w:bidi="fa-IR"/>
        </w:rPr>
        <w:t>قد وقفت علی أنّ کثیرا من العلماء، یعتبرون قول الرّجالی من باب الشّهادة، و عندئذ اختلفوا فی أنّه هل یکتفی فی تزکیة الرّاوی بشهادة العدل الواحد أو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المشهور بین أصحابنا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هو قول جماعة من الاصولیّین و هو مختار المحقّق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الثّانی بأنّ اشتراط العدالة فی الرّاوی، یقتضی اعتبار العلم بها، و ظاهر أنّ تزکیة الواحد لا یفیده بمجرّدها، و الاکتفاء بالعدلین مع عدم إفادتهما العلم، إنّما هو لقیامهما مقامه شرعا، فلا یقاس تزکیة الواحد علیه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المتأخّرون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التّزکیة شرط لقبول الروایة، فلا تزید علی شروطها و قد اکتفی فی أصل الرّوایة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الاستدلال أشبه شیء بالقیاس، إذ من الممکن أن یکتفی فی أصل الرّوایة بالواحد و لا یکتفی فی إحراز شرطها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بالعدالة متعذّر غالبا فلا یناط التّکلیف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ادّعاء محض مع کفایة العدلین عنه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المنتقی متین لو لم یکن هناک إطلاق فی حجیّة خبر الواحد فی الموضوعات و الأحکام جمیعا، و الظّاهر وجود الإطلاق فی حجیّة قول العادل أو حجیّة خبر الثقة فی الموارد کلّها، حکما کان أو موضوعا، من غیر فرق بینهما إلاّ فی التّسمیة، حیث إنّ الأوّل یسمّی بالروایة </w:t>
      </w:r>
    </w:p>
    <w:p>
      <w:pPr>
        <w:pStyle w:val="BookText"/>
        <w:rPr/>
      </w:pPr>
      <w:r>
        <w:rPr>
          <w:rFonts w:ascii="IRNazanin" w:hAnsi="IRNazanin" w:eastAsia="IRNazanin"/>
          <w:color w:val="111111"/>
          <w:sz w:val="28"/>
          <w:sz w:val="28"/>
          <w:szCs w:val="28"/>
          <w:rtl w:val="true"/>
          <w:lang w:bidi="fa-IR"/>
        </w:rPr>
        <w:t>و الثّانی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الروایات أنّ قول العدل أو الثّقة حجّة إلاّ فی مورد خرج بالدّلیل، کالمرافعة و الهلال الّذی تضافرت الروایات علی لزوم تعدّد الشاهد فیهما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حجیّة قول الشاهد الواحد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القطعیّة، لأنّهم یعتمدون علی أخبار الآحاد فی ما یرجع إلی معاشهم و معادهم، و حیث لم یردع عنها فی الشّریعة المقدّسة تکون ممضاة من قبل الشّارع فی الموضوعات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یعتبر الشاهد الواحد فی المرافعات بل یجب تعدّده بضرورة الفقه و النصوص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حجیّة قول الشاهد الواحد فی الموضوعات، مضافا إلی السّیرة العقلائیة الّتی هی أتقن الأدلّة، عدّة من الروایات الّتی نشیر إلی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سماعة عن رجل تزوّج جاریة أو تمتّع بها، 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 لیست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 یقربها و إن کان غیر ثقة فلا یقبل منه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عیسی بن عبد اللّه الهاشمی عن أبیه، عن جدّه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مؤتمن و الإمام ضامن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المؤذنین أنّهم الامناء</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أیضا بإسناده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 xml:space="preserve">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المؤذّنون امناء المؤمنین علی صلاتهم و صومهم و لحومهم و دمائهم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أن یجیز شهادتها فی ربع میراث الغلام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تضافرت الروایات علی قبول قول المرأة الواحدة فی ربع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الربعی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امرأة حضرت رجلا یوصی لیس معها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 ربع ما أوصی بحساب شهادتها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یشعر بحجّیة قول المؤذّن الواحد ما رواه الفضل بن شاذان فی ما ذکره من العلل لأمر الناس بالأذان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یشعر بذلک أیضا ما رواه أحمد بن عبد اللّه القزوینی عن أبیه فی مذاکراته مع الفضل بن ربیع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الخدشة فی دلالة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السیرة الرائجة بین العقلاء، تشرف بالفقیه إلی الاذعان بحجیّة قول الثقة فی الموضوعات کحجّیة قوله فی الأحکام، إلاّ ما خرج بالدّلیل، کباب القضاء و المرافعات و هلال الشهر، و التّفصیل موکول إلی محلّه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28" w:name="pg2858_19569"/>
    </w:p>
    <w:p>
      <w:pPr>
        <w:pStyle w:val="Heading2"/>
        <w:numPr>
          <w:ilvl w:val="1"/>
          <w:numId w:val="1"/>
        </w:numPr>
        <w:rPr/>
      </w:pPr>
      <w:bookmarkStart w:id="329" w:name="__RefHeading___Toc2760014_1395250215"/>
      <w:bookmarkStart w:id="330" w:name="_Toc111"/>
      <w:bookmarkEnd w:id="328"/>
      <w:bookmarkEnd w:id="329"/>
      <w:r>
        <w:rPr>
          <w:rtl w:val="true"/>
        </w:rPr>
        <w:t>الفصل السادس</w:t>
      </w:r>
      <w:r>
        <w:rPr>
          <w:rtl w:val="true"/>
        </w:rPr>
        <w:t xml:space="preserve">: </w:t>
      </w:r>
      <w:r>
        <w:rPr>
          <w:rtl w:val="true"/>
        </w:rPr>
        <w:t>التوثیقات العامة</w:t>
      </w:r>
      <w:bookmarkEnd w:id="330"/>
    </w:p>
    <w:p>
      <w:pPr>
        <w:pStyle w:val="Heading3"/>
        <w:numPr>
          <w:ilvl w:val="2"/>
          <w:numId w:val="1"/>
        </w:numPr>
        <w:rPr/>
      </w:pPr>
      <w:bookmarkStart w:id="331" w:name="__RefHeading___Toc2760016_1395250215"/>
      <w:bookmarkStart w:id="332" w:name="_Toc112"/>
      <w:bookmarkEnd w:id="331"/>
      <w:r>
        <w:rPr>
          <w:rtl w:val="true"/>
        </w:rPr>
        <w:t>اشارة</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العصابة التی لا یروون إلا عن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شیخوخة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الوکالة عن الإمام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کثرة تخریج الثقة عن شخص</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2858_19571"/>
      <w:bookmarkStart w:id="334" w:name="pg2858_19571"/>
      <w:bookmarkEnd w:id="334"/>
    </w:p>
    <w:p>
      <w:pPr>
        <w:pStyle w:val="Heading3"/>
        <w:numPr>
          <w:ilvl w:val="2"/>
          <w:numId w:val="1"/>
        </w:numPr>
        <w:rPr/>
      </w:pPr>
      <w:bookmarkStart w:id="335" w:name="pg2858_19571"/>
      <w:bookmarkStart w:id="336" w:name="__RefHeading___Toc2760018_1395250215"/>
      <w:bookmarkStart w:id="337" w:name="_Toc113"/>
      <w:bookmarkEnd w:id="335"/>
      <w:bookmarkEnd w:id="336"/>
      <w:r>
        <w:rPr/>
        <w:t>1</w:t>
      </w:r>
      <w:r>
        <w:rPr>
          <w:rtl w:val="true"/>
        </w:rPr>
        <w:t xml:space="preserve"> - </w:t>
      </w:r>
      <w:r>
        <w:rPr>
          <w:rtl w:val="true"/>
        </w:rPr>
        <w:t>اصحاب الاجماع</w:t>
      </w:r>
      <w:bookmarkEnd w:id="337"/>
    </w:p>
    <w:p>
      <w:pPr>
        <w:pStyle w:val="Heading4"/>
        <w:numPr>
          <w:ilvl w:val="3"/>
          <w:numId w:val="1"/>
        </w:numPr>
        <w:rPr/>
      </w:pPr>
      <w:bookmarkStart w:id="338" w:name="__RefHeading___Toc2760020_1395250215"/>
      <w:bookmarkStart w:id="339" w:name="_Toc114"/>
      <w:bookmarkEnd w:id="338"/>
      <w:r>
        <w:rPr>
          <w:rtl w:val="true"/>
        </w:rPr>
        <w:t>اشارة</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الاصل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عددهم و ما نظمه السید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تلقی الاصحاب هذا الاجماع و حجیته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2858_19573"/>
      <w:bookmarkStart w:id="341" w:name="pg2858_19573"/>
      <w:bookmarkEnd w:id="341"/>
    </w:p>
    <w:p>
      <w:pPr>
        <w:pStyle w:val="BookText"/>
        <w:rPr/>
      </w:pPr>
      <w:bookmarkStart w:id="342" w:name="pg2858_19573"/>
      <w:bookmarkEnd w:id="342"/>
      <w:r>
        <w:rPr>
          <w:rFonts w:ascii="IRNazanin" w:hAnsi="IRNazanin" w:eastAsia="IRNazanin"/>
          <w:color w:val="111111"/>
          <w:sz w:val="28"/>
          <w:sz w:val="28"/>
          <w:szCs w:val="28"/>
          <w:rtl w:val="true"/>
          <w:lang w:bidi="fa-IR"/>
        </w:rPr>
        <w:t>قد وقفت علی الطّرق الّتی تثبت بها وثاقة راو معیّن و هناک طرق تثبت بها وثاقة جمع کثیر تحت ضابطة خاصّة، و إلیک هذه الطّرق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أهمّها مسألة أصحاب الإجماع المتداولة فی الألسن و هم ثمانیة عشر رجلا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عن أصحاب الإجماع من أهمّ أبحاث الرجال، و قد أشار إلیه المحدّث النّوری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مهمّات هذا الفنّ، إذ علی بعض التّقادیر تدخل آلاف من الأحادیث الخارجة عن حریم الصحّة إلی حدودها أو یجری علیها حکمها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2760022_1395250215"/>
      <w:bookmarkStart w:id="344" w:name="_Toc115"/>
      <w:bookmarkEnd w:id="343"/>
      <w:r>
        <w:rPr>
          <w:rtl w:val="true"/>
        </w:rPr>
        <w:t>و لتحقیق الحال یجب البحث عن امور</w:t>
      </w:r>
      <w:r>
        <w:rPr>
          <w:rtl w:val="true"/>
        </w:rPr>
        <w:t>:</w:t>
      </w:r>
      <w:bookmarkEnd w:id="344"/>
    </w:p>
    <w:p>
      <w:pPr>
        <w:pStyle w:val="Heading5"/>
        <w:numPr>
          <w:ilvl w:val="4"/>
          <w:numId w:val="1"/>
        </w:numPr>
        <w:rPr/>
      </w:pPr>
      <w:bookmarkStart w:id="345" w:name="__RefHeading___Toc2760024_1395250215"/>
      <w:bookmarkStart w:id="346" w:name="_Toc116"/>
      <w:bookmarkEnd w:id="345"/>
      <w:r>
        <w:rPr>
          <w:rtl w:val="true"/>
        </w:rPr>
        <w:t>الاول</w:t>
      </w:r>
      <w:r>
        <w:rPr>
          <w:rtl w:val="true"/>
        </w:rPr>
        <w:t xml:space="preserve">: </w:t>
      </w:r>
      <w:r>
        <w:rPr>
          <w:rtl w:val="true"/>
        </w:rPr>
        <w:t>ما هو الاصل فی ذلک؟</w:t>
      </w:r>
      <w:bookmarkEnd w:id="346"/>
    </w:p>
    <w:p>
      <w:pPr>
        <w:pStyle w:val="BookText"/>
        <w:rPr/>
      </w:pPr>
      <w:r>
        <w:rPr>
          <w:rFonts w:ascii="IRNazanin" w:hAnsi="IRNazanin" w:eastAsia="IRNazanin"/>
          <w:color w:val="111111"/>
          <w:sz w:val="28"/>
          <w:sz w:val="28"/>
          <w:szCs w:val="28"/>
          <w:rtl w:val="true"/>
          <w:lang w:bidi="fa-IR"/>
        </w:rPr>
        <w:t>الأصل فی ذلک ما نقله الکشّی فی رجاله فی مواضع ثلاثة نأتی بعبارته فی تلک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تسمیة الفقهاء من أصحاب أبی جعفر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العصابة علی تصدیق هؤلاء الأوّلین من أصحاب أبی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معروف بن خرّبوذ، و برید، و أبو بصیر الأسدی، و الفضیل بن یسار، و محمّد بن مسلم الطّائفی،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الستّة زرارة، و قال بعضهم مکان أبی بصیر الأسدی، أبو بصیر المرادی و هو لیث بن البختری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تسمیة الفقهاء من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 هؤلاء و تصدیقهم لما یقولون، و أقرّوا لهم بالفقه من دون اولئک الستّة الذین عددناهم و سمّیناهم</w:t>
      </w:r>
      <w:r>
        <w:rPr>
          <w:rStyle w:val="FootnoteAnchor"/>
          <w:rtl w:val="true"/>
        </w:rPr>
        <w:footnoteReference w:id="157"/>
      </w:r>
      <w:r>
        <w:rPr>
          <w:rFonts w:ascii="IRNazanin" w:hAnsi="IRNazanin" w:eastAsia="IRNazanin"/>
          <w:color w:val="111111"/>
          <w:sz w:val="28"/>
          <w:sz w:val="28"/>
          <w:szCs w:val="28"/>
          <w:rtl w:val="true"/>
          <w:lang w:bidi="fa-IR"/>
        </w:rPr>
        <w:t>و 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 عبد اللّه بن مسکان، و عبد اللّه بن بکیر، و حمّاد بن عثمان، و حمّاد بن عیسی، و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إسحاق الفقیه و هو ثعلبة بن میمون</w:t>
      </w:r>
      <w:r>
        <w:rPr>
          <w:rStyle w:val="FootnoteAnchor"/>
          <w:rtl w:val="true"/>
        </w:rPr>
        <w:footnoteReference w:id="158"/>
      </w:r>
      <w:r>
        <w:rPr>
          <w:rFonts w:ascii="IRNazanin" w:hAnsi="IRNazanin" w:eastAsia="IRNazanin"/>
          <w:color w:val="111111"/>
          <w:sz w:val="28"/>
          <w:sz w:val="28"/>
          <w:szCs w:val="28"/>
          <w:rtl w:val="true"/>
          <w:lang w:bidi="fa-IR"/>
        </w:rPr>
        <w:t xml:space="preserve">أنّ أفقه هؤلاء جمیل بن درّاج و هم أحداث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الفقهاء من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إبراهیم و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أصحابنا علی تصحیح ما یصحّ عن هؤلاء و تصدیقهم و أقرّوا لهم بالفقه و العلم، و هم ستّة نفر آخر دون ستّة نفر الّذین ذکرناهم</w:t>
      </w:r>
      <w:r>
        <w:rPr>
          <w:rStyle w:val="FootnoteAnchor"/>
          <w:rtl w:val="true"/>
        </w:rPr>
        <w:footnoteReference w:id="160"/>
      </w:r>
      <w:r>
        <w:rPr>
          <w:rFonts w:ascii="IRNazanin" w:hAnsi="IRNazanin" w:eastAsia="IRNazanin"/>
          <w:color w:val="111111"/>
          <w:sz w:val="28"/>
          <w:sz w:val="28"/>
          <w:szCs w:val="28"/>
          <w:rtl w:val="true"/>
          <w:lang w:bidi="fa-IR"/>
        </w:rPr>
        <w:t xml:space="preserve">فی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الرّحمان، و صفوان بن یحیی بیّاع السابری، و محمّد بن أبی عمیر، و عبد اللّه بن مغیرة، و الحسن بن محبوب، و أحمد بن محمّد بن أبی نصر، و قال بعضهم مکان الحسن بن </w:t>
      </w:r>
    </w:p>
    <w:p>
      <w:pPr>
        <w:pStyle w:val="BookText"/>
        <w:rPr/>
      </w:pPr>
      <w:r>
        <w:rPr>
          <w:rFonts w:ascii="IRNazanin" w:hAnsi="IRNazanin" w:eastAsia="IRNazanin"/>
          <w:color w:val="111111"/>
          <w:sz w:val="28"/>
          <w:sz w:val="28"/>
          <w:szCs w:val="28"/>
          <w:rtl w:val="true"/>
          <w:lang w:bidi="fa-IR"/>
        </w:rPr>
        <w:t>محبوب، الحسن بن علی بن فضال، و فضالة بن أیّوب</w:t>
      </w:r>
      <w:r>
        <w:rPr>
          <w:rStyle w:val="FootnoteAnchor"/>
          <w:rtl w:val="true"/>
        </w:rPr>
        <w:footnoteReference w:id="161"/>
      </w:r>
      <w:r>
        <w:rPr>
          <w:rFonts w:ascii="IRNazanin" w:hAnsi="IRNazanin" w:eastAsia="IRNazanin"/>
          <w:color w:val="111111"/>
          <w:sz w:val="28"/>
          <w:sz w:val="28"/>
          <w:szCs w:val="28"/>
          <w:rtl w:val="true"/>
          <w:lang w:bidi="fa-IR"/>
        </w:rPr>
        <w:t>و قال بعضهم مکان فضالة بن أیّوب، عثمان بن عیسی، و أفقه هؤلاء یونس بن عبد الرّحمان و صفوان بن یحیی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ابن داود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جملة من اجتمعت العصابة علی تصحیح ما یصحّ منهم و الإقرار لهم بالفقه</w:t>
      </w:r>
      <w:r>
        <w:rPr>
          <w:rStyle w:val="FootnoteAnchor"/>
          <w:rtl w:val="true"/>
        </w:rPr>
        <w:footnoteReference w:id="163"/>
      </w:r>
      <w:r>
        <w:rPr>
          <w:rFonts w:ascii="IRNazanin" w:hAnsi="IRNazanin" w:eastAsia="IRNazanin"/>
          <w:color w:val="111111"/>
          <w:sz w:val="28"/>
          <w:sz w:val="28"/>
          <w:szCs w:val="28"/>
          <w:rtl w:val="true"/>
          <w:lang w:bidi="fa-IR"/>
        </w:rPr>
        <w:t xml:space="preserve">و نسخ الکشّی خالیة عنه، و لعلّه أخذه من الاصول، لا من منتخب الشیخ، کما احتمله المحدّث النّوری، لکنّ التأمّل یرشدنا إلی خلاف ذلک و أنّ العبارة کانت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قبل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قلمه الشریف فخلط هو أو النسّاخ و وجه ذلک أنّه عنون أربعة أشخاص بالترتیب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النّاب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بن أحمد و صرّح فی ترجمة حمّاد بن عثمان الناب أنّه ممّن اجتمعت العصابة علی تصحیح ما یصح عنهم و أتی بهذا المضمون فی ترجمة حمدان، مع أن اللازم علیه أن یأتی به فی ترجمة ابن عیسی و لعل الجمیع کان مکتوبا فی صفحة واحدة فزاغ البصر، فکتب ما یرجع الی ابن عیسی فی حق حمدان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الی ذلک أنّ ابن داود نفسه خصّ الفصل الأوّل من خاتمة القسم الأوّل من کتابه بذکر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سیوافیک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أسماءهم </w:t>
      </w:r>
      <w:bookmarkStart w:id="347" w:name="pg2858_19576"/>
    </w:p>
    <w:p>
      <w:pPr>
        <w:pStyle w:val="BookText"/>
        <w:rPr/>
      </w:pPr>
      <w:bookmarkEnd w:id="347"/>
      <w:r>
        <w:rPr>
          <w:rFonts w:ascii="IRNazanin" w:hAnsi="IRNazanin" w:eastAsia="IRNazanin"/>
          <w:color w:val="111111"/>
          <w:sz w:val="28"/>
          <w:sz w:val="28"/>
          <w:szCs w:val="28"/>
          <w:rtl w:val="true"/>
          <w:lang w:bidi="fa-IR"/>
        </w:rPr>
        <w:t>مصرّحا بکون حمّاد بن عیسی منهم من دون أن یذکر حمدان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ذکر الطبقة الثّالثة بعنوان الطبقة الثانیة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صرّح فی ترجمة کل منهم أنّهم کانوا من أصحاب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من أصحاب أبی ابراهیم و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أنّه لا اعتبار بما انفرد به ابن داود مع اشتمال رجاله علی کثیر من الهفوات</w:t>
      </w:r>
      <w:r>
        <w:rPr>
          <w:rFonts w:eastAsia="IRNazanin" w:cs="IRNazanin"/>
          <w:color w:val="111111"/>
          <w:sz w:val="28"/>
          <w:szCs w:val="28"/>
          <w:rtl w:val="true"/>
          <w:lang w:bidi="fa-IR"/>
        </w:rPr>
        <w:t>.</w:t>
      </w:r>
    </w:p>
    <w:p>
      <w:pPr>
        <w:pStyle w:val="Heading5"/>
        <w:numPr>
          <w:ilvl w:val="4"/>
          <w:numId w:val="1"/>
        </w:numPr>
        <w:rPr/>
      </w:pPr>
      <w:bookmarkStart w:id="348" w:name="__RefHeading___Toc2760026_1395250215"/>
      <w:bookmarkStart w:id="349" w:name="_Toc117"/>
      <w:bookmarkEnd w:id="348"/>
      <w:r>
        <w:rPr>
          <w:rtl w:val="true"/>
        </w:rPr>
        <w:t>الثانی</w:t>
      </w:r>
      <w:r>
        <w:rPr>
          <w:rtl w:val="true"/>
        </w:rPr>
        <w:t>: «</w:t>
      </w:r>
      <w:r>
        <w:rPr>
          <w:rtl w:val="true"/>
        </w:rPr>
        <w:t>أصحاب الاجماع</w:t>
      </w:r>
      <w:r>
        <w:rPr>
          <w:rtl w:val="true"/>
        </w:rPr>
        <w:t xml:space="preserve">» </w:t>
      </w:r>
      <w:r>
        <w:rPr>
          <w:rtl w:val="true"/>
        </w:rPr>
        <w:t>اصطلاح جدید</w:t>
      </w:r>
      <w:bookmarkEnd w:id="349"/>
    </w:p>
    <w:p>
      <w:pPr>
        <w:pStyle w:val="BookText"/>
        <w:rPr/>
      </w:pPr>
      <w:r>
        <w:rPr>
          <w:rFonts w:ascii="IRNazanin" w:hAnsi="IRNazanin" w:eastAsia="IRNazanin"/>
          <w:color w:val="111111"/>
          <w:sz w:val="28"/>
          <w:sz w:val="28"/>
          <w:szCs w:val="28"/>
          <w:rtl w:val="true"/>
          <w:lang w:bidi="fa-IR"/>
        </w:rPr>
        <w:t xml:space="preserve">إنّ التّعبیر عن هذه الجماعة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حدث بین المتأخّرین، و جعلوه أحد الموضوعات الّتی یبحث عنها فی مقدّمات الکتب الرّجالیّة أو خواتیمها، و لکنّ الکشّی عبّر عنهم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الفقهاء من أصحاب الباقرین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الفقهاء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الفقهاء من أصحاب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بصدد تسمیة الفقهاء من أصحاب هؤلاء الأئمّة، الّذین لهم شأن کذا و کذا، و الهدف من تسمیتهم دون غیرهم، هو تبیین أنّ الأحادیث الفقهیّة تنتهی إلیهم غالبا، فکأنّ الفقه الإمامیّ مأخوذ منهم، و لو حذف هؤلاء و أحادیثهم من بساط الفقه، لما قام له عمود، و لا اخضرّ له عود، و لتکن علی ذکر من هذا المطلب، فإنّه یفیدک فی المستقبل</w:t>
      </w:r>
      <w:r>
        <w:rPr>
          <w:rFonts w:eastAsia="IRNazanin" w:cs="IRNazanin"/>
          <w:color w:val="111111"/>
          <w:sz w:val="28"/>
          <w:szCs w:val="28"/>
          <w:rtl w:val="true"/>
          <w:lang w:bidi="fa-IR"/>
        </w:rPr>
        <w:t>.</w:t>
      </w:r>
    </w:p>
    <w:p>
      <w:pPr>
        <w:pStyle w:val="Heading5"/>
        <w:numPr>
          <w:ilvl w:val="4"/>
          <w:numId w:val="1"/>
        </w:numPr>
        <w:rPr/>
      </w:pPr>
      <w:bookmarkStart w:id="350" w:name="__RefHeading___Toc2760028_1395250215"/>
      <w:bookmarkStart w:id="351" w:name="_Toc118"/>
      <w:bookmarkEnd w:id="350"/>
      <w:r>
        <w:rPr>
          <w:rtl w:val="true"/>
        </w:rPr>
        <w:t>الثالث</w:t>
      </w:r>
      <w:r>
        <w:rPr>
          <w:rtl w:val="true"/>
        </w:rPr>
        <w:t xml:space="preserve">: </w:t>
      </w:r>
      <w:r>
        <w:rPr>
          <w:rtl w:val="true"/>
        </w:rPr>
        <w:t>فی عددهم</w:t>
      </w:r>
      <w:bookmarkEnd w:id="3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 لا اعتبار بما هو الموجود فی رجال ابن داود من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فلا بدّ من الرّجوع إلی عبارة </w:t>
      </w:r>
    </w:p>
    <w:p>
      <w:pPr>
        <w:pStyle w:val="BookText"/>
        <w:rPr/>
      </w:pPr>
      <w:r>
        <w:rPr>
          <w:rFonts w:ascii="IRNazanin" w:hAnsi="IRNazanin" w:eastAsia="IRNazanin"/>
          <w:color w:val="111111"/>
          <w:sz w:val="28"/>
          <w:sz w:val="28"/>
          <w:szCs w:val="28"/>
          <w:rtl w:val="true"/>
          <w:lang w:bidi="fa-IR"/>
        </w:rPr>
        <w:t xml:space="preserve">الکشّی، فقد نقل الکشّی اتّفاق العصابة علی ستّة نفر من أصحاب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بن معاویة،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بصیر الأسدی،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الطائفی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أیضا اتّفاقهم علی ستّة من أحداث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اتّفاقهم علی ستّة نفر من أصحاب الامامین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یحیی بیّاع السابری،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مغیرة،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اختار الکشّی فی من أجمعت العصابة علیهم، و لکن نقل فی حقّ الستّة الاولی، أنّ بعضهم قال مکان أبی بصیر الأسدی، أبو بصیر المرادی، فالخمسة من الستّة الاولی موضع اتّفاق من الکشّی و غیره، کما أنّ الستّة الثانیة موضع اتّفاق من الجمیع، و أمّا الطبقة الثّالثة فخمسة منهم مورد اتّفاق بینه و بین غیره،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بعضهم مکان الحسن بن محبوب، الحسن بن علیّ بن فضّال و فضالة بن أیّوب، و ذکر بعضهم مکان فضالة بن أیّوب،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خمسة من الطّبقة الثّالثة مورد اتّفاق بینه و بین غیره، و بالنّتیجة یکون ستّة عشر شخصا موضع اتّفاق من الکل، و انفرد الکشّی بنقل الإجماع علی شخصین و هما أبو بصیر الأسدی من الطّبقة الاولی، و الحسن بن محبوب من الثّالثة و نقل الآخرون، الاتّفاق علی أربعة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المرادی من الستّة الاولی، و الحسن بن علیّ بن فضّال، و فضالة بن أیّوب و عثمان بن عیسی من الثّالثة، فیکون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 عشرین شخصا، بین ما اتّفق الکلّ علی </w:t>
      </w:r>
      <w:bookmarkStart w:id="352" w:name="pg2858_19578"/>
    </w:p>
    <w:p>
      <w:pPr>
        <w:pStyle w:val="BookText"/>
        <w:rPr/>
      </w:pPr>
      <w:bookmarkEnd w:id="352"/>
      <w:r>
        <w:rPr>
          <w:rFonts w:ascii="IRNazanin" w:hAnsi="IRNazanin" w:eastAsia="IRNazanin"/>
          <w:color w:val="111111"/>
          <w:sz w:val="28"/>
          <w:sz w:val="28"/>
          <w:szCs w:val="28"/>
          <w:rtl w:val="true"/>
          <w:lang w:bidi="fa-IR"/>
        </w:rPr>
        <w:t xml:space="preserve">کونهم من أصحاب الإجماع، أو قال به الکشّی وحده أو غیره، فالمتیقّن هو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شخصا، و المختلف فیه هو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المتتبّع النّوری قد حاول رفع الاختلاف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منافاة بین الإجماعین فی محلّ الانفراد، لعدم نفی أحد النّاقلین ما أثبته الآخر، و عدم وجوب کون العدد فی کلّ طبقة ستّة، و إنّما اطّلع کلّ واحد علی ما لم یطّلع علیه الآخر، و الجمع بینهما ممکن، فیکون الجمیع موردا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بعض الأجلّة الاشکال علیه، بأنّ الکشّی جعل الستّة الاولی أفقه الأوّلین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أفقه الأوّلین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أفقه من غیرهم و منهم أبو بصیر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فالأسدی الّذی هو جزء من الستّة أفقه من أبی بصیر المرادی، و علی القول الآخر یکون المرادی من أفراد الستّة و یکون أفقه من أبی بصیر الأسدی، فیحصل التّکاذب بین النّقلین، فواحد منهم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الأفقه هو الأسدی، و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الأفقه هو المرادی</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یتمّ فی القسم الأوّل من هذه الطّبقات الثّلاث، حیث اشتمل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الطّبقات، فهی خالیة عن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یکون متعلّق الاجماع هو التّصدیق و الانقیاد لهم بالفقه، لا الأفقهیّة من الکلّ، فلاحظ و تأمّل</w:t>
      </w:r>
      <w:r>
        <w:rPr>
          <w:rFonts w:eastAsia="IRNazanin" w:cs="IRNazanin"/>
          <w:color w:val="111111"/>
          <w:sz w:val="28"/>
          <w:szCs w:val="28"/>
          <w:rtl w:val="true"/>
          <w:lang w:bidi="fa-IR"/>
        </w:rPr>
        <w:t>.</w:t>
      </w:r>
    </w:p>
    <w:p>
      <w:pPr>
        <w:pStyle w:val="Heading5"/>
        <w:numPr>
          <w:ilvl w:val="4"/>
          <w:numId w:val="1"/>
        </w:numPr>
        <w:rPr/>
      </w:pPr>
      <w:bookmarkStart w:id="353" w:name="__RefHeading___Toc2760030_1395250215"/>
      <w:bookmarkStart w:id="354" w:name="_Toc119"/>
      <w:bookmarkEnd w:id="353"/>
      <w:r>
        <w:rPr>
          <w:rtl w:val="true"/>
        </w:rPr>
        <w:t>الرابع</w:t>
      </w:r>
      <w:r>
        <w:rPr>
          <w:rtl w:val="true"/>
        </w:rPr>
        <w:t xml:space="preserve">: </w:t>
      </w:r>
      <w:r>
        <w:rPr>
          <w:rtl w:val="true"/>
        </w:rPr>
        <w:t>فیما نظمه السید بحر العلوم</w:t>
      </w:r>
      <w:bookmarkEnd w:id="354"/>
    </w:p>
    <w:p>
      <w:pPr>
        <w:pStyle w:val="BookText"/>
        <w:rPr/>
      </w:pPr>
      <w:r>
        <w:rPr>
          <w:rFonts w:ascii="IRNazanin" w:hAnsi="IRNazanin" w:eastAsia="IRNazanin"/>
          <w:color w:val="111111"/>
          <w:sz w:val="28"/>
          <w:sz w:val="28"/>
          <w:szCs w:val="28"/>
          <w:rtl w:val="true"/>
          <w:lang w:bidi="fa-IR"/>
        </w:rPr>
        <w:t xml:space="preserve">إنّ السیّد الجلیل بحر العلوم جمع أسماء من ذکره الکشّی فی المواضع الثّلاثة فی منظومته و خالفه فی أشخاص من الستّة الاولی،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أجمع الکلّ علی تصحیح ما یصحّ عن جماعة فلیعلما </w:t>
      </w:r>
    </w:p>
    <w:p>
      <w:pPr>
        <w:pStyle w:val="BookText"/>
        <w:rPr/>
      </w:pPr>
      <w:r>
        <w:rPr>
          <w:rFonts w:ascii="Amiri" w:hAnsi="Amiri" w:eastAsia="Amiri" w:cs="Amiri"/>
          <w:color w:val="111111"/>
          <w:sz w:val="28"/>
          <w:sz w:val="28"/>
          <w:szCs w:val="28"/>
          <w:rtl w:val="true"/>
          <w:lang w:bidi="ar-SA"/>
        </w:rPr>
        <w:t>و هم أولوا نجابة و رفعة</w:t>
      </w:r>
    </w:p>
    <w:p>
      <w:pPr>
        <w:pStyle w:val="BookText"/>
        <w:rPr/>
      </w:pPr>
      <w:r>
        <w:rPr>
          <w:rFonts w:ascii="Amiri" w:hAnsi="Amiri" w:eastAsia="Amiri" w:cs="Amiri"/>
          <w:color w:val="111111"/>
          <w:sz w:val="28"/>
          <w:sz w:val="28"/>
          <w:szCs w:val="28"/>
          <w:rtl w:val="true"/>
          <w:lang w:bidi="ar-SA"/>
        </w:rPr>
        <w:t>أربعة و خمسة و تسعة</w:t>
      </w:r>
    </w:p>
    <w:p>
      <w:pPr>
        <w:pStyle w:val="BookText"/>
        <w:rPr/>
      </w:pPr>
      <w:r>
        <w:rPr>
          <w:rFonts w:ascii="IRNazanin" w:hAnsi="IRNazanin" w:eastAsia="IRNazanin"/>
          <w:color w:val="111111"/>
          <w:sz w:val="28"/>
          <w:sz w:val="28"/>
          <w:szCs w:val="28"/>
          <w:rtl w:val="true"/>
          <w:lang w:bidi="fa-IR"/>
        </w:rPr>
        <w:t>فالستّة الاولی من الأمجاد</w:t>
      </w:r>
    </w:p>
    <w:p>
      <w:pPr>
        <w:pStyle w:val="BookText"/>
        <w:rPr/>
      </w:pPr>
      <w:r>
        <w:rPr>
          <w:rFonts w:ascii="Amiri" w:hAnsi="Amiri" w:eastAsia="Amiri" w:cs="Amiri"/>
          <w:color w:val="111111"/>
          <w:sz w:val="28"/>
          <w:sz w:val="28"/>
          <w:szCs w:val="28"/>
          <w:rtl w:val="true"/>
          <w:lang w:bidi="ar-SA"/>
        </w:rPr>
        <w:t>أربعة منهم من الأوتاد</w:t>
      </w:r>
    </w:p>
    <w:p>
      <w:pPr>
        <w:pStyle w:val="BookText"/>
        <w:rPr/>
      </w:pPr>
      <w:r>
        <w:rPr>
          <w:rFonts w:ascii="IRNazanin" w:hAnsi="IRNazanin" w:eastAsia="IRNazanin"/>
          <w:color w:val="111111"/>
          <w:sz w:val="28"/>
          <w:sz w:val="28"/>
          <w:szCs w:val="28"/>
          <w:rtl w:val="true"/>
          <w:lang w:bidi="fa-IR"/>
        </w:rPr>
        <w:t>زرارة کذا برید</w:t>
      </w:r>
      <w:r>
        <w:rPr>
          <w:rStyle w:val="FootnoteAnchor"/>
          <w:rtl w:val="true"/>
        </w:rPr>
        <w:footnoteReference w:id="167"/>
      </w:r>
      <w:r>
        <w:rPr>
          <w:rFonts w:ascii="IRNazanin" w:hAnsi="IRNazanin" w:eastAsia="IRNazanin"/>
          <w:color w:val="111111"/>
          <w:sz w:val="28"/>
          <w:sz w:val="28"/>
          <w:szCs w:val="28"/>
          <w:rtl w:val="true"/>
          <w:lang w:bidi="fa-IR"/>
        </w:rPr>
        <w:t>قد أتی</w:t>
      </w:r>
    </w:p>
    <w:p>
      <w:pPr>
        <w:pStyle w:val="BookText"/>
        <w:rPr/>
      </w:pPr>
      <w:r>
        <w:rPr>
          <w:rFonts w:ascii="Amiri" w:hAnsi="Amiri" w:eastAsia="Amiri" w:cs="Amiri"/>
          <w:color w:val="111111"/>
          <w:sz w:val="28"/>
          <w:sz w:val="28"/>
          <w:szCs w:val="28"/>
          <w:rtl w:val="true"/>
          <w:lang w:bidi="ar-SA"/>
        </w:rPr>
        <w:t>ثمّ محمّد</w:t>
      </w:r>
      <w:r>
        <w:rPr>
          <w:rStyle w:val="FootnoteAnchor"/>
          <w:rtl w:val="true"/>
        </w:rPr>
        <w:footnoteReference w:id="168"/>
      </w:r>
      <w:r>
        <w:rPr>
          <w:rFonts w:ascii="IRNazanin" w:hAnsi="IRNazanin" w:eastAsia="IRNazanin"/>
          <w:color w:val="111111"/>
          <w:sz w:val="28"/>
          <w:sz w:val="28"/>
          <w:szCs w:val="28"/>
          <w:rtl w:val="true"/>
          <w:lang w:bidi="fa-IR"/>
        </w:rPr>
        <w:t>و لیث</w:t>
      </w:r>
      <w:r>
        <w:rPr>
          <w:rStyle w:val="FootnoteAnchor"/>
          <w:rtl w:val="true"/>
        </w:rPr>
        <w:footnoteReference w:id="169"/>
      </w:r>
      <w:r>
        <w:rPr>
          <w:rFonts w:ascii="IRNazanin" w:hAnsi="IRNazanin" w:eastAsia="IRNazanin"/>
          <w:color w:val="111111"/>
          <w:sz w:val="28"/>
          <w:sz w:val="28"/>
          <w:szCs w:val="28"/>
          <w:rtl w:val="true"/>
          <w:lang w:bidi="fa-IR"/>
        </w:rPr>
        <w:t>یا فتی</w:t>
      </w:r>
    </w:p>
    <w:p>
      <w:pPr>
        <w:pStyle w:val="BookText"/>
        <w:rPr/>
      </w:pPr>
      <w:r>
        <w:rPr>
          <w:rFonts w:ascii="IRNazanin" w:hAnsi="IRNazanin" w:eastAsia="IRNazanin"/>
          <w:color w:val="111111"/>
          <w:sz w:val="28"/>
          <w:sz w:val="28"/>
          <w:szCs w:val="28"/>
          <w:rtl w:val="true"/>
          <w:lang w:bidi="fa-IR"/>
        </w:rPr>
        <w:t>کذا الفضیل</w:t>
      </w:r>
      <w:r>
        <w:rPr>
          <w:rStyle w:val="FootnoteAnchor"/>
          <w:rtl w:val="true"/>
        </w:rPr>
        <w:footnoteReference w:id="170"/>
      </w:r>
      <w:r>
        <w:rPr>
          <w:rFonts w:ascii="IRNazanin" w:hAnsi="IRNazanin" w:eastAsia="IRNazanin"/>
          <w:color w:val="111111"/>
          <w:sz w:val="28"/>
          <w:sz w:val="28"/>
          <w:szCs w:val="28"/>
          <w:rtl w:val="true"/>
          <w:lang w:bidi="fa-IR"/>
        </w:rPr>
        <w:t>بعده معروف</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هو الّذی ما بیننا معروف</w:t>
      </w:r>
    </w:p>
    <w:p>
      <w:pPr>
        <w:pStyle w:val="BookText"/>
        <w:rPr/>
      </w:pPr>
      <w:r>
        <w:rPr>
          <w:rFonts w:ascii="IRNazanin" w:hAnsi="IRNazanin" w:eastAsia="IRNazanin"/>
          <w:color w:val="111111"/>
          <w:sz w:val="28"/>
          <w:sz w:val="28"/>
          <w:szCs w:val="28"/>
          <w:rtl w:val="true"/>
          <w:lang w:bidi="fa-IR"/>
        </w:rPr>
        <w:t>و الستّة الوسطی اولوا الفضائل</w:t>
      </w:r>
    </w:p>
    <w:p>
      <w:pPr>
        <w:pStyle w:val="BookText"/>
        <w:rPr/>
      </w:pPr>
      <w:r>
        <w:rPr>
          <w:rFonts w:ascii="IRNazanin" w:hAnsi="IRNazanin" w:eastAsia="IRNazanin"/>
          <w:color w:val="111111"/>
          <w:sz w:val="28"/>
          <w:sz w:val="28"/>
          <w:szCs w:val="28"/>
          <w:rtl w:val="true"/>
          <w:lang w:bidi="fa-IR"/>
        </w:rPr>
        <w:t>رتبتهم أدنی من الأوائل</w:t>
      </w:r>
    </w:p>
    <w:p>
      <w:pPr>
        <w:pStyle w:val="BookText"/>
        <w:rPr/>
      </w:pPr>
      <w:r>
        <w:rPr>
          <w:rFonts w:ascii="IRNazanin" w:hAnsi="IRNazanin" w:eastAsia="IRNazanin"/>
          <w:color w:val="111111"/>
          <w:sz w:val="28"/>
          <w:sz w:val="28"/>
          <w:szCs w:val="28"/>
          <w:rtl w:val="true"/>
          <w:lang w:bidi="fa-IR"/>
        </w:rPr>
        <w:t>جمیل الجمیل</w:t>
      </w:r>
      <w:r>
        <w:rPr>
          <w:rStyle w:val="FootnoteAnchor"/>
          <w:rtl w:val="true"/>
        </w:rPr>
        <w:footnoteReference w:id="172"/>
      </w:r>
      <w:r>
        <w:rPr>
          <w:rFonts w:ascii="IRNazanin" w:hAnsi="IRNazanin" w:eastAsia="IRNazanin"/>
          <w:color w:val="111111"/>
          <w:sz w:val="28"/>
          <w:sz w:val="28"/>
          <w:szCs w:val="28"/>
          <w:rtl w:val="true"/>
          <w:lang w:bidi="fa-IR"/>
        </w:rPr>
        <w:t>مع أبان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العبدلان</w:t>
      </w:r>
      <w:r>
        <w:rPr>
          <w:rStyle w:val="FootnoteAnchor"/>
          <w:rtl w:val="true"/>
        </w:rPr>
        <w:footnoteReference w:id="174"/>
      </w:r>
      <w:r>
        <w:rPr>
          <w:rFonts w:ascii="Amiri" w:hAnsi="Amiri" w:eastAsia="Amiri" w:cs="Amiri"/>
          <w:color w:val="111111"/>
          <w:sz w:val="28"/>
          <w:sz w:val="28"/>
          <w:szCs w:val="28"/>
          <w:rtl w:val="true"/>
          <w:lang w:bidi="ar-SA"/>
        </w:rPr>
        <w:t>ثمّ حمّادان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السّتة الاخری هم صفوان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یونس</w:t>
      </w:r>
      <w:r>
        <w:rPr>
          <w:rStyle w:val="FootnoteAnchor"/>
          <w:rtl w:val="true"/>
        </w:rPr>
        <w:footnoteReference w:id="177"/>
      </w:r>
      <w:r>
        <w:rPr>
          <w:rFonts w:ascii="IRNazanin" w:hAnsi="IRNazanin" w:eastAsia="IRNazanin"/>
          <w:color w:val="111111"/>
          <w:sz w:val="28"/>
          <w:sz w:val="28"/>
          <w:szCs w:val="28"/>
          <w:rtl w:val="true"/>
          <w:lang w:bidi="fa-IR"/>
        </w:rPr>
        <w:t>علیهما الرضوان</w:t>
      </w:r>
    </w:p>
    <w:p>
      <w:pPr>
        <w:pStyle w:val="BookText"/>
        <w:rPr/>
      </w:pPr>
      <w:r>
        <w:rPr>
          <w:rFonts w:ascii="IRNazanin" w:hAnsi="IRNazanin" w:eastAsia="IRNazanin"/>
          <w:color w:val="111111"/>
          <w:sz w:val="28"/>
          <w:sz w:val="28"/>
          <w:szCs w:val="28"/>
          <w:rtl w:val="true"/>
          <w:lang w:bidi="fa-IR"/>
        </w:rPr>
        <w:t>ثمّ ابن محبوب</w:t>
      </w:r>
      <w:r>
        <w:rPr>
          <w:rStyle w:val="FootnoteAnchor"/>
          <w:rtl w:val="true"/>
        </w:rPr>
        <w:footnoteReference w:id="178"/>
      </w:r>
      <w:r>
        <w:rPr>
          <w:rFonts w:ascii="Amiri" w:hAnsi="Amiri" w:eastAsia="Amiri" w:cs="Amiri"/>
          <w:color w:val="111111"/>
          <w:sz w:val="28"/>
          <w:sz w:val="28"/>
          <w:szCs w:val="28"/>
          <w:rtl w:val="true"/>
          <w:lang w:bidi="ar-SA"/>
        </w:rPr>
        <w:t>کذا محمّد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کذاک عبد اللّه</w:t>
      </w:r>
      <w:r>
        <w:rPr>
          <w:rStyle w:val="FootnoteAnchor"/>
          <w:rtl w:val="true"/>
        </w:rPr>
        <w:footnoteReference w:id="180"/>
      </w:r>
      <w:r>
        <w:rPr>
          <w:rFonts w:ascii="Amiri" w:hAnsi="Amiri" w:eastAsia="Amiri" w:cs="Amiri"/>
          <w:color w:val="111111"/>
          <w:sz w:val="28"/>
          <w:sz w:val="28"/>
          <w:szCs w:val="28"/>
          <w:rtl w:val="true"/>
          <w:lang w:bidi="ar-SA"/>
        </w:rPr>
        <w:t>ثمّ أحمد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ما ذکرناه الأصحّ عندنا</w:t>
      </w:r>
    </w:p>
    <w:p>
      <w:pPr>
        <w:pStyle w:val="BookText"/>
        <w:rPr/>
      </w:pPr>
      <w:r>
        <w:rPr>
          <w:rFonts w:ascii="IRNazanin" w:hAnsi="IRNazanin" w:eastAsia="IRNazanin"/>
          <w:color w:val="111111"/>
          <w:sz w:val="28"/>
          <w:sz w:val="28"/>
          <w:szCs w:val="28"/>
          <w:rtl w:val="true"/>
          <w:lang w:bidi="fa-IR"/>
        </w:rPr>
        <w:t>و شذّ قول من به خالفنا</w:t>
      </w:r>
      <w:r>
        <w:rPr>
          <w:rStyle w:val="FootnoteAnchor"/>
          <w:rtl w:val="true"/>
        </w:rPr>
        <w:footnoteReference w:id="18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ذکرناه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الاختلاف الّذی حکاه الکشّی فی عبارته، حیث اختار الکشّی أنّ أبا بصیر الأسدی منهم، و اختار غیره أنّ أبا </w:t>
      </w:r>
      <w:bookmarkStart w:id="355" w:name="pg2858_19580"/>
    </w:p>
    <w:p>
      <w:pPr>
        <w:pStyle w:val="BookText"/>
        <w:rPr/>
      </w:pPr>
      <w:bookmarkEnd w:id="355"/>
      <w:r>
        <w:rPr>
          <w:rFonts w:ascii="IRNazanin" w:hAnsi="IRNazanin" w:eastAsia="IRNazanin"/>
          <w:color w:val="111111"/>
          <w:sz w:val="28"/>
          <w:sz w:val="28"/>
          <w:szCs w:val="28"/>
          <w:rtl w:val="true"/>
          <w:lang w:bidi="fa-IR"/>
        </w:rPr>
        <w:t>بصیر المرادی منهم و اختار السیّد بحر العلوم القول الثّانی و نسب القول الأوّل إلی الشّذوذ</w:t>
      </w:r>
      <w:r>
        <w:rPr>
          <w:rFonts w:eastAsia="IRNazanin" w:cs="IRNazanin"/>
          <w:color w:val="111111"/>
          <w:sz w:val="28"/>
          <w:szCs w:val="28"/>
          <w:rtl w:val="true"/>
          <w:lang w:bidi="fa-IR"/>
        </w:rPr>
        <w:t>.</w:t>
      </w:r>
    </w:p>
    <w:p>
      <w:pPr>
        <w:pStyle w:val="Heading5"/>
        <w:numPr>
          <w:ilvl w:val="4"/>
          <w:numId w:val="1"/>
        </w:numPr>
        <w:rPr/>
      </w:pPr>
      <w:bookmarkStart w:id="356" w:name="__RefHeading___Toc2760032_1395250215"/>
      <w:bookmarkStart w:id="357" w:name="_Toc120"/>
      <w:bookmarkEnd w:id="356"/>
      <w:r>
        <w:rPr>
          <w:rtl w:val="true"/>
        </w:rPr>
        <w:t>الخامس</w:t>
      </w:r>
      <w:r>
        <w:rPr>
          <w:rtl w:val="true"/>
        </w:rPr>
        <w:t xml:space="preserve">: </w:t>
      </w:r>
      <w:r>
        <w:rPr>
          <w:rtl w:val="true"/>
        </w:rPr>
        <w:t>فی کیفیة تلقی الأصحاب هذا الاجماع</w:t>
      </w:r>
      <w:bookmarkEnd w:id="357"/>
    </w:p>
    <w:p>
      <w:pPr>
        <w:pStyle w:val="BookText"/>
        <w:rPr/>
      </w:pPr>
      <w:r>
        <w:rPr>
          <w:rFonts w:ascii="IRNazanin" w:hAnsi="IRNazanin" w:eastAsia="IRNazanin"/>
          <w:color w:val="111111"/>
          <w:sz w:val="28"/>
          <w:sz w:val="28"/>
          <w:szCs w:val="28"/>
          <w:rtl w:val="true"/>
          <w:lang w:bidi="fa-IR"/>
        </w:rPr>
        <w:t>إنّ المتتبّع النّوری قد قام یتصفّح کلمات الأصحاب حتّی یستکشف من خلالها کیفیّة تلقّیهم هذا الإجماع المنقول، فاستنتج منها، إنّ الأصحاب قد تلقّوا بالقبول و إلیک الإشارة إلی بعض الکلمات الّتی نقلها المحدّث النّوری فی الفائدة السابعة من خاتمة المستدرک بتحریر منّا حسب القرون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من نقله من الأصحاب هو أبو عمرو الکشّی، و هو من علماء القرن الرّابع و کان معاصرا للکلینی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تتلمذ للعیّاشی صاحب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یتلوه فی النّقل، الشّیخ الطّوسی، و هو من علماء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قام باختصار رجال الکشّی بحذف أغلاطه و هفواته، و أملاه علی تلامیذه و شرع بالإملاء یوم الثلاثاء، السّادس و العشرین من صفر سنة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بالمشهد الشریف الغری و نقل سبط الشیخ، السید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 خطّ الشیخ فی أوّل الکتاب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الأخبار اختصرتها من کتاب الرّجال لأبی عمرو محمّد بن عمر بن عبد العزیز الکشّی و اخترنا ما فیها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ظاهر کلامه أنّ الموجود فی الکشّی مختاره و مرضیّه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یقول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سوّت الطّائفة بین ما رواه محمّد بن أبی عمیر و صفوان بن یحیی و أحمد بن محمّد بن أبی نصر و غیرهم من الثّقات، الّذین عرفوا بأنّهم لا یروون و لا یرسلون إلاّ ممّن یوثق به، و بین ما </w:t>
      </w:r>
    </w:p>
    <w:p>
      <w:pPr>
        <w:pStyle w:val="BookText"/>
        <w:rPr/>
      </w:pPr>
      <w:r>
        <w:rPr>
          <w:rFonts w:ascii="IRNazanin" w:hAnsi="IRNazanin" w:eastAsia="IRNazanin"/>
          <w:color w:val="111111"/>
          <w:sz w:val="28"/>
          <w:sz w:val="28"/>
          <w:szCs w:val="28"/>
          <w:rtl w:val="true"/>
          <w:lang w:bidi="fa-IR"/>
        </w:rPr>
        <w:t>أسنده غیرهم، و لذلک عملوا بمرسلهم إذا انفرد عن روایة غیرهم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الثّقات الّذین عرفوا بأنّهم لا یروون و لا یرسلون إلاّ ممّن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فیهم جماعة معروفین عند الأصحاب بهذه الفضیلة، و لا تجد فی کتب هذا الفنّ من طبقة الثّقات، عصابة مشترکة فی هذه الفضیلة غیر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تلقّاه بالقبول، رشید الدین محمّد بن علیّ بن شهرآشوب من علماء القرن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أتی بما ذکره الکشّی فی أحوال الطّبقة الاولی و الثّانیة، و ترک ذکر الثّالثة، و نقل الطّبقتین بتغییر فی العبارة کما سیوافیک وجهه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تلقّاه بالقبول، فقیه الشّیعة، العلاّمة الحلّی من علماء القرن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 بما ذکره الکشّی فی خلاصته فی موارد کثیرة کما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ابن داود مؤلّف الرجال و هو من علماء القرن الثّامن، حیث ولد عام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رجاله عام </w:t>
      </w:r>
      <w:r>
        <w:rPr>
          <w:rFonts w:eastAsia="IRNazanin" w:cs="IRNazanin"/>
          <w:color w:val="111111"/>
          <w:sz w:val="28"/>
          <w:szCs w:val="28"/>
          <w:lang w:bidi="fa-IR"/>
        </w:rPr>
        <w:t>707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ثمانیة عشر رجلا فلم یختلفوا فی تعظیمهم غیر أنّهم یتفاوتون ثلاث درج</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عام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p>
    <w:p>
      <w:pPr>
        <w:pStyle w:val="BookText"/>
        <w:rPr/>
      </w:pPr>
      <w:r>
        <w:rPr>
          <w:rFonts w:ascii="IRNazanin" w:hAnsi="IRNazanin" w:eastAsia="IRNazanin"/>
          <w:color w:val="111111"/>
          <w:sz w:val="28"/>
          <w:sz w:val="28"/>
          <w:szCs w:val="28"/>
          <w:rtl w:val="true"/>
          <w:lang w:bidi="fa-IR"/>
        </w:rPr>
        <w:t>البحث عن بیع الثمرة بعد نقل حدیث فی سنده 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 نجد من یذکر هذا الاجماع أو یشیر إلیه من علماء القرن السّابع کالحسن 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نجیب الدین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لم نجد من یذکره من علماء القرن التّاسع کالفاضل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علماء القرن العاشر و قد استشهد عام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الدرایة فی تعریف الصّحیح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نقلوا الإجماع علی تصحیح ما یصحّ عن أبان بن عثمان مع کونه فطحیّا، و هذا کلّه خارج عن تعریف الصّحیح الّذی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فی الرّوضة البهیّة، فی کتاب الطّلاق عن الشّیخ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العصابة أجمعت علی تصحیح ما یصحّ عن عبد اللّه بن بکیر و أقرّوا له بالفقه و الثّقة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القرون التالیة، فقد تلقّاه عدّة من علماء القرن الحادی عشر بالقبول کالشیخ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المجلسی الأوّل، و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تلقّاه بالقبول کثیر من علماء القرن الثّانی عشر کالمجلسی الثانی </w:t>
      </w:r>
      <w:bookmarkStart w:id="358" w:name="pg2858_19583"/>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القرون التالیة و لا نری حاجة فی ذکر عبائرهم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و إن تلقّوه بالقبول، لکن ذلک التلقّی لا یزیدنا شیئا، لأنّهم اعتمدوا علی نقل الکشّی و لولاه لما کان من ذلک الإجماع أثر، و لأجل ذلک نری أنّ الشّیخ لم یذکره فی کتابی الرّجال و الفهرس، و لا نجد منه أثرا فی رجال البرقی و فهرس النّجاشی، و ذکره ابن شهر آشوب تبعا للکشّی و تصرّف فی عبارته، علی أنّ ذکر الشّیخ فی رجال الکشّی لا یدلّ علی کونه مختارا عنده، لأنّه هذّبه عن الأغلاط، لا عن کلّ محتمل للصّدوق و الکذب، و إبقاؤه یکشف عن عدم کونه مردودا عنده، لا کونه مقبولا</w:t>
      </w:r>
      <w:r>
        <w:rPr>
          <w:rFonts w:eastAsia="IRNazanin" w:cs="IRNazanin"/>
          <w:color w:val="111111"/>
          <w:sz w:val="28"/>
          <w:szCs w:val="28"/>
          <w:rtl w:val="true"/>
          <w:lang w:bidi="fa-IR"/>
        </w:rPr>
        <w:t>.</w:t>
      </w:r>
    </w:p>
    <w:p>
      <w:pPr>
        <w:pStyle w:val="Heading5"/>
        <w:numPr>
          <w:ilvl w:val="4"/>
          <w:numId w:val="1"/>
        </w:numPr>
        <w:rPr/>
      </w:pPr>
      <w:bookmarkStart w:id="359" w:name="__RefHeading___Toc2760034_1395250215"/>
      <w:bookmarkStart w:id="360" w:name="_Toc121"/>
      <w:bookmarkEnd w:id="359"/>
      <w:r>
        <w:rPr>
          <w:rtl w:val="true"/>
        </w:rPr>
        <w:t>السادس</w:t>
      </w:r>
      <w:r>
        <w:rPr>
          <w:rtl w:val="true"/>
        </w:rPr>
        <w:t xml:space="preserve">: </w:t>
      </w:r>
      <w:r>
        <w:rPr>
          <w:rtl w:val="true"/>
        </w:rPr>
        <w:t>فی وجه حجیة ذاک الاجماع</w:t>
      </w:r>
      <w:bookmarkEnd w:id="360"/>
    </w:p>
    <w:p>
      <w:pPr>
        <w:pStyle w:val="BookText"/>
        <w:rPr/>
      </w:pPr>
      <w:r>
        <w:rPr>
          <w:rFonts w:ascii="IRNazanin" w:hAnsi="IRNazanin" w:eastAsia="IRNazanin"/>
          <w:color w:val="111111"/>
          <w:sz w:val="28"/>
          <w:sz w:val="28"/>
          <w:szCs w:val="28"/>
          <w:rtl w:val="true"/>
          <w:lang w:bidi="fa-IR"/>
        </w:rPr>
        <w:t>عقد الاصولیّون فی باب حجیّة الظّنون، فصلا خاصّا للبحث عن حجیّة الاجماع المنقول بخبر الواحد و عدمها، فذهب البعض إلی الحجیّة بادّعاء شمول أدلّة حجیّة خبر الواحد له، و اختار المحقّقون و علی رأسهم الشّیخ الأعظم عدمها، قائلا بأنّ أدلّة حجیّة خبر الواحد تختصّ بما إذا نقل قول المعصوم عن حسّ لا عن حدس، و ناقل الإجماع ینقله حدسا لا حسّا و ذلک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السّبب و هو الاتّفاق الملازم عادة لقول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کونه حدسیّا، لا حسّیا، أنّ الجلّ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یکتفون فی إحراز السّبب، باتّفاق عدّة من الفقهاء لا اتّفاق الکلّ، و ینتقلون من اتّفاق عدّة منهم إلی اتّفاق الجمیع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المسبّب، و هو قول الإمام، فإنّهم یجعلون اتّفاق </w:t>
      </w:r>
    </w:p>
    <w:p>
      <w:pPr>
        <w:pStyle w:val="BookText"/>
        <w:rPr/>
      </w:pPr>
      <w:r>
        <w:rPr>
          <w:rFonts w:ascii="IRNazanin" w:hAnsi="IRNazanin" w:eastAsia="IRNazanin"/>
          <w:color w:val="111111"/>
          <w:sz w:val="28"/>
          <w:sz w:val="28"/>
          <w:szCs w:val="28"/>
          <w:rtl w:val="true"/>
          <w:lang w:bidi="fa-IR"/>
        </w:rPr>
        <w:t xml:space="preserve">العلماء دلیلا علی موافقة قولهم لقول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حدسا لا حسّا، مع أنّ الملازمة بین ذاک الاتّفاق، و قول الإمام غیر موجودة، و علی ذلک فناقل الإجماع ینقل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حدسا لا حسّا، و هو خارج عن مورد 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فی ناحیة السّبب، مشترک بین المقام و سائر الاجماعات المنقولة، حیث إنّ المظنون أنّ أبا عمرو الکشّی لم یتفحّص فی نقل إجماع العصابة علی هؤلاء، و إنّما وقف علی آراء معدودة و اکتفی، و هی لا تلازم اتّفاق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إشکال آخر یختصّ بالمقام، و هو أنّ الإجماع المنقول لو قلنا بحجیّته، إنّما هو فیما إذا تعلّق علی الحکم الشرعیّ، لا علی الموضوع، و متعلّق الاجماع فی المقام موضوع من الموضوعات لا حکم من الأحکام، کما تفصح منه عبارة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تصحیح ما یصحّ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علی موضوع و لو کان محصّلا، لیست بحجّة، فکیف إذا کان منقولا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الإشکال الأوّل مبنیّ علی تعیین المفاد من عبارة الکشّی فی حقّ هؤلاء الثّمانیة عشر، فلو قلنا بأنّ المراد منها هو تصدیق هؤلاء الأعلام فی نفس النّقل و الحکایة الملازم لوثاقتهم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و یظهر من عبارة المناقب أیضا و غیرها کما ستوافیک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فی إثبات وثاقة هؤلاء إلی اتّفاق الکلّ حتّی یقال إنّه أمر حدسیّ، بل یکفی توثیق شخص أو شخصین أو ثلاثة وقف علیه الکشّی عن حسّ، و لیس الاطّلاع علی هذا القدر أمرا عسیرا حتّی یرمی الکشّی فیه إلی الحدس، بل من المقطوع أنّه وقف علیه و علی أزید منه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المراد من عبارة الکشّی هو اتّفاق العصابة علی صحّة روایة هؤلاء، بالمعنی المصطلح عند القدماء اعتمادا علی القرائن الخارجیّة، </w:t>
      </w:r>
    </w:p>
    <w:p>
      <w:pPr>
        <w:pStyle w:val="BookText"/>
        <w:rPr/>
      </w:pPr>
      <w:r>
        <w:rPr>
          <w:rFonts w:ascii="IRNazanin" w:hAnsi="IRNazanin" w:eastAsia="IRNazanin"/>
          <w:color w:val="111111"/>
          <w:sz w:val="28"/>
          <w:sz w:val="28"/>
          <w:szCs w:val="28"/>
          <w:rtl w:val="true"/>
          <w:lang w:bidi="fa-IR"/>
        </w:rPr>
        <w:t xml:space="preserve">فالإشکال باق بحاله، لأنّ العلم بالصحّة لیس أمرا محسوسا حتّی تعمّه أدلّة حجیّة خبر الواحد إذا أخبر عنها مخبر، و لیست القرائن الموجبة للعلم بالصحّة، کلّها من قبیل عرض الکتاب علی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تصدیقه إیّاه، أو تکرّر الحدیث فی الاصول المعتمدة، حتّی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من قبیل الامور الحسیّة، و أنّ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صحّة روایات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حدسیّا، لکن أسبابه حسیّة، و لا یلزم فی حجیّة قول العادل کون المخبر به أمرا حسیّا، بل یکفی کون مقدّماته 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القرائن المفیدة لصحّة أخبار هؤلاء لیست حسیّة دائما، و إنّما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غیر محسوس، و الغالب علیها هو الثانی و قد مرّ الکلام فیه، عند البحث عن شهادة الکلینی فی دیباجة الکافی علی صحّة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حاول بعض الأجلّة الإجابة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بأنّ المراد هو تصحیح روایات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نقل الکشّی، اتّفاق العصابة علی تصحیح مرویّات هؤلاء بالقرائن الدالّة علی صدق مفهومها أو صدورها، و إن لم یکن کافیا فی إثبات الاتّفاق الحقیقی، لکنّه کاشف عن اتّفاق مجموعة کبیرة منهم علی تصحیح مرویّات هؤلاء، و من البعید أن یکون مصدره ادّعاء واحد أو اثنان من علماء الطّائفة، لأنّ التّساهل فی دعوی الإجماع و إن کان شائعا بین المتأخّرین، لکنّه بین القدماء ممنوع جدا،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إنّ اتّفاق جماعة علی صحّة روایات هؤلاء العدّة، یورث الاطمئنان بها، و القرائن الّتی تدلّ علی الصحّة و إن کانت علی قسمین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 و استنباطی، لکن لمّا کان النّظر و الاجتهاد فی تلک الأیّام قلیلة، و کان الأساس فی المسائل الفقهیّة و ما یتّصل بها، هو الحسّ و الشهود، یمکن أن یقال باعتمادهم علی القرائن العامّة الّتی تورث الاطمئنان لکلّ من قامت عنده أیضا، ککونه من کتاب عرض علی الإمام، أو وجد فی أصل معتبر، أو تکرّر فی الاصول، إلی غیر ذلک من القرائن المشهورة</w:t>
      </w:r>
      <w:r>
        <w:rPr>
          <w:rFonts w:eastAsia="IRNazanin" w:cs="IRNazanin"/>
          <w:color w:val="111111"/>
          <w:sz w:val="28"/>
          <w:szCs w:val="28"/>
          <w:rtl w:val="true"/>
          <w:lang w:bidi="fa-IR"/>
        </w:rPr>
        <w:t xml:space="preserve">. </w:t>
      </w:r>
      <w:bookmarkStart w:id="361" w:name="pg2858_19586"/>
    </w:p>
    <w:p>
      <w:pPr>
        <w:pStyle w:val="BookText"/>
        <w:rPr/>
      </w:pPr>
      <w:bookmarkEnd w:id="361"/>
      <w:r>
        <w:rPr>
          <w:rFonts w:ascii="IRNazanin" w:hAnsi="IRNazanin" w:eastAsia="IRNazanin"/>
          <w:color w:val="111111"/>
          <w:sz w:val="28"/>
          <w:sz w:val="28"/>
          <w:szCs w:val="28"/>
          <w:rtl w:val="true"/>
          <w:lang w:bidi="fa-IR"/>
        </w:rPr>
        <w:t>و الحاصل؛ أنّه إذا ثبت ببرکة نقل الکشّی، کون صحّة روایات هؤلاء، أمرا مشهورا بین الطّائفة، یحصل الاطمئنان بها من اتّفاق مشاهیرهم، لکونهم بعداء عن الاعتماد علی القرائن الحدسیّة، بل کانوا یعتمدون علی المحسوسات أو الحدسیّات القریبة منها، لقلّة الاجتهاد و النّظر فی تلک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تلک المحاولة، لصحّت فی ما ادّعاه الکلینی فی دیباجة کتابه، من صحّة روایاته، و مثله الصّدوق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الشّیخ حسب ما حکاه المحدّث النّوری بالنّسبة إلی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الاعتماد علی هذه التّصحیحات، بحجّة أنّ النظّر و الاجتهاد یوم ذاک کان قلیلا، و کان الغالب علیها هو الاعتماد علی الامور الحسیّة مشکل جدّا، و قد مرّ إجمال ذلک عند البحث عن أدلّة نفاة الحاجة إلی علم الرّجال فلاحظ، علی أنّ إحراز القرائن الحسیّة بالنّسبة إلی أحادیث هؤلاء مع کثرتها، بعید غایته و سیوافیک بعض الکلام فی ذلک عند تبیین مفاد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فالإجابة عنه واضحة، لأنّه یکفی فی شمول الأدلّة کون المخبر به ممّا یترتّب علی ثبوته أثر شرعی، و لا یجب أن یکون دائما نفس الحکم الشرعی، فلو ثبت بإخبار الکشّی، اتّفاق العصابة علی وثاقتهم أو صحّة أخبارهم، لکفی ذلک فی شمول أدلّة الحجیّة کما لا یخفی</w:t>
      </w:r>
      <w:r>
        <w:rPr>
          <w:rFonts w:eastAsia="IRNazanin" w:cs="IRNazanin"/>
          <w:color w:val="111111"/>
          <w:sz w:val="28"/>
          <w:szCs w:val="28"/>
          <w:rtl w:val="true"/>
          <w:lang w:bidi="fa-IR"/>
        </w:rPr>
        <w:t>.</w:t>
      </w:r>
    </w:p>
    <w:p>
      <w:pPr>
        <w:pStyle w:val="Heading5"/>
        <w:numPr>
          <w:ilvl w:val="4"/>
          <w:numId w:val="1"/>
        </w:numPr>
        <w:rPr/>
      </w:pPr>
      <w:bookmarkStart w:id="362" w:name="__RefHeading___Toc2760036_1395250215"/>
      <w:bookmarkStart w:id="363" w:name="_Toc122"/>
      <w:bookmarkEnd w:id="362"/>
      <w:r>
        <w:rPr>
          <w:rtl w:val="true"/>
        </w:rPr>
        <w:t>السابع</w:t>
      </w:r>
      <w:r>
        <w:rPr>
          <w:rtl w:val="true"/>
        </w:rPr>
        <w:t xml:space="preserve">: </w:t>
      </w:r>
      <w:r>
        <w:rPr>
          <w:rtl w:val="true"/>
        </w:rPr>
        <w:t xml:space="preserve">فی مفاد </w:t>
      </w:r>
      <w:r>
        <w:rPr>
          <w:rtl w:val="true"/>
        </w:rPr>
        <w:t>«</w:t>
      </w:r>
      <w:r>
        <w:rPr>
          <w:rtl w:val="true"/>
        </w:rPr>
        <w:t>تصحیح ما یصح عنهم</w:t>
      </w:r>
      <w:r>
        <w:rPr>
          <w:rtl w:val="true"/>
        </w:rPr>
        <w:t>»</w:t>
      </w:r>
      <w:bookmarkEnd w:id="363"/>
    </w:p>
    <w:p>
      <w:pPr>
        <w:pStyle w:val="BookText"/>
        <w:rPr/>
      </w:pPr>
      <w:r>
        <w:rPr>
          <w:rFonts w:ascii="IRNazanin" w:hAnsi="IRNazanin" w:eastAsia="IRNazanin"/>
          <w:color w:val="111111"/>
          <w:sz w:val="28"/>
          <w:sz w:val="28"/>
          <w:szCs w:val="28"/>
          <w:rtl w:val="true"/>
          <w:lang w:bidi="fa-IR"/>
        </w:rPr>
        <w:t xml:space="preserve">و هذا هو البحث المهمّ الّذی فصّل الکلام فیه المتتبّع النوری فی خاتمة مستدرکه، کما فصّل فی الامور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الخلاف مبنیّ علی أنّ المقصود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فهل المراد، الروایة و الحکایة بالمعنی المصدری، أو أنّ المراد المرویّ و نفس الحدیث؟ </w:t>
      </w:r>
    </w:p>
    <w:p>
      <w:pPr>
        <w:pStyle w:val="BookText"/>
        <w:rPr/>
      </w:pPr>
      <w:r>
        <w:rPr>
          <w:rFonts w:ascii="IRNazanin" w:hAnsi="IRNazanin" w:eastAsia="IRNazanin"/>
          <w:color w:val="111111"/>
          <w:sz w:val="28"/>
          <w:sz w:val="28"/>
          <w:szCs w:val="28"/>
          <w:rtl w:val="true"/>
          <w:lang w:bidi="fa-IR"/>
        </w:rPr>
        <w:t>فتعیین أحد المعنیین هو المفتاح لحلّ مشکلة العبارة، و أمّا الاحتمالات الاخر، فکلّها من شقوق هذین الاحتمالین و یتلخّص المعنیان فی جملتین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تصدیق حکایاتهم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تصدیق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تعلّق الإجماع علی تصحیح نفس الحکایة و أنّ ابن أبی عمیر صادق فی قوله، بأنّه حدّثه ابن اذینة أو عبد اللّه بن مسکان أو غیرهما من مشایخه الکثیرة الناهزة إلی أربعمائة شیخ أو تعلّق بتصحیح نفس الحدیث و المرویّ، و أنّ الروایة قد صدرت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هل تعلّق بما یرویه بلا واسطة کروایته عن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تعلق بما یرویه مع الواسطة أعنی نفس الحدیث الّذی یرویه عن الإمام بواسطة استاذه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یلازم توثیق هؤلاء و یدلّ علیه بالدّلالة الالتزامیّة، فإنّ اتّفاق العصابة علی تصدیق هؤلاء فی حکایتهم و تحدّثهم ملازم لکونهم ثقات، فیکون مفاد العبارة هو توثیق هؤلاء لأجل تصدیق العصابة حکایتهم و نقولهم عن 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الثانی فله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صحّة نفس الحدیث و الرّوایة و إن کانت مرسلة أو مرویّة عن مجهول أو ضعیف لأجل کونها محفوفة بالقرائن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صحّتها لأجل وثاقة خصوص هؤلاء الجماعة فتکون الصحّة نسبیّة لا مطلقة، لاحتمال عدم وثاقة من یروون عنه فیتحد مع المعنی الأول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صحّتها لأجل وثاقتهم و وثاقة من یروون عنهم حتّی یصل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الاحتمال الثالث، تنسلک مجموعة کبیرة من الرواة ممّن </w:t>
      </w:r>
    </w:p>
    <w:p>
      <w:pPr>
        <w:pStyle w:val="BookText"/>
        <w:rPr/>
      </w:pPr>
      <w:r>
        <w:rPr>
          <w:rFonts w:ascii="IRNazanin" w:hAnsi="IRNazanin" w:eastAsia="IRNazanin"/>
          <w:color w:val="111111"/>
          <w:sz w:val="28"/>
          <w:sz w:val="28"/>
          <w:szCs w:val="28"/>
          <w:rtl w:val="true"/>
          <w:lang w:bidi="fa-IR"/>
        </w:rPr>
        <w:t xml:space="preserve">لم یوثّقوا خصوصا، فی عداد الثّقات، فإنّ لمحمّد بن أبی عمیر مثلا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یرویها عن مشایخ کثیرة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إلیک توضیح هذین المعنیین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احتمله صاحب الوافی فی المقدّمة الثّالثة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یصحّ عنهم هو الرّوایة لا المرویّ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علی هذا تکون العبارة کنایة عن الاجماع علی عدالتهم و صدقهم بخلاف غیرهم ممّن لم ینقل الإجماع علی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المحدّث النّوری عن السیّد المحقّق الشفتی فی رسالته فی تحقیق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التّصحیح هو الروایة بالمعنی المصدری، أی قولهم أخبرنی، أو حدّثنی، أو سمعت من فلان، و علی هذا فنتیجة العبارة أنّ أحدا من هؤلاء إذا ثبت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فالعصابة أجمعوا علی أنّه صادق فی اعتقاده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سبقه فی اختیار هذا المعنی رشید الدّین ابن شهر آشوب فی مناقبه، حیث اکتفی بنقل المضمون و ترک العبارة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اجتمعت العصابة علی تصدیق ستّة من فقهائه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جمیل بن درّاج، و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 من عبارة الکشّی اتّفاق العصابة علی تصدیق هؤلاء و کونهم صادقین فیما یحکون، فیدلّ بالدّلالة الالتزامیة علی وثاقة هؤلاء لا غیر، و التّصدیق مفاد مطابقی، و الوثاقة مفاد التزامی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یظهر ذلک أیضا من استاذ الفنّ، الشیخ عبد اللّه بن حسین التّستری، الّذی کان من مشایخ الشّیخ عنایة اللّه القهبائی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نقل عن استاذه ما هذا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الاستاذ مولانا النحریر المدقّق، و الحبر المحقّق المجتهد فی العلم و العمل عبد اللّه بن حسین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یخدش بأنّ حکمهم بتصحیح ما یصحّ عنهم، إنّما یقتضی الحکم بوقوع ما أخبروا به، و هذا لا یقتضی الحکم بوقوع ما أخبر هؤلاء عنه فی الواقع، و الحاصل أنّهم إذا أخبروا أنّ فلانا الفاسق حکم علی رسول اللّه مثلا بما یقتضی 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نستغفر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یقتضی حکمهم بصحّة ما أخبروا به، و هو وقوع المکفّر عن الفاسق المنسوب إلیه ذلک لا صحّة ما نسب إلی الفاسق فی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المذکورین فی هذه التّسمیات الثّلاث إذا أخبروا عن غیر معتبر فی النّقل، فإنّه لا یلزم الحکم بصحّة ما أخبروا عنه فی الواقع، نعم یلزم ذلک إذا أخبروا عن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التّلمیذ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یخفی أنّ المذکورین فی التّسمیات المذکورات هنا لا یروون إلاّ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و لا عن غیر معتبر إلاّ نادرا و هذا ظاهر مع أدنی تتبّع، فما أفاد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المعنی الدقیق و المحمل الصحیح لا یؤثر فیما نفهم منها فی أوّل الامر</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یظهر النّظر فی کلام التّلمیذ فیما سننقله من روایة هؤلاء عن غیر الأئمّة بکثیر فتربّص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نقله أبو علی فی رجاله عن استاذه صاحب الریاض حیث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دعوی الاجماع علی صدق الجماعة، و صحّة ما ترویه إذا لم یکن فی السند من یتوقّف فیه، فإذا قال أحد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فلان، یکون الإجماع منعقدا علی صدق دعواه و إذا کان ضعیفا أو غیر معروف، لا یجدیه نفعا، </w:t>
      </w:r>
    </w:p>
    <w:p>
      <w:pPr>
        <w:pStyle w:val="BookText"/>
        <w:rPr/>
      </w:pPr>
      <w:r>
        <w:rPr>
          <w:rFonts w:ascii="IRNazanin" w:hAnsi="IRNazanin" w:eastAsia="IRNazanin"/>
          <w:color w:val="111111"/>
          <w:sz w:val="28"/>
          <w:sz w:val="28"/>
          <w:szCs w:val="28"/>
          <w:rtl w:val="true"/>
          <w:lang w:bidi="fa-IR"/>
        </w:rPr>
        <w:t>و ذهب إلیه بعض أفاضل العصر و هو السید مهدی الطباطبائی</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المختار و یؤیدّه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الکشّی اکتفی فی تسمیة الطّبقة الاولی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اجتمعت العصابة علی تصدیق هؤلاء الأوّلین من أصحاب أبی جعفر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 حقّهم غیر تلک الجمل، فلو کان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إجماعهم علی تصدیق مرویّاتهم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علیه أن یذکر تلک العبارة فی حق الستّة الاولی، لأنّهم فی الدّرجة العالیة بالنّسبة إلی الطّبقتین، و هذا یعرب عن کون المقصود من التّصحیح، هو الحکم بصدقهم و تصویب نفس نقلهم، و بالدّلالة الالتزامیة یدلّ علی وثاقتهم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عدّة من الأعلام ذلک المعنی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شهر آشوب قد فهم من کلام الکشّی نفس ما ذکرناه، و لأجل ذلک 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التعرّض للطّبقة الثّانیة فعبّر عنه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العصابة علی تصدیق ستّة من فقهاء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 أنّه وضع التّصدیق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یعرف عن وحدة المقصود، و یظهر ذلک من بعض کلمات العلاّمة فی المختلف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فطحی،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و إن کان فطحیّا، إلاّ أنّ المشایخ وثّقوه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عبارة الکشّی، و قال بنظیره فی ترجمة أبان بن عثمان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إلاّ أنّه کان ثقة 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أجمعت العصابة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التمسّک بقول </w:t>
      </w:r>
    </w:p>
    <w:p>
      <w:pPr>
        <w:pStyle w:val="BookText"/>
        <w:rPr/>
      </w:pPr>
      <w:r>
        <w:rPr>
          <w:rFonts w:ascii="IRNazanin" w:hAnsi="IRNazanin" w:eastAsia="IRNazanin"/>
          <w:color w:val="111111"/>
          <w:sz w:val="28"/>
          <w:sz w:val="28"/>
          <w:szCs w:val="28"/>
          <w:rtl w:val="true"/>
          <w:lang w:bidi="fa-IR"/>
        </w:rPr>
        <w:t>الکشّی، لأجل الاستدلال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المشایخ وثّقوه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ذلک من ابن داود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ثمانیة عشر رجلا فلم یختلفوا فی تعظیمهم، غیر أنّهم یتفاوتون ثلاث درج</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إمعان النّظر فی ما یتبادر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یصحّ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وثاقة الأوّلین من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صحّ عن ابن أبی عمیر کذا، فیجب تصحیح نفس هذا، لا غیر، و بعبارة أخری یجب علینا إمعان النّظر فی أنّه ما هو الّذی صحّ عن ابن أبی عمیر، حتّی یتعلّق به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حکایة کلّ واحد عن آخر؟ أو هو نفس الحدیث و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الثّانی، لأنّ من صدّر به السند، لا ینقل إلاّ حکایة الثّانی و لا ینقل نفس الحدیث، و إنّما یکون ناقلا لو نقله من الإمام بلا واسطة، و مثله من وقع فی السّند بعده، فإنّه لا ینقل إلاّ حکایة الثّالث له، فعندئذ ما صحّ عن ابن أبی عمیر لیس نفس الحدیث، بل حکایة الاستاذ لتلمیذه، و علیه یکون هذا بنفسه متعلّقا للتّصحیح، و أنّ ابن أبی عمیر مصدّق فی حکایته عن ابن اذینة، و هو صادق فی نقله عنه، و أمّا ثبوت نفس الحدیث، فهو یحتاج إلی کون الناقل لابن أبی عمیر صادقا وثقة و إلاّ فلا یثبت، نعم یثبت بتصحیح ما صحّ عن ابن أبی عمیر کونه ثقة، لکن لا بالدّلالة المطابقیّة، بل بالدّلالة الالتزامیة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هذا المعنی سیّدنا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تصدیقهم لما أخبروا به و لیس إخبارهم فی الإخبار مع الواسطة إلاّ الإخبار عن قول </w:t>
      </w:r>
    </w:p>
    <w:p>
      <w:pPr>
        <w:pStyle w:val="BookText"/>
        <w:rPr/>
      </w:pPr>
      <w:r>
        <w:rPr>
          <w:rFonts w:ascii="IRNazanin" w:hAnsi="IRNazanin" w:eastAsia="IRNazanin"/>
          <w:color w:val="111111"/>
          <w:sz w:val="28"/>
          <w:sz w:val="28"/>
          <w:szCs w:val="28"/>
          <w:rtl w:val="true"/>
          <w:lang w:bidi="fa-IR"/>
        </w:rPr>
        <w:t xml:space="preserve">الواسطة و تحدیثه، فاذا قال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زید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إخبار ابن أبی عمیر إلاّ تحدیث زید، و هذا فی ما ورد فی الطّبقة الأولی واضح و کذلک الحال فی الطبقتین الأخیرتین أی الاجماع علی تصحیح ما یصحّ عنهم، لأنّ ما یصحّ عنهم لیس متن الحدیث فی الإخبار مع الواسطة لو لم نقل مطلقا، فحینئذ إن کان المراد من الموصول مطلق ما صحّ عنهم یکون لازمه قیام الإجماع علی صحّة مطلق إخبارهم سواء کان مع الواسطة أو لا، إلاّ أنّه فی الإخبار مع الواسطة لا یفید تصدیقهم، و تصحیح ما یصحّ عنهم، غیرهم من الوسائط، فلا بدّ من ملاحظة حالهم و وثاقتهم و عدمها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ما ذکر یشیر الفیض فی کلامه السابق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یصحّ عنهم هو الرّوایة لا المرویّ، و أمّا ما اشتهر فی تفسیر العبارة من العلم بصحّة الحدیث المنقول منهم و نسبته إلی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صحّته عنهم، من دون اعتبار العدالة فیمن یروون عنه، حتّی لو رووا عن معروف بالفسق او بوضع، فضلا عمّا لو أرسلوا الحدیث، کان ما نقلوه صحیحا محکوما علی نسبته إلی أهل العصمة، فلیست العبارة صریحة فی ذلک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حال الوجه الأوّل و 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المحدّث النّوری أورد علیه وجوها نذکرها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رکیک خصوصا بالنّسبة إلی هؤلاء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ما ذکروه، اکتفی الکشّی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 علی تصدیقهم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فنّ الحدیث و الدّرایة صرّحوا بأنّ الصحّة و الضّعف </w:t>
      </w:r>
    </w:p>
    <w:p>
      <w:pPr>
        <w:pStyle w:val="BookText"/>
        <w:rPr/>
      </w:pPr>
      <w:r>
        <w:rPr>
          <w:rFonts w:ascii="IRNazanin" w:hAnsi="IRNazanin" w:eastAsia="IRNazanin"/>
          <w:color w:val="111111"/>
          <w:sz w:val="28"/>
          <w:sz w:val="28"/>
          <w:szCs w:val="28"/>
          <w:rtl w:val="true"/>
          <w:lang w:bidi="fa-IR"/>
        </w:rPr>
        <w:t>و القوّة و الحسن و غیرها من أوصاف متن الحدیث، تعرضه باعتبار اختلاف حالات رجال السّند، و قد یطلق علی السّند مسامحة،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الصّحیح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خروج عن الاصطلاح، فالمراد بالموصول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متن الحدیث، لأنّه الّذی یتّصف بالصحّة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الکلّ غیر واضح، أمّا الأوّل فأیّ رکاکة فی القول بأنّ العصابة اتّفقت علی وثاقة هؤلاء؟ و لو کان رکیکا، فلم ارتکبها نفس الکشّی فی الطّبقة الاولی، حیث اکتفی فیهم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أجمعت العصابة علی تصدیق هؤلاء الأوّلین من أصحاب الامامین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فإنّما یرد لو 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عندئذ لا حاجة إلی الثّانی، و لکنّ الکشّی عکس فی الذکر، فاحتاج الکلام إلی الجملة التّوضیحیّة، فأتی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الصحّة سواء فسّرت بمعنی التّمامیة أم بمعنی الثبوت، یقع وصفا للسّند و المتن معا إذا کان فی کلّ ملاک للتوصیف به، و لیس للصحّة مصطلح خاصّ حتی نخصّه بالمتن دون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تخصیص هؤلاء الثمانیة عشر بالذکر دون غیرهم، مع أنّ هناک رواة اتّفقت کلمتهم علی وثاقتهم، فلأجل کونهم مراجع الفقه و مصادر علوم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أضاف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انقادوا لهم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أقرّوا لهم بالفقه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ینعقد الاتفّاق علی مجرّد وثاقتهم، بل علی فقاهتهم من بین تلامیذ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الممیّزات أوجبت تخصیصهم بالذّکر دون غیرهم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الکشّی کما عرفت لم یعنونهم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اصطلاح جدید بین المتأخّرین، بل عنونهم فی مواضع ثلاثة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الفقهاء </w:t>
      </w:r>
    </w:p>
    <w:p>
      <w:pPr>
        <w:pStyle w:val="BookText"/>
        <w:rPr/>
      </w:pPr>
      <w:r>
        <w:rPr>
          <w:rFonts w:ascii="IRNazanin" w:hAnsi="IRNazanin" w:eastAsia="IRNazanin"/>
          <w:color w:val="111111"/>
          <w:sz w:val="28"/>
          <w:sz w:val="28"/>
          <w:szCs w:val="28"/>
          <w:rtl w:val="true"/>
          <w:lang w:bidi="fa-IR"/>
        </w:rPr>
        <w:t xml:space="preserve">من أصحاب الباقرین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الفقهاء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الفقهاء من أصحاب الامامین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فالسّؤال ساقط من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التّخصیص بالسّتة فی کلّ طبقة فلأجل فقاهتهم اللاّمعة الّتی لم تتحقّق فی غیرهم فی کلّ 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تبیّن صحّة المعنی الأوّل و أنّه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جعله شیخنا النّوری قولا ثانیا و ذکره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المراد کون الجماعة ثقات، یرجع إلی ذلک القول لبّا و التفاوت بینهما هو أنّ الوثاقة مدلول المعنی بالدّلالة الالتزامیّة فی القول الأوّل، و مدلول المعنی بالدّلالة المطابقیّة فی القول الثانی کما لا یخفی، و لأجل ذلک جعلنا القولین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المعنی المختار فإلیک الکلام فی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لها احتمالات ثلاثة فنبحث عنها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الحکم بصحّة روایاتهم لأجل القرائن الدّاخلیة أو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بصحّة روایات هؤلاء بالمعنی المعروف عند القدماء، و هو الاطمئنان بصدق روایاتهم من دون توثیق لمشایخهم، و هذا مبنیّ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المرویّ و الحدیث، فإذا صحّ المرویّ إلی هؤلاء فیحکم بصحّته و إن کان السّند مرسلا أو مشتملا علی مجهول أو ضعیف فیعمل 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ذلک؛ أنّ الصّحیح عند المتأخّرین من عصر العلاّمة أو عصر شیخه أحمد بن طاووس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کان سنده متّصلا إلی </w:t>
      </w:r>
    </w:p>
    <w:p>
      <w:pPr>
        <w:pStyle w:val="BookText"/>
        <w:rPr/>
      </w:pPr>
      <w:r>
        <w:rPr>
          <w:rFonts w:ascii="IRNazanin" w:hAnsi="IRNazanin" w:eastAsia="IRNazanin"/>
          <w:color w:val="111111"/>
          <w:sz w:val="28"/>
          <w:sz w:val="28"/>
          <w:szCs w:val="28"/>
          <w:rtl w:val="true"/>
          <w:lang w:bidi="fa-IR"/>
        </w:rPr>
        <w:t>المعصوم بنقل الامامی العدل الضابط عن مثله 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مصطلح القدماء فیه عبارة عما احتفّت به القرائن الداخلیّة أو الخارجیّة الدالّة علی صدقه، و إن اشتمل سنده علی ضعف، و قد مرّت القرائن الخارجیّة عند البحث عن الحاجة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الحدیث فی مصطلح القدماء کان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غیر صحیح، بخلافه فی مصطلح المتأخّرین، فإنّه علی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الموثّق و الحسن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من القرائن الدالّة علی صدق الخبر هو کون رواته ثقاتا بالمعنی الأعمّ، أی صدوقا فی النّقل، و لکنّه إحدی القرائن لا القرینة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اندرست تلک القرائن الخارجیّة عمد المتأخّرون فی تمییز المعتبر عن غیره إلی القرائن الدّاخلیّة، من المراجعة إلی أسناد الروایات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فمعنی اتّفاق العصابة علی تصحیح أحادیث هؤلاء، أنّهم وقفوا علی أنّ روایاتهم محفوفة بالقرائن الدّاخلیّة أو الخارجیّة الدالّة علی صدق الخبر و ثبوته، و قد اختار هذا المعنی، المحقّق الداماد فی رواشحه و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أجمعت العصابة علی تصحیح ما یصحّ عنهم، و الاقرار لهم بالفقه و الفضل و الضّبط و الثقة، و إن کانت روایتهم بإرسال أو رفع أو عمّن یسمّونه و هو لیس بمعروف الحال و لمّة منهم فی أنفسهم فاسدو العقیدة، غیر مستقیمی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مراسیل هؤلاء و مرافیعهم و مقاطیعهم و مسانیدهم إلی من یسمّونه من غیر المعروفین، معدودة عند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من غیر اکتراث منهم لعدم صدق حدّ الصّحیح علی ما قد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اختاره المحقّق البهبهانی علی ما فی تعلیقته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 المراد صحّة ما رواه حیث تصحّ الروایة إلیه، فلا یلاحظ من بعده إلی المعصوم و إن کان فیه ضعیف</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یترتّب علی هذا الاحتمال ثمرة رجالیّة من توثیق هؤلاء أو توثیق مشایخهم إلی أن ینتهی السّند إلی المعصوم، کترتّبها علی الاحتمال الثانی من المعنی الثانی علی ما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أقصی ما یترتّب علیه، صحّة الحدیث و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علیه المحدّث النّوری، بأنّ ذاک التّفسیر مبنیّ علی تغایر الاصطلاحین فی لفظ الصّحیح، و أنّه فی مصطلحهم، الخبر المؤیّد بالقرائن الدالّة علی صدقه، و فی مصطلح المتأخّرین کون الراوی إمامیا عدلا ضابطا و هذا غیر ثابت، بل الصّحیح عند القدماء هو نفسه عند المتأخّرین، عدا کون الراوی إمامیا، فیکفی کونه ثقة بالمعنی الأعمّ، و ما ذکره شیخنا البهائی فی 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المحقّق صاحب المعالم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المدار فی توصیف الرّوایة بالصّحة هو الوثوق بالصّدور و لو من جهة القرائن، غیر ثابتة، بل لنا أن نسألهما عن مأخذ هذه النّسبة، فإنّا لم نجد ما یدلّ علی ذلک، بل هی علی خلاف ما نسباهما و من تبعهما، بل وجدناهم یطلقون الصّحیح غالبا علی روایة الثقة و إن کان غیر 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الصّحیح عند القدماء، نفسه عند المتأخّرین من کون الرّاوی ثقة، و لو کان هناک فرق بین المصطلحین فإنّما هو فی شرطیّة المذهب، فالمتأخّرون علی شرطیّته و لزوم کون الراوی إمامیا فی اتّصاف الحدیث بالصحّة، و القدماء علی کفایة الوثاقة فقط</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توصیف الخبر بالصحّة لأجل القرائن الدّاخلیّة أو </w:t>
      </w:r>
    </w:p>
    <w:p>
      <w:pPr>
        <w:pStyle w:val="BookText"/>
        <w:rPr/>
      </w:pPr>
      <w:r>
        <w:rPr>
          <w:rFonts w:ascii="IRNazanin" w:hAnsi="IRNazanin" w:eastAsia="IRNazanin"/>
          <w:color w:val="111111"/>
          <w:sz w:val="28"/>
          <w:sz w:val="28"/>
          <w:szCs w:val="28"/>
          <w:rtl w:val="true"/>
          <w:lang w:bidi="fa-IR"/>
        </w:rPr>
        <w:t>الخارجیة أمر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القرینة الدّاخلیة کوثاقة رواته، فعلیه المتأخّرون کلهم، و اعترف به المحدّث نفسه، و أمّا القرائن الخارجیّة، فقد أشار إلیها المحقّق أبو الهدی الکلباسی فی تألیفه المنیف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القول فیه موجزا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العنوان الّذی ذکره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التعادل و التراجیح، فإنّه یوضح المراد من الصحّة و أنّ المقصود منها ما یقابل الباطل، لا ما رواه الثقات من الإمام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القرائن الّتی تدلّ علی صحّة أخبار الآحاد أو علی بطلانها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القرائن الّتی تدلّ علی صحّة مضمون أخبار الآحاد و أنّها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لأدلّة العقل و ما اقتضاه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مطابقا لنصّ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موافقا للسنّة المقطوع بها من جهة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لما أجمعت علیه الفرقة المحقّة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القرائن کلّها تدلّ علی صحّة متضمّن أخبار الآحاد، و لا تدلّ علی صحّتها أنفسها، لإمکان کونها مصنوعة و إن وافقت الأدلّة، فمتی تجرّد الخبر من واحد من هذه القرائن کان خبر واحد محضا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نصّ من الشّیخ علی أنّ الخبر فی ظلّ هذه القرائن یوصف بالصحّة من حیث المضمون، کما یتّصف بها ببعض القرائن الاخر من حیث الصّدور، فالقرائن تارة تدعم المضمون و اخری الصّدور، و علی کلّ تقدیر یتّصف بالصحّة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القول فیما یرویه المضعّفون، فإن کان هنا ما یعضد روایتهم و یدلّ علی صحّتها، وجب العمل بها، و إن لم یکن ما یشهد لروایتهم بالصحّة وجب التوقّف فی أخبارهم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العبائر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الحاکیة عن کون الصّحیح عبارة عمّا دلّت القرائن علی صدق مضمونه أو صدوره، لا خصوص ما روته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المحدّث النّوری أورد إشکالا آخر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باقتران أحادیث هؤلاء بالقرائن مع کثرتها أمر محال عادة، فکیف یحصل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سنبیّن ما یمکن الاجابة به علیه عند التعرّض للاحتمال الثّالث الّذی هو مختار المحدّث النّوری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بصحّة روایاتهم استنادا إلی وثاقتهم و وثاقة مشایخهم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هذین الاحتمالین کما مرّ یتشعبان من المعنی الثّانی و هو القول بأنّ المراد من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الحدیث و متنه لکنّ الحکم بصحّة الحدیث لیس لاقترانه بالقرائن الخارجیّة الدالّة علی صدق نفس الحدیث، بل لوثاقة هذه الجماعة و من بعدهم إلی أن ینتهی إلی المعصوم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الاحتمال یفترق عن المعنی الأوّل، لأنّه یهدف إلی تصدیقهم بالدّلالة المطابقیّة، و إلی وثاقتهم بالدّلالة الالتزامیّة، کما یفترق عن الاحتمال الأوّل للمعنی الثّانی لأنّه یهدف إلی صحّة أحادیثهم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اشتمل السّند علی </w:t>
      </w:r>
    </w:p>
    <w:p>
      <w:pPr>
        <w:pStyle w:val="BookText"/>
        <w:rPr/>
      </w:pPr>
      <w:r>
        <w:rPr>
          <w:rFonts w:ascii="IRNazanin" w:hAnsi="IRNazanin" w:eastAsia="IRNazanin"/>
          <w:color w:val="111111"/>
          <w:sz w:val="28"/>
          <w:sz w:val="28"/>
          <w:szCs w:val="28"/>
          <w:rtl w:val="true"/>
          <w:lang w:bidi="fa-IR"/>
        </w:rPr>
        <w:t>ضعف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القرائن و لا تترتّب علیهما ثمرة رجالیّة حتی علی المعنی الاول لأنّ وثاقة هؤلاء الّتی دلّت العبارة علیها بالدّلالة الالتزامیّة، ثابتة من غیر طریق اتّفاق العصابة، و أمّا علی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الثّانی للمعنی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فیترتّب علی ثبوته ثمرة رجالیّة و هو التّعدیل الخاصّ لمشایخ هؤلاء، إلی أن ینتهی إلی الإمام، فتدخل فی عداد الثّقات مجموعة کبیرة من المجاهیل و الضّعاف، فإنّ الستّة الاولی و إن کانوا یروون عن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غالبا، لکنّهم یروون عن غیرهما معها بکثیر أیضا، کما أنّ الطّبقتین ترویان عنهما مع الواسطة بکثیر، فلاحظ طبقات المشایخ تجد لهم مشایخ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هو مختار المحدّث النّوری الّذی بسط الکلام فی تقریره و توضیحه، بعد تسلیم أنّ المراد من الموصول هو الحدیث و المرویّ لا الحکایة و الرّوایة، و أنّ الصحّة وصف لمتن الحدیث لا لسنده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مختاره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إحراز صحّة الأحادیث عن طریق القرائن الخارجیّة، أمر محال عادة، فلا بدّ أن یستند ذلک الإحراز إلی القرائن الدّاخلیّة، و لیست هی إلاّ وثاقة هؤلاء و وثاقة من یروون عنه، هذا خلاصته و إلیک تفصیله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القرائن الّتی تشهد علی صدق الخبر إمّا داخلیة کوثاقة الرواة، و إمّا خارجیّة کوجود الخبر فی کتاب عرض علی الإمام، أو فی أصل معتبر، و لکنّ التّصحیح فی المقام یجب أن یکون مستندا إلی الجهة الاولی لا الثّانیة، لأنّ العلم بوثاقة هؤلاء و أنّهم لا یروون إلاّ عن ثقة أمر سهل، و أمّا الحکم بصحّة روایاتهم من جهة القرائن الخارجیّة، فأمر قریب من المحال حسب العادة، لأنّ العصابة حکموا بصحّة کلّ ما صحّ عن هؤلاء، من غیر تخصیص بکتاب أو أصل أو أحادیث معیّنة، و بالجملة حکموا بتصحیح الکلّ، و ما صحّ عنهم غیر </w:t>
      </w:r>
    </w:p>
    <w:p>
      <w:pPr>
        <w:pStyle w:val="BookText"/>
        <w:rPr/>
      </w:pPr>
      <w:r>
        <w:rPr>
          <w:rFonts w:ascii="IRNazanin" w:hAnsi="IRNazanin" w:eastAsia="IRNazanin"/>
          <w:color w:val="111111"/>
          <w:sz w:val="28"/>
          <w:sz w:val="28"/>
          <w:szCs w:val="28"/>
          <w:rtl w:val="true"/>
          <w:lang w:bidi="fa-IR"/>
        </w:rPr>
        <w:t>محصور لعدم انحصار روایاتهم بما فی کتبهم، و العلم باقتران هذه الرّوایات بها أمر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الحکم بصحّة روایات هؤلاء، لو کان مستندا إلی القرائن الدّاخلیة کوثاقة من یروون عنه، لکان لهذه الدعوی الکلیّة وجه، لإمکان إحراز دیدنهم علی أنّهم لا یروون إلاّ عن ثقة، کما هو المشهور فی حقّ ابن أبی عمیر و صفوان و البزنطی، و أمّا لو کان الحکم بالصحّة مستندا إلی القرائن الخارجیّة الّتی تفید الاطمئنان بصدق الخبر، فإحراز تلک القرائن فی عامّة ما یروونه من الأخبار، إنّما یصحّ إذا کانت أحادیثهم محصورة فی کتاب أو عند راو سمعها منهم، یمکن معه الاطّلاع علی الاقتران بالقرائن أو عدمه، و أمّا إذا لم یکن کذلک، فالحکم بصحّة کلّ ما صحّ عن هؤلاء من غیر تخصیص بکتاب أو أصل أو أحادیث معیّنة، یعدّ من المحالات العادیة، و لأجله یکون ذلک الاحتمال ساقطا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 إنّه یمکن احراز دیدن جماعة خاصّة و التزامهم بعدم الروایة إلاّ عن ثقة، فإذا صحّ الخبر إلی هؤلاء، یمکن الحکم بالصحّة لوثاقة من یروون عنه، لأجل الالتزام المحرز، و أمّا إحراز کون عامّة أخبارهم مقرونة بالقرائن حتّی یصحّ الحکم بصحّة أخبارهم من هذه الجهة، فإحراز تلک القرائن مع کثرة روایاتهم، و تشّتتها فی مختلف الأبواب و الکتب، محال عادة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معناه أنّ هؤلاء کانوا ملتزمین بنقل الرّوایات الّتی روتها الثّقات لهم، و کانوا یحترزون عن نقل الروایات إذا روتها الضعاف، و علی هذا یجب أن یتحرّزوا عن نقل الروایات المتواترة أو المستفیضة إذا کان رواتها ضعافا، و هذا ممّا لا یمکن المساعدة معه، إذ لا وجه لترک الروایة المتواترة أو المستفیضة و إن کان رواتها ضعافا أو مجاهیل، اذ لا تشترط الوثاقة فیهما، فبطل القول بأنّهم کانوا ملتزمین بنقل الرّوایات الّتی ترویها الثّقات فقط، و عندئذ کیف یمکن الحکم بوثاقة عامّة مشایخهم بمجرّد </w:t>
      </w:r>
    </w:p>
    <w:p>
      <w:pPr>
        <w:pStyle w:val="BookText"/>
        <w:rPr/>
      </w:pPr>
      <w:r>
        <w:rPr>
          <w:rFonts w:ascii="IRNazanin" w:hAnsi="IRNazanin" w:eastAsia="IRNazanin"/>
          <w:color w:val="111111"/>
          <w:sz w:val="28"/>
          <w:sz w:val="28"/>
          <w:szCs w:val="28"/>
          <w:rtl w:val="true"/>
          <w:lang w:bidi="fa-IR"/>
        </w:rPr>
        <w:t>الروایة عنهم، من أنّهم رووا عن الضّعاف فیما إذا کانت الروایة متواترة أو مستفیضة، و لا یمکن تفکیک المتواتر و المستفیض فی أیّامنا هذه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فی أخبار الآحاد الّتی نقلوها لا غیر، فإنّ الکلّ غالبا یتجلّی بشکل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حصر وجه الصحّة بالقرائن الخارجیّة بعید، کذلک حصر وجهها بالقرائن الداخلیّة الّتی منها وثاقة الراوی بعید مثله، و القول المتوسّط هو الأدقّ، و هو أنّهم کانوا ملتزمین بنقل الرّوایات الصحّیحة الثابت صدورها عن الإمام، إمّا من جهة القرائن الخارجیّة أو من جهة القرائن الداخلیة، و عندئذ لا یمکن الحکم بوثاقة مشایخهم، أعنی الّذین رووا عنهم إلی أن ینتهی إلی الإمام، لعدم التزامهم بخصوص وثاقة الراوی، بل کانوا یستندون إلی الأعمّ منها و من القرائن المورثة للاطمئنان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الاستبعاد الّذی بسط المحدّث النوری الکلام فیه، إنّما یتّجه لو قلنا باقتصارهم بما دلّت القرائن الخارجیّة علی صحّتها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هو توثیقهم و توثیق من بعدهم لکان علیه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وثاقة من نقل عنه واحد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من العبارات حتّی لا یشتبه المراد، و ما الدّاعی إلی ذکر تلک العبارة الّتی هی ظاهرة فی خلاف المقصود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اطّلاع العصابة علی جمیع الأفراد الّذین یروی هؤلاء الجماعة عنهم بلا واسطة و معها بعید فی الغایة لعدم تدوین کتب الحدیث و الرجال فی تلک الأعصار بنحو یصل الکلّ الی الکلّ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کان أحد الراویین مسندا و الآخر مرسلا، نظر فی حال المرسل، فإن کان ممّن یعلم أنّه لا یرسل </w:t>
      </w:r>
    </w:p>
    <w:p>
      <w:pPr>
        <w:pStyle w:val="BookText"/>
        <w:rPr/>
      </w:pPr>
      <w:r>
        <w:rPr>
          <w:rFonts w:ascii="IRNazanin" w:hAnsi="IRNazanin" w:eastAsia="IRNazanin"/>
          <w:color w:val="111111"/>
          <w:sz w:val="28"/>
          <w:sz w:val="28"/>
          <w:szCs w:val="28"/>
          <w:rtl w:val="true"/>
          <w:lang w:bidi="fa-IR"/>
        </w:rPr>
        <w:t>إلا عن ثقة موثوق به فلا ترجیح لخبر غیره علی خبره، و لأجل ذلک سوّت الطّائفة بین ما یرویه محمّد بن أبی عمیر</w:t>
      </w:r>
      <w:r>
        <w:rPr>
          <w:rStyle w:val="FootnoteAnchor"/>
          <w:rtl w:val="true"/>
        </w:rPr>
        <w:footnoteReference w:id="206"/>
      </w:r>
      <w:r>
        <w:rPr>
          <w:rFonts w:ascii="IRNazanin" w:hAnsi="IRNazanin" w:eastAsia="IRNazanin"/>
          <w:color w:val="111111"/>
          <w:sz w:val="28"/>
          <w:sz w:val="28"/>
          <w:szCs w:val="28"/>
          <w:rtl w:val="true"/>
          <w:lang w:bidi="fa-IR"/>
        </w:rPr>
        <w:t>و صفوان بن یحیی</w:t>
      </w:r>
      <w:r>
        <w:rPr>
          <w:rStyle w:val="FootnoteAnchor"/>
          <w:rtl w:val="true"/>
        </w:rPr>
        <w:footnoteReference w:id="207"/>
      </w:r>
      <w:r>
        <w:rPr>
          <w:rFonts w:ascii="IRNazanin" w:hAnsi="IRNazanin" w:eastAsia="IRNazanin"/>
          <w:color w:val="111111"/>
          <w:sz w:val="28"/>
          <w:sz w:val="28"/>
          <w:szCs w:val="28"/>
          <w:rtl w:val="true"/>
          <w:lang w:bidi="fa-IR"/>
        </w:rPr>
        <w:t>و أحمد بن محمّد بن أبی نصر</w:t>
      </w:r>
      <w:r>
        <w:rPr>
          <w:rStyle w:val="FootnoteAnchor"/>
          <w:rtl w:val="true"/>
        </w:rPr>
        <w:footnoteReference w:id="208"/>
      </w:r>
      <w:r>
        <w:rPr>
          <w:rFonts w:ascii="IRNazanin" w:hAnsi="IRNazanin" w:eastAsia="IRNazanin"/>
          <w:color w:val="111111"/>
          <w:sz w:val="28"/>
          <w:sz w:val="28"/>
          <w:szCs w:val="28"/>
          <w:rtl w:val="true"/>
          <w:lang w:bidi="fa-IR"/>
        </w:rPr>
        <w:t>و غیرهم من الثّقات الّذین عرفوا بأنّهم لا یروون و لا یرسلون إلاّ ممّن یوثق به، و بین ما أسنده غیرهم، و لذلک عملوا بمرسلهم إذا انفرد عن روایة غیرهم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النّوری 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المنصف المتأمّل فی هذا الکلام، لا یرتاب فی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الاجماع المعهودون، إذ لیس فی جمیع ثقات الرواة جماعة معروفون بصفة خاصّة مشترکون فیها، ممتازون بها عن غیرهم، غیر هؤلاء، فإنّ صریح کلامه أنّ فیهم جماعة معروفین عند الأصحاب بهذه الفضیلة، و لا تجد فی کتب هذا الفنّ من طبقة الثقات عصابة مشترکین فی فضیلة غیر هؤلاء، و منه یظهر أن ما اشتهر من أنّ الشّیخ ادّعی الإجماع علی أنّ ابن أبی عمیر و صفوان و البزنطی خاصّة لا یروون و لا یرسلون إلاّ عن ثقة، و شاع فی الکتب حتّی صار من مناقب الثّلاثة و عدّ من فضائلهم، خطأ محض منشأه عدم المراجعة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الصّریحة فی أنّ هذا من فضائل جماعة، و ذکر الثّلاثة من باب المثال</w:t>
      </w:r>
      <w:r>
        <w:rPr>
          <w:rFonts w:eastAsia="IRNazanin" w:cs="IRNazanin"/>
          <w:color w:val="111111"/>
          <w:sz w:val="28"/>
          <w:szCs w:val="28"/>
          <w:rtl w:val="true"/>
          <w:lang w:bidi="fa-IR"/>
        </w:rPr>
        <w:t>».</w:t>
      </w:r>
      <w:r>
        <w:rPr>
          <w:rStyle w:val="FootnoteAnchor"/>
          <w:rtl w:val="true"/>
        </w:rPr>
        <w:footnoteReference w:id="2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من عبارة الکشّی هو توثیق رجال السند بعد أصحاب الاجماع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 مراد الشّیخ من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الجماعة المعروفة بین الأصحاب بأنّهم لا یروون إلاّ عن ثقة و هم عبارة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بشیر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بن میمون الزعفرانی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الطاطری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فضّال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الکلام عن هؤلاء، و لا نظر لها إلی الفقهاء المعروفین من أصحاب الأئمّة الأربعة، و قد عرفت أنّ کلام الکشّی خال عن هذا العنوان و أنّه عرّفهم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تسمیة الفقهاء من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ثلاثة، و إنّما افیض علیهم هذا العنوان فی کلمات المتأخّرین و جعل موضوعا للبحث، و أمّا تخصیص الکشّی هؤلاء الجماعة بالبحث، فلأجل فقاهتهم و تبحّرهم فی الفقه، لما مرّ أنّ أکثر الروایات تنتهی إلیهم، و أمّا عدم ذکره أبا حمزة الثّمالی، و علیّ بن یقطین، و زکریّا بن آدم، و علیّ بن مهزیار فلقلّة روایة الثّلاثة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هذا البحث أیضا أنّ الحقّ هو المعنی الأوّل، و أنّ المراد هو تصدیقهم فیما یروون بلا واسطة، و تصدیق حکایاتهم و نقولهم فیما یروون، فهم فقهاء و علماء مصدّقون فی نقولهم، و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اجتمعا کما فی الطّبقتین الثانیة و الثالثة، أم افترقا کما فی الطّبقة الاولی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أبیت إلاّ عن تغایرهما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غیر ما یفیده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فالاحتمال الأوّل من المعنی الثانی، من تصحیح روایاتهم و حجّیتها هو المتعیّن، و المراد أنّ العصابة فی ظلّ التفحّص و التتبّع وقفت علی أنّ روایاتهم صحیحة إمّا لوثاقة رجال السّند بعد أصحاب الاجماع، أو لقرائن خارجیّة کما مرّت، و أمّا کون صحّتها لخصوص وثاقة رجال السند إلی أن ینتهی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المقصود فی الاحتمال الثانی و الثالث للمعنی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علی هذا فلیست العبارة مفیدة لقاعدة رجالیّة، هی أنّ مشایخ هؤلاء إلی الإمام ثقات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اخری؛ لا یستفاد منها أنّهم لا یروون إلاّ عن ثقة حتّی ینتهی السند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فلا یکون روایة أصحاب الاجماع عن شیخ دلیلا علی وثاقته، فإذا وقع ذلک الشیخ فی سند، و کان الراوی عنه غیرهم لا یحکم بوثاقته و صحّة السند، فما اشتهر بین المتأخّرین من تصحیح الإسناد إذا کان الراوی مهملا، بحجّة أنّه من مشایخ أصحاب الاجماع ممّا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من العلامة الشفتی</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الکشّی ذکر اتّفاق العصابة علی هؤلاء فی مواطن ثلاثة، و عرفت المحتملات المختلفة حول عبارته المردّدة بین کون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تصدیق هؤلاء فیما ینقلون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تصحیح صدور روایاتهم من المعصوم لأجل القرائن الداخلیة أو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توثیق مشایخهم إلی أن ینتهی السند، و علی کلّ تقدیر المراد من العبارة فی المواضع الثلاثة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یظهر من المحقّق الشفتی، التّفصیل بین العبارة الاولی و الثانیة و الثالثة، بأنّ المراد من الاولی هو تصحیح الحدیث و من الأخیرتین توثیقهم و توثیق مشایخهم إلی آخر السند، و لأجل ذلک اکتفی فی اولی العبارات بذکر التّصدیق من دون إضافة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الاخیرتین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فعل ذلک لأنّ الطّبقة الاولی یروون من الإمام بلا واسطة، و هذا بخلاف الواقعین فی الثّانیة و الثّالثة، فهم یروون بلا واسطة و معها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نشر الأحادیث لمّا کان فی زمن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روایات الطّبقة الاولی من أصحابهما غالبا عنهما من غیر واسطة، فیکفی للحکم بصحّة الحدیث تصدیقهم، و أمّا المذکورون فی الطّبقة الثانیة و الثالثة، فقد کانوا من أصحاب الصادق و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روایة الطّبقة الثانیة عن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 xml:space="preserve">الواسطة، و کانت الطبقة الثالثة کذلک بالنسبة الی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الحکم بتصدیقهم کافیا فی الحکم بالصّحة فما اکتفی بالتّصدیق 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روی کلّ من فی الطبقة الثانیة،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الطبقة الثالثة عن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أتی بتصدیقهم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التّصدیق فیما إذا کانت الروایة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واسطة و التّصحیح إذا کانت معها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تفسیر ذوقیّ لا یعتمد علی دلیل، بل الدّلیل علی خلافه،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أنّ روایة الطّبقة الاولی کانت عن الإمام بلا واسطة غالبا، غیر تامّ، یعرف بعد الوقوف علی مشایخهم فی الحدیث من أصحاب الأئمّة المتقدّمین کالسجّاد و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زرارة یروی عن ما یقرب من أربعة عشر شیخا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البزّاز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السری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أبی حفصة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عتبة الهاشمی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المختار الأنصاری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حنظلة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الیسع</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محمّد بن مسلم یروی عن ستّة مشایخ و 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الصباح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بن مسعود الطائی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برید بن معاویة یروی عن شیخ واحد و هو مالک بن اعین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الفضیل بن یسار یروی عن شیخین 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النقاض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المختار الأنصاری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معروف بن خرّبوذ یروی عن شیخین 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الطّفیل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بن المستور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أبو بصیر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أو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عمران بن میثم أو صالح بن میثم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کیف یمکن أن یقال إنّ مرویّاتهم عن الأئمّة بلا واسطة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ما ذکره لوجب علیه التّصریح بذلک، فإنّ ما ذکره لیس أمرا ظاهرا متبادرا من العبارة، و الظّاهر فی الجمیع تصدیقهم فیما یقولون و یحکون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الرواة و صفوا فی کتب الرجال بصحّة الحدیث، کما نجده فی حقّ الأفراد التالیة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نصر بن القعقاع الجعفی، روی عن أبی عبد اللّه و أبی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أحمد بن الحسن بن إسماعیل بن شعیب بن میثم التمّار الکوفی،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حمزة أنس بن عیاض اللّیثی،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جعفر بن أحمد بن أیوب السمرقندی،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بقاح الکوفی، ثقة مشهور،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النعمان الأعلم، ثقة، ثبت، له کتاب نوادر،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سهل صدقة بن بندار القمّی،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الصلت الهروی عبد السلام بن صالح، 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إبراهیم بن محمّد الجوانی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الکوفی،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عمران بن علی بن أبی شعبة الحلبی ثقة ثقة، صحیح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محمّد بن جعفر الأسدی الرازی، کان ثقة، صحیح الحدیث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الجماعة عرّفوا فی کتب الرجال بصحّة الحدیث، و لا یمکن الحکم بصحّة حدیث راو علی الاطلاق، إلاّ من جهة وثاقته و وثاقة من بعده إلی </w:t>
      </w:r>
    </w:p>
    <w:p>
      <w:pPr>
        <w:pStyle w:val="BookText"/>
        <w:rPr/>
      </w:pPr>
      <w:r>
        <w:rPr>
          <w:rFonts w:ascii="IRNazanin" w:hAnsi="IRNazanin" w:eastAsia="IRNazanin"/>
          <w:color w:val="111111"/>
          <w:sz w:val="28"/>
          <w:sz w:val="28"/>
          <w:szCs w:val="28"/>
          <w:rtl w:val="true"/>
          <w:lang w:bidi="fa-IR"/>
        </w:rPr>
        <w:t>المعصوم، و احتمال کونه من جهة القرائن فاسد کما مرّ، و لا فرق بینهم و بین أصحاب الاجماع إلاّ من جهة الاجماع فی هؤلاء دونهم، و هم جماعة أیضا کما عرفت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وثاقة نفس هؤلاء فممّا لا یخفی علی أحد، و قد عدّه الشهید الثّانی من الألفاظ الدالّة علی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بدایة الدرایة و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الحدیث، یقتضی کونه ثقة ضابطا ففیه زیادة 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إلیه أنّه غیر محتاج إلیه، لوجود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هؤلاء إلاّ فی مورد السّمرقندی و ابن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دلالته علی وثاقة مشایخهم سواء کانت بلا واسطة أو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المحدّث النوری دلالتها علی وثاقة المشایخ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إنّما یتمّ ما استظهره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قرینة علی کون المراد صحّة أحادیث کتبه، لا وثاقة مشایخه، کما ورد فی حقّ الحسین بن عبید اللّه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 صحیحة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الحمل علی الموجود فی الکتاب، و مثله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الحدیث إلاّ أنّه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حقّ أبی الحسین الأسدی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لو ثبت ما یدّعیه ذلک المحدّث، لزم تعدیل کثیر من المهملین و المجهولین، فتبلغ عدد المعدّلین بهذه الطریقة إلی مبلغ کبیر و الاعتماد علی ذلک مشکل جدّا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صحّة الحدیث کما تحرز عن طریق وثاقة الراوی، تحرز عن طریق القرائن الخارجیّة، فالقول بأنّ إحراز صحّة أحادیث هؤلاء کانت مستندة إلی وثاقة مشایخهم فقط، لیس له وجه، کالقول بأنّ إحرازها کان </w:t>
      </w:r>
    </w:p>
    <w:p>
      <w:pPr>
        <w:pStyle w:val="BookText"/>
        <w:rPr/>
      </w:pPr>
      <w:r>
        <w:rPr>
          <w:rFonts w:ascii="IRNazanin" w:hAnsi="IRNazanin" w:eastAsia="IRNazanin"/>
          <w:color w:val="111111"/>
          <w:sz w:val="28"/>
          <w:sz w:val="28"/>
          <w:szCs w:val="28"/>
          <w:rtl w:val="true"/>
          <w:lang w:bidi="fa-IR"/>
        </w:rPr>
        <w:t>مستندا إلی القرائن، بل الحقّ أنّ الاحراز کان مستندا إلی الوثاقة تارة و إلی القرائن اخری، و مع هذا العلم الاجمالی کیف یمکن إحراز وثاقة المشایخ بصحّة الأحادیث مع أنّها 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یمکن أن یقال ما أفاده بعض الأجلّة من التفصیل بین الإکثار عن شیخ و عدمه، فإذا کثر نقل الثّقة عن رجل، و وصف أحادیث ذلک الثقة بالصحّة، یستکشف کون الإحراز مستندا إلی وثاقة الشیخ، إذ من البعید إحراز القرینة فی واحد واحد من المجموعة الکبیرة من الأحادیث، و هذا بخلاف ما إذا قلّ النّقل عنه و وصف أحادیثه بالصحّة، فمن الممکن جدّا إحراز القرینة فی العدد القلیل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 بأنّ الصحّة من أوصاف المتن و المضمون، و إلاّ فمن الممکن القول بأنّها من أوصاف نفس النّقل و التحدّث و الحکایة، و أنّ المقصود منها کونه صدوقا فی النّقل و صادقا فی الحکایة فی کلّ ما یحکیه، کما ذکرناه فی أصحاب الإجماع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یدفع الاحتمال الثانی للمعنی الثانی روایة أصحاب الإجماع عن الضعفاء و المطعونین، و معها کیف یمکن القول بأنّهم لا یروون إلاّ عن الثقة و إلیک بعض ما یدلّ علی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أوصی و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إقرار بعض الورثة بدین فی کتاب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زکریّا بن یحیی الشعیری، عن الحکم بن عتیبة</w:t>
      </w:r>
      <w:r>
        <w:rPr>
          <w:rStyle w:val="FootnoteAnchor"/>
          <w:rtl w:val="true"/>
        </w:rPr>
        <w:footnoteReference w:id="221"/>
      </w:r>
      <w:r>
        <w:rPr>
          <w:rFonts w:ascii="IRNazanin" w:hAnsi="IRNazanin" w:eastAsia="IRNazanin"/>
          <w:color w:val="111111"/>
          <w:sz w:val="28"/>
          <w:sz w:val="28"/>
          <w:szCs w:val="28"/>
          <w:rtl w:val="true"/>
          <w:lang w:bidi="fa-IR"/>
        </w:rPr>
        <w:t>و قد ورد عدّة روایات فی ذمّه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الشیخ فی الفهرس أنّ یونس بن عبد الرحمن روی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 الأزدی البصری قاضی الری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قد ضعّفه الشیخ و النّجاشی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سیوافیک بعض القول فی ذلک عند الکلام فی أنّ ابن أبی عمیر و صفوان بن یحیی و أحمد بن محمّد بن أبی نصر البزنطی لا یروون و لا یرسلون إلاّ عن ثقة، فانتظر</w:t>
      </w:r>
      <w:r>
        <w:rPr>
          <w:rFonts w:eastAsia="IRNazanin" w:cs="IRNazanin"/>
          <w:color w:val="111111"/>
          <w:sz w:val="28"/>
          <w:szCs w:val="28"/>
          <w:rtl w:val="true"/>
          <w:lang w:bidi="fa-IR"/>
        </w:rPr>
        <w:t xml:space="preserve">. </w:t>
      </w:r>
      <w:bookmarkStart w:id="364" w:name="pg2858_19611"/>
    </w:p>
    <w:p>
      <w:pPr>
        <w:pStyle w:val="Heading3"/>
        <w:numPr>
          <w:ilvl w:val="2"/>
          <w:numId w:val="1"/>
        </w:numPr>
        <w:rPr/>
      </w:pPr>
      <w:bookmarkStart w:id="365" w:name="__RefHeading___Toc2760038_1395250215"/>
      <w:bookmarkStart w:id="366" w:name="_Toc123"/>
      <w:bookmarkEnd w:id="364"/>
      <w:bookmarkEnd w:id="365"/>
      <w:r>
        <w:rPr/>
        <w:t>2</w:t>
      </w:r>
      <w:r>
        <w:rPr>
          <w:rtl w:val="true"/>
        </w:rPr>
        <w:t xml:space="preserve"> - </w:t>
      </w:r>
      <w:r>
        <w:rPr>
          <w:rtl w:val="true"/>
        </w:rPr>
        <w:t>مشایخ الثقات</w:t>
      </w:r>
      <w:bookmarkEnd w:id="366"/>
    </w:p>
    <w:p>
      <w:pPr>
        <w:pStyle w:val="Heading4"/>
        <w:numPr>
          <w:ilvl w:val="3"/>
          <w:numId w:val="1"/>
        </w:numPr>
        <w:rPr/>
      </w:pPr>
      <w:bookmarkStart w:id="367" w:name="__RefHeading___Toc2760040_1395250215"/>
      <w:bookmarkStart w:id="368" w:name="_Toc124"/>
      <w:bookmarkEnd w:id="367"/>
      <w:r>
        <w:rPr>
          <w:rtl w:val="true"/>
        </w:rPr>
        <w:t>اشارة</w:t>
      </w:r>
      <w:bookmarkEnd w:id="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أبی نصر البزنطی</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 عرفت أنّ التّوثیق ینقسم إلی توثیق خاصّ، و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التّوثیق راجعا إلی شخص معیّن، فهو توثیق خاصّ، و لو کان راجعا إلی توثیق عدّة تحت ضابطة فهو توثیق عامّ، و قد عدّ من الثّانی ما ذکره الکشّی حول جماعة اشتهرت بأصحاب الإجماع، و قد عرفت مدی صحّته و أنّ العبارة لا تهدف إلاّ إلی وثاقتهم، لا إلی صحّة أخبارهم، و لا إلی وثاقة 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اشتهر بین الأصحاب من أنّ محمّد بن أبی عمیر، و صفوان بن یحیی، و أحمد بن محمّد بن أبی نصر البزنطی، لا یروون و لا یرسلون إلاّ عن ثقة، فیترتّب علی ذلک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 من روی عنه هؤلاء فهو محکوم بالوثاقة، و هذه نتیجة رجالیّة تترتّب علی هذه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یؤخذ بمراسیلهم کما یؤخذ بمسانیدهم و إن کانت الواسطة مجهولة، أو مهملة، أو محذوفة، و هذه نتیجة اصولیّة تترتّب علیها، و هی غیر النّتیجة الاولی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جمعا من المحقّقین القدامی و المعاصرین، قد طرحوا هذه القاعدة علی بساط البحث فکشفوا عن حقائق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bookmarkStart w:id="369" w:name="pg2858_19614"/>
    </w:p>
    <w:p>
      <w:pPr>
        <w:pStyle w:val="BookText"/>
        <w:rPr/>
      </w:pPr>
      <w:bookmarkEnd w:id="36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رجال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مشایخ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کتاب قیّم الّف حول القاعدة و طبع 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و الکتاب کلّه حول القاعدة و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بعض الأجلّة فی دروسه الشّریفة غنی و کفایة فشکر اللّه مساعیهم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فی هذا نستضیء من أنوار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الماضین من علمائنا و حفظ الباقین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ذلک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أحد الرّاویین مسندا و الآخر مرسلا، نظر فی حال المرسل، فإن کان ممّن یعلم أنّه لا یرسل إلاّ عن ثقة موثوق به، فلا ترجیح لخبر غیره علی خبره، و لأجل ذلک سوّت الطّائفة بین ما یرویه محمّد بن أبی عمیر، و صفوان بن یحیی، و أحمد بن محمّد بن أبی نصر و غیرهم من الثّقات الّذین عرفوا بأنّهم لا یروون و لا یرسلون إلاّ عمّن یوثق به، و بین ما أسنده غیرهم، و لذلک عملوا بمراسیلهم إذا انفردوا عن روایة غیرهم، فأمّا إذا لم یکن کذلک و یکون ممن یرسل عن ثقة و عن غیر ثقة فإنّه یقدّم خبر غیره علیه، و إذا انفرد وجب التوقّف فی خبره إلی أن یدلّ دلیل علی وجوب العمل به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تحقیق الحال یتوقّف علی البحث عن هذه الشخصیّات الثلاث واحدا بعد واحد و إلیک البیان</w:t>
      </w:r>
      <w:r>
        <w:rPr>
          <w:rFonts w:eastAsia="IRNazanin" w:cs="IRNazanin"/>
          <w:color w:val="111111"/>
          <w:sz w:val="28"/>
          <w:szCs w:val="28"/>
          <w:rtl w:val="true"/>
          <w:lang w:bidi="fa-IR"/>
        </w:rPr>
        <w:t>:</w:t>
      </w:r>
    </w:p>
    <w:p>
      <w:pPr>
        <w:pStyle w:val="Heading4"/>
        <w:numPr>
          <w:ilvl w:val="3"/>
          <w:numId w:val="1"/>
        </w:numPr>
        <w:rPr/>
      </w:pPr>
      <w:bookmarkStart w:id="370" w:name="__RefHeading___Toc2760042_1395250215"/>
      <w:bookmarkStart w:id="371" w:name="_Toc125"/>
      <w:bookmarkEnd w:id="370"/>
      <w:r>
        <w:rPr/>
        <w:t>1</w:t>
      </w:r>
      <w:r>
        <w:rPr>
          <w:rtl w:val="true"/>
        </w:rPr>
        <w:t xml:space="preserve"> - </w:t>
      </w:r>
      <w:r>
        <w:rPr>
          <w:rtl w:val="true"/>
        </w:rPr>
        <w:t xml:space="preserve">ابن أبی عمیر </w:t>
      </w:r>
      <w:r>
        <w:rPr>
          <w:rtl w:val="true"/>
        </w:rPr>
        <w:t>(</w:t>
      </w:r>
      <w:r>
        <w:rPr>
          <w:rtl w:val="true"/>
        </w:rPr>
        <w:t xml:space="preserve">المتوفی عام </w:t>
      </w:r>
      <w:r>
        <w:rPr/>
        <w:t>217</w:t>
      </w:r>
      <w:r>
        <w:rPr>
          <w:rtl w:val="true"/>
        </w:rPr>
        <w:t>)</w:t>
      </w:r>
      <w:bookmarkEnd w:id="371"/>
    </w:p>
    <w:p>
      <w:pPr>
        <w:pStyle w:val="Heading5"/>
        <w:numPr>
          <w:ilvl w:val="4"/>
          <w:numId w:val="1"/>
        </w:numPr>
        <w:rPr/>
      </w:pPr>
      <w:bookmarkStart w:id="372" w:name="__RefHeading___Toc2760044_1395250215"/>
      <w:bookmarkStart w:id="373" w:name="_Toc126"/>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قد یعبّر عنه بابن أبی عمیر تارة، و بمحمّد بن زیاد البّزاز أو الأزدی اخری، و بمحمّد بن أبی عمیر ثالثة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أنّه یترتّب علی تلک الدّعوی نتیجتان مهمّتان، فلأجل ذلک </w:t>
      </w:r>
    </w:p>
    <w:p>
      <w:pPr>
        <w:pStyle w:val="BookText"/>
        <w:rPr/>
      </w:pPr>
      <w:r>
        <w:rPr>
          <w:rFonts w:ascii="IRNazanin" w:hAnsi="IRNazanin" w:eastAsia="IRNazanin"/>
          <w:color w:val="111111"/>
          <w:sz w:val="28"/>
          <w:sz w:val="28"/>
          <w:szCs w:val="28"/>
          <w:rtl w:val="true"/>
          <w:lang w:bidi="fa-IR"/>
        </w:rPr>
        <w:t>نقدّم لتحقیقها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عمیر کما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محمّد بن أبی عمیر زیاد بن عیسی، أبو أحمد الأزدی، من موالی المهلّب بن أبی صفرة، بغدادیّ الأصل و المقام، لقی أبا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 أحادیث، کنّاه فی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و 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 فینا و عند المخالفین، الجاحظ یحکی عنه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فی المفاخرة بین العدنانیّة و القحطانیّة،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داحة، عن ابن أبی عمیر، و کان وجها من وجوه الرافضة، و کان حبس فی أیّام الرّشید فقیل لیلی القضاء، و قیل إنّه ولی بعد ذلک، و قیل بل لیدلّ علی مواضع الشّیعة، و أصحاب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أنّه ضرب أسواطا بلغت منه الی حدّ کاد أن یقرّ لعظیم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محمّد بن یونس بن عبد الرّحمن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محمّد بن أبی عمیر، فصبر، ففرّج اللّه عنه، و روی أنّه حبسه المأمون حتّی ولاّه قضاء بعض البلاد،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اخته دفنت کتبه فی حال استتاره و کونه فی الحبس أربع سنین فهلکت الکتب،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ترکتها فی غرفة فسال علیها المطر فهلکت، فحدّث من حفظه، و ممّا کان سلف له فی أیدی النّاس، و لهذا أصحابنا یسکنون إلی مراسیله، و قد صنّف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النجاشی عن أحمد بن محمّد بن خالد أنّ ابن أبی عمیر صنّف أربعة و تسعین کتابا منها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سبع عشرة و مائتین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أوثق النّاس عند الخاصّة و العامّة، و أنسکهم نسکا، و أورعهم و أعبدهم، و قد ذکره الجاحظ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قحطان علی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أوحد أهل زمانه فی الأشیاء کلّها و أدرک من </w:t>
      </w:r>
    </w:p>
    <w:p>
      <w:pPr>
        <w:pStyle w:val="BookText"/>
        <w:rPr/>
      </w:pPr>
      <w:r>
        <w:rPr>
          <w:rFonts w:ascii="IRNazanin" w:hAnsi="IRNazanin" w:eastAsia="IRNazanin"/>
          <w:color w:val="111111"/>
          <w:sz w:val="28"/>
          <w:sz w:val="28"/>
          <w:szCs w:val="28"/>
          <w:rtl w:val="true"/>
          <w:lang w:bidi="fa-IR"/>
        </w:rPr>
        <w:t>الأئمّة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ابراهیم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أحمد بن محمّد بن عیسی کتب مائة رجل من رجال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الشّیخ علی التّسویة، لا تقصر عن شهادة الکشّی علی إجماع العصابة علی تصحیح ما یصحّ عن جماعة، فلو کانت الشهادة الثانیة مأخوذا بها، فالاولی مثلها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التزام هؤلاء بالنقل عن الثقات أمرا غریبا، إذ لهم نظراء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سیوافیک بیانهم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القمی، و جعفر بن بشیر البجلی، و محمّد بن إسماعیل بن میمون الزعفرانی، و علیّ بن الحسن الطاطری، و الرجالی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الذین اشتهروا بعدم النّقل إلاّ عن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اطّلاع الشیخ علی هذه التسویة، فلأنّه کان رجلا بصیرا بأحوال الرواة و حالات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یعرب عن ذلک ما ذکره فی العدّة عند البحث عن حجیّة خبر الواحد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الطّائفة میّزت الرجال الناقلة لهذه الأخبار، فوثّقت الثقات منهم، و ضعّفت الضعفاء، و فرّقوا بین من یعتمد علی حدیثه و روایته، و من لا یعتمد علی خبره، و مدحوا الممدوح منهم، و ذمّوا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فلان متّهم فی حدیثه، و فلان کذّاب، و فلان مخلّط، و فلان مخالف فی المذهب و الاعتقاد، و فلان واقفیّ، و فلان فطحیّ، و غیر ذلک من الطّعون الّتی ذکروها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العبارة و نظائرها، تعرب عن تبحّر الشّیخ فی معرفة الرواة وسعة </w:t>
      </w:r>
    </w:p>
    <w:p>
      <w:pPr>
        <w:pStyle w:val="BookText"/>
        <w:rPr/>
      </w:pPr>
      <w:r>
        <w:rPr>
          <w:rFonts w:ascii="IRNazanin" w:hAnsi="IRNazanin" w:eastAsia="IRNazanin"/>
          <w:color w:val="111111"/>
          <w:sz w:val="28"/>
          <w:sz w:val="28"/>
          <w:szCs w:val="28"/>
          <w:rtl w:val="true"/>
          <w:lang w:bidi="fa-IR"/>
        </w:rPr>
        <w:t>اطّلاعه فی ذلک المضمار، فلا غرو فی أن یتفرّد بمثل هذه التّسویة، و ان لم ینقلها أحد من معاصریه، و لا المتأخّرون عنه إلی القرن السابع إلاّ النجاشی، فقد صرّح بما ذکره فی خصوص ابن أبی عمیر من الرجال الثّلاثة،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اطّلع الشیخ علی نظریّة مجموعة کبیرة من علماء الطّائفة و فقهائهم فی مورد هؤلاء الثّلاثة و أنّهم کانوا یسوّون بین مسانیدهم و مراسیلهم، و هذا یکفی فی الحجّیة، و مفادها توثیق جمیع مشایخ هؤلاء، و قد عرفت أنّه لا یحتاج فی التزکیة إلی أزید من واحد أو اثنین، فالشیخ یحکی اطّلاعه عن عدد کبیر من العلماء، یزکّون عامّة مشایخ ابن أبی عمیر، و لأجل ذلک یسوّون بین مراسیله و مسانیده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السابر فی فهرس الشیخ و رجاله یذعن بإحاطته بالفهارس و کتب الرّجال، و أحوال الرواة، و أنّه کانت تحضره مجموعة کبیرة من کتب الرجال و الفهارس و کان فی نقضه و إبرامه و تعدیله و جرحه، یصدر عن الکتب الّتی کانت تحضره، أو الآراء و النّظریات الّتی کان یسمعها من مشایخه و 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نجد التّصریح بالتسویة من علماء القرن السّابع إلی هذه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أتی المحّدث المتتبّع النوری بأسماء و تصریحات عدّة من هذه الثّلّة ممّن صرّحوا بالقاعدة، و نحن نأتی بما نقله ذلک المتتبّع، بتصرّف یسیر، مع تعیین مصادر النقل بقدر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فی فلاح السائل بعد نقل حدیث عن أمالی الصّدوق، بسند ینتهی إلی محمّد بن أبی عمیر، عمّن سمع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اللّه من عصاه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 ثقات بالاتّفاق و مراسیل محمّد بن أبی عمیر کالمسانید عند أهل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خلاف ذلک من أخیه، جمال الدین السید أحمد بن طاووس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المحقّق فی المعتبر فی بحث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أبی عمیر عن بعض أصحابنا،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ألف و مائتا رطل، و علی هذه عمل الأصحاب و لا طعن فی هذه بطریق الإرسال، لعمل الأصحاب بمراسیل ابن أبی عمیر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الفاضل الآبی فی کشف الرّموز الّذی هو شرح للمختصر النافع فی روایة مرسلة لابن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و إن کانت مرسلة، لکنّ الأصحاب تعمل بمراسیل ابن أبی عمیر،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ینقل إلاّ معتمدا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صرّح بصحّة القاعدة من علماء القرن الثّامن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فی النهایة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المنع إلاّ إذا عرف أنّ الراوی فیه لا یرسل إلاّ عن عدل کمراسیل محمّد بن أبی عمیر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عمید الدین الحلّی ابن اخت العلاّمة الحلّی و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 فی 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فی 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بحث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اختیار المصنّف المنع من کونه حجّة ما لم یعلم أنّه لا یرسل إلاّ عن عدل کمراسیل محمّد بن أبی عمیر من الامامیّة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فی أحکام أقسام الخبر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 مرسله معلوم التحرّز عن الروایة عن مجروح، و لهذا قبلت الأصحاب </w:t>
      </w:r>
    </w:p>
    <w:p>
      <w:pPr>
        <w:pStyle w:val="BookText"/>
        <w:rPr/>
      </w:pPr>
      <w:r>
        <w:rPr>
          <w:rFonts w:ascii="IRNazanin" w:hAnsi="IRNazanin" w:eastAsia="IRNazanin"/>
          <w:color w:val="111111"/>
          <w:sz w:val="28"/>
          <w:sz w:val="28"/>
          <w:szCs w:val="28"/>
          <w:rtl w:val="true"/>
          <w:lang w:bidi="fa-IR"/>
        </w:rPr>
        <w:t>مراسیل ابن أبی عمیر، و صفوان بن یحیی، و أحمد بن أبی نصر البزنطی لأنّهم لا یرسلون إلاّ عن ثقة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صرّح بها من علماء القرن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وزن الکرّ بعد نقل روایة ابن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یضعّفها الإرسال، لعلمهم بمراسیل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صرّح بها من علماء القرن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الثانی، علیّ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الروایتان صحیحتان من مراسیل ابن أبی عمیر الملحقة بالمسانید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الدرایة و شرحها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لیس بحجّة مطلقا علی الأصحّ، إلاّ أن یعلم تحرّز مرسله عن الروایة عن غیر الثقة، کابن أبی عمیر من أصحابنا، علی ما ذکره کثیر، و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الشافعی، فیقبل مرسله و یصیر فی قوّة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صرّح بها من علماء القرن الحادی عشر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الاسترآبادی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هذا حاصله</w:t>
      </w:r>
      <w:r>
        <w:rPr>
          <w:rStyle w:val="FootnoteAnchor"/>
          <w:rtl w:val="true"/>
        </w:rPr>
        <w:footnoteReference w:id="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عمر ثقة عند النّجاشی و ضعّفه ابن الغضائری و یرجّح الأوّل بروایة ابن أبی عمیر عنه بواسطة حمّاد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الأغرّ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روایته و یعتد بها لأجل روایة ابن أبی عمیر و صفوان، عنه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جعل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ابن أبی عمیر کمسانیده فی الاعتماد علیها، لما علموا من عادته أنّه لا یرسل إلاّ عن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نقل کلام الشیخ الطوسی، المحّدث الحرّ العاملی فی خاتمة الوسائل فی الفائدة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الوحید البهبهانی فی تعلیقته علی منهج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روایة صفوان بن یحیی و ابن أبی عمیر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أمارة الوثاقة لقول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لا یرویان إلاّ عن ثقة، و الفاضل الخراسانی فی ذخیرته جری علی هذا المسلک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الشیخ عبد النّبی بن علیّ بن أحمد بن الجواد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فی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الإسکاف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السبزواری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یوثّقه علماء الرجال إلاّ أنّ له کتابا یرویه ابن أبی عمیر و یستفاد من ذلک توثیقه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المتتبّع النّوری نقل عن مفاتیح السیّد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الأصحاب علی العمل بمراسیله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اکتفینا بهذا القدر من نصوص القوم و تجد التضافر علیها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نری حاجة لذکر نصوصهم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ثلّة من المحقّقین استشکلوا فی هذه التّسویة و سیوافیک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دعوی غیر الشّیخ و النّجاشی من باب التبعیّة لهما، و أنّ الاشتهار فی الأعصار المتأخّرة من القرن السابع إلی العصر الحاضر، کان من باب حسن الظّنّ بدعوی شیخ الطّائفة و زمیله النّجاشی، لا من باب التتبّع فی أحوال مشایخه و الوقوف علی أنّه لا یروی إلاّ عن ثقة، و علی ذلک فما ذکره المحدّث النّوری من بلوغ دعوی الإجماع إلی الاستفاضة و إمکان علمهم بذلک بأخباره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المحفوفة بالقرائن أو بتتبّعهم فی حال مشایخه المحصورین أو بهما، ممّا لا یمکن 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فلا یضرّ ما ذکرناه بحجّیة دعوی الشّیخ، فإنّه و إن کان لا یثبت به اتّفاق علماء الامامیّة علی التسویة، و لکن یثبت به توثیق المشهور لمشایخ ابن أبی عمیر، و أنّه کانت هناک شخصیّات یزکّون جمیع مشایخه، و لأجله یعاملون مع جمیع مراسیله معاملة المسانید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هناک ثلّة من العلماء لم یأخذوا بهذه التّسویة، و لم یقولوا بحجّیة مراسیله، منهم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الطّائفة، فی غیر موضع من تهذیبه و استبصاره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رواه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لی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 ستّمائة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مرسل غیر مسند، و مع ذلک مضادّ للاحادیث الّتی رویناها</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بیع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أبی عمیر عن أبان بن عثمان، عن بعض أصحابنا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غیر مسند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میراث من علا من الآباء و هبط من الأولاد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الخبر الأوّل مرسل مقطوع الاسناد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رکن إلیه فی اخریات حیاته، و کأنّه عدل عما ذکره فی التّهذیب و الاستبصار، و کیف لا، و قد قام بتألیف التّهذیب کالشّرح لمقنعة استاذه المفید فی زهرة شبابه و فی أواسط العقد الثّالث من عمره، حیث ولد الشیخ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 توفّی استاذه المفید عام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 هو یدعو له فی کتابی الطّهارة و الصّلاة بعد نقل عبارته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یعرب عن أنّه شرع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حوالی خمس و عشرین سنة أو أزید بقلیل، بینما هو فی زمان ألّف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فحلا فی الفقه و الرّجال، و عارفا بکلمات الأصحاب و أنظارهم حول الشخصیّات الحدیثیّة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المحدّث النّوری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الطّعن فی السند لمکان الإرسال و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ابن أبی عمیر تعمل بها الأصحاب، منعنا ذلک، لأنّ فی رجاله من طعن الأصحاب فیه، فاذا أرسل احتمل أن یکون الرّاوی أحدهم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الشیخ البهائی فی وجیزته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روایته أحیانا عن غیر الثّقة، لا یقدح فی ذلک کما یظنّ، لأنّهم ذکروا أنّه لا یرسل إلاّ عن ثقة، لا أنّه لا یروی إلاّ عن ثقة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لا یخفی أنّ ما ذکره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ینطبق مع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عرفوا بأنّهم لا یروون و لا یرسلون إلاّ ممن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فهؤلاء کما لا یرسلون إلاّ عن ثقة، فهکذا لا یروون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فلو وجد مورد أو موارد أنّهم نقلوا عن المطعونین، لبطلت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الکلام فی روایته عن بعض المطعونین فی بحث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جمال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خلافه الشهید الثانی فی درایته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درایته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تحقّق هذا المعنی و هو العلم بکون المرسل لا یروی إلاّ عن الثّقة،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وجهه</w:t>
      </w:r>
      <w:r>
        <w:rPr>
          <w:rStyle w:val="FootnoteAnchor"/>
          <w:rtl w:val="true"/>
        </w:rPr>
        <w:footnoteReference w:id="242"/>
      </w:r>
      <w:r>
        <w:rPr>
          <w:rFonts w:ascii="IRNazanin" w:hAnsi="IRNazanin" w:eastAsia="IRNazanin"/>
          <w:color w:val="111111"/>
          <w:sz w:val="28"/>
          <w:sz w:val="28"/>
          <w:szCs w:val="28"/>
          <w:rtl w:val="true"/>
          <w:lang w:bidi="fa-IR"/>
        </w:rPr>
        <w:t xml:space="preserve">و سیوافیک لبّ إشکاله عند البحث عن إشکالات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صاحب المدارک سبط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الشهید الثانی،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استشکل فی حجّیة مراسیله</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فلیرجع الی معالمه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المتتبّع فی أسانید الکتب الأربعة و غیرها، یقضّی بکثرة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أنهاها بعض الأجلّة إلی أربعمائة و عشرة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الشیخ فی الفهرس أنّه روی عنه أحمد بن محمّد بن عیسی القمّی کتب مائة رجل من رجال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المتتبّع فی الأسانید یقف علی هذه الکتب و مؤلّفیها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تقدیر؛ فلو ثبت ما ادّعاه الشیخ و النّجاشی، لثبت وثاقة جمع </w:t>
      </w:r>
    </w:p>
    <w:p>
      <w:pPr>
        <w:pStyle w:val="BookText"/>
        <w:rPr/>
      </w:pPr>
      <w:r>
        <w:rPr>
          <w:rFonts w:ascii="IRNazanin" w:hAnsi="IRNazanin" w:eastAsia="IRNazanin"/>
          <w:color w:val="111111"/>
          <w:sz w:val="28"/>
          <w:sz w:val="28"/>
          <w:szCs w:val="28"/>
          <w:rtl w:val="true"/>
          <w:lang w:bidi="fa-IR"/>
        </w:rPr>
        <w:t>کثیر من مشایخه، و إنّما المهمّ هو الوقوف علی مشایخه بأسمائهم و خصوصیّاتهم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المتتبّع النّوری منهم مائة و ثلاثة عشر شیخا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حضرنی عاجلا و لعلّ المتتبّع فی الطّرق و الأسانید یقف علی أزید من هذا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أمّا المائة کتاب الّتی رواها عنه أحمد بن محمّد بن عیسی، فتعلم من المراجعة إلی فهرس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أنهاهم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رقم الترجمة </w:t>
      </w:r>
      <w:r>
        <w:rPr>
          <w:rFonts w:eastAsia="IRNazanin" w:cs="IRNazanin"/>
          <w:color w:val="111111"/>
          <w:sz w:val="28"/>
          <w:szCs w:val="28"/>
          <w:lang w:bidi="fa-IR"/>
        </w:rPr>
        <w:t>14997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یقارب المائتین و سبعین شیخا بعد حذف المکرّرات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مشایخ الثقات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و صفوان و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من ورد فیه توثیق بالخصوص، فبلغ ثلاثمائة و واحدا و ستّین 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أحسن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أتحف لمن بعده، بوضع فهرس خاصّ لمشیخة کلّ واحد من هؤلاء الثّلاثة، مع تعیین مصادرها فی المجامع الحدیثیّة فبلغ ثلاثمائة و سبعة و تسعین شیخا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الباحث یقف علی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بعض الأجلّة أنهی أساتذته إلی أربعمائة و عشرة مشایخ</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یعرب عن تضلّع ابن أبی عمیر فی علم الحدیث و بلوغه القمّة فی ذلک العلم، حتّی توفّق للأخذ عن هذه المجموعة الکبیرة و قد عرفت أنّ أحمد بن محمّد بن عیسی قد نقل بواسطته مائة کتاب لمشایخ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 فی فهرسه الّذی وضعه لبیان مشایخ ابن أبی عمیر، اناسا من مشایخه و لیسوا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المنشأ له، إمّا سقم النّسخة و عدم صحّتها، أو عدم التدبّر الکافی فی ألفاظ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هنا یعطی استعدادا للقاریء، للإجابة عن بعض النقوض المتوجّهة إلی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الحرّ العاملی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الصفّار، عن یعقوب بن یزید، عن محمّد بن أبی عمیر، عن محمّد بن سنان، عمّن ذکره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نبیّا من الأنبیاء بعثه اللّه إلی قومه فأخذوه فسلخوا فروة رأسه و وجهه، فأتاه 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إلیک فمرنی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اسوة بما یصنع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 محمّد بن سنان من مشایخ ابن أبی عمیر استنادا إلی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الاستظهار غیر تامّ، فإنّ محمّد بن سنان من معاصری ابن أبی عمیر، لا من مشایخه و قد توفّی ابن سنان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ابن أبی عمیر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فطبع الحال یقتضی أن لا یروی عن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إلیه أنّ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أنّ الشیخ ابن قولویه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أحمد بن محمّد بن عیسی، و محمّد بن الحسین بن أبی الخطّاب، و یعقوب بن یزید، جمیعا عن محمّد بن سنان، عمّن ذکره، عن أبی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 أنّ یعقوب بن یزید فی هذا السّند یروی عن محمّد بن سنان بلا واسطة، و لو صحّ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یتوسّط بینهما شخص ثالث، کابن أبی عمیر و غیره،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تبدیل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فی الأسانید، و قد نبّه علیه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بالتأمّل فیه ینحلّ کثیر من العویصات الموجودة فی الأسانید، کما ینحلّ کثیر من النقوض الّتی اوردت علی القاعدة کما ستوافیک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کونه أساسا لحلّ بعض العویصات و ردّ النقوض، نأتی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إنّ الغالب فی الطرق هو الوحدة و وقوع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بین أسماء الرجال، فمع الاعجال یسبق إلی الذّهن ما هو الغالب، فیوضع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موضع واو العطف، و قد رأیت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عندی بخطّ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مواضع سبق فیها القلم إلی إثبات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وصل بین طرفی العین و جعلها علی صورتها واوا و التبس ذلک علی بعض النسّاخ فکتبها بالصّورة الأصلیّة فی بعض مواضع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 ذلک فی النّسخ المتجدّدة، و لما راجعت خطّ الشیخ فیه تبیّنت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أنّ 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الزّیادة الّتی ذکرناها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الواسطة و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الرجل ضعیفا، ضاع به الإسناد فلا بدّ من استفراغ الوسع فی ملاحظة أمثال هذا، و عدم القناعة بظواهر الامور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المواضع الّتی اتّفق فیها هذا الغلط مکرّرا، روایة الشیخ عن سعد </w:t>
      </w:r>
    </w:p>
    <w:p>
      <w:pPr>
        <w:pStyle w:val="BookText"/>
        <w:rPr/>
      </w:pPr>
      <w:r>
        <w:rPr>
          <w:rFonts w:ascii="IRNazanin" w:hAnsi="IRNazanin" w:eastAsia="IRNazanin"/>
          <w:color w:val="111111"/>
          <w:sz w:val="28"/>
          <w:sz w:val="28"/>
          <w:szCs w:val="28"/>
          <w:rtl w:val="true"/>
          <w:lang w:bidi="fa-IR"/>
        </w:rPr>
        <w:t>بن عبد اللّه، عن أحمد بن محمد بن عیسی، عن عبد الرحمن بن أبی نجران، و علیّ بن حدید، و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بخطّ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مواضع منها، إبدال أحد واوی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لیس بموضع شکّ أو احتمال، لکثرة تکرّر هذا الاسناد فی کتب الرجال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نموذجا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نجیّة بن إسحاق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شیخ لنا ثقة، یقال له نجیّة بن إسحاق الفزاری، قال حدّثنا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سمّیت فاطمة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کون المراد من محمّد بن زیاد هو ابن أبی عمیر، لا دلیل علیه، لأنّه لا یّعبر عنه فی کتب الحدیث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مقیّدا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عنون فی الرجال عدّة من الرواة بهذا الاسم، یبلغ عددهم إلی تسعة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إلیه أنّ أحدا من الرجالیّین لم یصفه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النجاشی و غیره، و صفوه بأنّه من موالی المهلّب، أو بنی امیّة،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نجیّة بن إسحاق فلم یعنون فی کتب الرجال و إنّما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عن شیخه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الحسین بن الحسن بن أبان، عن الحسین بن سعید، عن ابن أبی عمیر، عن حمّاد بن عثمان، و معاویة بن حفص، عن منصور، جمیعا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عدّ المؤلّف معاویة بن حفص، من مشایخ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معنون فی الکتب الرجالیّة و لکن الدقّة فی طبقات الرواة و ملاحظة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خلافه، إذ لا معنی لإرجاع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منصور، فإنّه شخص واحد، فهذان الأمران، أی ملاحظة طبقات الوسائط،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تقتضیان کون معاویة بن حفص، معطوفا علی ابن أبی عمیر، لا علی حمّاد بن عثمان، ففی الحقیقة یروی الحسین بن سعید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أبی عمیر، عن حمّاد،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معاویة بن حفص، عن منصور،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فمعاویة بن حفص، فی نفس طبقة ابن أبی عمیر، لا من مشایخه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فضالة بن أیّوب، و محمّد بن أبی عمیر، و صفوان بن یحیی، عن جمیل و عبد الرّحمن بن أبی نجران، عن محمّد بن حمران 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النّبت الّذی فی أرض الحرم، </w:t>
      </w:r>
    </w:p>
    <w:p>
      <w:pPr>
        <w:pStyle w:val="BookText"/>
        <w:rPr/>
      </w:pPr>
      <w:r>
        <w:rPr>
          <w:rFonts w:ascii="IRNazanin" w:hAnsi="IRNazanin" w:eastAsia="IRNazanin"/>
          <w:color w:val="111111"/>
          <w:sz w:val="28"/>
          <w:sz w:val="28"/>
          <w:szCs w:val="28"/>
          <w:rtl w:val="true"/>
          <w:lang w:bidi="fa-IR"/>
        </w:rPr>
        <w:t>أینزع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فزعم المؤلّف أنّ عبد الرحمن بن أبی نجران من مشایخ ابن أبی عمیر و هو 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الاستظهار مبنیّ علی أنّ عبد الرّحمن عطف علی جمیل، و هو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عبد الرّحمن لیس فی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تلامذة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تلک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روی عن الرضا، و روی أبوه، أبو نجران،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فعبد الرحمن من رواة طبقة ابن أبی عمیر، لا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رواة الطّبقة المتأخرة عن ابن أبی عمیر، عن عبد الرحمن بن أبی نجران،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فمفاد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الحسین بن سعید تارة یروی عن فضالة بن أیّوب، و محمّد بن أبی عمیر، و صفوان بن یحیی، عن جمیل،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یروی عن عبد الرحمن بن أبی نجران، عن محمّد بن حمران،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بالنتیجة؛ إنّ عبد الرحمن عطف علی فضالة ابن أیّوب، لا علی جمیل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یوضح ذلک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نجران، عن محمّد بن حمران، جمیعا، عن إسماعیل الجعفی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فالحسین تارة یروی عن صفوان، عن جمیل بن درّاج، عن إسماعیل الجعفی،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عن ابن أبی نجران، عن محمّد بن حمران، عن اسماعیل الجعفی، عن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توسّط الجعفی بین محمّد بن حمران و الإمام، لأجل کون الروایة السابقة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لمحمّد بن حمران الرّوایة عنه، بخلاف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المرویّ عنه هو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فیحتاج إلی توسّط راو آخر بینه و بین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بإسناده عن الحسن بن محمّد بن سماعة، عن محمّد بن زیاد یعنی ابن أبی عمیر، عن 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أشتری الزّرع؟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قدر شبر</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عنه عن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سقوط الواسطة بین ابن أبی عمیر و المعلّی، لأنّه قتل فی زمان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داود بن علی بأمر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البعید أن یروی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داود بن علی توفّی عام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الجزری فی الکامل</w:t>
      </w:r>
      <w:r>
        <w:rPr>
          <w:rStyle w:val="FootnoteAnchor"/>
          <w:rtl w:val="true"/>
        </w:rPr>
        <w:footnoteReference w:id="255"/>
      </w:r>
      <w:r>
        <w:rPr>
          <w:rFonts w:ascii="IRNazanin" w:hAnsi="IRNazanin" w:eastAsia="IRNazanin"/>
          <w:color w:val="111111"/>
          <w:sz w:val="28"/>
          <w:sz w:val="28"/>
          <w:szCs w:val="28"/>
          <w:rtl w:val="true"/>
          <w:lang w:bidi="fa-IR"/>
        </w:rPr>
        <w:t xml:space="preserve">، فالمعلّی قتل قبل هذا العام، و علیه لا یمکن لابن أبی عمیر أن ینقل منه الحدیث إلاّ إذا کان من موالید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عند ذلک یکون من المعمّرین الّذین عاشوا قرابة مائة سنة، و لو کان کذلک، لذکروه فی حقّه، لأنّه من الشخصیّات البارزة عند الشّیعة، و یؤیّد ذلک أنّ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کتاب المعلّی، عنه بواسطة معلّی بن زید </w:t>
      </w:r>
    </w:p>
    <w:p>
      <w:pPr>
        <w:pStyle w:val="BookText"/>
        <w:rPr/>
      </w:pPr>
      <w:r>
        <w:rPr>
          <w:rFonts w:ascii="IRNazanin" w:hAnsi="IRNazanin" w:eastAsia="IRNazanin"/>
          <w:color w:val="111111"/>
          <w:sz w:val="28"/>
          <w:sz w:val="28"/>
          <w:szCs w:val="28"/>
          <w:rtl w:val="true"/>
          <w:lang w:bidi="fa-IR"/>
        </w:rPr>
        <w:t>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المعلّی لیس من مشایخ ابن أبی عمیر، سواء کان ثقة کما هو الأصحّ بل الصّحیح،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قلیل من کثیر ممّن عدّوا من مشایخه، و لیسوا منه، و إنّما قدّمنا ذلک لتکن کالمقدّمة لحلّ بعض النّقوض الّتی اوردت علی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ممّن یعلم أنّه لا یرسل إلاّ عن ثقة موثوق به، فلا ترجیح لخبر غیره علی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الانسان الموثوق به، سواء أکان امامیّا أم غیره، أو خصوص العدل الإمامی؟</w:t>
      </w:r>
    </w:p>
    <w:p>
      <w:pPr>
        <w:pStyle w:val="BookText"/>
        <w:rPr/>
      </w:pPr>
      <w:r>
        <w:rPr>
          <w:rFonts w:ascii="IRNazanin" w:hAnsi="IRNazanin" w:eastAsia="IRNazanin"/>
          <w:color w:val="111111"/>
          <w:sz w:val="28"/>
          <w:sz w:val="28"/>
          <w:szCs w:val="28"/>
          <w:rtl w:val="true"/>
          <w:lang w:bidi="fa-IR"/>
        </w:rPr>
        <w:t>توضیحه؛ أنّه قد تطلق الثّقة و یراد منها الصّدوق لسانا و إن کان عاصیا بالجوارح، و هی فی مقابل الکذوب الّذی یعصی بلسانه، کما یعصی بسائر أعضائه، و هذا هو الظّاهر عند التوصیف بأنّه ثقة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تطلق و یراد منها المتحرّز عن المعاصی کلّها، و منها الکذب، سواء کان امامیّا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الوثاقة بهذا المعنی فی الراوی توجب کون خبره موثّقا لا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تطلق و یراد ذاک المعنی بإضافة کونه صحیح المذهب، أی کونه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الأجلّة استظهر أنّ المراد منها فی عبارة الشیخ هو المعنی الثالث، فقال ما هذا مفاده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الشّیخ عند البحث عن ترجیح أحد الخبرین علی الآخر، بأنّ روایة المخالف شیعیّا کان أم غیره، إنّما یحتجّ بها إذا لم یکن فی مقابلها خبر مخالف مرویّ من الفرقة المحقّة، و إلاّ فلا یحتجّ بها، و 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إذا کان مخالفا فی الاعتقاد لأصل المذهب، و روی مع ذلک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فیما یرویه، فإن کان هناک من طرق الموثوق بهم ما یخالفه، وجب إطراح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هناک ما یوجب إطراح خبره و یکون هناک ما یوافقه وجب العمل به، و إن لم یکن هناک من الفرقة المحقّة خبر یوافق ذلک و لا یخالفه، و لا یعرف لهم قول فیه، وجب أیضا العمل به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نظیر ذلک فی حقّ سائر فرق الشیعة مثل الفطحیّة و الواقفة و الناووسیّة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الطّائفة سوّت بین مراسیل الثّلاثة و مسانید غیرهم، و بما أنّ المراد من مسانید الغیر، هو الأحادیث المرویّة عن طرق أصحابنا الإمامیّة، فیجب أن یکون المراد من الثّقة الّذی یرسل عنه هؤلاء الثلاثة، العدل الإمامی، حتّی تصحّ التسویة بین مراسیل هؤلاء و مسانید غیرهم، و إلاّ فلو کان المراد منها هو الثقة بالمعنی الأعمّ، بحیث یشمل الإمامیّ و غیره من فرق الشیعة و غیرهم، لکانت التّسویة مخالفا لما حقّقه و اختاره من التّفصیل، فلا تصحّ التسویة إلاّ إذا کان الثّقة الّذی یرسل عنه ابن أبی عمیر و أضرابه، عدلا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فهؤلاء الأقطاب الثّلاثة کانوا ملتزمین بأن لا یرووا إلاّ عن الثّقة بالمعنی الأخصّ، فلو وجدنا موردا من مسانید هؤلاء رووا فیه عن ضعیف فی الحدیث، أو صدوق و لکن مخالف فی المذهب، تکون القاعدة منقوضة، فلیست نقوض القاعدة منحصرة بالنّقل عن الضّعاف، بل تعمّ ما کان النّقل عن موثّق فی الحدیث مخالف للمذهب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استنبطه من کلام الشّیخ مبنیّ علی ثبوت أحد أمرین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الثّقة فی مصطلح القدماء من یکون صدوقا إمامیّا، أو عدلا إمامیّا، بحیث یکون للاعتقاد بالمذهب الحقّ دخالة فی مفهومها حتی یحمل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یروون و لا یرسلون إلا عمّن یوثق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مذهبه فی حجّیة خبر الواحد هو نفس مذهب القدماء، بأن یکون المقتضی فی خبر المخالف ناقصا غیر تامّ، و لأجل ذلک لا یعارض خبر الموافق، بخلاف الموافق فإنّ الاقتضاء فیه تامّ، فیقدّم علی خبر المخالف، و لکن یعارض خبر الموافق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ثبوت کلا الأمرین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ریب فی إفادتها المدح التامّ و کون المتّصف بها معتمدا ضابطا، و أمّا دلالتها علی کونه إمامیّا فغیر ظاهر، إلاّ إذا اقترنت بالقرائن، کما إذا کان بناء المؤلّف علی ترجمة أهل الحقّ من الرواة و ذکر غیره علی وجه الاستطراد، ففی مثل ذلک یستظهر کونها بمعنی الإمامی، کما هو الحال فی رجال النجاشی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دلالتها علی کون الراوی إمامیّا علی وجه الإطلاق فهی غیر ثابتة، إذ لیس للثّقة إلا معنی واحد، و هو من یوثق به فی العمل الّذی نریده منه، فالوثاقة المطلوبة من الأطبّاء غیر ما تطلب من نقلة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منها الأمین فی الموضوع الّذی تصدّی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یصیر معنی الثقة فی مورد الرواة من یوثق بروایته، و تطمئنّ النفس بها لأجل وجود مبادیء فیه تمسکه عن الکذب، و أوضح المبادیء الممسکة هو الاعتقاد باللّه و رسله و أنبیائه و معاده، سواء کان مصیبا فی سائر ما یدین،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العلاّمة المامقانی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عاصره بأنّه جزم باستفادة کون الراوی إمامیّا من اطلاق لفظ الثقة علیه، ما لم یصرّح بالخلاف، کما نقل عن المحقّق البهبهانی دلالته علی عدالته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کلامهما منزّل علی وجود قرائن فی کلام المستعمل تفید کلاّ من هذین القیدین، و إلاّ فهو فی مظانّ الإطلاق لا یفید سوی ما یتبادر منه عند أهل اللّغة و العرف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لم یعلم کون الثّقة فی کلام القدماء الذین یحکی عنهم الشیخ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سوّت الطائفة بین ما یرویه محمد بن أبی عمیر، و صفوان بن یحیی، و أحمد بن محمّد بن أبی نصر، و غیرهم من الثّقات الّذین عرفوا بأنهم لا یروون و لا یرسلون إلاّ عمّن یوثق به، و بین ما أسنده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معناه المتبادر عند العرف، فإنّ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بالإمامیّ الصّدوق أولا الامامی العادل، یحتاج إلی قرینة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فإنّ ما أفاده الشیخ من التفصیل فی أخبار غیر الإمامی إنّما هو مختار نفسه، لا خیرة الأصحاب جمیعا، و لأجل ذلک قال عند الاستدلال علی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اخترته من المذهب، فهو أنّ خبر الواحد إذا کان واردا من طریق أصحابنا القائلین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أخذ فی الاستدلال علی التّفصیل المختار علی وجه مبسوط، و یظهر من ثنایا کلامه أنّ الاصحاب یعملون بأخبار الخاطئین فی الاعتقاد مطلقا،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علم من اعتقادهم تمسّکهم بالدّین و تحرّجهم من الکذب و وضع الأحادیث، و هذه کانت طریقة جماعة عاصروا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عبد اللّه بن بکیر، و سماعة بن مهران، و نحو بنی فضّال من المتأخّرین عنهم، و بنی سماعة و من شاکلهم، فإذا علمنا أنّ هؤلاء الّذین أشرنا إلیهم و إن کانوا مخطئین فی الاعتقاد من القول بالوقف و غیر ذلک، کانوا ثقاتا فی النّقل، فما یکون طریقه هؤلاء، جاز العمل به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یظهر من بعض عبائره أنّ ما اختاره من التّفصیل هو خیرة الأصحاب أیضا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کلّه فلا تطمئن النفس بأنّ ما اختاره هو نفس مختار قدماء </w:t>
      </w:r>
    </w:p>
    <w:p>
      <w:pPr>
        <w:pStyle w:val="BookText"/>
        <w:rPr/>
      </w:pPr>
      <w:r>
        <w:rPr>
          <w:rFonts w:ascii="IRNazanin" w:hAnsi="IRNazanin" w:eastAsia="IRNazanin"/>
          <w:color w:val="111111"/>
          <w:sz w:val="28"/>
          <w:sz w:val="28"/>
          <w:szCs w:val="28"/>
          <w:rtl w:val="true"/>
          <w:lang w:bidi="fa-IR"/>
        </w:rPr>
        <w:t xml:space="preserve">الأصحاب، و علی ذلک فلا یکون مختاره فی حجّیة خبر الواحد، قرینة علی أنّ المراد من الثّقة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لا یروون و لا یرسلون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الثّقة بالمعنی الأخصّ، إلاّ إذا ثبت أنّ خیرته و خیرة الأصحاب فی حجّیة خبر الواحد سواسیة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فینحصر النقض بما إذا ثبت روایة هؤلاء عن الضّعیف فی الروایة، لا فی المذهب و الاعتقاد و لا أقلّ یکون ذلک هو المتیقّن فی التسویة الواردة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یسقط النّقض بکثیر ممّن روی عنه ابن أبی عمیر و قد رموا بالناووسیّة، أو الوقف، أو الفطحیّة و العامیة، و إلیک أسامی هؤلاء سواء کانوا ثقات من غیر ذلک الوجه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الواقفة فیقرب من ثلاثة عشر شیخا أعنی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عبد الحمید الأسدی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مختار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بن أبی منصور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المؤمن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بن عمّار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یونس بزرج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الفطحیّة من مشایخه فنذکر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الساباطی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عمّار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نجیح جوّان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جماعة من العامّة فنذکر منهم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أنس علی ما فی فهرس الشیخ فی ترجمة مالک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أبی لیلی القاضی المعروف، کما فی کمال الدین ص </w:t>
      </w:r>
      <w:r>
        <w:rPr>
          <w:rFonts w:eastAsia="IRNazanin" w:cs="IRNazanin"/>
          <w:color w:val="111111"/>
          <w:sz w:val="28"/>
          <w:szCs w:val="28"/>
          <w:lang w:bidi="fa-IR"/>
        </w:rPr>
        <w:t>21.411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الخثعمی علی ما فی فهرس الشیخ فی ترجمته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حنیفة علی ما فی الاختصاص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عن بعض الزیدیّة نظیر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المنذر علی ما فی فهرس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بعض الناووسیة مثل أبان بن عثمان المرمیّ بالناووسیة، و إن کان الحقّ براءته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فروایته عن هؤلاء من أجل کونهم من الواقفة و الفطحیّة، أو العامّة، لا تعدّ نقضا إذا کانوا ثقات فی الروایة، و إنّما تعدّ نقضا إذا کانوا ضعافا فی 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من التزامه بکون المرویّ عنه ثقة، إذا کان روی عنه بلا واسطة، و أمّا النقل بواسطة فلم یظهر من العبارة التزامه به أیضا، و لأجل ذلک لو ثبت نقله عن غیر ثقة بواسطة الثقة فلا یعدّ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حجّیة مراسیله مختصّة بما إذا أرسل عن واسطة واحدة،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أنّ الارسال بواسطتین، فیشکل الأخذ به إلاّ ببعض المحاولات الّتی سنشیر إلیها فی خاتمة البحث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الایعاز علی أنّ الشهید الثّانی استشکل علی هذه التّسویة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المحدّث النوری فی مستدرکه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سبطه صاحب المدارک و ولده فی المعالم، و قد کان الوالد المغفور له، ینقل عن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معترضا علی هذه التسویة و غیر مؤمن بصحّتها، و قد صبّ صاحب معجم الرجال</w:t>
      </w:r>
      <w:r>
        <w:rPr>
          <w:rStyle w:val="FootnoteAnchor"/>
          <w:rtl w:val="true"/>
        </w:rPr>
        <w:footnoteReference w:id="262"/>
      </w:r>
      <w:r>
        <w:rPr>
          <w:rFonts w:ascii="IRNazanin" w:hAnsi="IRNazanin" w:eastAsia="IRNazanin"/>
          <w:color w:val="111111"/>
          <w:sz w:val="28"/>
          <w:sz w:val="28"/>
          <w:szCs w:val="28"/>
          <w:rtl w:val="true"/>
          <w:lang w:bidi="fa-IR"/>
        </w:rPr>
        <w:t xml:space="preserve">ما ذکره الشهید، و ما أضاف إلیه، فی قوالب </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الجمیع مع ما یمکن أن یقال فی دفعه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التسویة لا یتمّ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التسویة صحیحة لذکرت فی کلام أحد من القدماء فمن المطمأنّ به أنّ منشأ هذه الدعوی هو دعوی الکشّی الإجماع علی تصحیح ما یصحّ عن هؤلاء، و قد مرّ أنّ مفاده لیس توثیق مشایخهم، و یؤکدّ ما ذکرناه أنّ الشّیخ لم یخصّ ما ذکره بالثّلاثة المذکورین، بل عمّمه لغیرهم من الثّقات الّذین عرفوا بأنّهم لا یروون إلاّ عمّن یوثق به، و فی الظّاهر أنّه لم یعرف أحد بذلک من غیر جهة دعوی الکشّی الاجماع علی التّصحیح، و ممّا یکشف عن أنّ نسبة الشیخ التسویة المذکورة إلی الأصحاب مبتنیة علی اجتهاده، أنّ الشّیخ بنفسه ردّ فی مواضع روایة ابن أبی عمیر للارسال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بعض موارد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أمرا متسالما علیه لذکرت فی کلام أحد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صحیحا، إلاّ أنّ ما رتّب علیه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منها فی کلماتهم عین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ثابت، لأنّه إنّما تصحّ تلک الدعوی لو وصل إلینا شیء من کتبهم الرجالیة، فإنّ مظانّ ذکر هذا هو مثل هذه الکتب، و المفروض أنّه لم یصل إلینا منها سوی کتاب الکشّی الّذی هو أیضا لیس أصل الکتاب، بل ما اختاره الشیخ منه،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عبّر عنه الشیخ فی فهرسه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عندئذ کیف یصحّ لنا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منها فی کلماتهم عین و لا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من الممکن أنّ الشیخ استنبطها من الکتب الفقهیّة غیر الواصلة إلینا، حیث رأی أنّهم یعاملون مراسیلهم عند عدم التعارض معاملة المسانید، أو یعاملونها معاملة المعارض إذا کان فی مقابلها خبر مخالف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الشیخ لم یخصّه بالثلاثة المذکورین بل عمّمه لغیرهم من الثقات الذین عرفوا بأنّهم لا یروون إلاّ عمّن یونق به و من المعلوم أنّه لم </w:t>
      </w:r>
    </w:p>
    <w:p>
      <w:pPr>
        <w:pStyle w:val="BookText"/>
        <w:rPr/>
      </w:pPr>
      <w:r>
        <w:rPr>
          <w:rFonts w:ascii="IRNazanin" w:hAnsi="IRNazanin" w:eastAsia="IRNazanin"/>
          <w:color w:val="111111"/>
          <w:sz w:val="28"/>
          <w:sz w:val="28"/>
          <w:szCs w:val="28"/>
          <w:rtl w:val="true"/>
          <w:lang w:bidi="fa-IR"/>
        </w:rPr>
        <w:t>یعرف أحد بذلک من غیر جهة دعوی الکشّی الاجماع علی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أیضا، فإنّ الظاهر أنّ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المعروفون بأنّهم لا یروون إلاّ عنهم، و قد ذکرنا أسماء بعضهم، و المتتبّع فی معاجم الرجال و فهارسها یقف علی عدّة کان دیدنهم عدم النّقل إلاّ عن الثّقات، و لأجل ذلک کانوا یعدّون النقل عن الضعفاء ضعفا فی الراوی و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خالد البرقی ثقة إلاّ أنّه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یکشف عن تجنّب عدّة من الأعاظم عن هذا، و معه کیف یصحّ أن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أحد بذلک من غیر جهة دعوی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أیّ فرق بین دعوی الکشّی فی حقّ أصحاب الإجماع فتقبل ثمّ یناقش فی مدلولها، و دعوی الشیخ فی حقّ هؤلاء الثلاثة فلا تقبل من رأس و ترمی بأنّها مستنبطة من کلام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مخالفة الشیخ نفسه فی موارد من التهذیب و الاستبصار فقد عرفت وجهه، و أنّه ألّف جامعیه فی أوائل شبابه، و لم یکن عند ذاک واقفا علی سیرة الأصحاب فی مراسیل هؤلاء، فلأجل ذلک ردّ مراسیلهم بحجّة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وقف علیها بعد الممارسة الکثیرة بکتب الأصحاب الرجالیة و الفقهیّة، و کتب و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تلک الأیّام یتجاوز الخمسین سنة، و قد خالط الفقه و الرجال لحمه و دمه، و وقف علی الاصول المؤلّفة فی عصر الأئمّة و بعده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أنّ التسویة ثابتة، لکن من المظنون قویّا أنّ منشأ ذلک هو بناء العامل علی حجیّة خبر کلّ إمامی لم یظهر منه فسق، و عدم اعتبار الوثاقة فیه، کما نسب إلی القدماء، و اختاره جمع من المتأخّرین منهم العلاّمة علی ما سیجیء فی ترجمة أحمد بن إسماعیل بن عبد اللّه</w:t>
      </w:r>
      <w:r>
        <w:rPr>
          <w:rStyle w:val="FootnoteAnchor"/>
          <w:rtl w:val="true"/>
        </w:rPr>
        <w:footnoteReference w:id="263"/>
      </w:r>
      <w:r>
        <w:rPr>
          <w:rFonts w:ascii="IRNazanin" w:hAnsi="IRNazanin" w:eastAsia="IRNazanin"/>
          <w:color w:val="111111"/>
          <w:sz w:val="28"/>
          <w:sz w:val="28"/>
          <w:szCs w:val="28"/>
          <w:rtl w:val="true"/>
          <w:lang w:bidi="fa-IR"/>
        </w:rPr>
        <w:t xml:space="preserve">و علیه لا أثر لهذه التسویة </w:t>
      </w:r>
    </w:p>
    <w:p>
      <w:pPr>
        <w:pStyle w:val="BookText"/>
        <w:rPr/>
      </w:pPr>
      <w:r>
        <w:rPr>
          <w:rFonts w:ascii="IRNazanin" w:hAnsi="IRNazanin" w:eastAsia="IRNazanin"/>
          <w:color w:val="111111"/>
          <w:sz w:val="28"/>
          <w:sz w:val="28"/>
          <w:szCs w:val="28"/>
          <w:rtl w:val="true"/>
          <w:lang w:bidi="fa-IR"/>
        </w:rPr>
        <w:t>بالنّسبة إلی من یعتبر الوثاقة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العمل بخبر کلّ إمامیّ لم یظهر منه فسق إلی قدماء الامامیّة، تخالف ما ذکره عنهم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أبصر بآرائهم حیث قال فی ضمن استدلاله علی حجیّة الأخبار الّتی رواها الأصحاب فی تصانیفهم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واحدا منهم إذا أفتی بشیء لا یعرفونه سألوه من أین قلت هذا؟ فإذا أحالهم علی کتاب معروف، أو أصل مشهور، و کان راویه ثقة لا ینکر حدیثه سکتوا و سلّموا الأمر فی ذلک، و قبلوا قوله، و هذه عادتهم و سجیّتهم من عهد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بعده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أنّه یقیّد عملهم و قبولهم الروایة بکون راویه ثقة و القول بحجیّة کلّ خبر یرویه إمامیّ لم یظهر فسقه، أشبه بقول الحشویّة، و قریب من رأیهم فی الأخبار و لو کان ذلک مذهب القدامی من الامامیّة لما صحّ للسید المرتضی ادّعاء الاتّفاق علی عدم حجیّة خبر الواحد فإنّ ذلک الادّعاء مع هذه النّسبة فی طرفی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بناء القدماء علی أصالة العدالة فی کلّ من لم یعلم حاله، فلا معنی لتقسیم الرواة إلی الثّقة، و الضعیف، و المجهول، بل کان علیهم أن یوثّقوا کلّ من لم یثبت ضعفه، و من المعلوم ثبوت خلافه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نقل عن العلاّمة فی حقّ أحمد بن إسماعیل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 علماءنا علیه بتعدیل و لم یرو فیه جرح، فالأقوی قبول روایته مع سلامتها من المعارض</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فمن الممکن أن یکون اعتماده علیه لأجل ما قاله النّجاشی فی ترجمته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عدّة کتب لم یصنّف مثلها، و أنّ أباه کان من غلمان أحمد بن </w:t>
      </w:r>
    </w:p>
    <w:p>
      <w:pPr>
        <w:pStyle w:val="BookText"/>
        <w:rPr/>
      </w:pPr>
      <w:r>
        <w:rPr>
          <w:rFonts w:ascii="Amiri" w:hAnsi="Amiri" w:eastAsia="Amiri" w:cs="Amiri"/>
          <w:color w:val="111111"/>
          <w:sz w:val="28"/>
          <w:sz w:val="28"/>
          <w:szCs w:val="28"/>
          <w:rtl w:val="true"/>
          <w:lang w:bidi="ar-SA"/>
        </w:rPr>
        <w:t>أبی عبد اللّه البرقی و ممّن تأدّب علیه و ممّن کتّبه</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و ما قال الشیخ فی فهرسه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أهل الفضل و الأدب و العلم و له کتب عدّة لم یصنّف مثلها فمن کتبه کتاب العبّاسی، و هو کتاب عظیم نحو عشرة آلاف ورقة فی أخبار الخلفاء و الدولة العباسیّة مستوفی، لم یصنّف مثله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قال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أدیب أستاذ ابن العمید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الجمل تعرب عن أنّه کان من مشاهیر علماء الشیعة الإمامیّة و أکابرهم و فی القمّة من الأدب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لا یحتاج إلی التّوثیق، بل إذا لم یرد فیه جرح یحکم بوثاقته، فإنّ موقفه بین العلماء غیر موقف مطلق الرّاوی الّذی لا یحکم فی حقه بشیء إلاّ بما ورد فیه، و إلاّ فیحکم بالجهل أو الاهمال، و لأجل ذلک کلّه کان دیدن العلماء فی حقّ الأعاظم و الأکابر هو الحکم بالوثاقة، و إن لم یرد فی حقّهم التّصریح بها، فلأجل ذلک نحکم بوثاقة نظراء إبراهیم بن هاشم و الصّدوق و غیرهما، و إن لم یرد فی حقّهم تصریح بالوثاقة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أنّ هؤلاء لا یروون و لا یرسلون إلاّ عن ثقة، دونه خرط القتاد، فإنّ الطّریق إلیه امّا تصریح نفس الراوی بأنّه لا یروی و لا یرسل إلاّ عنه، أو التتبّع فی مسانیدهم و مشایخهم و عدم العثور علی روایة هؤلاء عن ضعیف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فلم ینسب إلی أحد من هؤلاء إخباره و تصریحه بذلک، و أمّا الثانی؛ فغایته عدم الوجدان، و هو لا یدلّ علی عدم الوجود، علی أنّه لو تمّ، فإنّما یتمّ فی المسانید دون المراسیل، فإنّ ابن أبی عمیر قد غاب عنه أسماء من </w:t>
      </w:r>
    </w:p>
    <w:p>
      <w:pPr>
        <w:pStyle w:val="BookText"/>
        <w:rPr/>
      </w:pPr>
      <w:r>
        <w:rPr>
          <w:rFonts w:ascii="IRNazanin" w:hAnsi="IRNazanin" w:eastAsia="IRNazanin"/>
          <w:color w:val="111111"/>
          <w:sz w:val="28"/>
          <w:sz w:val="28"/>
          <w:szCs w:val="28"/>
          <w:rtl w:val="true"/>
          <w:lang w:bidi="fa-IR"/>
        </w:rPr>
        <w:t>روی عنهم، فکیف یمکن للغیر أن یطّلع علیهم و یعرف وثاقتهم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الأوّل و أنّهم صرّحوا بذلک، و وقف علیه تلامیذهم و الرواة عنهم، و وقف الشیخ و النجاشی عن طریقهم علیه، و عدم وقوفنا علیه بعد ضیاع کثیر من کتب القدماء من الأصحاب، أشبه بالاستدلال بعدم الوجدان علی عدم الوجود، کما أنّ من الممکن أن یقف علیه الشیخ من خلال الکتب الفتوائیة من معاملة الأصحاب مع مراسیلهم معاملة المسانید، و عدم التفریق بینهما قید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نختار الشقّ الثّانی، و هو التتبّع فی المسانید، و ما ذکره من أنّ غایته عدم الوجدان و هو لا یدلّ علی عدم الوجود، غیر تامّ، لأنّه لو تتبّعنا مسانید هؤلاء و لم نجد لهم شیخا ضعیفا فی الحدیث، نطمئنّ بأنّ ذلک لیس إلاّ من جهة التزامهم بعدم الروایة إلاّ عن ثقة، و لم یکن ذلک من باب الصّدفة، و لو ثبت ذلک لما کان هناک فرق بین المسانید و المراسیل، و احتمال وجود الضّعاف فی الثانیة دون الاولی، احتمال ضعیف لا یعبأ به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ثبت عدم تمامیّة الإشکالات الثّلاثة، و المهمّ هو الاشکال الرّابع، و هو ثبوت روایة هؤلاء عن الضّعاف، و ذلک بالتتبّع فی مسانیدهم، و معه کیف یمکن ادّعاء أنّهم لا یروون و لا یرسلون إلاّ عن ثقة</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2858_19643"/>
      <w:bookmarkStart w:id="375" w:name="pg2858_19643"/>
      <w:bookmarkEnd w:id="375"/>
    </w:p>
    <w:p>
      <w:pPr>
        <w:pStyle w:val="Heading5"/>
        <w:numPr>
          <w:ilvl w:val="4"/>
          <w:numId w:val="1"/>
        </w:numPr>
        <w:rPr/>
      </w:pPr>
      <w:bookmarkStart w:id="376" w:name="pg2858_19643"/>
      <w:bookmarkStart w:id="377" w:name="__RefHeading___Toc2760046_1395250215"/>
      <w:bookmarkStart w:id="378" w:name="_Toc127"/>
      <w:bookmarkEnd w:id="376"/>
      <w:bookmarkEnd w:id="377"/>
      <w:r>
        <w:rPr>
          <w:rtl w:val="true"/>
        </w:rPr>
        <w:t>نقض القاعدة بالنقل عن الضعاف</w:t>
      </w:r>
      <w:bookmarkEnd w:id="378"/>
    </w:p>
    <w:p>
      <w:pPr>
        <w:pStyle w:val="BookText"/>
        <w:rPr/>
      </w:pPr>
      <w:r>
        <w:rPr>
          <w:rFonts w:ascii="IRNazanin" w:hAnsi="IRNazanin" w:eastAsia="IRNazanin"/>
          <w:color w:val="111111"/>
          <w:sz w:val="28"/>
          <w:sz w:val="28"/>
          <w:szCs w:val="28"/>
          <w:rtl w:val="true"/>
          <w:lang w:bidi="fa-IR"/>
        </w:rPr>
        <w:t>ذکر صاحب معجم الرّجال من مشایخه الضعاف أربعة شیوخ یعنی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البطائنی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أحمد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نقله عنهم مع ثبوت کونهم ضعافا بطلت القاعدة و إلیک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ابن أبی عمیر،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ابن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الحسن </w:t>
      </w:r>
    </w:p>
    <w:p>
      <w:pPr>
        <w:pStyle w:val="BookText"/>
        <w:rPr/>
      </w:pPr>
      <w:r>
        <w:rPr>
          <w:rFonts w:ascii="IRNazanin" w:hAnsi="IRNazanin" w:eastAsia="IRNazanin"/>
          <w:color w:val="111111"/>
          <w:sz w:val="28"/>
          <w:sz w:val="28"/>
          <w:szCs w:val="28"/>
          <w:rtl w:val="true"/>
          <w:lang w:bidi="fa-IR"/>
        </w:rPr>
        <w:t>بن فضال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حمزة کذّاب ملعون، قد رویت عنه أحادیث کثیرة، و کتبت تفسیر القرآن من أوّله إلی آخره، إلاّ أنّی لا أستحلّ أن أروی عنه حدیثا واحدا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حمزة البطائنی من الواقفة، و هو ضعیف المذهب، و لیس ضعیفا فی الحدیث علی الأقوی</w:t>
      </w:r>
      <w:r>
        <w:rPr>
          <w:rStyle w:val="FootnoteAnchor"/>
          <w:rtl w:val="true"/>
        </w:rPr>
        <w:footnoteReference w:id="272"/>
      </w:r>
      <w:r>
        <w:rPr>
          <w:rFonts w:ascii="IRNazanin" w:hAnsi="IRNazanin" w:eastAsia="IRNazanin"/>
          <w:color w:val="111111"/>
          <w:sz w:val="28"/>
          <w:sz w:val="28"/>
          <w:szCs w:val="28"/>
          <w:rtl w:val="true"/>
          <w:lang w:bidi="fa-IR"/>
        </w:rPr>
        <w:t xml:space="preserve">و هو مطعون لأجل وقفه فی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اعتقاده بامامة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مطعونا من جانب النّقل و الروایة، و قد عرفت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الکشّی هو الموثوق فی الحدیث، فیکفی فی ذلک أن یکون مسلما متحرّزا عن الکذب فی الرّوایة، و أمّا کونه إمامیّا فلا یظهر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فالنّقض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نقل من العیّاشی فی حقّ ابن أبی حمزة من أنّه کذّاب ملعون، فهو راجع إلی ابنه، أی الحسن بن علیّ بن أبی حمزة البطائنی، لا إلی نفسه، کما استظهره صاحب المعالم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و ابن أبی حمزة مشترک فی الاطلاق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 أمران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الکشّی نقله أیضا فی ترجمة الحسن بن علیّ بن 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الحسن بن علیّ بن أبی حمزة البطائنی،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ملعون رویت عنه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القول جزما بأنّه راجع إلی الوالد، و الظّاهر من النّجاشی أنّه راجع إلی الولد، حیث نقل طعن ابن فضّال فی ترجمة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حمزة توفّی قبل أن یتولّد علیّ بن الحسن بن فضّال بأعوام، فکیف یمکن أن یکتب منه أحادیث، و تفسیر القرآن من أوّله إلی آخره، و إنّما حصل الاشتباه من نقله الکشّی فی ترجمة الوالد تارة، و ترجمة الولد اخری</w:t>
      </w:r>
      <w:r>
        <w:rPr>
          <w:rStyle w:val="FootnoteAnchor"/>
          <w:rtl w:val="true"/>
        </w:rPr>
        <w:footnoteReference w:id="274"/>
      </w:r>
      <w:r>
        <w:rPr>
          <w:rFonts w:ascii="IRNazanin" w:hAnsi="IRNazanin" w:eastAsia="IRNazanin"/>
          <w:color w:val="111111"/>
          <w:sz w:val="28"/>
          <w:sz w:val="28"/>
          <w:szCs w:val="28"/>
          <w:rtl w:val="true"/>
          <w:lang w:bidi="fa-IR"/>
        </w:rPr>
        <w:t xml:space="preserve">، و ذلک لأنّ علیّ بن أبی حمزة مات فی زمن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اقعد فی قبره فسئل عن الأئمّة فأخبر بأسمائهم حتی انتهی إلیّ فسئل فوقف، فضرب علی رأسه ضربة امتلأ قبره نارا</w:t>
      </w:r>
      <w:r>
        <w:rPr>
          <w:rStyle w:val="FootnoteAnchor"/>
          <w:rtl w:val="true"/>
        </w:rPr>
        <w:footnoteReference w:id="275"/>
      </w:r>
      <w:r>
        <w:rPr>
          <w:rFonts w:ascii="IRNazanin" w:hAnsi="IRNazanin" w:eastAsia="IRNazanin"/>
          <w:color w:val="111111"/>
          <w:sz w:val="28"/>
          <w:sz w:val="28"/>
          <w:szCs w:val="28"/>
          <w:rtl w:val="true"/>
          <w:lang w:bidi="fa-IR"/>
        </w:rPr>
        <w:t xml:space="preserve">، فاذا توفّی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فقد توفّی ابن أبی حمزة قبل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جانب آخر مات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عشرین و مائتین کما أرّخه النّجاشی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الولد یتجنّب الروایة عن الوالد و هو ابن ثمان عشرة سنة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سنّی ثمان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بکتبه و لا أفهم إذ ذاک الروایات و لا أستحلّ أن أرویها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روی عن أخویه عن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سنّه عند موت الوالد ثمانی عشرة فعلیه یکون من موالید عام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فمعه کیف یمکن أن یروی عن علیّ بن أبی حمزة الّذی توفّی فی حیاة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فقد روی ابن أبی عمیر کتاب علیّ بن أبی حمزة عنه، کما نصّ به النجاشی فی ترجمته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المحتمل فی هذا المورد و سائر الموارد، أنّ ابن أبی عمیر نقل عنه الحدیث فی حال استقامته، لأنّ الاستاذ و التلمیذ أدرکا عصر الإمام أبی </w:t>
      </w:r>
    </w:p>
    <w:p>
      <w:pPr>
        <w:pStyle w:val="BookText"/>
        <w:rPr/>
      </w:pPr>
      <w:r>
        <w:rPr>
          <w:rFonts w:ascii="IRNazanin" w:hAnsi="IRNazanin" w:eastAsia="IRNazanin"/>
          <w:color w:val="111111"/>
          <w:sz w:val="28"/>
          <w:sz w:val="28"/>
          <w:szCs w:val="28"/>
          <w:rtl w:val="true"/>
          <w:lang w:bidi="fa-IR"/>
        </w:rPr>
        <w:t xml:space="preserve">الحسن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ابن أبی حمزة موضع ثقة منه، و قد أخذ عنه الحدیث عند ما کان مستقیم المذهب، صحیح العقیدة فحدّثه بعد انحرافه أیضا، نعم لو لم یکن ابن أبی عمیر مدرکا لعصر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انحصر نقله فی عصر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النقل عنه ناقضا للقاعدة، و لکن عرفت أنّه أدرکه کلا العصرین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لم یثبت کون علیّ بن أبی حمزة من الواقفة، و ما اقیم من الأدلّة فهی معارضة بمثلها أو بأحسن منها، و سیجیء الکلام فیه إجمالا عند البحث عن روایة صفوان عنه فارتقب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 موسی بن القاسم، عن صفوان، و ابن أبی عمیر، عن برید أو یزید و یونس بن ظبیان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یحرم فی رجب أو فی شهر رمضان، حتّی إذا کان أوان الحجّ أتی متمتّعا،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یونس بن ظبیان ضعیف،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لا یلتفت إلی ما رواه، کلّ کتبه تخلیط</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الکاظمی فی التکملة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الرجال بالغوا فی ذمّه و نسبوه إلی الکذب، و الضّعف، و التّهمة، و الغلوّ، و وضع الحدیث، و نقلوا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الإجابة بوجوه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محمّد بن أبی عمیر لا یروی عن غیر الثّقة إذا انفرد هو </w:t>
      </w:r>
    </w:p>
    <w:p>
      <w:pPr>
        <w:pStyle w:val="BookText"/>
        <w:rPr/>
      </w:pPr>
      <w:r>
        <w:rPr>
          <w:rFonts w:ascii="IRNazanin" w:hAnsi="IRNazanin" w:eastAsia="IRNazanin"/>
          <w:color w:val="111111"/>
          <w:sz w:val="28"/>
          <w:sz w:val="28"/>
          <w:szCs w:val="28"/>
          <w:rtl w:val="true"/>
          <w:lang w:bidi="fa-IR"/>
        </w:rPr>
        <w:t xml:space="preserve">بالنّقل، و لأجله لم یرو عن یونس بن ظبیان، إلاّ هذا الحدیث فقط، کما هو الظّاهر من معجم الرجال عند البحث عن تفصیل طبقات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یتفرّد، کما إذا نقله الثّقة و غیره فیروی عنهما تأییدا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لا یروی عن الضّعیف إذا کان فی طول الثقة لا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فقد روی عن برید و یونس بن ظبیان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و إن کان ضعیفا، لکنّه کما رواه عنه، رواه عن برید أیضا کما فی نسخة التهذیب و الوافی و الوسائل، أو عن یزید کما فی نسخة الاستبصار</w:t>
      </w:r>
      <w:r>
        <w:rPr>
          <w:rStyle w:val="FootnoteAnchor"/>
          <w:rtl w:val="true"/>
        </w:rPr>
        <w:footnoteReference w:id="280"/>
      </w:r>
      <w:r>
        <w:rPr>
          <w:rFonts w:ascii="IRNazanin" w:hAnsi="IRNazanin" w:eastAsia="IRNazanin"/>
          <w:color w:val="111111"/>
          <w:sz w:val="28"/>
          <w:sz w:val="28"/>
          <w:szCs w:val="28"/>
          <w:rtl w:val="true"/>
          <w:lang w:bidi="fa-IR"/>
        </w:rPr>
        <w:t xml:space="preserve">و الأوّل بعید، لأنّ روایة ابن أبی عمیر عن برید بن معاویة المتوفّی فی حیاة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فالثانی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خالد القمّاط و هو ثقة یروی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صفوان، کما فی رجال النجاشی، فیصح نقل ابن أبی عمیر عنه، کما یحتمل أن یکون المراد منه یزید بن خلیفة الّذی هو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یروی عنه صفوان أیضا کما فی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الارسال فی الروایة بمعنی وجود الواسطة بین ابن أبی عمیر و یونس، و قد سقطت عند النقل، و ذلک لأنّ یونس قد توفّی فی حیاة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یظهر من الدعاء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 من البعید أن یروی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 إلاّ أن یکون معمّرا قابلا لأخذ الحدیث عن تلامیذ الإمام الّذین توفّوا فی حیاته، و 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ضعف یونس، لا لما رواه الکشّی عن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و بنی له بیتا فی الجّنة، کان و اللّه مأمونا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فی </w:t>
      </w:r>
    </w:p>
    <w:p>
      <w:pPr>
        <w:pStyle w:val="BookText"/>
        <w:rPr/>
      </w:pPr>
      <w:r>
        <w:rPr>
          <w:rFonts w:ascii="IRNazanin" w:hAnsi="IRNazanin" w:eastAsia="IRNazanin"/>
          <w:color w:val="111111"/>
          <w:sz w:val="28"/>
          <w:sz w:val="28"/>
          <w:szCs w:val="28"/>
          <w:rtl w:val="true"/>
          <w:lang w:bidi="fa-IR"/>
        </w:rPr>
        <w:t>سنده ضعفا، و هو وجود ابن الهروی المجهول، و قد نصّ به الکشی، بل لروایة البزنطی ذلک الخبر فی جامعه بسند صحیح، و قد نقله ابن إدریس فی مستطرفاته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معجم رجال الحدیث من أن طریق ابن إدریس إلی جامع البزنطی مجهول، فالروایة بکلا طریقیها ضعیفة، غیر تامّ، لأنّ جامعه کسائر الجوامع کان من الکتب المشهورة الّتی کان انتسابها إلی مؤلّفیها أمرا قطعیا، و لم یکن من الکتب المجهولة، کیف و قد کان مرجع الشیعة قبل تألیف الجوامع الثانویة کالکافی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الوجوه الثّلاثة لا تصلح الرّوایة لنقض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عن الحسین بن سعید، عن ابن أبی عمیر، عن علیّ بن حدید، عن جمیل بن درّاج، عن بعض أصحابه، عن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له جاریة فوطئها ثمّ اشتری امّها أو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الشیخ علیّ بن حدید فی رجاله</w:t>
      </w:r>
      <w:r>
        <w:rPr>
          <w:rStyle w:val="FootnoteAnchor"/>
          <w:rtl w:val="true"/>
        </w:rPr>
        <w:footnoteReference w:id="282"/>
      </w:r>
      <w:r>
        <w:rPr>
          <w:rFonts w:ascii="IRNazanin" w:hAnsi="IRNazanin" w:eastAsia="IRNazanin"/>
          <w:color w:val="111111"/>
          <w:sz w:val="28"/>
          <w:sz w:val="28"/>
          <w:szCs w:val="28"/>
          <w:rtl w:val="true"/>
          <w:lang w:bidi="fa-IR"/>
        </w:rPr>
        <w:t xml:space="preserve">فی أصحاب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الإمام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فی فهرسه قائلا بأنّ له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فطحیّ من أهل الکوفة، و کان أدرک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و قال العلاّمة فی القسم الثانی من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حدید بن الحکیم، ضعّفه شیخنا فی کتاب الاستبصار و التّهذیب، لا یعوّل </w:t>
      </w:r>
    </w:p>
    <w:p>
      <w:pPr>
        <w:pStyle w:val="BookText"/>
        <w:rPr/>
      </w:pPr>
      <w:r>
        <w:rPr>
          <w:rFonts w:ascii="IRNazanin" w:hAnsi="IRNazanin" w:eastAsia="IRNazanin"/>
          <w:color w:val="111111"/>
          <w:sz w:val="28"/>
          <w:sz w:val="28"/>
          <w:szCs w:val="28"/>
          <w:rtl w:val="true"/>
          <w:lang w:bidi="fa-IR"/>
        </w:rPr>
        <w:t>علی ما ینفرد بنقله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ضعّفه فی موضعین من الاستبصار، أحدهما باب البئر تقع فیها الفأرة و غیرها، فروی فیه عن أحمد بن محمّد بن عیسی، عن علیّ ابن حدید، عن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مکّة، فصرنا إلی بئر، فاستقی غلام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 فخرج فیه فأرتان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ما فی هذا الخبر أنّه مرسل، و راویه ضعیف، و هذا یضعّف الاحتجاج بخبره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النّهی عن بیع الذّهب بالفضّة نسیئة، فی ذیل حدیث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خبر زرارة فالطّریق إلیه علیّ بن حدید، و هو ضعیف جدّا لا یعوّل علی ما ینفرد بنقله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ضعف علیّ بن حدید، بل الظّاهر عمّا رواه الکشّی وثاقته، قال فی ترجمة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عن أحمد بن محمّد، عن علیّ بن راشد، عن أبی جعفر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اختلف أصحابنا، فاصلّی خلف أصحاب هشام بن الحکم؟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بعلیّ بن حدید،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فلقیت علیّ بن حدید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نصلّی خلف أصحاب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ترجمة یونس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بن محمّد القلانسی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القمی، عن یعقوب بن یزید، عن أبیه یزید بن حمّاد، عن أبی الحسن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اصلّی خلف من لا أعرف؟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إلاّ خلف من تثق بدینه،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یونس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ذلک علیکم علیّ بن حدید،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علیّ بن حدید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خلفه و لا خلف أصحابه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یؤیّد وثاقته کونه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الّتی نصّ ابن قولویه فی أوّله بأنّه یروی عن الثّقات فی کتابه هذا</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 وثاقته أیضا کونه من رجال تفسیر القمّی</w:t>
      </w:r>
      <w:r>
        <w:rPr>
          <w:rStyle w:val="FootnoteAnchor"/>
          <w:rtl w:val="true"/>
        </w:rPr>
        <w:footnoteReference w:id="292"/>
      </w:r>
      <w:r>
        <w:rPr>
          <w:rFonts w:ascii="IRNazanin" w:hAnsi="IRNazanin" w:eastAsia="IRNazanin"/>
          <w:color w:val="111111"/>
          <w:sz w:val="28"/>
          <w:sz w:val="28"/>
          <w:szCs w:val="28"/>
          <w:rtl w:val="true"/>
          <w:lang w:bidi="fa-IR"/>
        </w:rPr>
        <w:t>الّذی نصّ فی أوّل تفسیره بأنّ رجال تفسیره هذا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یوافیک الکلام فی هذین التوثیقین، غیر أنّ تضعیف الشّیخ مقدّم علی ما نقله الکشّی، لأنّ فی سند روایته ضعفا، فلم یبق إلاّ کونه من رجال کامل الزیارات و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تقدیم جرح الشّیخ علی التوثیق العمومی الّذی مبناه کونه من رجال کامل الزیارات و تفسیر القمّی، و سیوافیک الکلام بأنّ التوثیق العمومی المستفاد من مقدّمة الکتابین، علی فرض صحّته، حجّة ما لم یعارض بحجّة صریحة اخری، مضافا إلی ما فی نفس هذا التوثیق العمومی الّذی نسب إلی الکتابین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التّصحیف فی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امور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روایة ابن أبی عمیر عن جمیل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رجال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روایاته عنه تبلغ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و علی ذلک فمن البعید </w:t>
      </w:r>
    </w:p>
    <w:p>
      <w:pPr>
        <w:pStyle w:val="BookText"/>
        <w:rPr/>
      </w:pPr>
      <w:r>
        <w:rPr>
          <w:rFonts w:ascii="IRNazanin" w:hAnsi="IRNazanin" w:eastAsia="IRNazanin"/>
          <w:color w:val="111111"/>
          <w:sz w:val="28"/>
          <w:sz w:val="28"/>
          <w:szCs w:val="28"/>
          <w:rtl w:val="true"/>
          <w:lang w:bidi="fa-IR"/>
        </w:rPr>
        <w:t>جدّا، أنّ ابن أبی عمیر الّذی یروی عن جمیل هذه الکمیّة الهائلة من الأحادیث بلا واسطة، یروی عنه روایة واحدة مع الواسطة، و لأجل ذلک لا تجد له نظیرا فی کتب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الطّبقة، لأنّ الرجلین فی طبقة واحدة من أصحاب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 النجاشی علی روایة علیّ بن حدید عن أبی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یوجد لابن أبی عمیر أیّ روایة عن علیّ بن حدید فی الکتب الأربعة غیر هذا المورد، کما یظهر من قسم تفاصیل طبقات الرواة لمعجم الرجال</w:t>
      </w:r>
      <w:r>
        <w:rPr>
          <w:rStyle w:val="FootnoteAnchor"/>
          <w:rtl w:val="true"/>
        </w:rPr>
        <w:footnoteReference w:id="295"/>
      </w:r>
      <w:r>
        <w:rPr>
          <w:rFonts w:ascii="IRNazanin" w:hAnsi="IRNazanin" w:eastAsia="IRNazanin"/>
          <w:color w:val="111111"/>
          <w:sz w:val="28"/>
          <w:sz w:val="28"/>
          <w:szCs w:val="28"/>
          <w:rtl w:val="true"/>
          <w:lang w:bidi="fa-IR"/>
        </w:rPr>
        <w:t>و هذا یوکّد کون علیّ بن حدید، معطوفا علی ابن أبی عمیر و أنّه لم یکن شیخا له، و إلاّ لما اقتصر فی النّقل عنه علی روایة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أحمد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ابن أبی عمیر، عددا من الروایات جاء فی بعضها لفظ المنقری دون الآخر، و القرائن تشهد علی وحدتهما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مجموع ما ورد عنه فی الکتب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ابراهیم، عن أبیه، عن ابن أبی عمیر، عن الحسین بن أحمد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ابراهیم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استکفی بآیة من القرآن</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یحیی، عن أحمد بن محمّد، عن ابن أبی عمیر، عن الحسین بن أحمد المنقری عن خاله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طعاما لم یدع إلیه فإنّه أکل قصعة من النار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الروضة عن علیّ بن إبراهیم، عن أبیه، عن ابن أبی عمیر، عن حسین بن أحمد المنقری،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تنهی هذین الرّجلین عن هذا الرجل</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أیضا بسند صحیح عن ابن أبی عمیر، عن الحسین بن أحمد،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ظننت أنّ هذا الأمر کائن فی غد، فلا تدعنّ طلب الرزق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إبراهیم، عن أبیه، عن ابن أبی عمیر، عن حسین بن أحمد المنقری، عن عیسی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متعمّدا ما توبته؟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الحدیث لم یذکره فی معجم الرجال فی هذا المقام، لکنّه ذکره فی ترجمة الحسین بن أحمد المنقری، و ربما یتخیّل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 هو المحسن بن أحمد، کما فی الفقیه</w:t>
      </w:r>
      <w:r>
        <w:rPr>
          <w:rStyle w:val="FootnoteAnchor"/>
          <w:rtl w:val="true"/>
        </w:rPr>
        <w:footnoteReference w:id="301"/>
      </w:r>
      <w:r>
        <w:rPr>
          <w:rFonts w:ascii="IRNazanin" w:hAnsi="IRNazanin" w:eastAsia="IRNazanin"/>
          <w:color w:val="111111"/>
          <w:sz w:val="28"/>
          <w:sz w:val="28"/>
          <w:szCs w:val="28"/>
          <w:rtl w:val="true"/>
          <w:lang w:bidi="fa-IR"/>
        </w:rPr>
        <w:t xml:space="preserve">لکنّه ضعیف، لأنّ المحسن من أقران ابن أبی عمیر، و من أصحاب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مشایخ أحمد بن محمّد بن خالد، الّذی یروی عن ابن أبی عمیر بلا واسطة، و عندئذ کیف یصحّ نقل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النقض یظهر بالاحاطة بکلمات النجاشی و ابن الغضائری فی حقّه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أحمد المنقری التمیمی أبو عبد اللّه،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شاذّة لم تثبت، و کان ضعیفا، ذکر ذلک </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داود الرقی و أکثر، له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أحمد المنقری له کتاب رویناه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فی رجاله من أصحاب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أصحاب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کون الرجل من أصحاب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إکثاره النقل من داود الرقی، محلّ تأمّل و قد توفّی داود الرقّی بعد المائتین بقلیل بعد وفاة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فالظّاهر أنّ ضعفه راجع إلی العقیدة لا الروایة 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النجاشی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داود الرقی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فی حقّ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 و الغلاة تروی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أن یکون هو أحد الغلاة الّذین رووا عن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ذکر داود الرقّی فی أصحاب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الرقّی مولی بنی أسد و هو ثقة، من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ذلک نری ابن الغضائری یقول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کثیر بن أبی خالد الرقّی مولی بنی أسد،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فاسد المذهب، ضعیف الروایة لا یلتفت إلیه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الطّعن فیه لم یکن لأجل کونه غیر ثقة فی نقل الحدیث، بل الطّعن لأجل وجود الارتفاع فی العقیدة بقرینة إکثار النقل عن داود الرقی، المتهم بالارتفاع فی العقیدة، و نقل الغلاة عنه، و الکلّ غیر مناف للوثاقة فی مقام النّقل الّذی کان ابن أبی عمیر ملتزما فیه بعدم النقل إلاّ عن الثقة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النقوض هی الّتی ذکرها صاحب معجم رجال الحدیث، و قد عرفت مدی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مشایخ الثقات جعل ثابتی الضعف منهم خمسة،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أحمد المنقری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البختری وهب بن وهب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عرفت حقیقة الحال فی الثّلاثة الاول، فهلمّ معی نبحث فی الأخیرین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البختری وهب بن وهب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 بن وهب أبو البختری،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کذّابا، و له أحادیث مع الرشید فی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 له کتاب یرویه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سنده إلیه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لابن أبی عمیر فی الکتب الأربعة روایة عنه إلاّ ما ورد فی صلاة الاستسقاء، و رواها الشیخ بسنده عن محمّد بن علیّ بن محبوب، عن محمّد ابن خالد البرقی، عن ابن أبی عمیر، عن أبی البختری،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السنّة إنّه لا یستسقی إلاّ بالبراری، حیث ینظر الناس إلی السّماء و لا یستسقی فی المساجد إلاّ بمکّة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التخلّص عن النقض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الرجل ثقة عند ابن أبی عمیر وقت تحمّل الحدیث، و هذا کاف فی العمل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البختری کان عامیا، و من المحتمل أن یکون التزام المشایخ راجعا إلی أبواب العقائد و الأحکام الشرعیّة، و أمّا ما یرجع إلی أدب المصلّی فی صلاة الاستسقاء، فلم یکن من موارد الالتزام، و لم یکن فی نقل مثل ذلک أیّ خطر و إشکال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الزیدی البتری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جمیع الأزدی البصری، أبو عثمان، قاضی الری، ضعیف، له نسخة یرویها عنه سهل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سنده إلی الکتاب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لابن أبی عمیر روایة عنه فی الکتب الأربعة، بل روی عنه الصّدوق فی معانی الأخبار، و لا یتجاوز الرّوایتین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معانی الأخبار عن أحمد بن زیاد بن جعفر الهمدانیّ، عن علیّ بن إبراهیم، عن أبیه، عن محمّد بن أبی عمیر،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بالاقعاء فی الصّلاة بین السّجدتین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مشت امتّی المطیطا، و خدمتهم فارس و الروم، کان بأسهم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التبختر، و مدّ الیدین فی المشی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عمرو بن جمیع مع ضعفه کان زیدیّا بتریّا، و قد صرّح بکونه بتریّا أبو عمرو فی رجاله، فی ترجمة محمّد بن إسحاق صاحب المغازی</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استظهر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المشایخ التزموا أن لا یرووا إلاّ عن إمامیّ ثقة یکون النقض هنا و فیما تقدّم،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المذهب، حیث إنّ أبا البختری کان عامیا، و عمرو بن جمیع کان بتریا، و من جهة الوثاقة، لکون الرجلین ضعیفین، و علی المختار یکون النقض من جهة واحدة، و علی کلّ تقدیر فإحدی الروایتین لا صلة لها بالأحکام الشرعیّة، و إنّما هی نقل تنبّؤ عن مستقبل الامّة إذا ساد فیهم الکبر و التبختر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الروایة الاخری تتضمّن 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ابن أبی عمیر کان یعتقد بوثاقته عند التحمّل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سیّدنا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القاعدة نقضا بعدّة أشخاص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جمیلة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قاسم الحضری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الحال فی الثلاثة الاول و سیوافیک الکلام فی أبی جمیلة عند البحث عن مشایخ صفوان الّذی عدّت روایة عن أبی جمیلة نقضا علی القاعدة </w:t>
      </w:r>
    </w:p>
    <w:p>
      <w:pPr>
        <w:pStyle w:val="BookText"/>
        <w:rPr/>
      </w:pPr>
      <w:r>
        <w:rPr>
          <w:rFonts w:ascii="IRNazanin" w:hAnsi="IRNazanin" w:eastAsia="IRNazanin"/>
          <w:color w:val="111111"/>
          <w:sz w:val="28"/>
          <w:sz w:val="28"/>
          <w:szCs w:val="28"/>
          <w:rtl w:val="true"/>
          <w:lang w:bidi="fa-IR"/>
        </w:rPr>
        <w:t>و الیک الکلام فی الخامس أعنی عبد اللّه بن قاسم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القاسم الحضرمی المعروف بالبطل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غال یروی عن الغلاة لا خیر فیه و لا یعتدّ بروایته، له کتاب یرویه عنه جماعة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ذکر سنده إلیه،</w:t>
      </w:r>
      <w:r>
        <w:rPr>
          <w:rStyle w:val="FootnoteAnchor"/>
          <w:rtl w:val="true"/>
        </w:rPr>
        <w:footnoteReference w:id="310"/>
      </w:r>
      <w:r>
        <w:rPr>
          <w:rFonts w:ascii="IRNazanin" w:hAnsi="IRNazanin" w:eastAsia="IRNazanin"/>
          <w:color w:val="111111"/>
          <w:sz w:val="28"/>
          <w:sz w:val="28"/>
          <w:szCs w:val="28"/>
          <w:rtl w:val="true"/>
          <w:lang w:bidi="fa-IR"/>
        </w:rPr>
        <w:t xml:space="preserve">و عنونه فی رجاله فی أصحاب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القاسم الحضرمی واقفی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القاسم الحضرمی کوفی ضعیف أیضا غال متهافت و لا یرتفع 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أبی عمیر عنه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لما لا ترجو أرجی منک لما ترجو، فإنّ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یقتبس لأهله نارا فکلّمه اللّه عزّ و جلّ فرجع نبیّا، و خرجت ملکة سبأ فأسلمت مع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سحرة فرعون یطلبون العزّة لفرعون فرجعوا مؤمنین</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اعتماد النجاشی فی تضعیفه إلی تضعیف ابن الغضائری، یعرب عنه تقارب العبارتین، و قد عرفت قیمة تضعیفاته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أبی عمیر لم یرو عنه إلاّ روایة واحدة و لا صلة لمضمونها </w:t>
      </w:r>
      <w:bookmarkStart w:id="379" w:name="pg2858_19658"/>
    </w:p>
    <w:p>
      <w:pPr>
        <w:pStyle w:val="BookText"/>
        <w:rPr/>
      </w:pPr>
      <w:bookmarkEnd w:id="379"/>
      <w:r>
        <w:rPr>
          <w:rFonts w:ascii="IRNazanin" w:hAnsi="IRNazanin" w:eastAsia="IRNazanin"/>
          <w:color w:val="111111"/>
          <w:sz w:val="28"/>
          <w:sz w:val="28"/>
          <w:szCs w:val="28"/>
          <w:rtl w:val="true"/>
          <w:lang w:bidi="fa-IR"/>
        </w:rPr>
        <w:t>بالأحکام و لعله کان ملتزما بأن لا یروی إلاّ عن ثقة فیما یمتّ بالحکم الشرعی بصلة لا فی الموضوعات الأخلاقیة أو التربویّة کما هو مورد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یرد فی الفقیه توصیفه بالحضرمی فیحتمل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القاسم الحارثی و هو و إن کان ضعیفا حیث یصفه النجاشی بالضعف و الغلّو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غال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أین هو من قوله فی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عندئذ یقوی أن یکون ضعفه لأجل غلوّه فی العقیدة لا لضعفه فی لسانه، و قد عرفت أنّ التضعیف بین القدماء لأجل العقیدة لا یوجب سلب الوثوق عن الراوی، لأنّ أکثر ما رآه القدماء غلوّا أصبح فی زماننا من الضّروریات فی دین الامامیّة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حول أسانید ابن أبی عمیر و حال النّقوض الّتی جاءت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النقوض لا تنحصر فیما ذکر بل هناک موارد اخر، ربما یستظهر منها أنّ ابن أبی عمیر نقل فیها عن الضعفاء، و ستجیء الاشارة الکلیّة إلی ما یمکن الجواب به عن هذه الموارد المذکورة و غیر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حان وقت البحث عن مشایخ عدیله و قرینه و هو صفوان بن یحیی</w:t>
      </w:r>
      <w:r>
        <w:rPr>
          <w:rFonts w:eastAsia="IRNazanin" w:cs="IRNazanin"/>
          <w:color w:val="111111"/>
          <w:sz w:val="28"/>
          <w:szCs w:val="28"/>
          <w:rtl w:val="true"/>
          <w:lang w:bidi="fa-IR"/>
        </w:rPr>
        <w:t>.</w:t>
      </w:r>
    </w:p>
    <w:p>
      <w:pPr>
        <w:pStyle w:val="Heading4"/>
        <w:numPr>
          <w:ilvl w:val="3"/>
          <w:numId w:val="1"/>
        </w:numPr>
        <w:rPr/>
      </w:pPr>
      <w:bookmarkStart w:id="380" w:name="__RefHeading___Toc2760048_1395250215"/>
      <w:bookmarkStart w:id="381" w:name="_Toc128"/>
      <w:bookmarkEnd w:id="380"/>
      <w:r>
        <w:rPr/>
        <w:t>2</w:t>
      </w:r>
      <w:r>
        <w:rPr>
          <w:rtl w:val="true"/>
        </w:rPr>
        <w:t xml:space="preserve"> - </w:t>
      </w:r>
      <w:r>
        <w:rPr>
          <w:rtl w:val="true"/>
        </w:rPr>
        <w:t xml:space="preserve">صفوان بن یحیی بیّاع السابری </w:t>
      </w:r>
      <w:r>
        <w:rPr>
          <w:rtl w:val="true"/>
        </w:rPr>
        <w:t>(</w:t>
      </w:r>
      <w:r>
        <w:rPr>
          <w:rtl w:val="true"/>
        </w:rPr>
        <w:t xml:space="preserve">المتوفی عام </w:t>
      </w:r>
      <w:r>
        <w:rPr/>
        <w:t>210</w:t>
      </w:r>
      <w:r>
        <w:rPr>
          <w:rtl w:val="true"/>
        </w:rPr>
        <w:t xml:space="preserve"> </w:t>
      </w:r>
      <w:r>
        <w:rPr>
          <w:rtl w:val="true"/>
        </w:rPr>
        <w:t xml:space="preserve">ه </w:t>
      </w:r>
      <w:r>
        <w:rPr>
          <w:rtl w:val="true"/>
        </w:rPr>
        <w:t>)</w:t>
      </w:r>
      <w:bookmarkEnd w:id="381"/>
    </w:p>
    <w:p>
      <w:pPr>
        <w:pStyle w:val="Heading5"/>
        <w:numPr>
          <w:ilvl w:val="4"/>
          <w:numId w:val="1"/>
        </w:numPr>
        <w:rPr/>
      </w:pPr>
      <w:bookmarkStart w:id="382" w:name="__RefHeading___Toc2760050_1395250215"/>
      <w:bookmarkStart w:id="383" w:name="_Toc129"/>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قد تعرّفت من الشّیخ أنّ صفوان، أحد الثلاثة الّذین التزموا بعدم الروایة و الارسال إلاّ عن ثقة، و قبل دراسة هذه الضابطة عن طریق أسانیده نأتی بما ذکره النّجاشی فی حقّه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بن یحیی البجلی بیّاع السابری، کوفیّ ثقة، ثقة، عین، روی أبوه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هو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له عنده منزلة شریفة، ذکره الکشّی فی رجال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توکّل للرضا و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سلم </w:t>
      </w:r>
      <w:bookmarkStart w:id="384" w:name="pg2858_19659"/>
    </w:p>
    <w:p>
      <w:pPr>
        <w:pStyle w:val="BookText"/>
        <w:rPr/>
      </w:pPr>
      <w:bookmarkEnd w:id="384"/>
      <w:r>
        <w:rPr>
          <w:rFonts w:ascii="IRNazanin" w:hAnsi="IRNazanin" w:eastAsia="IRNazanin"/>
          <w:color w:val="111111"/>
          <w:sz w:val="28"/>
          <w:sz w:val="28"/>
          <w:szCs w:val="28"/>
          <w:rtl w:val="true"/>
          <w:lang w:bidi="fa-IR"/>
        </w:rPr>
        <w:t xml:space="preserve">مذهبه من الوقف، و کانت له منزلة من الزهد و العبادة، و کانت جماعة الواقفة بذلوا له أموالا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الورع و العبادة علی ما لم یکن علیه أحد من طبقته رحمه اللّه، و صنّف ثلاثین کتابا کما ذکر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کتبه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أهل زمانه عند أهل الحدیث، و أعبدهم، و کان یصلّی کلّ یوم و لیلة خمسین و مائة رکعة، و یصوم فی السنة ثلاثة أشهر، و یخرج زکاة ماله فی کلّ سنة ثلاث مرّات</w:t>
      </w:r>
      <w:r>
        <w:rPr>
          <w:rFonts w:eastAsia="IRNazanin" w:cs="IRNazanin"/>
          <w:color w:val="111111"/>
          <w:sz w:val="28"/>
          <w:szCs w:val="28"/>
          <w:rtl w:val="true"/>
          <w:lang w:bidi="fa-IR"/>
        </w:rPr>
        <w:t>».</w:t>
      </w:r>
    </w:p>
    <w:p>
      <w:pPr>
        <w:pStyle w:val="Heading5"/>
        <w:numPr>
          <w:ilvl w:val="4"/>
          <w:numId w:val="1"/>
        </w:numPr>
        <w:rPr/>
      </w:pPr>
      <w:bookmarkStart w:id="385" w:name="__RefHeading___Toc2760052_1395250215"/>
      <w:bookmarkStart w:id="386" w:name="_Toc130"/>
      <w:bookmarkEnd w:id="385"/>
      <w:r>
        <w:rPr>
          <w:rtl w:val="true"/>
        </w:rPr>
        <w:t>مشایخه</w:t>
      </w:r>
      <w:bookmarkEnd w:id="386"/>
    </w:p>
    <w:p>
      <w:pPr>
        <w:pStyle w:val="BookText"/>
        <w:rPr/>
      </w:pPr>
      <w:r>
        <w:rPr>
          <w:rFonts w:ascii="IRNazanin" w:hAnsi="IRNazanin" w:eastAsia="IRNazanin"/>
          <w:color w:val="111111"/>
          <w:sz w:val="28"/>
          <w:sz w:val="28"/>
          <w:szCs w:val="28"/>
          <w:rtl w:val="true"/>
          <w:lang w:bidi="fa-IR"/>
        </w:rPr>
        <w:t xml:space="preserve">فقد أنهی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مشایخه فی الکتب الأربعة إلی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 و قد أحصاها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مشایخه فی الکتب الأربعة و غیرها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 و الثّقات منهم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و الباقون إمّا مهمل أو مجهول، و قلیل منهم مضعّف، و هذا إن دلّ علی شیء فإنّما یدلّ علی جلالة الرجل و عظمته و إحاطته بأحادیث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فقد ادّعی وجود ضعاف فی مشایخه نأتی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بما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عن موسی بن القاسم، عن صفوان و ابن أبی عمیر، 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بن ظبیان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یحرم فی رجب أو فی شهر رمضان حتّی إذا کان أوان الحج</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الجواب عنه بوجوه ثلاثة فی البحث السابق فلا نعید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أحمد بن إدریس، عن محمّد بن عبد الجبّار، عن صفوان بن یحیی،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الحکم یروی عنکم أنّ اللّه جسم صمدیّ نوریّ، معرفته ضرورة، یمنّ بها علی ما یشاء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یعلم أحد کیف هو إلاّ هو، لیس کمثله شیء و هو السمیع البصیر، لا یحدّ، و لا یحسّ، و لا یجسّ و لا تدرکه الأبصار و لا الحواسّ، و لا یحیط به شیء، و لا جسم و لا صورة، و لا تخطیط و لا تحدید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لصفوان بن یحیی روایة عن علیّ بن أبی حمزة فی الکتب الأربعة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أنّ وزان علیّ بن أبی حمزة، وزان زیاد بن مروان القندی، فالرجلان قد ابتلیا بالطّعن و اللّعن، و لیس وجهه إلاّ الانتماء إلی غیر مذهب الحقّ، و هو لا یمنع من قبول روایتهما إذا کانا ثقتین فی الروایة، و النّجاشی و الشّیخ و إن صرّحا بوقف الرجل و أنّه من عمده، و لکنّه لا یضرّ باعتبار قوله إذا کان متجنّبا عن الکذب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عمرو الکشّی روی مسندا و مرسلا ما یناهز خمس روایات</w:t>
      </w:r>
      <w:r>
        <w:rPr>
          <w:rStyle w:val="FootnoteAnchor"/>
          <w:rtl w:val="true"/>
        </w:rPr>
        <w:footnoteReference w:id="317"/>
      </w:r>
      <w:r>
        <w:rPr>
          <w:rFonts w:ascii="IRNazanin" w:hAnsi="IRNazanin" w:eastAsia="IRNazanin"/>
          <w:color w:val="111111"/>
          <w:sz w:val="28"/>
          <w:sz w:val="28"/>
          <w:szCs w:val="28"/>
          <w:rtl w:val="true"/>
          <w:lang w:bidi="fa-IR"/>
        </w:rPr>
        <w:t>تدلّ علی انحراف عقیدته، کما روی الشّیخ فی غیبته ما یدلّ علی أنّه تعمد الکذب</w:t>
      </w:r>
      <w:r>
        <w:rPr>
          <w:rStyle w:val="FootnoteAnchor"/>
          <w:rtl w:val="true"/>
        </w:rPr>
        <w:footnoteReference w:id="318"/>
      </w:r>
      <w:r>
        <w:rPr>
          <w:rFonts w:ascii="IRNazanin" w:hAnsi="IRNazanin" w:eastAsia="IRNazanin"/>
          <w:color w:val="111111"/>
          <w:sz w:val="28"/>
          <w:sz w:val="28"/>
          <w:szCs w:val="28"/>
          <w:rtl w:val="true"/>
          <w:lang w:bidi="fa-IR"/>
        </w:rPr>
        <w:t>إلاّ أنّ هنا روایات تدلّ علی کونه باقیا علی مذهب الإمامیّة، أو أنّه رجع عن الوقف و صار مستبصرا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الروایات مبثوثة فی غیبة النعمانی، و کمال الدین للصدوق، و 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فی رجال الکشّی ما یدلّ علی رجوعه عن الوقف، و لأجل هذه المعارضة لا یمکن رمی الرجل بالبقاء علی الوقف بقول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إیقاف القاریء الکریم علی هذه النصوص نأتی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زینب فی غیبته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بصیر و معنا مولی لأبی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محدّثا، السابع من ولدی القائم، فقام إلیه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منذ أربعین سنة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کمال الدین بسنده عن الحسن بن علیّ بن أبی حمزة، عن أبیه، عن یحیی بن أبی القاسم،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بعدی إثنا عشر أوّلهم علیّ بن أبی طالب و آخرهم القائم، هم خلفائی، و أوصیائی، و أولیائی، و حجج اللّه علی امتی بعدی، المقرّ بهم مؤمن، و المنکر لهم کافر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عیون أخبار الرضا عن الحسن بن علیّ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مکّة و معنا علیّ بن أبی حمزة، و معه مال و متاع، فقلنا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أمرنی أن أحمله إلی علیّ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أوصی إلیه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یدلّ علی خلاف ما نسب الیه الکشّی من القول بالوقف و قد نقل </w:t>
      </w:r>
    </w:p>
    <w:p>
      <w:pPr>
        <w:pStyle w:val="BookText"/>
        <w:rPr/>
      </w:pPr>
      <w:r>
        <w:rPr>
          <w:rFonts w:ascii="IRNazanin" w:hAnsi="IRNazanin" w:eastAsia="IRNazanin"/>
          <w:color w:val="111111"/>
          <w:sz w:val="28"/>
          <w:sz w:val="28"/>
          <w:szCs w:val="28"/>
          <w:rtl w:val="true"/>
          <w:lang w:bidi="fa-IR"/>
        </w:rPr>
        <w:t xml:space="preserve">الکشّی نفسه ما یظهر منه عنایة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به و یصدّ الانسان عن التسّرع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وقف الانسان علی ما رواه الشیخ بسند 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أبی حمزة، الّذی رمی بالوقف مثل أبیه، روی أنّه قال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هلک و ترک جاریتین قد دبّرهما، و أنا ممّن أشهد لهما و علیه دین کثیر، فما 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 أبیک، و رفعه مع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دینه خیر له إن شاء اللّه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صحّت هذه الروایات لما صحّ ما ذکره ابن الغضائری فی حقّ ابن أبی حمزة، أنّه أصل الوقف، و أشدّ الخلق عداوة للولیّ من بعد أبی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قام الفاضل المعاصر الشیخ غلامرضا عرفانیان، بتألیف رسالة فی شأن الاعتبار الروائی لعلیّ بن أبی حمزة، و نجله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الصحیح فی حقّ الرواة خصوصا المشایخ منهم، لا یتمّ بصرف المراجعة إلی کلمات الرجالیّین، خصوصا رجال الکشّی الذی فیه ما فیه من اللّحن و الخلط، فلا بدّ من بذل السعی فی الروایات الواردة فی المجامیع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 الکتب الفقهیّة یری أنّ الأصحاب یأخذون بروایاته و یعملون بها إذا لم یکن هناک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الکلام فی باقی النقوض</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جمیلة المفضّل بن صالح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عدّة من أصحابنا، عن أحمد بن أبی عبد اللّه، عن صفوان بن یحیی، عن أبی </w:t>
      </w:r>
    </w:p>
    <w:p>
      <w:pPr>
        <w:pStyle w:val="BookText"/>
        <w:rPr/>
      </w:pPr>
      <w:r>
        <w:rPr>
          <w:rFonts w:ascii="IRNazanin" w:hAnsi="IRNazanin" w:eastAsia="IRNazanin"/>
          <w:color w:val="111111"/>
          <w:sz w:val="28"/>
          <w:sz w:val="28"/>
          <w:szCs w:val="28"/>
          <w:rtl w:val="true"/>
          <w:lang w:bidi="fa-IR"/>
        </w:rPr>
        <w:t xml:space="preserve">جمیلة، عن حمید الصیرفیّ،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بناء لیس بکفاف فهو وبال علی صاحبه یوم القیامة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منه المفضّل بن صالح الأسدی الّذی عدّه الشیخ فی رجاله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المفضّل بن صالح أبو علی مولی بنی أسد، یکنّی بأبی جمیلة، مات فی حیاة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النجاشی ضعّفه عندما ذکر جابر بن یزید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جماعة غمز فیهم و ضعّفوا،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و مفضّل بن صالح، و منخل بن جمیل، و یوسف بن یعقوب</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مفضّل بن صالح أبو جمیلة الأسدی النحاس مولاهم، ضعیف کذّاب، یضع الحدیث، روی عن أبی عبد اللّه و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لصفوان أیّة روایة عن المفضّل فی الکتب الأربعة إلاّ هذه الروایة</w:t>
      </w:r>
      <w:r>
        <w:rPr>
          <w:rStyle w:val="FootnoteAnchor"/>
          <w:rtl w:val="true"/>
        </w:rPr>
        <w:footnoteReference w:id="328"/>
      </w:r>
      <w:r>
        <w:rPr>
          <w:rFonts w:ascii="IRNazanin" w:hAnsi="IRNazanin" w:eastAsia="IRNazanin"/>
          <w:color w:val="111111"/>
          <w:sz w:val="28"/>
          <w:sz w:val="28"/>
          <w:szCs w:val="28"/>
          <w:rtl w:val="true"/>
          <w:lang w:bidi="fa-IR"/>
        </w:rPr>
        <w:t>و مع ذلک کلّه فلم یثبت ضعفه، أمّا ما ذکره العلاّمة فهو مأخوذ عن ابن الغضائری، و إلیک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المفضّل بن صالح أبو جمیلة الأسدی النحاس مولاهم، ضعیف کذّاب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أنّه لا اعتبار بتضعیفاته و تعدیلاته، لعدم استناده فیهما إلی السّماع بل إلی قراءة المتون کما مرّ غیر مرّة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النّجاشی فمن القریب جدّا أنّ تضعیفه لأجل الاعتقاد فیه </w:t>
      </w:r>
    </w:p>
    <w:p>
      <w:pPr>
        <w:pStyle w:val="BookText"/>
        <w:rPr/>
      </w:pPr>
      <w:r>
        <w:rPr>
          <w:rFonts w:ascii="IRNazanin" w:hAnsi="IRNazanin" w:eastAsia="IRNazanin"/>
          <w:color w:val="111111"/>
          <w:sz w:val="28"/>
          <w:sz w:val="28"/>
          <w:szCs w:val="28"/>
          <w:rtl w:val="true"/>
          <w:lang w:bidi="fa-IR"/>
        </w:rPr>
        <w:t>بالغلوّ، فصار ذلک الاعتقاد مبدءا للتّضعیف، و من تتبّع رجاله یقف علی أنّ النّجاشی متأثّر جدّا بطریقة ابن الغضائری، و أنّ بعض تضعیفاته أو کثیرا منها إذا لم یذکر لها وجها، کان لاعتقاد الغلوّ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عند البحث عن کتاب ابن الغضائری أنّ مفهوم الغلوّ لم یکن محدودا آنذاک، حتّی یعرف به الغالی من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و إن لم یکن له دلیل، إلاّ أنّه مظنون لمن راجع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فلا یعدّ تضعیفه نقضا للقاعدة الّتی استنبطها الأصحاب من طریقة هؤلاء الثقات، و التزامهم بأنّهم لا یروون و لا یرسلون إلاّ عن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خداش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أبی علیّ الأشعری، عن محمّد بن عبد الجبّار، عن صفوان، عن عبد اللّه بن خداش المنقری أنّه سأل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ترک ابنته و أخاه،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خداش، أبو خداش المهری ضعیف جدا، و فی مذهبه ارتفاع، له کتاب أخبرناه ابن شاذان، عن أحمد بن محمّد بن یحیی قال حدّثنا أبی، قال حدّثنا سلمة بن الخطّاب عنه بکتابه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النّجاشی و إن ضعّفه، لکن تضعیفه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اعتقاده بأنّه غال، لا لأنّه لیس بصدوق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کما عرفت أنّ النّجاشی کان متأثّرا بابن الغضائری فی تضعیف الراوی فی بعض الأحیان لأجل کونه راویا لبعض ما یتراءی منه الغلوّ، حسب عقیدة النجاشی و زمیله ابن الغضائری، و مثل ذلک لا یمکن الاعتماد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ذلک أنّ الکشّی نقل وثاقته عن عبد اللّه بن أبی عبد اللّه، محمّد بن خالد الطیالسی، فتوثیقه ممّا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 أبو محمد عبد اللّه بن محمّد بن خالد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أبو خداش، عبد اللّه بن خداش المهری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بالبصرة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عنه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صافحت ذمّیا قطّ، و لا دخلت بیت ذمّی، و لا شربت دواءا قطّ، و لا افتصدت و لا ترکت غسل یوم الجمعة قطّ، و لا دخلت علی وال قطّ، و لا دخلت علی قاض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ضبط اسم والده، و المشهور هو بالدال کما فی مواضع من رجال الشیخ فی أصحاب الکاظم و أصحاب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فضبطه بأبی خداش المهری البصری، و لکن ابن داود ذکر أنّه رأی فی کتاب الرجال للشّیخ بخطّه فی رجال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خداش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المنقریّ هو تصحیف المهری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المهری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الهاء الساکنة قبل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المنقری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صفوان علی ما فی فهرس الشیخ فی ترجمة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بن خنیس یکنّی أبا عثمان الأحول له کتاب، أخبرنا به جماعة عن أبی جعفر ابن بابویه، عن ابن الولید، عن الصفّار، عن أحمد بن محمّد، عن أبیه عن صفوان، عنه</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الاجابة عن هذا النقض واضحة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أنّ المعلّی بن خنیس ثقة، و ما اثیر حوله من الشبهات لیست بتامّة، و کفی بذلک ما نقله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معلّی من قوّام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قتله داود بن علی بسببه، و کان محمودا عنده، و مضی علی منهاجه، و أمره مشهور، فروی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فصلبه، عظم ذلک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علی ما قتلت مولای و قیّمی فی مالی و علی عیالی؟ و اللّه إنّه لأوجه عند اللّه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دخل الجنّة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المعلّی قتل قبل الثالث و ثلاثین و مائة، کما مرّ فی بحث مشایخ ابن أبی عمیر، و صفوان بن یحیی ممّن توفّی عام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فکیف یمکن له أن ینقل عنه، مع أنّ بین الوفاتین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فما زاد، و لم یکن صفوان من المعمّرین الّذین عاشوا إلی مائة و أزید، و لذلک إنّ من القریب سقوط الواسطة بین صفوان و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ذلک قول النّجاشی فی ترجمة معلّی بن خنیس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عن أبیه، عن أیّوب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بن یحیی، عن أبی عثمان معلّی بن زید الأحول، عن معلّی بن خنیس بکتابه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فیظهر من ذلک أنّ ما نقلناه آنفا من الفهرس هو ترجمة معلّی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الأحول، لا معلّی بن خنیس و النسخة محرّفة لما عرفت من بعد روایة صفوان عن معلّی بن خنیس أوّلا، و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معلّی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النّجاشی و الشیخ نفسه فی رجاله ثانیا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وقفت علی حال النّقوض المتوجّهة إلی الضّابطة الّتی نقلها الشیخ </w:t>
      </w:r>
      <w:bookmarkStart w:id="387" w:name="pg2858_19667"/>
    </w:p>
    <w:p>
      <w:pPr>
        <w:pStyle w:val="BookText"/>
        <w:rPr/>
      </w:pPr>
      <w:bookmarkEnd w:id="387"/>
      <w:r>
        <w:rPr>
          <w:rFonts w:ascii="IRNazanin" w:hAnsi="IRNazanin" w:eastAsia="IRNazanin"/>
          <w:color w:val="111111"/>
          <w:sz w:val="28"/>
          <w:sz w:val="28"/>
          <w:szCs w:val="28"/>
          <w:rtl w:val="true"/>
          <w:lang w:bidi="fa-IR"/>
        </w:rPr>
        <w:t xml:space="preserve">فی حقّ الفقهاء الثلاثة و لیس النقض منحصرا بما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نقوض اخر یعرف الجواب عنها بالاحاطة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الکلام فی أحوال البزنطی الشیخ الثالث، الّذی لا یروی و لا یرسل إلاّ عن ثقة</w:t>
      </w:r>
      <w:r>
        <w:rPr>
          <w:rFonts w:eastAsia="IRNazanin" w:cs="IRNazanin"/>
          <w:color w:val="111111"/>
          <w:sz w:val="28"/>
          <w:szCs w:val="28"/>
          <w:rtl w:val="true"/>
          <w:lang w:bidi="fa-IR"/>
        </w:rPr>
        <w:t>.</w:t>
      </w:r>
    </w:p>
    <w:p>
      <w:pPr>
        <w:pStyle w:val="Heading4"/>
        <w:numPr>
          <w:ilvl w:val="3"/>
          <w:numId w:val="1"/>
        </w:numPr>
        <w:rPr/>
      </w:pPr>
      <w:bookmarkStart w:id="388" w:name="__RefHeading___Toc2760054_1395250215"/>
      <w:bookmarkStart w:id="389" w:name="_Toc131"/>
      <w:bookmarkEnd w:id="388"/>
      <w:r>
        <w:rPr/>
        <w:t>3</w:t>
      </w:r>
      <w:r>
        <w:rPr>
          <w:rtl w:val="true"/>
        </w:rPr>
        <w:t xml:space="preserve"> - </w:t>
      </w:r>
      <w:r>
        <w:rPr>
          <w:rtl w:val="true"/>
        </w:rPr>
        <w:t xml:space="preserve">أحمد بن محمّد بن عمرو بن أبی نصر البزنطی </w:t>
      </w:r>
      <w:r>
        <w:rPr>
          <w:rtl w:val="true"/>
        </w:rPr>
        <w:t>(</w:t>
      </w:r>
      <w:r>
        <w:rPr>
          <w:rtl w:val="true"/>
        </w:rPr>
        <w:t xml:space="preserve">المتوفّی عام </w:t>
      </w:r>
      <w:r>
        <w:rPr/>
        <w:t>221</w:t>
      </w:r>
      <w:r>
        <w:rPr>
          <w:rtl w:val="true"/>
        </w:rPr>
        <w:t>)</w:t>
      </w:r>
      <w:bookmarkEnd w:id="389"/>
    </w:p>
    <w:p>
      <w:pPr>
        <w:pStyle w:val="Heading5"/>
        <w:numPr>
          <w:ilvl w:val="4"/>
          <w:numId w:val="1"/>
        </w:numPr>
        <w:rPr/>
      </w:pPr>
      <w:bookmarkStart w:id="390" w:name="__RefHeading___Toc2760056_1395250215"/>
      <w:bookmarkStart w:id="391" w:name="_Toc132"/>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عمرو بن أبی نصر زید، مولی السکون، أبو جعفر، المعروف بالبزنطی، کوفی لقی الرضا و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عظیم المنزلة عندهما و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قرأناه علی أبی عبد اللّه الحسین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أبی غالب أحمد بن محمّد الزراری، قال حدّثنی به خال أبی محمّد بن جعفر، و عمّ أبی علیّ بن سلیمان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أحمد بن محمّد سنة إحدی و عشرین و مائتین بعد وفاة الحسن بن علیّ بن فضّال بثمانیة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عیسی بن عبید أنّه سمع منه سنة عشرة و مائتین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البزنطی أحد الفقهاء الثّلاثة الّذین ادّعی الشیخ أنّهم لا یروون و لا یرسلون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الکتب الأربعة فی أسناد روایات تبلغ زهاء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و قد أنهی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مشایخه فی الکتب الأربعة و غیرها فبلغ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 و الثقات منهم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و الباقی إمّا مهمل أو مجهول، و قلیل منهم مضعف نظراء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علیّ بن إبراهیم، عن أبیه، عن أحمد بن أبی نصر و ابن محبوب، جمیعا عن المفضّل بن صالح، عن </w:t>
      </w:r>
    </w:p>
    <w:p>
      <w:pPr>
        <w:pStyle w:val="BookText"/>
        <w:rPr/>
      </w:pPr>
      <w:r>
        <w:rPr>
          <w:rFonts w:ascii="IRNazanin" w:hAnsi="IRNazanin" w:eastAsia="IRNazanin"/>
          <w:color w:val="111111"/>
          <w:sz w:val="28"/>
          <w:sz w:val="28"/>
          <w:szCs w:val="28"/>
          <w:rtl w:val="true"/>
          <w:lang w:bidi="fa-IR"/>
        </w:rPr>
        <w:t>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فی الحجر فبینما هو قائم یصلّی إذا أتاه رجل فجلس إلیه فلمّا انصرف، 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ثلاثة أشیاء لا یعلمها إلاّ أنت و رجل 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تعرّفت علی حال هذا النقض عند البحث عن مشایخ صفوان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عن محمّد بن أحمد بن یحیی، عن أحمد بن محمّد بن أبی نصر، عن الحسن بن علیّ بن أبی حمزة،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هلک و ترک جاریتین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حمزة و نجله الحسن و معاصرهما زیاد بن مروان القندی، ابتلوا بالشّتم و الطّعن و اللّعن، لذهابهم إلی الوقف، و لکنّه کان راجعا إلی اعتقادهم الفاسد، و لا ینافی وثاقتهم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روایات تدلّ علی رجوع الوالد و الولد عن الوقف و صیرورتهما مستبصرین، و قد نقلا النصّ علی إمامة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هذه الروایة، فتری أنّ النّجل یذهب إلی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مسألة شرعیّة راجعة إلی ترکة أبیه، و لولا اعتقاده لما کان لسؤاله معنی، و قد عرفت بعض هذه الروایات عند البحث عن النّقوض المتوجّهة إلی مشایخ ابن أبی عمیر، فلا نعید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علیّ بن إبراهیم، عن أبیه، عن أحمد بن محمّد بن أبی نصر، عن عبد اللّه بن محمّد الشامی، عن </w:t>
      </w:r>
    </w:p>
    <w:p>
      <w:pPr>
        <w:pStyle w:val="BookText"/>
        <w:rPr/>
      </w:pPr>
      <w:r>
        <w:rPr>
          <w:rFonts w:ascii="IRNazanin" w:hAnsi="IRNazanin" w:eastAsia="IRNazanin"/>
          <w:color w:val="111111"/>
          <w:sz w:val="28"/>
          <w:sz w:val="28"/>
          <w:szCs w:val="28"/>
          <w:rtl w:val="true"/>
          <w:lang w:bidi="fa-IR"/>
        </w:rPr>
        <w:t xml:space="preserve">حسین بن حنظلة،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الکباب یذهب بالحمّی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عدّة من أصحابنا، عن سهل بن زیاد، عن أحمد بن محمّد بن أبی نصر، عن عبد اللّه بن محمّد الشامی، عن الحسین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 یزید فی الدماغ</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البرقی فی المحاسن بسنده عن أحمد بن محمّد بن أبی نصر، عن عبد اللّه بن محمّد الشامی، عن الحسین بن حنظلة،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یذیب الجسد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وجه النّقض فإنّ عبد اللّه بن محمّد، من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ضعّف عدّة من رجالها، و ذکرها النّجاشی فی ترجمة مؤلّفها، منهم عبد اللّه بن محمّد الشامی، و إلیک نصّ النجاشی فی ترجمة محمّد بن أحمد بن یحیی الأشعری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عن الضعفاء و یعتمد المراسیل، و لا یبالی عمّن أخذ، و ما علیه فی نفسه مطعن فی شیء، و کان محمّد بن الحسن بن الولید یستثنی من روایة محمّد بن أحمد بن یحیی، ما رواه عن موسی بن محمد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 اللّه بن محمّد الشامی، أو عبد اللّه بن أحمد الرازی</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محمّد الشامی، الّذی یروی عنه محمّد بن أحمد ابن یحیی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عبد اللّه بن محمّد الشامی الّذی یروی عنه البزنطی، فإنّ الأوّل شیخ صاحب النوادر و تلمیذ أحمد بن محمّد بن </w:t>
      </w:r>
    </w:p>
    <w:p>
      <w:pPr>
        <w:pStyle w:val="BookText"/>
        <w:rPr/>
      </w:pPr>
      <w:r>
        <w:rPr>
          <w:rFonts w:ascii="IRNazanin" w:hAnsi="IRNazanin" w:eastAsia="IRNazanin"/>
          <w:color w:val="111111"/>
          <w:sz w:val="28"/>
          <w:sz w:val="28"/>
          <w:szCs w:val="28"/>
          <w:rtl w:val="true"/>
          <w:lang w:bidi="fa-IR"/>
        </w:rPr>
        <w:t>عیسی،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یکنّی أبا محمد الشامی الدمشقی، یروی عن أحمد بن محمد بن عیسی، و غیره من أصحاب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فصل من لم یرو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الشامی روی عنه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الذی استثناه ابن الولید من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الشامی الّذی یروی عنه أحمد بن محمّد بن أبی نصر البزنطی، فهو متقدّم علی سمیّه بواسطتین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 نصر البزنطی، و ذلک لأنّ ابن عیسی یروی کثیرا عن البزنطی، و هو یروی عن عبد اللّه بن محمّد الشامی، فلا یمکن أن یکونا شخصا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توفّی مؤلف النّوادر حوالی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و توفّی أحمد بن محمّد بن عیسی بعد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أو بعد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 توفّی البزنطی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فکیف یمکن أن یروی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البزنطی و هو عبد اللّه بن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الاشتباه اتّحاد الراویین فی الاسم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أن یقف القاریء علی تعدّدهما ذاتا و طبقة، فلیلاحظ ما رواه الصّدوق فی عیون أخبار الرّضا باب النصّ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أبی و محمّد بن الحسن بن أحمد بن الولید، و أحمد بن محمّد بن یحیی العطّار، و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حدّثنا محمّد بن یحیی العطّار، عن محمّد بن أحمد بن یحیی بن عمران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الشامی، عن الحسن بن موسی الخشّاب، عن علیّ بن أسباط، عن الحسین مولی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فیه أنّ عبد اللّه بن محمّد الشامی یروی عن علیّ </w:t>
      </w:r>
    </w:p>
    <w:p>
      <w:pPr>
        <w:pStyle w:val="BookText"/>
        <w:rPr/>
      </w:pPr>
      <w:r>
        <w:rPr>
          <w:rFonts w:ascii="IRNazanin" w:hAnsi="IRNazanin" w:eastAsia="IRNazanin"/>
          <w:color w:val="111111"/>
          <w:sz w:val="28"/>
          <w:sz w:val="28"/>
          <w:szCs w:val="28"/>
          <w:rtl w:val="true"/>
          <w:lang w:bidi="fa-IR"/>
        </w:rPr>
        <w:t>بن أسباط بواسطة، و کان علیّ بن أسباط معاصرا لعلیّ بن مهزیار، و قد دارت بینهما رسائل، و علیّ بن مهزیار متأخّر عن البزنطی</w:t>
      </w:r>
      <w:r>
        <w:rPr>
          <w:rStyle w:val="FootnoteAnchor"/>
          <w:rtl w:val="true"/>
        </w:rPr>
        <w:footnoteReference w:id="343"/>
      </w:r>
      <w:r>
        <w:rPr>
          <w:rFonts w:ascii="IRNazanin" w:hAnsi="IRNazanin" w:eastAsia="IRNazanin"/>
          <w:color w:val="111111"/>
          <w:sz w:val="28"/>
          <w:sz w:val="28"/>
          <w:szCs w:val="28"/>
          <w:rtl w:val="true"/>
          <w:lang w:bidi="fa-IR"/>
        </w:rPr>
        <w:t>و لیسا فی طبقة واحدة، فکیف یمکن أن یکون الشامی الّذی هو شیخ صاحب النوادر، شیخا للبزنطی؟ و لأجل ذلک یحکم بتعدّد الراویین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بإسناده عن أحمد بن محمّد بن أبی نصر، عن عبد الرّحمن بن سالم،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أفضل المواقیت فی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بهذا السند عن عبد الرّحمن بن سالم،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المرأة تکون فی السفر مع الرجال لیس فیهم لها ذو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محمد بن یحیی، عن احمد بن محمد بن عیسی، عن عبد الرحمن بن سالم،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عنه ابن أبی عمیر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علیّ بن إبراهیم عن أبیه، عن ابن أبی عمیر، عن عبد الرّحمن بن سالم، عن أبیه، </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الجماع فی وقت من الأوقات و إن کان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أسناد ثلاث و عشرین روایة، فهو یروی عن أبی بصیر و أبیه، و إسحاق بن عمار، و المفضّل بن عمر، و روی عنه ابن أبی عمیر، و ابن أبی نصر، و الحسن بن ظریف، و سهل بن زیاد، و محمّد بن أسلم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سالم بن عبد الرحمن الکوفی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سالم بیّاع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أخو عبد الحمید بن سالم،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سنده إلیه</w:t>
      </w:r>
      <w:r>
        <w:rPr>
          <w:rStyle w:val="FootnoteAnchor"/>
          <w:rtl w:val="true"/>
        </w:rPr>
        <w:footnoteReference w:id="348"/>
      </w:r>
      <w:r>
        <w:rPr>
          <w:rFonts w:ascii="IRNazanin" w:hAnsi="IRNazanin" w:eastAsia="IRNazanin"/>
          <w:color w:val="111111"/>
          <w:sz w:val="28"/>
          <w:sz w:val="28"/>
          <w:szCs w:val="28"/>
          <w:rtl w:val="true"/>
          <w:lang w:bidi="fa-IR"/>
        </w:rPr>
        <w:t xml:space="preserve">و عدّه الشیخ فی رجاله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عدّه البرقی من أصحابه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یضعّفه إلاّ ابن الغضائری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بصیر،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تضعیفاته غیر موثوق بها، لما أوضحنا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تعرّفت علی النقوض المتوجّهة إلی الضّابطة من جانب المحقّق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المعاصر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شیئا منها لا یصلح لأن یکون نقضا للقاعدة، و ذلک لجهات شتّی نشیر إلیها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کثیرا من هؤلاء الضّعاف لم یکونوا مشایخ للثقات، بل کانوا أعدالهم و أقرانهم، و إنّما توهّمت الروایة عنهم بسبب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فتصحیف العاطف بحرف الجرّ، صار سببا لأوهام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نبّه </w:t>
      </w:r>
      <w:bookmarkStart w:id="392" w:name="pg2858_19673"/>
    </w:p>
    <w:p>
      <w:pPr>
        <w:pStyle w:val="BookText"/>
        <w:rPr/>
      </w:pPr>
      <w:bookmarkEnd w:id="392"/>
      <w:r>
        <w:rPr>
          <w:rFonts w:ascii="IRNazanin" w:hAnsi="IRNazanin" w:eastAsia="IRNazanin"/>
          <w:color w:val="111111"/>
          <w:sz w:val="28"/>
          <w:sz w:val="28"/>
          <w:szCs w:val="28"/>
          <w:rtl w:val="true"/>
          <w:lang w:bidi="fa-IR"/>
        </w:rPr>
        <w:t xml:space="preserve">علی هذه القاعدة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فتصوّر العدیل استاذا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کثیرا ممّن اتّهم بالضعف، مضعّفون من حیث المذهب و العقیدة، لا من حیث الروایة، و هذا لا یخالف وثاقتهم و صدقهم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وقفت فی کلام الشیخ علی أنّ المراد من الثّقات هم الموثوق بهم من حیث الروایة و الحدیث لا المذهب، و بعبارة اخری، کانوا ملتزمین بالنّقل عن الثقات سواء کانوا إمامیّین أم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منشأ بعض النقوض هو الاشتراک فی الاسم بین المضعّف و غیره، کما مرّ نظیره فی عبد اللّه بن محمّد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من اتّهم بالضّعف لم یثبت ضعفهم أوّلا، و معارض بتعدیل الآخرین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ما تقدّم، تقدر علی الاجابة عن کثیر من النّقوض المتوجّهة إلی الضّابطة، الّتی ربّما تبلغ خمسة و أربعین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أغلبها مستند إلی سقم النّسخ و عدم إتقانها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له إلمام بطبقات الرواة، و میّز الشیخ عن التلمیذ، یقف علی کثیر من الاشتباهات الواردة فی الاسناد الّتی لم تقابل علی النسخ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فابتلاؤنا بکثیر من هذه الاشتباهات ولید التقصیر فی دراسة الحدیث، و عدم معرفتنا بأحوال الرواة، و طبقاتهم و مشایخهم و تلامیذهم، و فقدان النسخ الصّحیحة</w:t>
      </w:r>
      <w:r>
        <w:rPr>
          <w:rFonts w:eastAsia="IRNazanin" w:cs="IRNazanin"/>
          <w:color w:val="111111"/>
          <w:sz w:val="28"/>
          <w:szCs w:val="28"/>
          <w:rtl w:val="true"/>
          <w:lang w:bidi="fa-IR"/>
        </w:rPr>
        <w:t>.</w:t>
      </w:r>
    </w:p>
    <w:p>
      <w:pPr>
        <w:pStyle w:val="Heading5"/>
        <w:numPr>
          <w:ilvl w:val="4"/>
          <w:numId w:val="1"/>
        </w:numPr>
        <w:rPr/>
      </w:pPr>
      <w:bookmarkStart w:id="393" w:name="__RefHeading___Toc2760058_1395250215"/>
      <w:bookmarkStart w:id="394" w:name="_Toc133"/>
      <w:bookmarkEnd w:id="393"/>
      <w:r>
        <w:rPr>
          <w:rtl w:val="true"/>
        </w:rPr>
        <w:t>محاولة للاجابة عن النقوض</w:t>
      </w:r>
      <w:bookmarkEnd w:id="394"/>
    </w:p>
    <w:p>
      <w:pPr>
        <w:pStyle w:val="BookText"/>
        <w:rPr/>
      </w:pPr>
      <w:r>
        <w:rPr>
          <w:rFonts w:ascii="IRNazanin" w:hAnsi="IRNazanin" w:eastAsia="IRNazanin"/>
          <w:color w:val="111111"/>
          <w:sz w:val="28"/>
          <w:sz w:val="28"/>
          <w:szCs w:val="28"/>
          <w:rtl w:val="true"/>
          <w:lang w:bidi="fa-IR"/>
        </w:rPr>
        <w:t>إنّ هنا محاولة للاجابة عن هذه النقوض لا بأس بطرحها، و هی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شهادة الشیخ فی المقام لا تقصر عن شهادة ابن قولویه و علیّ بن </w:t>
      </w:r>
    </w:p>
    <w:p>
      <w:pPr>
        <w:pStyle w:val="BookText"/>
        <w:rPr/>
      </w:pPr>
      <w:r>
        <w:rPr>
          <w:rFonts w:ascii="IRNazanin" w:hAnsi="IRNazanin" w:eastAsia="IRNazanin"/>
          <w:color w:val="111111"/>
          <w:sz w:val="28"/>
          <w:sz w:val="28"/>
          <w:szCs w:val="28"/>
          <w:rtl w:val="true"/>
          <w:lang w:bidi="fa-IR"/>
        </w:rPr>
        <w:t>إبراهیم فی أوّل کتابیهما بأنّهما لا یرویان فیهما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یجب الأخذ بشهادتهما مطلقا، إلاّ إذا عارضها تنصیص آخر، و عند التعارض إمّا أن یتوقّف، أو یؤخذ بالثّانی لو ثبت رجحانه، فهکذا المقام یؤخذ بهذه الشّهادة إلاّ إذا ثبت خلافها، أو تعارضت مع نصّ آخر، فکما أنّ ثبوت الخلاف فی مورد شهادة ابن قولویه و علیّ بن إبراهیم، لا یضرّ بالأخذ بقولهما فی غیر مورده فهکذا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ذلک أنّ الشّهادة الإجمالیّة فی هذه المقامات تنحلّ إلی شهادات حسب عدد الرواة، فالتّعارض أو ثبوت الخلاف فی موارد خاصّة یوجب عدم الأخذ بها فی الموارد التی ثبت خلافها دون ما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اورد علی هذه المحاولة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إنّما یتمّ لو کانت الشهادة منتهیة إلی نفس هؤلاء الثّلاثة، بأن کانوا مصرّحین بأنّهم لا یروون و لا 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تؤخذ بشهادتهم إلاّ فی صورة التّعارض أو ثبوت الخلاف، أمّا إذا کانت الشّهادة مستندة إلی نفس الشّیخ، بأن یشهد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هؤلاء المشایخ لا یروون و لا یرسلون إلاّ عن ثقة، فعندئذ یکون الوقوف علی مشایخ لهم مضعّفین بنفس الشیخ، موجبا لسقوط هذه الشهادة عن الاعتبار فلا یبقی لها 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کون الشّهادة منتهیة إلی نفس الأقطاب الثّلاثة، و کونها منتهیة إلی نفس الشّیخ واضح، إذ لو کانت الشهادة منتهیة إلی نفس المشایخ، یکون معناه أنّهم شهدوا علی أنّهم ما کانوا یروون و لا یرسلون إلاّ عن ثقة عندهم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تبیّن الخلاف، أو تعارض مع تنصیص آخر، یحمل علی أنّه صدر اشتباها من هؤلاء فی هذه الموارد المتبیّنة، فحسبوا غیر الثقة ثقة فرووا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یضرّ بالأخذ بها فی غیر تلک الموارد و کم له من نظائر فی عالم الشهادت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کانت الشهادة منتهیة إلی نفس الشّیخ، و کانت شهادته علی أنّهم لا یروون و لا یرسلون إلاّ عن ثقة، مبنیّة علی استقرائه فی مشایخهم، فلا تعتدّ بها إذا تبیّن الخلاف، و اعلم أنّهم یروون عن غیر الثقة أیضا، إذ عندئذ یتبیّن أنّ استقراء الشیخ کان استقراء ناقصا غیر مفید لامکان انتزاع الضابطة الکلیّة، فلا یصحّ الأخذ بها لبطلان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یرومه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العبارة غیر وافیة بهذا التّقریر، و لکنّ الإجابة عن هذا الاشکال ممکنة بعد الدقّة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الظاهر من عبارة الشیخ هو استکشاف الطائفة التزامهم بأنّهم ما کانوا یروون و لا یرسلون إلاّ عن ثقة، علی وجه کانت القضیّة مشهورة فی الأوساط العلمیّة قبل زمن الشیخ إلی أن انتهت إلیه، فعند ذاک یکون الشیخ حاکیا لهذا الاستکشاف، لا أنّه هو الذی کشف ذلک، و ادّعی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سوّت الطائفة بین ما یرویه هؤلاء و غیرهم من الثقات الّذین عرفوا بأنّهم لا یروون و لا یرسلون إلاّ عمّن یوثق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فالطّائفة الّتی سوّت بین ما یرویه هؤلاء هی الّتی کشفت هذا الالتزام عنها و عرفها الشیخ، و بذلک یسقط الاشکال عن الصلاحیّة، لأنّه کان مبنیّا علی أنّ الشیخ هو الّذی کشف الضابطة عن طریق الاستقراء، و بالعثور علی مشایخ ضعّفهم الشیخ نفسه فی کتبه، یکون ذلک دلیلا علی نقصان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لکنّک عرفت أنّ احتمال کون الشیخ هو المستکشف، فضلا عن کون استکشافه مبنیّا علی الاستقراء، أمر لا توافقه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یؤخذ بهذه الشهادة، و یحکم بوثاقة مشایخهم عامّة، و إن لم یذکروا فی الکتب الرجالیة بشیء من الوثاقة و المدح</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 هذه المحاولة إنّما تنتج فی المسانید، فیحکم بوثاقة کلّ من جاء فیها إلاّ من ثبت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المراسیل فلا تجری </w:t>
      </w:r>
    </w:p>
    <w:p>
      <w:pPr>
        <w:pStyle w:val="BookText"/>
        <w:rPr/>
      </w:pPr>
      <w:r>
        <w:rPr>
          <w:rFonts w:ascii="IRNazanin" w:hAnsi="IRNazanin" w:eastAsia="IRNazanin"/>
          <w:color w:val="111111"/>
          <w:sz w:val="28"/>
          <w:sz w:val="28"/>
          <w:szCs w:val="28"/>
          <w:rtl w:val="true"/>
          <w:lang w:bidi="fa-IR"/>
        </w:rPr>
        <w:t>فیها، إذ من المحتمل أن تکون الواسطة هی من ثبت ضعفه فعندئذ لا یمکن الأخذ بها، لأنّه یکون من قبیل التمسّک بالعام فی الشبهة المصداقیّة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السید الشهید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حساب الاحتمالات،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الوسیط المجهول إذا افترضنا أنّه مردّد بین جمیع مشایخ ابن أبی عمیر، و کان مجموع من روی عنه أربعمائة شخص، و کان ثابت الضّعف منهم بشهادة اخری، لا یزیدون علی خمسة أو حوالی ذلک، فعندئذ یکون احتمال کون الوسیط المحذوف أحد الخمسة المضعّفة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 إذا افترضنا أنّ ثابت الضّعف من الأربعمائة هم عشرة، یکون احتمال کون الوسیط المحذوف منهم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الاحتمال لا یضرّ بالاطمئنان الشخصی، و لیس العقلاء ملتزمین علی العمل و الاتبّاع، إذا صاروا مطمئنّین مائة بالمائة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ما أجاب به إشکالا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الجواب إنّما یتمّ إذا کانت الاحتمالات الأربعمائة فی الوسیط المجهول، متساویة فی قیمتها الاحتمالیّة، إذ حینئذ یصحّ أن یقال احتمال کونه أحد الخمسة المضعّفین قیمة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 إذا فرضنا أنّ ثابت الضعف عشرة فی أربعمائة، کان احتمال کون الوسیط أحدهم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 أمّا إذا لم تکن الاحتمالات متساویة، و کانت هناک أمارة احتمالیة تزید من قیمة احتمال أن یکون الوسیط المجهول أحد الخمسة، فسوف یختلّ الحساب المذکور، و یمکن أن ندّعی وجود عامل احتمالی، یزید من قیمة هذا الاحتمال، و هو نفس کون ابن أبی عمیر یروی الروایة عن رجل أو بعض أصحابه، و نحو ذلک من التعبیرات الّتی تعرب عن کون الراوی بدرجة من عدم الاعتناء، و عدم الوثوق بالروایة، یناسب أن یکون المرویّ عنه أحد اولئک الخمسة، و إلاّ لما </w:t>
      </w:r>
    </w:p>
    <w:p>
      <w:pPr>
        <w:pStyle w:val="BookText"/>
        <w:rPr/>
      </w:pPr>
      <w:r>
        <w:rPr>
          <w:rFonts w:ascii="IRNazanin" w:hAnsi="IRNazanin" w:eastAsia="IRNazanin"/>
          <w:color w:val="111111"/>
          <w:sz w:val="28"/>
          <w:sz w:val="28"/>
          <w:szCs w:val="28"/>
          <w:rtl w:val="true"/>
          <w:lang w:bidi="fa-IR"/>
        </w:rPr>
        <w:t>کان وجه لترک اسمه و التکنیة عنه برجل و نحوه و عندئذ یختلّ الحساب المذکور، و یکون المظنون کون المرویّ هو أحد الخمسة، لا أحد الباقین، فتنقلب المحاسبة المذکورة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الجواب المذکور غیر واف لدفع الاشکال، و علی فرض صحّته فالذی اورد علیه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العقلاء فی الامور المهمّة، یحتاطون بأکثر من ذلک، فلا یأخذون بخبر یحتمل کذبه بنسبة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العقلاء أنّ قنبلة تصیب بنایة من ثمانین بنایة، لا یقدمون علی السکنی فی أحدها، کما أنّه لو وقفوا علی أنّ السیل سیجرف إحدی السیّارات الّتی تبلغ العدد المذکور لا یجرؤون علی رکوب أیّ منها، و هکذا غیر ذلک من الامور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الامور الحقیرة الّتی لا یهتمّ العقلاء بإضرارها، ربّما یأخذون بخبر یحتمل صدقه حتّی بأقلّ من النسبة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 الالهیّة من الامور المهمّة، فلا یصحّ التساهل فیها، مثل ما یتساهل فی الامور غیر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قلنا إنّ أصل الجواب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تسویغ الشارع العمل بمطلق قول الثقة، یکشف عن أنّه اکتفی فی العمل بالشریعة، بالمراتب النازلة من الاطمئنان، و إلاّ لما سوّغ العمل بقول الثقة علی وجه الاطلاق، و لیس قول کل ثقة مفیدا للدرجة العلیا من الاطمئنان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أنّ الإشکال غیر وارد علی فرض صحّة الجواب، فلأنّ النجاشی یصرّح بأنّ وجه إرساله الروایات، هو أنّ اخته دفنت کتبه فی حال استتاره، و کونه فی الحبس أربع سنین، فهلکت الکتب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ترکتها فی غرفة فسال علیها المطر فهلکت، فحدّث من حفظه و ممّا کان سلف له فی أیدی </w:t>
      </w:r>
    </w:p>
    <w:p>
      <w:pPr>
        <w:pStyle w:val="BookText"/>
        <w:rPr/>
      </w:pPr>
      <w:r>
        <w:rPr>
          <w:rFonts w:ascii="IRNazanin" w:hAnsi="IRNazanin" w:eastAsia="IRNazanin"/>
          <w:color w:val="111111"/>
          <w:sz w:val="28"/>
          <w:sz w:val="28"/>
          <w:szCs w:val="28"/>
          <w:rtl w:val="true"/>
          <w:lang w:bidi="fa-IR"/>
        </w:rPr>
        <w:t>الناس، فلهذا أصحابنا یسکنون إلی مراسیله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 لأجل أنّه نسی المرویّ عنه، و إلاّ لصرّح باسمه، لا کأنّه بلغ من الضعف إلی درجة یأنف عن التصریح باسمه، حتّی یستقرب بأنّه من أحد الخمسة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 هنا محاولة لحجیّة مراسیله لو صحّت لاطمأنّ الانسان بأنّ الواسطة المحذوفة کانت من الثقات لا من الخمسة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حاصلها أنّ التتبّع یقضی بأنّ عدد روایاته عن الضّعاف قلیل جدّا بالنسبة إلی عدد روایاته عن الثقات، مثلا إنّه یروی عن أبی أیّوب فی ثمانیة و خمسین موردا، کما یروی عن ابن اذینة فی مائة و اثنین و خمسین موردا، و یروی عن حمّاد فی تسعمائة و خمسة و ستّین موردا، و یروی عن عبد الرحمن بن الحجّاج فی مائة و خمسة و ثلاثین موردا، کما یروی عن معاویة بن عمّار فی أربعمائة و ثمانیة و أربعین موردا، إلی غیر ذلک من المشایخ الّتی یقف علیها المتتبّع بالسبر 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لا یروی عن بعض الضعاف إلاّ روایة أو روایتین أو ثلاثة، و قد عرفت عدد روایاته فی الکتب الأربعة عن هذه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روایاته من الثّقات أکثر بکثیر من روایاته عن الضّعاف، یطمئنّ الإنسان بأنّ الواسطة المحذوفة فی المراسیل هی من الثقات، لا من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القدر من الاطمئنان کاف فی رفع الاشکال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کانت مراسیله کثیرة مبسوطة فی أبواب الفقه، فلا جرم إنّ الانسان یذعن بأنّ بعض الوسائط المحذوفة فیها من الضعفاء</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مثل هذا العلم الإجمالی أشبه بالشبه غیر المحصورة، لا یترتب علیها أثر، کالعلم بأنّ بعض الاخبار الصحیحة غیر مطابق للواقع، و لا صادر عن المعصوم</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2858_19681"/>
      <w:bookmarkStart w:id="396" w:name="pg2858_19681"/>
      <w:bookmarkEnd w:id="396"/>
    </w:p>
    <w:p>
      <w:pPr>
        <w:pStyle w:val="Heading3"/>
        <w:numPr>
          <w:ilvl w:val="2"/>
          <w:numId w:val="1"/>
        </w:numPr>
        <w:rPr/>
      </w:pPr>
      <w:bookmarkStart w:id="397" w:name="pg2858_19681"/>
      <w:bookmarkStart w:id="398" w:name="__RefHeading___Toc2760060_1395250215"/>
      <w:bookmarkStart w:id="399" w:name="_Toc134"/>
      <w:bookmarkEnd w:id="397"/>
      <w:bookmarkEnd w:id="398"/>
      <w:r>
        <w:rPr/>
        <w:t>3</w:t>
      </w:r>
      <w:r>
        <w:rPr>
          <w:rtl w:val="true"/>
        </w:rPr>
        <w:t xml:space="preserve"> - </w:t>
      </w:r>
      <w:r>
        <w:rPr>
          <w:rtl w:val="true"/>
        </w:rPr>
        <w:t>العصابة المشهورة بأنهم لا یروون الا عن الثقات</w:t>
      </w:r>
      <w:bookmarkEnd w:id="399"/>
    </w:p>
    <w:p>
      <w:pPr>
        <w:pStyle w:val="Heading4"/>
        <w:numPr>
          <w:ilvl w:val="3"/>
          <w:numId w:val="1"/>
        </w:numPr>
        <w:rPr/>
      </w:pPr>
      <w:bookmarkStart w:id="400" w:name="__RefHeading___Toc2760062_1395250215"/>
      <w:bookmarkStart w:id="401" w:name="_Toc135"/>
      <w:bookmarkEnd w:id="400"/>
      <w:r>
        <w:rPr>
          <w:rtl w:val="true"/>
        </w:rPr>
        <w:t>اشارة</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فضال کلهم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بشیر البجلی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میمون الزعفرانی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الحسن الطاطری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النجاشی صاحب الفهرس</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2858_19683"/>
      <w:bookmarkStart w:id="403" w:name="pg2858_19683"/>
      <w:bookmarkEnd w:id="403"/>
    </w:p>
    <w:p>
      <w:pPr>
        <w:pStyle w:val="BookText"/>
        <w:rPr/>
      </w:pPr>
      <w:bookmarkStart w:id="404" w:name="pg2858_19683"/>
      <w:bookmarkEnd w:id="404"/>
      <w:r>
        <w:rPr>
          <w:rFonts w:ascii="IRNazanin" w:hAnsi="IRNazanin" w:eastAsia="IRNazanin"/>
          <w:color w:val="111111"/>
          <w:sz w:val="28"/>
          <w:sz w:val="28"/>
          <w:szCs w:val="28"/>
          <w:rtl w:val="true"/>
          <w:lang w:bidi="fa-IR"/>
        </w:rPr>
        <w:t>قد عرفت حقیقة الحال فی ابن أبی عمیر و صفوان بن یحیی و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معی ندرس حال الباقین ممّن قیل فی حقّهم إنّهم لا یروون إلاّ عن ثقة، و هم عبارة عن عدّة من أجلاّء الأصحاب منهم</w:t>
      </w:r>
      <w:r>
        <w:rPr>
          <w:rFonts w:eastAsia="IRNazanin" w:cs="IRNazanin"/>
          <w:color w:val="111111"/>
          <w:sz w:val="28"/>
          <w:szCs w:val="28"/>
          <w:rtl w:val="true"/>
          <w:lang w:bidi="fa-IR"/>
        </w:rPr>
        <w:t>:</w:t>
      </w:r>
    </w:p>
    <w:p>
      <w:pPr>
        <w:pStyle w:val="Heading4"/>
        <w:numPr>
          <w:ilvl w:val="3"/>
          <w:numId w:val="1"/>
        </w:numPr>
        <w:rPr/>
      </w:pPr>
      <w:bookmarkStart w:id="405" w:name="__RefHeading___Toc2760064_1395250215"/>
      <w:bookmarkStart w:id="406" w:name="_Toc136"/>
      <w:bookmarkEnd w:id="405"/>
      <w:r>
        <w:rPr>
          <w:rtl w:val="true"/>
        </w:rPr>
        <w:t xml:space="preserve">ألف </w:t>
      </w:r>
      <w:r>
        <w:rPr>
          <w:rtl w:val="true"/>
        </w:rPr>
        <w:t xml:space="preserve">- </w:t>
      </w:r>
      <w:r>
        <w:rPr>
          <w:rtl w:val="true"/>
        </w:rPr>
        <w:t>احمد بن محمد بن عیسی القمی</w:t>
      </w:r>
      <w:bookmarkEnd w:id="406"/>
    </w:p>
    <w:p>
      <w:pPr>
        <w:pStyle w:val="BookText"/>
        <w:rPr/>
      </w:pPr>
      <w:r>
        <w:rPr>
          <w:rFonts w:ascii="IRNazanin" w:hAnsi="IRNazanin" w:eastAsia="IRNazanin"/>
          <w:color w:val="111111"/>
          <w:sz w:val="28"/>
          <w:sz w:val="28"/>
          <w:szCs w:val="28"/>
          <w:rtl w:val="true"/>
          <w:lang w:bidi="fa-IR"/>
        </w:rPr>
        <w:t>لا شکّ أنّ أحمد بن محمّد بن عیسی ثقة جلیل وثّقه النّجاشی و الشّیخ، و نقل العلاّمة فی خلاصته</w:t>
      </w:r>
      <w:r>
        <w:rPr>
          <w:rStyle w:val="FootnoteAnchor"/>
          <w:rtl w:val="true"/>
        </w:rPr>
        <w:footnoteReference w:id="353"/>
      </w:r>
      <w:r>
        <w:rPr>
          <w:rFonts w:ascii="IRNazanin" w:hAnsi="IRNazanin" w:eastAsia="IRNazanin"/>
          <w:color w:val="111111"/>
          <w:sz w:val="28"/>
          <w:sz w:val="28"/>
          <w:szCs w:val="28"/>
          <w:rtl w:val="true"/>
          <w:lang w:bidi="fa-IR"/>
        </w:rPr>
        <w:t>أنّه أخرج أحمد بن محمّد بن خالد البرقی القمّی من قم لأنّه کان یروی عن الضّعاف، لکنّه أعاده إلیها، معتذرا إلیه، و لمّا توفّی مشی أحمد بن محمّد بن عیسی فی جنازته حافیا حاسرا لیبرء نفسه ممّا قذفه به و هذا یدلّ علی أنّ أحمد بن محمّد بن عیسی ما کان یروی عن الّعاف و إلاّ لما أخرج سمیّه و معاصره من قم، فیعدّ هذا دلیلا علی أنّه لا یروی إلاّ عن ثقة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بطلان هذا الاستنتاج، لأنّه لم یخرج البرقیّ من قم لأجل روایته عن ضعیف أو ضعیفین أو ضعاف معدودة، بل لأجل أنّه کان یکثر الروایة عن </w:t>
      </w:r>
    </w:p>
    <w:p>
      <w:pPr>
        <w:pStyle w:val="BookText"/>
        <w:rPr/>
      </w:pPr>
      <w:r>
        <w:rPr>
          <w:rFonts w:ascii="IRNazanin" w:hAnsi="IRNazanin" w:eastAsia="IRNazanin"/>
          <w:color w:val="111111"/>
          <w:sz w:val="28"/>
          <w:sz w:val="28"/>
          <w:szCs w:val="28"/>
          <w:rtl w:val="true"/>
          <w:lang w:bidi="fa-IR"/>
        </w:rPr>
        <w:t>الضعاف و یعتمد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ثقة فی نفسه غیر أنّه أکثر الروایة عن الضعفاء و اعتمد المراسیل</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کوفیّ ثقة غیر أنّه أکثر الروایة عن الضعفاء و اعتمد المراسیل،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علیه القمیون و لیس الطعن فیه، إنّما الطّعن فیمن یروی عنه فإنّه کان لا یبالی عمّن أخذ علی طریقة أهل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ذلک أنّ أحمد بن محمّد بن عیسی أخذ علی البرقی إکثار الروایة من الضّعاف، و هو یدلّ علی عدم إکثاره منها لا أنّه لا یروی عن ضعیف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أحمد بن محمّد بن عیسی بنفسه روی عن عدّة من الضعفاء نظراء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محمّد بن یحیی، عن أحمد بن محمّد بن عیسی، عن محمّد بن سنان، عن إسماعیل بن جابر،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أمناء، و الأتقیاء حصون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سنان هذا ممّن ضعّفه النجاشی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العبّاس 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مسائل عنه معروفة، و هو رجل ضعیف جدّا لا یعوّل علیه و لا یلتفت إلی ما تفرّد به، و قد ذکره أبو عمرو فی رجاله، قال أبو الحسن علیّ بن محمّد بن قتیبة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احلّ لکم أن ترووا أحادیث محمّد بن سنان</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محمّد بن یحیی، عن أحمد بن </w:t>
      </w:r>
    </w:p>
    <w:p>
      <w:pPr>
        <w:pStyle w:val="BookText"/>
        <w:rPr/>
      </w:pPr>
      <w:r>
        <w:rPr>
          <w:rFonts w:ascii="IRNazanin" w:hAnsi="IRNazanin" w:eastAsia="IRNazanin"/>
          <w:color w:val="111111"/>
          <w:sz w:val="28"/>
          <w:sz w:val="28"/>
          <w:szCs w:val="28"/>
          <w:rtl w:val="true"/>
          <w:lang w:bidi="fa-IR"/>
        </w:rPr>
        <w:t xml:space="preserve">محمّد بن عیسی، عن علیّ بن حدید، عن مرازم،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فی القرآن تبیان کل شیء</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مضی أنّ علیّ بن حدید فی الضعاف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محمّد بن یحیی، عن أحمد بن محمّد بن عیسی، عن اسماعیل بن سهل، عن حمّاد، عن ربعیّ،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الندم علی الشرّ یدعو إلی ترکه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إسماعیل بن سهل هذا ضعّفه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سهل الدهقان ضعّفه أصحابنا، له کتاب</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قال العلاّمة فی القسم الثانی من الخلاصة و ابن داود مثله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محمّد بن یحیی، عن أحمد بن محمّد بن عیسی، عن بکر بن صالح، عن الحسن بن علی، عن عبد اللّه بن إبراهیم، عن علیّ بن أبی علیّ اللهبی،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لیعطی العبد من الثّواب علی حسن الخلق کما یعطی المجاهد فی سبیل اللّه یغدو علیه و یروح</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بکر بن صالح هذا ممّن ضعّفه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مولی بنی ضبّة روی 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له کتاب نوادر</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07" w:name="pg2858_19686"/>
    </w:p>
    <w:p>
      <w:pPr>
        <w:pStyle w:val="BookText"/>
        <w:rPr/>
      </w:pPr>
      <w:bookmarkEnd w:id="407"/>
      <w:r>
        <w:rPr>
          <w:rFonts w:ascii="IRNazanin" w:hAnsi="IRNazanin" w:eastAsia="IRNazanin"/>
          <w:color w:val="111111"/>
          <w:sz w:val="28"/>
          <w:sz w:val="28"/>
          <w:szCs w:val="28"/>
          <w:rtl w:val="true"/>
          <w:lang w:bidi="fa-IR"/>
        </w:rPr>
        <w:t>و قال العلاّمة فی القسم الثانی من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بکر بن صالح الرازی مولی بن ضبّة و روی عن أبی الحسن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جدّا کثیر التفرّد بالغرائب</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2760066_1395250215"/>
      <w:bookmarkStart w:id="409" w:name="_Toc137"/>
      <w:bookmarkEnd w:id="408"/>
      <w:r>
        <w:rPr>
          <w:rtl w:val="true"/>
        </w:rPr>
        <w:t xml:space="preserve">ب </w:t>
      </w:r>
      <w:r>
        <w:rPr>
          <w:rtl w:val="true"/>
        </w:rPr>
        <w:t xml:space="preserve">- </w:t>
      </w:r>
      <w:r>
        <w:rPr>
          <w:rtl w:val="true"/>
        </w:rPr>
        <w:t>بنو فضال</w:t>
      </w:r>
      <w:bookmarkEnd w:id="409"/>
    </w:p>
    <w:p>
      <w:pPr>
        <w:pStyle w:val="BookText"/>
        <w:rPr/>
      </w:pPr>
      <w:r>
        <w:rPr>
          <w:rFonts w:ascii="IRNazanin" w:hAnsi="IRNazanin" w:eastAsia="IRNazanin"/>
          <w:color w:val="111111"/>
          <w:sz w:val="28"/>
          <w:sz w:val="28"/>
          <w:szCs w:val="28"/>
          <w:rtl w:val="true"/>
          <w:lang w:bidi="fa-IR"/>
        </w:rPr>
        <w:t>قد استدلّ علی وثاقة کلّ من روی عنه بنو فضّال بالحدیث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الحسین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الکوفی خادم الشیخ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ابن أبی العزاقر</w:t>
      </w:r>
      <w:r>
        <w:rPr>
          <w:rStyle w:val="FootnoteAnchor"/>
          <w:rtl w:val="true"/>
        </w:rPr>
        <w:footnoteReference w:id="364"/>
      </w:r>
      <w:r>
        <w:rPr>
          <w:rFonts w:ascii="IRNazanin" w:hAnsi="IRNazanin" w:eastAsia="IRNazanin"/>
          <w:color w:val="111111"/>
          <w:sz w:val="28"/>
          <w:sz w:val="28"/>
          <w:szCs w:val="28"/>
          <w:rtl w:val="true"/>
          <w:lang w:bidi="fa-IR"/>
        </w:rPr>
        <w:t>بعد ما ذمّ و خرجت فیه اللّعنة،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بکتبه و بیوتنا منها ملأی؟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فیها ما قاله أبو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کتب بنی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نعمل بکتبهم و بیوتنا منها ملأی؟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 ذروا ما رأوا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ممّا استند إلیه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صلاته عند ما تعرّض لروایة داود بن فرقد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الشیخ عن داود بن فرقد، عن بعض أصحابنا،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دخل وقت الظهر حتّی یمضی بمقدار ما یصلّی المصلّی أربع رکعات، فإذا مضی مقدار ذلک فقد دخل وقت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و إن کانت مرسلة إلاّ أنّ سندها إلی الحسن بن فضّال صحیح و بنو فضّال ممّن أمروا بالأخذ بکتبهم و روایاتهم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10" w:name="pg2858_19687"/>
    </w:p>
    <w:p>
      <w:pPr>
        <w:pStyle w:val="BookText"/>
        <w:rPr/>
      </w:pPr>
      <w:bookmarkEnd w:id="410"/>
      <w:r>
        <w:rPr>
          <w:rFonts w:ascii="IRNazanin" w:hAnsi="IRNazanin" w:eastAsia="IRNazanin"/>
          <w:color w:val="111111"/>
          <w:sz w:val="28"/>
          <w:sz w:val="28"/>
          <w:szCs w:val="28"/>
          <w:rtl w:val="true"/>
          <w:lang w:bidi="fa-IR"/>
        </w:rPr>
        <w:t>غیر أنّ الاستدلال بهذا الحدیث علی فرض صحّة سنده قاصر، لأنّ المقصود من الجملة الواردة فی حقّ بنی فضّال هو أنّ فساد العقیدة بعد الاستقامة لا یضرّ بحجیّة الروایة المتقدّمة علی الفساد، لا أنّه یؤخذ بکلّ روایاتهم و مراسیلهم و مسانیدهم من غیر أن یتفحّص عمّن یروون عنه، بل المراد أنّه یجری علی بنی فضّال الحکم الّذی کان یجری علی سائر الرواة، فکما أنّه یجب التفتیش عنهم حتّی تتبیّن الثقة منهم عن غیرها فهکذا بنو فضّال</w:t>
      </w:r>
      <w:r>
        <w:rPr>
          <w:rFonts w:eastAsia="IRNazanin" w:cs="IRNazanin"/>
          <w:color w:val="111111"/>
          <w:sz w:val="28"/>
          <w:szCs w:val="28"/>
          <w:rtl w:val="true"/>
          <w:lang w:bidi="fa-IR"/>
        </w:rPr>
        <w:t>.</w:t>
      </w:r>
    </w:p>
    <w:p>
      <w:pPr>
        <w:pStyle w:val="Heading4"/>
        <w:numPr>
          <w:ilvl w:val="3"/>
          <w:numId w:val="1"/>
        </w:numPr>
        <w:rPr/>
      </w:pPr>
      <w:bookmarkStart w:id="411" w:name="__RefHeading___Toc2760068_1395250215"/>
      <w:bookmarkStart w:id="412" w:name="_Toc138"/>
      <w:bookmarkEnd w:id="411"/>
      <w:r>
        <w:rPr>
          <w:rtl w:val="true"/>
        </w:rPr>
        <w:t xml:space="preserve">ج </w:t>
      </w:r>
      <w:r>
        <w:rPr>
          <w:rtl w:val="true"/>
        </w:rPr>
        <w:t xml:space="preserve">- </w:t>
      </w:r>
      <w:r>
        <w:rPr>
          <w:rtl w:val="true"/>
        </w:rPr>
        <w:t>جعفر بن بشیر</w:t>
      </w:r>
      <w:bookmarkEnd w:id="412"/>
    </w:p>
    <w:p>
      <w:pPr>
        <w:pStyle w:val="BookText"/>
        <w:rPr/>
      </w:pPr>
      <w:r>
        <w:rPr>
          <w:rFonts w:ascii="IRNazanin" w:hAnsi="IRNazanin" w:eastAsia="IRNazanin"/>
          <w:color w:val="111111"/>
          <w:sz w:val="28"/>
          <w:sz w:val="28"/>
          <w:szCs w:val="28"/>
          <w:rtl w:val="true"/>
          <w:lang w:bidi="fa-IR"/>
        </w:rPr>
        <w:t>قد استدلّ المحدّث النوری فی مستدرکه</w:t>
      </w:r>
      <w:r>
        <w:rPr>
          <w:rStyle w:val="FootnoteAnchor"/>
          <w:rtl w:val="true"/>
        </w:rPr>
        <w:footnoteReference w:id="367"/>
      </w:r>
      <w:r>
        <w:rPr>
          <w:rFonts w:ascii="IRNazanin" w:hAnsi="IRNazanin" w:eastAsia="IRNazanin"/>
          <w:color w:val="111111"/>
          <w:sz w:val="28"/>
          <w:sz w:val="28"/>
          <w:szCs w:val="28"/>
          <w:rtl w:val="true"/>
          <w:lang w:bidi="fa-IR"/>
        </w:rPr>
        <w:t>علی وثاقة کلّ من روی جعفر بن بشیر عنهم و من رووا عنه بما ذکره النّجاشی فی رجاله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بشیر البجلی الوشاء من زهّاد أصحابنا و عبّادهم و نسّاکهم و کان ثقة و له مسجد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بالأبواء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العباس بن نوح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یلقّب فقحة العلم</w:t>
      </w:r>
      <w:r>
        <w:rPr>
          <w:rStyle w:val="FootnoteAnchor"/>
          <w:rtl w:val="true"/>
        </w:rPr>
        <w:footnoteReference w:id="368"/>
      </w:r>
      <w:r>
        <w:rPr>
          <w:rFonts w:ascii="IRNazanin" w:hAnsi="IRNazanin" w:eastAsia="IRNazanin"/>
          <w:color w:val="111111"/>
          <w:sz w:val="28"/>
          <w:sz w:val="28"/>
          <w:szCs w:val="28"/>
          <w:rtl w:val="true"/>
          <w:lang w:bidi="fa-IR"/>
        </w:rPr>
        <w:t>روی عن الثقات و رووا عنه، له کتاب المشیخة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العبارة غیر ظاهرة فی الحصر، بل المراد أنّ جعفر بن بشیر یروی عن الثقات کما تروی الثقات عنه، و أمّا إنّه لا یروی عنه إلاّ الثقات و هو لا یروی إلاّ عنهم، فلا تفیده العبارة، کیف و من المستبعد عادة أن لا تروی عنه إلاّ ثقة و هو خارج عن اختیاره، و أقصی ما تفیده العبارة أنّ القضیّة غالبیة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قد روی جعفر بن بشیر عن الضعیف أیضا</w:t>
      </w:r>
      <w:r>
        <w:rPr>
          <w:rFonts w:eastAsia="IRNazanin" w:cs="IRNazanin"/>
          <w:color w:val="111111"/>
          <w:sz w:val="28"/>
          <w:szCs w:val="28"/>
          <w:rtl w:val="true"/>
          <w:lang w:bidi="fa-IR"/>
        </w:rPr>
        <w:t xml:space="preserve">. </w:t>
      </w:r>
      <w:bookmarkStart w:id="413" w:name="pg2858_19688"/>
    </w:p>
    <w:p>
      <w:pPr>
        <w:pStyle w:val="BookText"/>
        <w:rPr/>
      </w:pPr>
      <w:bookmarkEnd w:id="413"/>
      <w:r>
        <w:rPr>
          <w:rFonts w:ascii="IRNazanin" w:hAnsi="IRNazanin" w:eastAsia="IRNazanin"/>
          <w:color w:val="111111"/>
          <w:sz w:val="28"/>
          <w:sz w:val="28"/>
          <w:szCs w:val="28"/>
          <w:rtl w:val="true"/>
          <w:lang w:bidi="fa-IR"/>
        </w:rPr>
        <w:t>روی الشیخ عن محمّد بن علیّ بن محبوب، عن محمّد بن الحسین، عن جعفر بن بشیر، عن صالح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صالح بن الحکم ممن ضعّفه النجاشی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الحکم النیلی الأحول، ضعیف</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2760070_1395250215"/>
      <w:bookmarkStart w:id="415" w:name="_Toc139"/>
      <w:bookmarkEnd w:id="414"/>
      <w:r>
        <w:rPr>
          <w:rtl w:val="true"/>
        </w:rPr>
        <w:t xml:space="preserve">د </w:t>
      </w:r>
      <w:r>
        <w:rPr>
          <w:rtl w:val="true"/>
        </w:rPr>
        <w:t xml:space="preserve">- </w:t>
      </w:r>
      <w:r>
        <w:rPr>
          <w:rtl w:val="true"/>
        </w:rPr>
        <w:t>محمد بن اسماعیل بن میمون الزعفرانی</w:t>
      </w:r>
      <w:bookmarkEnd w:id="415"/>
    </w:p>
    <w:p>
      <w:pPr>
        <w:pStyle w:val="BookText"/>
        <w:rPr/>
      </w:pPr>
      <w:r>
        <w:rPr>
          <w:rFonts w:ascii="IRNazanin" w:hAnsi="IRNazanin" w:eastAsia="IRNazanin"/>
          <w:color w:val="111111"/>
          <w:sz w:val="28"/>
          <w:sz w:val="28"/>
          <w:szCs w:val="28"/>
          <w:rtl w:val="true"/>
          <w:lang w:bidi="fa-IR"/>
        </w:rPr>
        <w:t>و قد قیل</w:t>
      </w:r>
      <w:r>
        <w:rPr>
          <w:rStyle w:val="FootnoteAnchor"/>
          <w:rtl w:val="true"/>
        </w:rPr>
        <w:footnoteReference w:id="372"/>
      </w:r>
      <w:r>
        <w:rPr>
          <w:rFonts w:ascii="IRNazanin" w:hAnsi="IRNazanin" w:eastAsia="IRNazanin"/>
          <w:color w:val="111111"/>
          <w:sz w:val="28"/>
          <w:sz w:val="28"/>
          <w:szCs w:val="28"/>
          <w:rtl w:val="true"/>
          <w:lang w:bidi="fa-IR"/>
        </w:rPr>
        <w:t>فی حقّه ما قیل فی حقّ جعفر بن بشیر مستدلاّ بما ذکره النجاشی فی حقّه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بن میمون الزعفرانی أبو عبد اللّه ثقة عین روی عن الثقات و رووا عنه و لقی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هذه العبارة ما ذکرناه فی حقّ المتقدّم علیه</w:t>
      </w:r>
      <w:r>
        <w:rPr>
          <w:rFonts w:eastAsia="IRNazanin" w:cs="IRNazanin"/>
          <w:color w:val="111111"/>
          <w:sz w:val="28"/>
          <w:szCs w:val="28"/>
          <w:rtl w:val="true"/>
          <w:lang w:bidi="fa-IR"/>
        </w:rPr>
        <w:t>.</w:t>
      </w:r>
    </w:p>
    <w:p>
      <w:pPr>
        <w:pStyle w:val="Heading4"/>
        <w:numPr>
          <w:ilvl w:val="3"/>
          <w:numId w:val="1"/>
        </w:numPr>
        <w:rPr/>
      </w:pPr>
      <w:bookmarkStart w:id="416" w:name="__RefHeading___Toc2760072_1395250215"/>
      <w:bookmarkStart w:id="417" w:name="_Toc140"/>
      <w:bookmarkEnd w:id="416"/>
      <w:r>
        <w:rPr>
          <w:rtl w:val="true"/>
        </w:rPr>
        <w:t xml:space="preserve">ه </w:t>
      </w:r>
      <w:r>
        <w:rPr>
          <w:rtl w:val="true"/>
        </w:rPr>
        <w:t xml:space="preserve">- </w:t>
      </w:r>
      <w:r>
        <w:rPr>
          <w:rtl w:val="true"/>
        </w:rPr>
        <w:t>علی بن الحسن الطاطری</w:t>
      </w:r>
      <w:bookmarkEnd w:id="417"/>
    </w:p>
    <w:p>
      <w:pPr>
        <w:pStyle w:val="BookText"/>
        <w:rPr/>
      </w:pPr>
      <w:r>
        <w:rPr>
          <w:rFonts w:ascii="IRNazanin" w:hAnsi="IRNazanin" w:eastAsia="IRNazanin"/>
          <w:color w:val="111111"/>
          <w:sz w:val="28"/>
          <w:sz w:val="28"/>
          <w:szCs w:val="28"/>
          <w:rtl w:val="true"/>
          <w:lang w:bidi="fa-IR"/>
        </w:rPr>
        <w:t>قال الشیخ فی ترجمة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واقفیا شدید العناد فی مذهبه، صعب العصبیّة علی من خالفه من الامامیة و له کتب کثیرة فی نصرة مذهبه و له کتب فی الفقه رواها عن الرجال الموثوق بهم و بروایتهم فلأجل ذلک ذکرناها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بذیل کلام الشیخ من أنّ کلّ من روی علیّ بن الحسن الطاطری عنه فهو ثقة، لأنّ الشیخ شهد علی أنّه روی کتبه عن الرجال الموثوق بهم </w:t>
      </w:r>
      <w:bookmarkStart w:id="418" w:name="pg2858_19689"/>
    </w:p>
    <w:p>
      <w:pPr>
        <w:pStyle w:val="BookText"/>
        <w:rPr/>
      </w:pPr>
      <w:bookmarkEnd w:id="418"/>
      <w:r>
        <w:rPr>
          <w:rFonts w:ascii="IRNazanin" w:hAnsi="IRNazanin" w:eastAsia="IRNazanin"/>
          <w:color w:val="111111"/>
          <w:sz w:val="28"/>
          <w:sz w:val="28"/>
          <w:szCs w:val="28"/>
          <w:rtl w:val="true"/>
          <w:lang w:bidi="fa-IR"/>
        </w:rPr>
        <w:t>و بروایتهم، و لکن غایة ما یستفاد من هذه العبارة أنّ الطاطری لا یروی فی کتبه إلاّ عن ثقة، و أمّا إنّه لا یروی مطلقا إلاّ عن ثقة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کلّما بدأ الشیخ سند الحدیث باسم الطاطری فهو دلیل علی أنّ الروایة مأخوذة من کتبه الفقهیة فعندئذ فالسند صحیح إلی آخره، و هذا غیر القول بأنّه لا یروی إلاّ عن ثقة، حتّی یحکم بصحّة کلّ سند وقع فیه الطاطری إلی أن ینتهی إلی المعصوم، علی أنّ من المحتمل أن یکون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محمولا علی الغالب، فلاحظ کتابه و اطمأنّ بوثاقة کثیر من رواة کتابه، فقال فی حقّه ما قال،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التوثیقات فی حقّ هؤلاء الرجال، قرائن ظنّیة علی وثاقة کلّ من یروون عنه و لو انضمّت إلیه القرائن الاخر ربّما حصل الاطمئنان علی وثاقة المرویّ عنه، فلاحظ</w:t>
      </w:r>
      <w:r>
        <w:rPr>
          <w:rFonts w:eastAsia="IRNazanin" w:cs="IRNazanin"/>
          <w:color w:val="111111"/>
          <w:sz w:val="28"/>
          <w:szCs w:val="28"/>
          <w:rtl w:val="true"/>
          <w:lang w:bidi="fa-IR"/>
        </w:rPr>
        <w:t>.</w:t>
      </w:r>
    </w:p>
    <w:p>
      <w:pPr>
        <w:pStyle w:val="Heading4"/>
        <w:numPr>
          <w:ilvl w:val="3"/>
          <w:numId w:val="1"/>
        </w:numPr>
        <w:rPr/>
      </w:pPr>
      <w:bookmarkStart w:id="419" w:name="__RefHeading___Toc2760074_1395250215"/>
      <w:bookmarkStart w:id="420" w:name="_Toc141"/>
      <w:bookmarkEnd w:id="419"/>
      <w:r>
        <w:rPr>
          <w:rtl w:val="true"/>
        </w:rPr>
        <w:t xml:space="preserve">و </w:t>
      </w:r>
      <w:r>
        <w:rPr>
          <w:rtl w:val="true"/>
        </w:rPr>
        <w:t xml:space="preserve">- </w:t>
      </w:r>
      <w:r>
        <w:rPr>
          <w:rtl w:val="true"/>
        </w:rPr>
        <w:t>أحمد بن علیّ النجاشی صاحب الفهرس</w:t>
      </w:r>
      <w:bookmarkEnd w:id="420"/>
    </w:p>
    <w:p>
      <w:pPr>
        <w:pStyle w:val="Heading5"/>
        <w:numPr>
          <w:ilvl w:val="4"/>
          <w:numId w:val="1"/>
        </w:numPr>
        <w:rPr/>
      </w:pPr>
      <w:bookmarkStart w:id="421" w:name="__RefHeading___Toc2760076_1395250215"/>
      <w:bookmarkStart w:id="422" w:name="_Toc142"/>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 xml:space="preserve">إنّ للشیخ أبی العباس أحمد بن علیّ بن أحمد بن العبّاس بن محمّد بن عبد اللّه بن إبراهیم بن محمّد بن عبد اللّه النجاشی مشایخ معروفة سنشیر إلیهم، و جدّه النجاشی هو الّذی ولی علی الأهواز و کتب إلی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فکتب الإمام إلیه رسالة معروفة بالرسالة الأهوازیة الّتی نقلها السید محی الدین فی أربعینه و الشهید الثانی فی کشف الریبة مسندا الیه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ترجمة النجاشی عند البحث عن الاصول الرجالیة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الشیخ النجاشی أنّ کلّ مشایخه ثقات، بل یظهر جلالة قدرهم و علوّ رتبتهم فضلا عن دخولهم فی زمرة الثقات، و هذا ظاهر لمن لاحظ کلماته </w:t>
      </w:r>
    </w:p>
    <w:p>
      <w:pPr>
        <w:pStyle w:val="BookText"/>
        <w:rPr/>
      </w:pPr>
      <w:r>
        <w:rPr>
          <w:rFonts w:ascii="IRNazanin" w:hAnsi="IRNazanin" w:eastAsia="IRNazanin"/>
          <w:color w:val="111111"/>
          <w:sz w:val="28"/>
          <w:sz w:val="28"/>
          <w:szCs w:val="28"/>
          <w:rtl w:val="true"/>
          <w:lang w:bidi="fa-IR"/>
        </w:rPr>
        <w:t>فی أحوال بعض مشایخه، و إلیک بعض ما قال فی حقّ مشایخه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ترجمة جعفر بن محمّد بن مالک بن عیسی بن 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وضعا، و یروی عن المجاهیل، و سمعت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أیضا فاسد المذهب و الروایة، و لا أدری کیف روی عنه شیخنا النبیل الثقة أبو علیّ ابن همام و شیخنا الجلیل الثقة أبو غالب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موضع ذکره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تعجّبه من روایات شیخیه عن هذا الرجل قرینة علی أنّه لم یکن یجوّز لنفسه الروایة عن غیر الثّقة فی الحدیث، و الاعتماد فی النقل علی المنحرف الضعیف، و لکنّ التعجب من النقل عن واضح الحدیث لا یدلّ إلاّ علی التحرّز عن مثله لا عن کلّ ضعیف کما هو المطلوب، و غایة ما یمکن أن یقال إنّه کان محترزا عن مثله لا عمّن دونه من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فی ترجمة أحمد بن محمّد بن عبید اللّه بن الحسن بن عیاش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سمع الحدیث فأکثر و اضطرب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مصنّفاته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الشیخ و کان صدیقا لی و لوالدی و سمعت عنه شیئا کثیرا و رأیت شیوخنا یضعفونه، فلم أرو عنه شیئا و تجنّبته و کان من أهل العلم و الأدب القوی و طیّب الشعر و حسن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سامحه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401</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فی ترجمة إسحاق بن الحسن بن بکران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الحسین العقرائی التمّار کثیر السماع ضعیف فی مذهبه، رأیته بالکوفة و هو مجاور، و کان یروی کتاب الکلینی عنه، و کان فی هذا الوقت علوا فلم أسمع منه شیئا، له کتاب الرد علی الغلاة، و کتاب نفی السهو عن النّبی، و کتاب عدد </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فی ترجمة أبی المفضّل محمد بن عبد اللّه بن محمّد بن عبید اللّه بن البهلول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سافر فی طلب الحدیث عمره، أصله کوفیّ و کان فی أوّل أمره ثبتا، ثمّ خلط و رأیت جلّ أصحابنا یغمزونه، له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 سمعت منه کثیرا ثمّ توقّفت عن الروایة عنه إلاّ بواسطة بینی و بینه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استثناء ما ترویه الواسطة لأجل أنّها کانت تروی عنه حال الاستقامة و الثّبت، و الاعتماد علی الواسطة بناء علی أنّ عدالته تمنع عن روایته عنه ما لیس کذلک، کذا وجّهه السیّد العلاّمة الطباطبائی، و وجّهه المحدّث النوری، بأنّ نقله بالواسطة کان مجرّد تورّع و احتیاط عن اتّهامه بالروایة عن المتّهمین و وقوعه فیه کما وقعوا فیه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فی ترجمة هبة اللّه بن أحمد بن محمّد الکاتب أبو نصر المعروف بابن برنّیة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یذکر أنّ امّه امّ کلثوم بنت أبی جعفر محمّد بن عثمان العمری سمع حدیثا کثیرا و کان یتعاطی الکلام و یحضر مجلس أبی الحسین ابن الشبیه العلوی الزیدی المذهب، فعمل له کتابا و ذکر أنّ الائمّة ثلاثة عشر مع زید بن علیّ بن الحسین، و احتجّ بحدیث فی کتاب سلیم بن قیس الهلالیّ أنّ الائمّة اثنا عشر من ولد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الإمامة، و کتاب فی اخبار أبی عمرو و أبی جعفر العمریین، و رأیت أبا العبّاس ابن نوح قد عوّل علیه فی الحکایة فی کتابه أخبار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الرجل کثیر الزیارات و آخر زیارة حضرها معنا یوم الغدیر سنة أربعمائة بمشهد أمیر المؤمنین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یعتمد علیه فی کتابه، و لا أدخله فی طرقه الی الاصول و الکتب لمجرّد تألیفه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العلامة الطباطبائی بعد ما نقل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ذلک کلّه غایة احتراز النجاشی و تجنّبه عن الضعفاء و المتّهمین، و منه یظهر اعتماده علی جمیع من روی عنه من المشایخ، و وثوقه بهم، و سلامة مذاهبهم و روایاتهم عن الضّعف و الغمز، و أنّ ما قیل فی أبی العبّاس ابن نوح</w:t>
      </w:r>
      <w:r>
        <w:rPr>
          <w:rStyle w:val="FootnoteAnchor"/>
          <w:rtl w:val="true"/>
        </w:rPr>
        <w:footnoteReference w:id="382"/>
      </w:r>
      <w:r>
        <w:rPr>
          <w:rFonts w:ascii="IRNazanin" w:hAnsi="IRNazanin" w:eastAsia="IRNazanin"/>
          <w:color w:val="111111"/>
          <w:sz w:val="28"/>
          <w:sz w:val="28"/>
          <w:szCs w:val="28"/>
          <w:rtl w:val="true"/>
          <w:lang w:bidi="fa-IR"/>
        </w:rPr>
        <w:t>من المذاهب الفاسدة فی الاصول لا أصل له، و هذا أصل نافع فی الباب یجب أن یحفظ و یلحظ</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فی ترجمة عبید اللّه بن أبی زید أحمد المعروف بأبی طالب الأنباری، عن شیخه الحسین بن عبید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أبو طالب بغداد و اجتهدت أن یمکنّنی أصحابنا من لقائه فأسمع منه فلم یفعلوا ذلک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قال المتتبّع المحدّث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یدلّ علی امتناع علماء ذلک الوقت عن الروایة عن الضّعفاء و عدم تمکینهم الناس من الأخذ عنهم، و إلاّ لم یکن فی روایة الثقتین الجلیلین عن ابن سابور</w:t>
      </w:r>
      <w:r>
        <w:rPr>
          <w:rStyle w:val="FootnoteAnchor"/>
          <w:rtl w:val="true"/>
        </w:rPr>
        <w:footnoteReference w:id="385"/>
      </w:r>
      <w:r>
        <w:rPr>
          <w:rFonts w:ascii="IRNazanin" w:hAnsi="IRNazanin" w:eastAsia="IRNazanin"/>
          <w:color w:val="111111"/>
          <w:sz w:val="28"/>
          <w:sz w:val="28"/>
          <w:szCs w:val="28"/>
          <w:rtl w:val="true"/>
          <w:lang w:bidi="fa-IR"/>
        </w:rPr>
        <w:t>غرابة و لا للمنع من لقاء الأنباری وجه، و یشهد لذلک قولهم</w:t>
      </w:r>
      <w:r>
        <w:rPr>
          <w:rStyle w:val="FootnoteAnchor"/>
          <w:rtl w:val="true"/>
        </w:rPr>
        <w:footnoteReference w:id="386"/>
      </w:r>
      <w:r>
        <w:rPr>
          <w:rFonts w:ascii="IRNazanin" w:hAnsi="IRNazanin" w:eastAsia="IRNazanin"/>
          <w:color w:val="111111"/>
          <w:sz w:val="28"/>
          <w:sz w:val="28"/>
          <w:szCs w:val="28"/>
          <w:rtl w:val="true"/>
          <w:lang w:bidi="fa-IR"/>
        </w:rPr>
        <w:t>فی مقام التضعیف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یعتمد المراسیل و یروی عن الضعفاء و المجاهیل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من قائله فی قوّة التوثیق لکلّ من یروی عنه و ینبّه علیه أیضا قولهم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أصحابنا أو غمز علیه أصحابنا أو بعض </w:t>
      </w:r>
      <w:bookmarkStart w:id="423" w:name="pg2858_19693"/>
    </w:p>
    <w:p>
      <w:pPr>
        <w:pStyle w:val="BookText"/>
        <w:rPr/>
      </w:pPr>
      <w:bookmarkEnd w:id="423"/>
      <w:r>
        <w:rPr>
          <w:rFonts w:ascii="IRNazanin" w:hAnsi="IRNazanin" w:eastAsia="IRNazanin"/>
          <w:color w:val="111111"/>
          <w:sz w:val="28"/>
          <w:sz w:val="28"/>
          <w:szCs w:val="28"/>
          <w:rtl w:val="true"/>
          <w:lang w:bidi="fa-IR"/>
        </w:rPr>
        <w:t>أصحابنا من دون تعیین، إذ لولا الوثوق بالکلّ لما حسن هذا الاطلاق، بل وجب تعیین المضعّف و الغامز أو التنبیه علی أنّه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اعتذارهم عن الروایة عن الطاطریین و بنی فضّال و أمثالهم من الفطحیّة و الواقفة و غیرهم، بعمل الأصحاب بروایاتهم، لکونهم ثقات فی النقل، و عن ذکر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باختلاطه بأصحابنا و عظم محلّه و ثقته و أمانته و کذا اعتذار النجاشی عن ذکره لمن لا یعتمد علیه، بالتزامه لذکر من صنّف من أصحابنا أو المنتمین إلیهم، ذکر ذلک فی ترجمة محمّد بن عبد الملک و المفضّل بن عمر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الکلمات من الشیخ النجاشی یعرفنا بطریقته و أنّه کان ملتزما بأن لا یروی إلاّ عن ثقة، و لأجل ذلک یمکن أن یقال، بل 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مشایخه ثقات إلاّ من صرّح بضعفه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استخرج المحدّث النوری مشایخه فی المستدرک فبلغ اثنین و ثلاثین و نقله العلاّمة المامقانی فی خاتمة التنقیح</w:t>
      </w:r>
      <w:r>
        <w:rPr>
          <w:rStyle w:val="FootnoteAnchor"/>
          <w:rtl w:val="true"/>
        </w:rPr>
        <w:footnoteReference w:id="388"/>
      </w:r>
      <w:r>
        <w:rPr>
          <w:rFonts w:ascii="IRNazanin" w:hAnsi="IRNazanin" w:eastAsia="IRNazanin"/>
          <w:color w:val="111111"/>
          <w:sz w:val="28"/>
          <w:sz w:val="28"/>
          <w:szCs w:val="28"/>
          <w:rtl w:val="true"/>
          <w:lang w:bidi="fa-IR"/>
        </w:rPr>
        <w:t xml:space="preserve">و نحن نذکر مشایخه علی ما جمعه و استخرجه المحدّث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w:t>
      </w:r>
      <w:r>
        <w:rPr>
          <w:rFonts w:eastAsia="IRNazanin" w:cs="IRNazanin"/>
          <w:color w:val="111111"/>
          <w:sz w:val="28"/>
          <w:szCs w:val="28"/>
          <w:rtl w:val="true"/>
          <w:lang w:bidi="fa-IR"/>
        </w:rPr>
        <w:t>-.</w:t>
      </w:r>
    </w:p>
    <w:p>
      <w:pPr>
        <w:pStyle w:val="Heading5"/>
        <w:numPr>
          <w:ilvl w:val="4"/>
          <w:numId w:val="1"/>
        </w:numPr>
        <w:rPr/>
      </w:pPr>
      <w:bookmarkStart w:id="424" w:name="__RefHeading___Toc2760078_1395250215"/>
      <w:bookmarkStart w:id="425" w:name="_Toc143"/>
      <w:bookmarkEnd w:id="424"/>
      <w:r>
        <w:rPr>
          <w:rtl w:val="true"/>
        </w:rPr>
        <w:t>مشایخ النجاشی کما استخرجهم النوری</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و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أبو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الکاتب محمّد بن علیّ بن یعقوب بن اسحاق بن أبی قرّة القنائی، الّذی وثّقه فی الکتاب و أثنی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علیّ بن شاذان القزوینی، الّذی أکثر روایاته عن أحمد بن محمّد بن یحیی العطّار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محمّد بن أحمد بن علیّ بن الحسن بن شاذان الفامی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الحسین محمّد بن عثمان بن الحسن النصیبی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الأدیب و قد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أحمد بن علیّ بن العباس بن نوح السیرافی الّذی صرح بأنّه شیخه و مستنده و من استفاد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أحمد بن محمّد بن عمران بن موسی بن الجرّاح المعروف بابن الجندی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أحمد بن عبد الواحد بن أحمد البزاز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أحمد بن الحسین بن عبید اللّه الغضائری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عبد اللّه الجعفی، الّذی یروی غالبا عن أحمد ابن محمّد بن عقدة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أحمد بن محمّد بن موسی الأهوازی المعروف بابن الصّلت الذی هو من مشایخ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والده علیّ بن أحمد بن علیّ بن العباس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علیّ بن احمد بن أبی جید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علیّ بن شبل بن أسد الملقّب بالوکیل و هو من مشایخ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الحسن علیّ بن محمّد بن یوسف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أحمد بن إبراهیم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الحسن بن أحمد بن الهیثم العجلی الذی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وجوه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الحسین بن عبید اللّه بن ابراهیم الغضائری، الذی هو من أجلاّء شیوخ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الحسین بن جعفر بن محمّد المخزومی الخزّاز المعروف بابن الخمری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الحسین بن أحمد بن موسی بن 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إسحاق إبراهیم بن مخلّد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أسد بن إبراهیم بن کلیب السلمی الحرّانی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الخیر الموصلی سلامة بن ذکا و هو من رجال التلّعکبری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العبّاس بن عمر بن العبّاس بن محمّد بن عبد الملک بن أبی مروان الکلوذانی المعروف بابن المروان، الّذی أکثر روایاته عن علیّ ابن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أحمد عبد السّلام بن الحسین بن محمّد بن عبد اللّه البصری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 اللّه بن محمّد بن محمّد بن عبد اللّه الدعجلی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حاتم بن منتاب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هرون بن موسی التلّعکبری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أو أبو الحسین محمّد هرون التلّعکبری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أحمد بن محمّد بن علیّ الکوفی الکاتب الّذی روی </w:t>
      </w:r>
    </w:p>
    <w:p>
      <w:pPr>
        <w:pStyle w:val="BookText"/>
        <w:rPr/>
      </w:pPr>
      <w:r>
        <w:rPr>
          <w:rFonts w:ascii="IRNazanin" w:hAnsi="IRNazanin" w:eastAsia="IRNazanin"/>
          <w:color w:val="111111"/>
          <w:sz w:val="28"/>
          <w:sz w:val="28"/>
          <w:szCs w:val="28"/>
          <w:rtl w:val="true"/>
          <w:lang w:bidi="fa-IR"/>
        </w:rPr>
        <w:t>عنه السید الأجلّ المرتضی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الحسن بن محمّد بن یحیی بن داود الفحّام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26" w:name="pg2858_19697"/>
    </w:p>
    <w:p>
      <w:pPr>
        <w:pStyle w:val="Heading3"/>
        <w:numPr>
          <w:ilvl w:val="2"/>
          <w:numId w:val="1"/>
        </w:numPr>
        <w:rPr/>
      </w:pPr>
      <w:bookmarkStart w:id="427" w:name="__RefHeading___Toc2760080_1395250215"/>
      <w:bookmarkStart w:id="428" w:name="_Toc144"/>
      <w:bookmarkEnd w:id="426"/>
      <w:bookmarkEnd w:id="427"/>
      <w:r>
        <w:rPr/>
        <w:t>4</w:t>
      </w:r>
      <w:r>
        <w:rPr>
          <w:rtl w:val="true"/>
        </w:rPr>
        <w:t xml:space="preserve"> - </w:t>
      </w:r>
      <w:r>
        <w:rPr>
          <w:rtl w:val="true"/>
        </w:rPr>
        <w:t xml:space="preserve">کل من یروی عنه محمد بن أحمد بن یحیی بلا واسطة فی </w:t>
      </w:r>
      <w:r>
        <w:rPr>
          <w:rtl w:val="true"/>
        </w:rPr>
        <w:t>«</w:t>
      </w:r>
      <w:r>
        <w:rPr>
          <w:rtl w:val="true"/>
        </w:rPr>
        <w:t>نوادر الحکمة</w:t>
      </w:r>
      <w:r>
        <w:rPr>
          <w:rtl w:val="true"/>
        </w:rPr>
        <w:t>»</w:t>
      </w:r>
      <w:bookmarkEnd w:id="42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2760082_1395250215"/>
      <w:bookmarkStart w:id="430" w:name="_Toc145"/>
      <w:bookmarkEnd w:id="429"/>
      <w:r>
        <w:rPr>
          <w:rtl w:val="true"/>
        </w:rPr>
        <w:t>اشارة</w:t>
      </w:r>
      <w:bookmarkEnd w:id="4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لتوضیح هذا النوع من التوثیق نقدّم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أحمد بن یحیی بن عمران الأشعری القمّی الّذی یعدّ من أجلاّء الأصحاب، قد ألّف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یشتمل علی کتب أوّلها کتاب التّوحید و آخرها کتاب القضایا و الأحکام کما ذکره الشیخ فی الفهرس</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النجاشی یصف الکتاب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لمحمّد بن أحمد بن یحیی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حسن کبیر یعرفه القمیون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شبیب فامیّ کان بقم له دبّة ذات بیوت، یعطی منها ما یطلب منه من دهن فشبّهوا هذا الکتاب بذلک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شخصیّته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یحیی الأشعری القمّی 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الضّعفاء، و یعتمد المراسیل، و لا یبالی عمّن أخذ، و ما علیه فی نفسه مطعن فی شیء و کان محمّد بن الحسن بن الولید</w:t>
      </w:r>
      <w:r>
        <w:rPr>
          <w:rStyle w:val="FootnoteAnchor"/>
          <w:rtl w:val="true"/>
        </w:rPr>
        <w:footnoteReference w:id="391"/>
      </w:r>
      <w:r>
        <w:rPr>
          <w:rFonts w:ascii="IRNazanin" w:hAnsi="IRNazanin" w:eastAsia="IRNazanin"/>
          <w:color w:val="111111"/>
          <w:sz w:val="28"/>
          <w:sz w:val="28"/>
          <w:szCs w:val="28"/>
          <w:rtl w:val="true"/>
          <w:lang w:bidi="fa-IR"/>
        </w:rPr>
        <w:t xml:space="preserve">یستثنی من روایة محمّد بن أحمد بن یحیی ما </w:t>
      </w:r>
      <w:bookmarkStart w:id="431" w:name="pg2858_19700"/>
    </w:p>
    <w:p>
      <w:pPr>
        <w:pStyle w:val="BookText"/>
        <w:rPr/>
      </w:pPr>
      <w:bookmarkEnd w:id="431"/>
      <w:r>
        <w:rPr>
          <w:rFonts w:ascii="IRNazanin" w:hAnsi="IRNazanin" w:eastAsia="IRNazanin"/>
          <w:color w:val="111111"/>
          <w:sz w:val="28"/>
          <w:sz w:val="28"/>
          <w:szCs w:val="28"/>
          <w:rtl w:val="true"/>
          <w:lang w:bidi="fa-IR"/>
        </w:rPr>
        <w:t xml:space="preserve">رواه عن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الهمدانی،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 رواه عن 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یقول بعض أصحابنا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عن محمّد بن یحیی المعاذی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أبی عبد اللّه الرّازی الجامورانی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أبی عبد اللّه السیّاری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یوسف بن السخت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وهب بن منبّه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أبی علیّ النیشابوری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أبی یحیی الواسطی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محمّد بن علی أبی سمینة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یقول فی حدیث أو کتاب و لم أروه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سهل بن زیاد الآدمی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محمّد بن عیسی بن عبید بإسناد منقطع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أحمد بن هلال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محمّد بن علیّ الهمدانی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عبد اللّه بن محمّد الشامی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عبد اللّه بن أحمد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أحمد بن الحسین بن سعید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أحمد بن بشیر الرقّی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محمّد بن هارون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ممویة بن معروف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محمّد بن عبد اللّه بن مهران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ینفرد به الحسن بن الحسین اللّؤلؤی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یرویه عن جعفر بن محمد بن مالک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یوسف بن الحارث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عبد اللّه بن محمّد الدمشقی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2760084_1395250215"/>
      <w:bookmarkStart w:id="433" w:name="_Toc146"/>
      <w:bookmarkEnd w:id="432"/>
      <w:r>
        <w:rPr>
          <w:rtl w:val="true"/>
        </w:rPr>
        <w:t>طبقته فی الحدیث</w:t>
      </w:r>
      <w:bookmarkEnd w:id="433"/>
    </w:p>
    <w:p>
      <w:pPr>
        <w:pStyle w:val="BookText"/>
        <w:rPr/>
      </w:pPr>
      <w:r>
        <w:rPr>
          <w:rFonts w:ascii="IRNazanin" w:hAnsi="IRNazanin" w:eastAsia="IRNazanin"/>
          <w:color w:val="111111"/>
          <w:sz w:val="28"/>
          <w:sz w:val="28"/>
          <w:szCs w:val="28"/>
          <w:rtl w:val="true"/>
          <w:lang w:bidi="fa-IR"/>
        </w:rPr>
        <w:t xml:space="preserve">یروی هو عن مشایخ کثیرة، منهم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أبی نصر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عنه أحمد بن إدریس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عبد اللّه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34" w:name="pg2858_19701"/>
    </w:p>
    <w:p>
      <w:pPr>
        <w:pStyle w:val="BookText"/>
        <w:rPr/>
      </w:pPr>
      <w:bookmarkEnd w:id="434"/>
      <w:r>
        <w:rPr>
          <w:rFonts w:ascii="IRNazanin" w:hAnsi="IRNazanin" w:eastAsia="IRNazanin"/>
          <w:color w:val="111111"/>
          <w:sz w:val="28"/>
          <w:sz w:val="28"/>
          <w:szCs w:val="28"/>
          <w:rtl w:val="true"/>
          <w:lang w:bidi="fa-IR"/>
        </w:rPr>
        <w:t>و الرجل من أساتذة الحدیث فی النصف الثانی من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الشیخ فی 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الکوفی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الهیثم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أبا العباس بن نوح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أصاب شیخنا أبو جعفر محمّد بن الحسن بن الولید فی ذلک کلّه و تبعه أبو 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إلاّ فی محمّد بن عیسی بن عبید فلا أدری ما رایه فیه</w:t>
      </w:r>
      <w:r>
        <w:rPr>
          <w:rStyle w:val="FootnoteAnchor"/>
          <w:rtl w:val="true"/>
        </w:rPr>
        <w:footnoteReference w:id="393"/>
      </w:r>
      <w:r>
        <w:rPr>
          <w:rFonts w:ascii="IRNazanin" w:hAnsi="IRNazanin" w:eastAsia="IRNazanin"/>
          <w:color w:val="111111"/>
          <w:sz w:val="28"/>
          <w:sz w:val="28"/>
          <w:szCs w:val="28"/>
          <w:rtl w:val="true"/>
          <w:lang w:bidi="fa-IR"/>
        </w:rPr>
        <w:t>لأنّه کان علی ظاهر العدالة و الثقة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فاستدلّوا بأنّ فی استثناء المذکورین و بالأخصّ بالنظر إلی ما ذکره ابن نوح فی حقّ محمّد بن عیسی بن عبید الّذی یدلّ علی التزامهم بإحراز العدالة فی الراوی، شهادة علی عدالة کلّ من روی عنه محمّد بن أحمد بن یحیی و لم تستثن روایته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باختصار قالوا باعتبار کلّ من یروی عنه محمّد بن أحمد بن یحیی إذا لم یکن ممّن استثناه ابن الولید من روایات محمّد بن أحمد عنه، فإنّ اقتصار ابن الولید علی ما ذکره من موارد الاستثناء یکشف عن اعتماده علی جمیع روایات محمّد بن أحمد غیر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التصحیح و الاستثناء راجعان إلی مشایخه بلا واسطة لا کلّ من جاء اسمه فی أسناد ذلک الکتاب منتهیا إلی الإمام</w:t>
      </w:r>
      <w:r>
        <w:rPr>
          <w:rFonts w:eastAsia="IRNazanin" w:cs="IRNazanin"/>
          <w:color w:val="111111"/>
          <w:sz w:val="28"/>
          <w:szCs w:val="28"/>
          <w:rtl w:val="true"/>
          <w:lang w:bidi="fa-IR"/>
        </w:rPr>
        <w:t>.</w:t>
      </w:r>
    </w:p>
    <w:p>
      <w:pPr>
        <w:pStyle w:val="Heading4"/>
        <w:numPr>
          <w:ilvl w:val="3"/>
          <w:numId w:val="1"/>
        </w:numPr>
        <w:rPr/>
      </w:pPr>
      <w:bookmarkStart w:id="435" w:name="__RefHeading___Toc2760086_1395250215"/>
      <w:bookmarkStart w:id="436" w:name="_Toc147"/>
      <w:bookmarkEnd w:id="435"/>
      <w:r>
        <w:rPr>
          <w:rtl w:val="true"/>
        </w:rPr>
        <w:t>نظرنا فی الموضوع</w:t>
      </w:r>
      <w:bookmarkEnd w:id="43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هذه الکلمات أنّ مشایخه فی الحدیث المذکورین فی رجال </w:t>
      </w:r>
    </w:p>
    <w:p>
      <w:pPr>
        <w:pStyle w:val="BookText"/>
        <w:rPr/>
      </w:pPr>
      <w:r>
        <w:rPr>
          <w:rFonts w:ascii="IRNazanin" w:hAnsi="IRNazanin" w:eastAsia="IRNazanin"/>
          <w:color w:val="111111"/>
          <w:sz w:val="28"/>
          <w:sz w:val="28"/>
          <w:szCs w:val="28"/>
          <w:rtl w:val="true"/>
          <w:lang w:bidi="fa-IR"/>
        </w:rPr>
        <w:t xml:space="preserve">نوادر الحکمة غیر من استثنی، محکوم بالوثاقة و العدالة عند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ابن الولید و ابن نوح و الصّدوق لأجل اعتماد الأخیر علی تعدیل ابن الولید و جرحه فی عامّة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توثیقاتهم حجّة ما لم تعارض بتضعیف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علیه بأنّ اعتماد ابن الولید أو غیره من الأعلام المتقدّمین، فضلا عن المتأخّرین، علی روایة شخص و الحکم بصحّتها لا یکشف عن وثاقة الراوی أو حسنه، و ذلک لاحتمال أنّ الحاکم بالصحّة یعتمد علی أصالة العدالة، و یری حجیّة کلّ روایة یرویها مؤمن لم یظهر منه فسق، و هذا لا یفید من یعتبر وثاقة الراوی أو حسنه فی حجّیة خبره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ما ذکره من الاحتمال لا یوافق ما نقله النّجاشی فی فهرسه عن ابن نوح، فإنّه قد اعترض علی ابن الولید فی استثناء محمّد بن عیسی بن عبید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أدری ما رابه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هو السبب الّذی أوقعه فی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علی ظاهر العدالة و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العبارة أنّ الباقین ممّن قد احرزت عدالتهم و وثاقتهم، لا أنّ عدالتهم کانت محرزة بأصالة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کان یری حجیّة کلّ روایة یرویها مؤمن لم یظهر منه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الاحتمال لا یناسب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هذا النظر ما ذکره الصّدوق فی مورد من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محمّد بن الحسن لا یصحّح خبر صلاة یوم غدیر خمّ و الثواب المذکور فیه لمن صامه، و یقول إنّه من طریق محمّد بن موسی الهمدانی و کان کذّابا غیر ثقة، و کلّ ما لم یصحّحه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یحکم بصحّته من الأخبار فهو عندنا متروک غیر صحیح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p>
    <w:p>
      <w:pPr>
        <w:pStyle w:val="BookText"/>
        <w:rPr/>
      </w:pPr>
      <w:r>
        <w:rPr>
          <w:rFonts w:ascii="IRNazanin" w:hAnsi="IRNazanin" w:eastAsia="IRNazanin"/>
          <w:color w:val="111111"/>
          <w:sz w:val="28"/>
          <w:sz w:val="28"/>
          <w:szCs w:val="28"/>
          <w:rtl w:val="true"/>
          <w:lang w:bidi="fa-IR"/>
        </w:rPr>
        <w:t xml:space="preserve">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سیّیء الرأی فی محمّد بن عبد اللّه المسمعی، راوی هذا الحدیث، و إنّی قد أخرجت هذا الخبر فی هذا الکتاب، لأنّه کان فی کتاب الرحمة و قد قرأته علیه فلم ینکره و رواه لی</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التعابیر تشعر بأنّ توصیف الباقین بالوثاقة، و المستثنین بالضعف کان بالاحراز لا بالاعتماد علی أصالة العدالة فی کلّ راو أو علی القول بحجّیة قول کلّ من لم یظهر منه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أنّه لو کان المناط فی صحّة الروایة هذین الأصلین، لما احتاج الصدوق فی إحراز حال الراوی إلی توثیق أو تضعیف شیخه ابن الولید، لأنّ نسبة الأصل إلی الاستاذ و التلمیذ سواسیة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العلاّمة المامقانی نقل عن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استثناء اولئک الجمع لا یقتضی الطعن فیهم، لأنّ رد الروایة أعمّ من الطعن لا سیّما محمّد بن عیسی حیث قبل روایته باسناد غیر منقطع</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خلافه، و لأجل کون الاستثناء دلیلا علی الطّعن تعجب ابن نوح استثناء محمّد بن عیسی بن عبید، مع کونه ظاهر العدالة و الوثاقة نعم لم یردّ روایة محمّد بن عیسی مطلقا إلاّ فیما إذا کانت أسنادها منقطعة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کان متفرّدا بالروایة و لم یشارکه فیها غیره، و استشهد علی ذلک بقول ابن الولید فی موضع آخر، قال فی کتب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یتفرّد محمّد بن عیسی بروایتها عنه، صحیحة و لیس محمّد بن عیسی متفرّدا بهذا الشرط بل روایات الحسن </w:t>
      </w:r>
    </w:p>
    <w:p>
      <w:pPr>
        <w:pStyle w:val="BookText"/>
        <w:rPr/>
      </w:pPr>
      <w:r>
        <w:rPr>
          <w:rFonts w:ascii="IRNazanin" w:hAnsi="IRNazanin" w:eastAsia="IRNazanin"/>
          <w:color w:val="111111"/>
          <w:sz w:val="28"/>
          <w:sz w:val="28"/>
          <w:szCs w:val="28"/>
          <w:rtl w:val="true"/>
          <w:lang w:bidi="fa-IR"/>
        </w:rPr>
        <w:t>اللؤلؤی و محمّد بن اورمة کذلک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التوجیه ممّا یأباه ظاهر العبارة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انقطاع الاسناد بین محمّد بن أحمد بن یحیی و محمّد بن عیسی و لأجل ذلک یروی النجاشی کتب محمّد بن عیسی بن عبید عن أحمد بن محمّد بن یحیی، عن الحمیری، عن محمّد بن عیسی بن عبید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أضاف الشیخ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فبعض اولئک المستثنین کالحسن اللؤلؤی ممّن وثّقه النّجاشی، و لا بدّ من إعمال قواعد التعارض فی التّوثیق و التّضعیف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تقدیر فکون الرجل من مشایخ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الظنّ أو الاطمئنان بوثاقته إذا لم یکن أحد هؤلاء المستثنین، فلاحظ</w:t>
      </w:r>
      <w:r>
        <w:rPr>
          <w:rFonts w:eastAsia="IRNazanin" w:cs="IRNazanin"/>
          <w:color w:val="111111"/>
          <w:sz w:val="28"/>
          <w:szCs w:val="28"/>
          <w:rtl w:val="true"/>
          <w:lang w:bidi="fa-IR"/>
        </w:rPr>
        <w:t xml:space="preserve">. </w:t>
      </w:r>
      <w:bookmarkStart w:id="437" w:name="pg2858_1970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2760088_1395250215"/>
      <w:bookmarkStart w:id="439" w:name="_Toc148"/>
      <w:bookmarkEnd w:id="437"/>
      <w:bookmarkEnd w:id="438"/>
      <w:r>
        <w:rPr/>
        <w:t>5</w:t>
      </w:r>
      <w:r>
        <w:rPr>
          <w:rtl w:val="true"/>
        </w:rPr>
        <w:t xml:space="preserve"> - </w:t>
      </w:r>
      <w:r>
        <w:rPr>
          <w:rtl w:val="true"/>
        </w:rPr>
        <w:t xml:space="preserve">ما وقع فی اسناد کتاب </w:t>
      </w:r>
      <w:r>
        <w:rPr>
          <w:rtl w:val="true"/>
        </w:rPr>
        <w:t>«</w:t>
      </w:r>
      <w:r>
        <w:rPr>
          <w:rtl w:val="true"/>
        </w:rPr>
        <w:t>کامل الزیارة</w:t>
      </w:r>
      <w:r>
        <w:rPr>
          <w:rtl w:val="true"/>
        </w:rPr>
        <w:t>»</w:t>
      </w:r>
      <w:bookmarkEnd w:id="4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مؤلّف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الشیخ الأقدم و الفقیه المقدّم الشیخ أبو القاسم جعفر بن محمّد بن قولویه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 و المدفون بالکاظمیّة فی الرواق الشریف، و فی محاذاة تلمیذه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أجلاّء الأصحاب فی الحدیث و الفقه، و وصفه النجاشی</w:t>
      </w:r>
      <w:r>
        <w:rPr>
          <w:rStyle w:val="FootnoteAnchor"/>
          <w:rtl w:val="true"/>
        </w:rPr>
        <w:footnoteReference w:id="401"/>
      </w:r>
      <w:r>
        <w:rPr>
          <w:rFonts w:ascii="IRNazanin" w:hAnsi="IRNazanin" w:eastAsia="IRNazanin"/>
          <w:color w:val="111111"/>
          <w:sz w:val="28"/>
          <w:sz w:val="28"/>
          <w:szCs w:val="28"/>
          <w:rtl w:val="true"/>
          <w:lang w:bidi="fa-IR"/>
        </w:rPr>
        <w:t>فی فهرسه بأنّه من ثقات أصحابنا و أجلاّئهم فی الفقه و الحدیث، و توارد علیه النصّ بالوثاقة فی فهرس الشیخ</w:t>
      </w:r>
      <w:r>
        <w:rPr>
          <w:rStyle w:val="FootnoteAnchor"/>
          <w:rtl w:val="true"/>
        </w:rPr>
        <w:footnoteReference w:id="402"/>
      </w:r>
      <w:r>
        <w:rPr>
          <w:rFonts w:ascii="IRNazanin" w:hAnsi="IRNazanin" w:eastAsia="IRNazanin"/>
          <w:color w:val="111111"/>
          <w:sz w:val="28"/>
          <w:sz w:val="28"/>
          <w:szCs w:val="28"/>
          <w:rtl w:val="true"/>
          <w:lang w:bidi="fa-IR"/>
        </w:rPr>
        <w:t>و الوجیزة، و البحار، و بلغة الرجال، للشیخ سلیمان الماحوزی، و المشترکات للشیخ فخر الدین الطریحی، و المشترکات للکاظمی، و الوسائل، و منتهی المقال للشیخ أبی علی، فی ترجمة أخیه، و السید رضی الدین ابن طاوس و غیرهم من الأعلام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کتابه هذا من أهمّ کتب الطّائفة و اصولها المعتمد علیها فی الحدیث، أخذ منه الشیخ فی التّهذیب و غیره من المحدّثین، و هو من مصادر الشیخ الحر العاملی فی وسائله، و عدّة فیه من الکتب المعتمدة الّتی شهد بصحّتها مؤلّفوها و قامت القرائن علی ثبوتها، و علم بصحّة نسبتها إلیه، و ذکره النجاشی فی فهرسه بعنوان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الشیخ فی الفهرس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بقیّة الکتب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مقدّمة کتابه ما دعاه إلی تصنیف کتابه فی هذا الموضوع،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اخرج فیه حدیثا روی عن غیرهم إذا کان فیما روینا عنهم من حدیثهم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عن حدیث غیرهم، و قد علمنا أنّا لا نحیط بجمیع ما روی عنهم فی هذا المعنی و لا فی غیره، و لکن ما وقع لنا من جهة الثّقات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أخرجت فیه حدیثا روی عن الشذاذ من الرجال یؤثر ذلک عنهم عن المذکورین، غیر المعروفین بالروایة، المشهورین بالحدیث و العلم، و سمّیته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فضلها و ثواب ذلک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یستظهر من هذه العبارة أنّ جمیع الرواة المذکورین فی أسناد أحادیث ذلک الکتاب ممّن روی عنهم إلی أن یصل إلی الإمام من الثقات عند المؤلف، فلو اکتفینا بشهادة الواحد فی الموضوعات یعدّ کلّ من جاء فی أسناد هذا الکتاب من الثقات بشهادة الثقة العدل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وضع الشیخ الفاضل محمّد رضا عرفانیان فهرسا فی هذا الموضوع فاستخرج أسامی کلّ من ورد فیها فبلغت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بما ذکرنا الشیخ الحرّ العاملی فی الفائدة السادسة من خاتمة الکتاب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شهد علیّ بن إبراهیم أیضا بثبوت أحادیث تفسیره، و أنّها </w:t>
      </w:r>
    </w:p>
    <w:p>
      <w:pPr>
        <w:pStyle w:val="BookText"/>
        <w:rPr/>
      </w:pPr>
      <w:r>
        <w:rPr>
          <w:rFonts w:ascii="IRNazanin" w:hAnsi="IRNazanin" w:eastAsia="IRNazanin"/>
          <w:color w:val="111111"/>
          <w:sz w:val="28"/>
          <w:sz w:val="28"/>
          <w:szCs w:val="28"/>
          <w:rtl w:val="true"/>
          <w:lang w:bidi="fa-IR"/>
        </w:rPr>
        <w:t>مرویّة عن الثقات عن الأئمّة و کذلک جعفر بن محمّد بن قولویه فإنّه صرّح بما هو أبلغ من ذلک فی أوّل مزاره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صاحب معجم رجال الحدیث إلی أنّ هذه العبارة واضحة الدّلالة علی أنّه لا یروی فی کتابه روایة عن المعصوم إلاّ و قد وصلت إلیه من جهة الثقات من أصحابنا، ثمّ أیّد کلامه بما نقلناه عن صاحب الوسائل،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الوسائل متین فیحکم بوثاقة من شهد علیّ بن إبراهیم أو جعفر ابن محمّد بن قولویه بوثاقته، اللّهم إلاّ أن یبتلی بمعارض</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رواة تفسیر القمّی فسیوافیک الکلام فی نفس الکتاب، و أنّه لم یثبت أنّ مجموع التفسیر من تألیفه، و أمّا ادعاء دلالة العبارة المذکورة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یروی فی کتابه روایة عن المعصوم إلاّ و قد وصلت إلیه من جهة الثقات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استظهره المحدّث المتتبّع النوری، فقد استظهر منه أنّه نصّ علی توثیق کلّ من صدّر بهم سند أحادیث کتابه، لا کلّ من ورد فی أسناد الروایات، و بالجملة یدلّ علی توثیق کلّ مشایخه لا توثیق کلّ من ورد فی أسناد هذا الکتاب و قد صرّح بذلک فی موردین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الفائدة الثالثة من خاتمة کتابه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المهمّ فی ترجمة هذا الشیخ العظیم استقصاء مشایخه فی هذا الکتاب الشریف، فإنّ فیه فائدة عظیمة لم تکن فی من قدّمنا من مشایخ الأجلّة،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بعد نقل عبارته فی مقدّمة الکتاب علی النّحو الذی نقلناه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فتراه نصّا علی توثیق کلّ من روی عنه فیه، بل کونه من المشهورین فی الحدیث و العلم، و لا فرق فی </w:t>
      </w:r>
    </w:p>
    <w:p>
      <w:pPr>
        <w:pStyle w:val="BookText"/>
        <w:rPr/>
      </w:pPr>
      <w:r>
        <w:rPr>
          <w:rFonts w:ascii="IRNazanin" w:hAnsi="IRNazanin" w:eastAsia="IRNazanin"/>
          <w:color w:val="111111"/>
          <w:sz w:val="28"/>
          <w:sz w:val="28"/>
          <w:szCs w:val="28"/>
          <w:rtl w:val="true"/>
          <w:lang w:bidi="fa-IR"/>
        </w:rPr>
        <w:t>التوثیق بین النصّ علی أحد بخصوصه أو توثیق جمع محصورین بعنوان خاصّ، و کفی بمثل هذا الشیخ مزکیّا و معدّلا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الفائدة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الأمارات الکلّیة علی الوثاقة کونها من مشایخ جعفر بن قولویه فی کتابه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فیدلّ علی المختار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استرحم لجمیع مشایخه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نری أنّه روی فیه عمّن لا یستحقّ ذلک الاسترحام، فقد روی فی هذا الکتاب عن عشرات من الواقفة و الفطحیّة و هل یصحّ لشیخ مثل ابن قولویه أن یسترحمهم؟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الباب الثامن فی فضل الصّلاة فی مسجد الکوفة عن لیث بن أبی سلیم و هو عامی بلا اشکال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علیّ بن أبی حمزة البطائنی المختلف فیه، فقد روی عنه فی هذا الکتاب فی الصفحات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عن حسن بن علیّ بن أبی حمزة البطائنی فی الصفحات التالیة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روی عن عمر بن سعد فی الصفحات التالیة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روی فیه عن بعض امّهات المؤمنین الّتی لا یرکن إلی حدیثها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الباب الثامن، 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القدماء من المشایخ کانوا ملتزمین بأن لا یأخذوا الحدیث إلاّ ممّن صلحت حاله و ثبتت وثاقته، و العنایة بحال الشیخ کانت أکثر من عنایتهم بمن یروی عنه الشّیخ، قد عرفت التزام النّجاشی بأن لا یروی إلاّ عن شیخ ثقة، لا أن یکون جمیع من ورد فی سند الروایة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کانت الروایة بلا واسطة عن المجاهیل و الضعفاء عیبا، و کانت من أسباب الجرح، و لم یکن نقل الروایة المشتملة علی المجهول و الضعیف جرحا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یؤیّد ما استظهره المتتبع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أحادیث الکتاب یرویه المؤلّف عن أبیه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أبوه من خیار أصحاب سعد</w:t>
      </w:r>
      <w:r>
        <w:rPr>
          <w:rStyle w:val="FootnoteAnchor"/>
          <w:rtl w:val="true"/>
        </w:rPr>
        <w:footnoteReference w:id="409"/>
      </w:r>
      <w:r>
        <w:rPr>
          <w:rFonts w:ascii="IRNazanin" w:hAnsi="IRNazanin" w:eastAsia="IRNazanin"/>
          <w:color w:val="111111"/>
          <w:sz w:val="28"/>
          <w:sz w:val="28"/>
          <w:szCs w:val="28"/>
          <w:rtl w:val="true"/>
          <w:lang w:bidi="fa-IR"/>
        </w:rPr>
        <w:t xml:space="preserve">و أصحاب سعد أکثرهم ثقات کعلیّ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القاسم و محمّد بن یحیی العطّار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الوالد هو المدفون بقم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اخو المؤلف فهو أبو الحسین علیّ بن محمّد بن جعفر، و نقل عنه فی الکتاب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الحدیث و مات حدث السنّ لم یسمع منه، له کتاب فضل العلم و آدابه، أخبرنا محمّد و الحسین بن هدیّة، قالا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أخی به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إذا کان الحقّ ما استظهره المحدّث النوری، و أنّ العبارة لا تدلّ إلاّ علی وثاقة مشایخه فعلینا بیان مشایخه الّتی لا تتجاوز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حسب ما أنهاهم المحدّث النوری و إلیک أسماؤهم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والده محمّد بن قولویه الّذی هو من خیار أصحاب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الرّحمن محمّد بن أحمد بن الحسین الزعفرانی نزیل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 محمّد بن أحمد بن إبراهیم بن سلیمان الجعفی الکوفی، المعروف بالصابونی صاحب کتاب الفاخر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الاسلام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علی 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محمّد بن جعفر بن محمّد بن الحسن القرشی الرزاز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المتولّد عام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 اللّه بن محمّد بن عیسی یروی عنه، عن أبیه، عن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الحسین بن موسی 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أخوه علیّ بن محمّد بن قولویه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بن إبراهیم بن عبد اللّه بن موسی بن جعفر الموسوی العلوی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أحمد بن علیّ بن مهدی بن صدقة الرقّی بن هاشم بن </w:t>
      </w:r>
    </w:p>
    <w:p>
      <w:pPr>
        <w:pStyle w:val="BookText"/>
        <w:rPr/>
      </w:pPr>
      <w:r>
        <w:rPr>
          <w:rFonts w:ascii="IRNazanin" w:hAnsi="IRNazanin" w:eastAsia="IRNazanin"/>
          <w:color w:val="111111"/>
          <w:sz w:val="28"/>
          <w:sz w:val="28"/>
          <w:szCs w:val="28"/>
          <w:rtl w:val="true"/>
          <w:lang w:bidi="fa-IR"/>
        </w:rPr>
        <w:t>غالب بن محمّد بن علیّ الرقی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المؤمن المؤدّب القمی الثقة صاحب النوادر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حاتم بن أبی حاتم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یعقوب بن إسحاق بن عمّار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الحسین السعد آبادی القمّی الّذی یروی عنه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محمّد بن همّام بن سهیل الکاتب البغدادی، شیخ الطائفة و وجهها المولود بدعاء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هارون بن موسی بن أحمد بن سعید بن سعد التلعکبری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بن علیّ بن إبراهیم الهمدانی وکیل الناحیة المقدسة بهمدان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زبرقان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الحسین بن محمّد بن عامر بن عمران بن أبی بکر الأشعریّ القمی، الّذی أکثر الکلینی من الروایة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أحمد بن إدریس بن أحمد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عیسی عبید اللّه بن فضل بن محمّد بن هلال الطائی البصری،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داود بن حکیم یروی عن سلمة بن خطاب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و فی بعض المواضع، الحسن بن مث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علی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أحمد بن یعقوب بن اسحاق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أحمد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المحدّث النوری اتّحاده مع سابقه بل اتحاد الثلاثة الواردة فی الأرقام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الحسین بن علیّ الزعفرانی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أحمد بن عبد اللّه بن علی الناقد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محمّد بن عبد اللّه بن علی</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40" w:name="pg2858_19715"/>
    </w:p>
    <w:p>
      <w:pPr>
        <w:pStyle w:val="Heading3"/>
        <w:numPr>
          <w:ilvl w:val="2"/>
          <w:numId w:val="1"/>
        </w:numPr>
        <w:rPr/>
      </w:pPr>
      <w:bookmarkStart w:id="441" w:name="__RefHeading___Toc2760090_1395250215"/>
      <w:bookmarkStart w:id="442" w:name="_Toc149"/>
      <w:bookmarkEnd w:id="440"/>
      <w:bookmarkEnd w:id="441"/>
      <w:r>
        <w:rPr/>
        <w:t>6</w:t>
      </w:r>
      <w:r>
        <w:rPr>
          <w:rtl w:val="true"/>
        </w:rPr>
        <w:t xml:space="preserve"> - </w:t>
      </w:r>
      <w:r>
        <w:rPr>
          <w:rtl w:val="true"/>
        </w:rPr>
        <w:t>ما ورد فی اسناد تفسیر القمی</w:t>
      </w:r>
      <w:bookmarkEnd w:id="4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2760092_1395250215"/>
      <w:bookmarkStart w:id="444" w:name="_Toc150"/>
      <w:bookmarkEnd w:id="443"/>
      <w:r>
        <w:rPr>
          <w:rtl w:val="true"/>
        </w:rPr>
        <w:t>اشارة</w:t>
      </w:r>
      <w:bookmarkEnd w:id="44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ربّما یستظهر أنّ کلّ من وقع فی أسناد روایات تفسیر علی بن إبراهیم المنتهیة إلی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لأنّ علیّ بن إبراهیم شهد بوثاقته، و إلیک عبارة القمّی فی دیباجة تفسیره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ذاکرون و مخبرون بما ینتهی إلینا و رواه مشایخنا و ثقاتنا عن الّذین فرض اللّه طاعتهم، و أوجب رعایتهم، و لا یقبل العمل إلاّ بهم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شهد علیّ بن إبراهیم أیضا بثبوت أحادیث تفسیره، و أنّها مرویّة عن الثقات عن الأئمّة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معجم رجال الحدیث معترفا بصحّة استفادة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بن إبراهیم یرید بما ذکره، إثبات صحّة تفسیره و أنّ روایاته ثابتة و صادرة من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انتهت إلیه بوساطة المشایخ و الثّقات من الشیعة، و علی ذلک فلا موجب لتخصیص التوثیق بمشایخه الّذین یروی عنهم علیّ بن إبراهیم بلا واسطة، کما زعمه بعضهم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445" w:name="pg2858_19718"/>
    </w:p>
    <w:p>
      <w:pPr>
        <w:pStyle w:val="BookText"/>
        <w:rPr/>
      </w:pPr>
      <w:bookmarkEnd w:id="445"/>
      <w:r>
        <w:rPr>
          <w:rFonts w:ascii="IRNazanin" w:hAnsi="IRNazanin" w:eastAsia="IRNazanin"/>
          <w:color w:val="111111"/>
          <w:sz w:val="28"/>
          <w:sz w:val="28"/>
          <w:szCs w:val="28"/>
          <w:rtl w:val="true"/>
          <w:lang w:bidi="fa-IR"/>
        </w:rPr>
        <w:t>و تحقیق الحقّ یستدعی بیان امور</w:t>
      </w:r>
      <w:r>
        <w:rPr>
          <w:rFonts w:eastAsia="IRNazanin" w:cs="IRNazanin"/>
          <w:color w:val="111111"/>
          <w:sz w:val="28"/>
          <w:szCs w:val="28"/>
          <w:rtl w:val="true"/>
          <w:lang w:bidi="fa-IR"/>
        </w:rPr>
        <w:t>:</w:t>
      </w:r>
    </w:p>
    <w:p>
      <w:pPr>
        <w:pStyle w:val="Heading4"/>
        <w:numPr>
          <w:ilvl w:val="3"/>
          <w:numId w:val="1"/>
        </w:numPr>
        <w:rPr/>
      </w:pPr>
      <w:bookmarkStart w:id="446" w:name="__RefHeading___Toc2760094_1395250215"/>
      <w:bookmarkStart w:id="447" w:name="_Toc151"/>
      <w:bookmarkEnd w:id="446"/>
      <w:r>
        <w:rPr/>
        <w:t>1</w:t>
      </w:r>
      <w:r>
        <w:rPr>
          <w:rtl w:val="true"/>
        </w:rPr>
        <w:t xml:space="preserve"> - </w:t>
      </w:r>
      <w:r>
        <w:rPr>
          <w:rtl w:val="true"/>
        </w:rPr>
        <w:t>ترجمة القمی</w:t>
      </w:r>
      <w:bookmarkEnd w:id="447"/>
    </w:p>
    <w:p>
      <w:pPr>
        <w:pStyle w:val="BookText"/>
        <w:rPr/>
      </w:pPr>
      <w:r>
        <w:rPr>
          <w:rFonts w:ascii="IRNazanin" w:hAnsi="IRNazanin" w:eastAsia="IRNazanin"/>
          <w:color w:val="111111"/>
          <w:sz w:val="28"/>
          <w:sz w:val="28"/>
          <w:szCs w:val="28"/>
          <w:rtl w:val="true"/>
          <w:lang w:bidi="fa-IR"/>
        </w:rPr>
        <w:t>إنّ علیّ بن إبراهیم بن هاشم أحد مشایخ الشیعة فی أواخر القرن الثّالث و أوائل القرن الرابع، و کفی فی عظمته أنّه من مشایخ الکلینی، و قد أکثر فی الکافی الروایة عنه، حتّی بلغ روایته عنه سبعة آلاف و ثمانیة و ستّین موردا</w:t>
      </w:r>
      <w:r>
        <w:rPr>
          <w:rStyle w:val="FootnoteAnchor"/>
          <w:rtl w:val="true"/>
        </w:rPr>
        <w:footnoteReference w:id="415"/>
      </w:r>
      <w:r>
        <w:rPr>
          <w:rFonts w:ascii="IRNazanin" w:hAnsi="IRNazanin" w:eastAsia="IRNazanin"/>
          <w:color w:val="111111"/>
          <w:sz w:val="28"/>
          <w:sz w:val="28"/>
          <w:szCs w:val="28"/>
          <w:rtl w:val="true"/>
          <w:lang w:bidi="fa-IR"/>
        </w:rPr>
        <w:t>و قد وقع فی أسناد کثیر من الروایات تبلغ سبعة آلاف و مائة و اربعین موردا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أبو الحسن القمّی، ثقة فی الحدیث، ثبت معتمد صحیح المذهب سمع فأکثر و صنّف کتبا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الطوسی فی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بن هاشم القمّی،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التفسیر، و کتاب الناسخ و المنسوخ</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2760096_1395250215"/>
      <w:bookmarkStart w:id="449" w:name="_Toc152"/>
      <w:bookmarkEnd w:id="448"/>
      <w:r>
        <w:rPr/>
        <w:t>2</w:t>
      </w:r>
      <w:r>
        <w:rPr>
          <w:rtl w:val="true"/>
        </w:rPr>
        <w:t xml:space="preserve"> - </w:t>
      </w:r>
      <w:r>
        <w:rPr>
          <w:rtl w:val="true"/>
        </w:rPr>
        <w:t>مشایخه</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و روایاته عنه تبلغ ستّة آلاف و مائتین و أربعة عشر موردا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السندی و روایاته عنه تبلغ ثلاثة و ستّین موردا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 روایاته عنه تبلغ أربعمائة و ستّة و ثمانین موردا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الیقطینی و روایاته عنه تبلغ اثنین و ثمانین موردا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و روایاته عنه تبلغ ثلاثة و ثمانین موردا</w:t>
      </w:r>
      <w:r>
        <w:rPr>
          <w:rFonts w:eastAsia="IRNazanin" w:cs="IRNazanin"/>
          <w:color w:val="111111"/>
          <w:sz w:val="28"/>
          <w:szCs w:val="28"/>
          <w:rtl w:val="true"/>
          <w:lang w:bidi="fa-IR"/>
        </w:rPr>
        <w:t xml:space="preserve">. </w:t>
      </w:r>
      <w:bookmarkStart w:id="450" w:name="pg2858_19719"/>
    </w:p>
    <w:p>
      <w:pPr>
        <w:pStyle w:val="BookText"/>
        <w:rPr/>
      </w:pPr>
      <w:bookmarkEnd w:id="450"/>
      <w:r>
        <w:rPr>
          <w:rFonts w:ascii="IRNazanin" w:hAnsi="IRNazanin" w:eastAsia="IRNazanin"/>
          <w:color w:val="111111"/>
          <w:sz w:val="28"/>
          <w:sz w:val="28"/>
          <w:szCs w:val="28"/>
          <w:rtl w:val="true"/>
          <w:lang w:bidi="fa-IR"/>
        </w:rPr>
        <w:t xml:space="preserve">إلی غیر ذلک من المشایخ الّتی أنهاها صاحب معجم رجال الحدیث فی الجزء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451" w:name="__RefHeading___Toc2760098_1395250215"/>
      <w:bookmarkStart w:id="452" w:name="_Toc153"/>
      <w:bookmarkEnd w:id="451"/>
      <w:r>
        <w:rPr/>
        <w:t>3</w:t>
      </w:r>
      <w:r>
        <w:rPr>
          <w:rtl w:val="true"/>
        </w:rPr>
        <w:t xml:space="preserve"> - </w:t>
      </w:r>
      <w:r>
        <w:rPr>
          <w:rtl w:val="true"/>
        </w:rPr>
        <w:t>طبقته فی الرجال</w:t>
      </w:r>
      <w:bookmarkEnd w:id="452"/>
    </w:p>
    <w:p>
      <w:pPr>
        <w:pStyle w:val="BookText"/>
        <w:rPr/>
      </w:pPr>
      <w:r>
        <w:rPr>
          <w:rFonts w:ascii="IRNazanin" w:hAnsi="IRNazanin" w:eastAsia="IRNazanin"/>
          <w:color w:val="111111"/>
          <w:sz w:val="28"/>
          <w:sz w:val="28"/>
          <w:szCs w:val="28"/>
          <w:rtl w:val="true"/>
          <w:lang w:bidi="fa-IR"/>
        </w:rPr>
        <w:t xml:space="preserve">کان فی عصر أبی محمّد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إلی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روی الصّدوق فی 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بن أحمد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إبراهیم بن هاشم سنة </w:t>
      </w:r>
      <w:r>
        <w:rPr>
          <w:rFonts w:eastAsia="IRNazanin" w:cs="IRNazanin"/>
          <w:color w:val="111111"/>
          <w:sz w:val="28"/>
          <w:szCs w:val="28"/>
          <w:lang w:bidi="fa-IR"/>
        </w:rPr>
        <w:t>307</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حمزة بن محمّد ترجمه الشیخ فی باب من لم یرو عنهم،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القزوینی العلویّ، یروی عن علیّ بن إبراهیم و نظرائه و روی عنه محمّد بن علیّ بن الحسین بن بابویه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بقم فی رجب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بن هاشم فیما کتبه إلیّ فی سنة سبع و ثلاثمائة</w:t>
      </w:r>
      <w:r>
        <w:rPr>
          <w:rFonts w:eastAsia="IRNazanin" w:cs="IRNazanin"/>
          <w:color w:val="111111"/>
          <w:sz w:val="28"/>
          <w:szCs w:val="28"/>
          <w:rtl w:val="true"/>
          <w:lang w:bidi="fa-IR"/>
        </w:rPr>
        <w:t>».</w:t>
      </w:r>
    </w:p>
    <w:p>
      <w:pPr>
        <w:pStyle w:val="Heading4"/>
        <w:numPr>
          <w:ilvl w:val="3"/>
          <w:numId w:val="1"/>
        </w:numPr>
        <w:rPr/>
      </w:pPr>
      <w:bookmarkStart w:id="453" w:name="__RefHeading___Toc2760100_1395250215"/>
      <w:bookmarkStart w:id="454" w:name="_Toc154"/>
      <w:bookmarkEnd w:id="453"/>
      <w:r>
        <w:rPr/>
        <w:t>4</w:t>
      </w:r>
      <w:r>
        <w:rPr>
          <w:rtl w:val="true"/>
        </w:rPr>
        <w:t xml:space="preserve"> - </w:t>
      </w:r>
      <w:r>
        <w:rPr>
          <w:rtl w:val="true"/>
        </w:rPr>
        <w:t>تعریف للتفسیر</w:t>
      </w:r>
      <w:bookmarkEnd w:id="454"/>
    </w:p>
    <w:p>
      <w:pPr>
        <w:pStyle w:val="BookText"/>
        <w:rPr/>
      </w:pPr>
      <w:r>
        <w:rPr>
          <w:rFonts w:ascii="IRNazanin" w:hAnsi="IRNazanin" w:eastAsia="IRNazanin"/>
          <w:color w:val="111111"/>
          <w:sz w:val="28"/>
          <w:sz w:val="28"/>
          <w:szCs w:val="28"/>
          <w:rtl w:val="true"/>
          <w:lang w:bidi="fa-IR"/>
        </w:rPr>
        <w:t>التفسیر المنسوب إلی القمّی تفسیر روائی، و ربّما جاءت فیها أنظار عن نفس علیّ بن ابراهیم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فی أوّل تفسیره مختصرا من الروایات المبسوطة المسندة المرویّة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أنواع علوم القرآن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محمّد بن إبراهیم بن جعفر الکاتب النعمانی، تلمیذ ثقة الاسلام </w:t>
      </w:r>
      <w:bookmarkStart w:id="455" w:name="pg2858_19720"/>
    </w:p>
    <w:p>
      <w:pPr>
        <w:pStyle w:val="BookText"/>
        <w:rPr/>
      </w:pPr>
      <w:bookmarkEnd w:id="455"/>
      <w:r>
        <w:rPr>
          <w:rFonts w:ascii="IRNazanin" w:hAnsi="IRNazanin" w:eastAsia="IRNazanin"/>
          <w:color w:val="111111"/>
          <w:sz w:val="28"/>
          <w:sz w:val="28"/>
          <w:szCs w:val="28"/>
          <w:rtl w:val="true"/>
          <w:lang w:bidi="fa-IR"/>
        </w:rPr>
        <w:t xml:space="preserve">الکلینیّ،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باسناده إلی الإمام، و جعلها مقدّمة تفسیره، و قد دوّنت تلک المقدّمة مفردة مع خطبة مختصرة و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ایران، و ربما ینسب إلی السیّد المرتضی، و طبع تلک المقدّمة مع تفسیر القمّی تارة، و مستقلّة اخری، و أوردها بتمامها العلامة المجلسیّ فی مجلّد القرآن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ابتدأ القمّی بنقل تلک الروایات مع حذف السند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الناسخ و المنسوخ فإنّ عدّة النساء کانت فی الجاهلیّة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2760102_1395250215"/>
      <w:bookmarkStart w:id="457" w:name="_Toc155"/>
      <w:bookmarkEnd w:id="456"/>
      <w:r>
        <w:rPr/>
        <w:t>5</w:t>
      </w:r>
      <w:r>
        <w:rPr>
          <w:rtl w:val="true"/>
        </w:rPr>
        <w:t xml:space="preserve"> - </w:t>
      </w:r>
      <w:r>
        <w:rPr>
          <w:rtl w:val="true"/>
        </w:rPr>
        <w:t>الراوی للتفسیر أو من املی علیه</w:t>
      </w:r>
      <w:bookmarkEnd w:id="457"/>
    </w:p>
    <w:p>
      <w:pPr>
        <w:pStyle w:val="BookText"/>
        <w:rPr/>
      </w:pPr>
      <w:r>
        <w:rPr>
          <w:rFonts w:ascii="IRNazanin" w:hAnsi="IRNazanin" w:eastAsia="IRNazanin"/>
          <w:color w:val="111111"/>
          <w:sz w:val="28"/>
          <w:sz w:val="28"/>
          <w:szCs w:val="28"/>
          <w:rtl w:val="true"/>
          <w:lang w:bidi="fa-IR"/>
        </w:rPr>
        <w:t xml:space="preserve">یروی التفسیر عن علیّ بن إبراهیم، تلمیذه أبو الفضل العبّاس بن محمّد بن القاسم بن حمزة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الأسف، إنّه لم یوجد لراوی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الاصول الرجالیّة، بل المذکور فیها ترجمة والده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ترجم والده الشیخ الطوسی فی رجاله فی أصحاب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محمّد بن القاسم بن حمزة بن موسی العلوی</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ترجم أبو عمرو الکشّی جدّه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حمزة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یروی عن أبی بصیر، و یروی عنه أبو عبد اللّه محمّد بن خالد البرقی</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58" w:name="pg2858_19721"/>
    </w:p>
    <w:p>
      <w:pPr>
        <w:pStyle w:val="BookText"/>
        <w:rPr/>
      </w:pPr>
      <w:bookmarkEnd w:id="458"/>
      <w:r>
        <w:rPr>
          <w:rFonts w:ascii="IRNazanin" w:hAnsi="IRNazanin" w:eastAsia="IRNazanin"/>
          <w:color w:val="111111"/>
          <w:sz w:val="28"/>
          <w:sz w:val="28"/>
          <w:szCs w:val="28"/>
          <w:rtl w:val="true"/>
          <w:lang w:bidi="fa-IR"/>
        </w:rPr>
        <w:t xml:space="preserve">و أمّا العبّاس فقد ترجم فی کتب الانساب، فهو مسلّم عند النسّابین و هم ذاکرون له و لأعمامه و لاخوانه و لأحفاده عند تعرّضهم لحمزة بن الإمام موسی بن جعفر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شیخنا المجیز الطهرانی أنّه رأی ترجمته فی المجدی، و عمدة الطالب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لکنهو، و بحر الأنساب، و المشجّر الکشّاف، و النسب المسطر المؤلف فی حدود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فعند ما ذکر عقب محمّد الأعرابی بن القاسم بن حمزة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ذکروا أنّ محمّدا هذا أعقب من خمسة بنین موسی، و أحمد المجدور، و عبد اللّه، و الحسین أبی زبیة، و العبّاس، و ذکروا من ولد العبّاس، ابنه جعفر بن العبّاس، ثمّ ابن جعفر زیدا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المسطر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المؤلّف بین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أعقاب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العبّاس بطبرستان ابن محمّد الأعرابی فله أولاد بها منهم جعفر و زید و الحسن و لهم أعقاب،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المسطر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بطبرستان و لأولاده الثلاثة أعقاب بها و کانت طبرستان فی ذلک الأوان مرکز الزیدیة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760104_1395250215"/>
      <w:bookmarkStart w:id="460" w:name="_Toc156"/>
      <w:bookmarkEnd w:id="459"/>
      <w:r>
        <w:rPr/>
        <w:t>6</w:t>
      </w:r>
      <w:r>
        <w:rPr>
          <w:rtl w:val="true"/>
        </w:rPr>
        <w:t xml:space="preserve"> - </w:t>
      </w:r>
      <w:r>
        <w:rPr>
          <w:rtl w:val="true"/>
        </w:rPr>
        <w:t>التفسیر لیس للقمی وحده</w:t>
      </w:r>
      <w:bookmarkEnd w:id="46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التّفسیر المتداول المطبوع کرارا</w:t>
      </w:r>
      <w:r>
        <w:rPr>
          <w:rStyle w:val="FootnoteAnchor"/>
          <w:rtl w:val="true"/>
        </w:rPr>
        <w:footnoteReference w:id="426"/>
      </w:r>
      <w:r>
        <w:rPr>
          <w:rFonts w:ascii="IRNazanin" w:hAnsi="IRNazanin" w:eastAsia="IRNazanin"/>
          <w:color w:val="111111"/>
          <w:sz w:val="28"/>
          <w:sz w:val="28"/>
          <w:szCs w:val="28"/>
          <w:rtl w:val="true"/>
          <w:lang w:bidi="fa-IR"/>
        </w:rPr>
        <w:t xml:space="preserve">لیس لعلیّ بن إبراهیم وحده، و إنّما هو ملفّق مما أملاه علیّ بن إبراهیم علی تلمیذه أبی الفضل العبّاس، و ما رواه التلمیذ بسنده الخاصّ عن أبی الجارود من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إلیک التعرّف علی أبی الجارود و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ابو الجارود؛ فقد عرّفه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أبو الجارود الهمدانی الخارفی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کان من أصحاب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تغیّر لما خرج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العبّاس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ثقفی، سمع عطیّة، و روی عن أبی جعفر، و روی عنه مروان بن معاویة و علی بن هاشم بن البرید یتکلّمون فیه، قاله البخاری</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رجاله فی أصحاب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أبو الجارود الهمدانیّ، الحوفیّ الکوفیّ تابعیّ زیدیّ أعمی، إلیه تنسب الجارودیّة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الرجل کان إمامیّا، لکنّه رجع عند ما خرج زید بن علی فمال إلیه و صار زیدیّا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الکشّی روایات فی ذمّه</w:t>
      </w:r>
      <w:r>
        <w:rPr>
          <w:rStyle w:val="FootnoteAnchor"/>
          <w:rtl w:val="true"/>
        </w:rPr>
        <w:footnoteReference w:id="428"/>
      </w:r>
      <w:r>
        <w:rPr>
          <w:rFonts w:ascii="IRNazanin" w:hAnsi="IRNazanin" w:eastAsia="IRNazanin"/>
          <w:color w:val="111111"/>
          <w:sz w:val="28"/>
          <w:sz w:val="28"/>
          <w:szCs w:val="28"/>
          <w:rtl w:val="true"/>
          <w:lang w:bidi="fa-IR"/>
        </w:rPr>
        <w:t>، غیر أنّ الظاهر من الروایات الّتی نقلها الصدوق، رجوعه إلی المذهب الحقّ</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تفسیره فقد ذکره النّجاشی و الشیخ و ذکرا سندهما الیه، و إلیک نصّهما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کتاب تفسیر القرآن، رواه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عدّة من أصحابنا،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سهل کثیر بن عیّاش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الجارود بالتفسیر</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فالنّجاشی یروی التّفسیر بواسطة عدّة من أصحابنا، عن أحمد بن محمّد بن سعید المعروف بابن عقدة و هو أیضا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الشیخ یروی التّفسیر عن ابن عقدة بواسطتین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أخبرنا بالتّفسیر أحمد بن عبدون، عن أبی بکر الدّوری، عن ابن عقدة، عن أبی عبد اللّه جعفر بن عبد اللّه المحمّدی، عن کثیر بن عیّاش القطّان و کان ضعیفا و خرج أیّام أبی السّرایا معه فأصابته جراحة، عن زیاد بن المنذر أبی الجارود، عن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أبا الفضل الراوی لهذا التفسیر قد روی فی هذا التفسیر روایات عن عدّة من مشایخه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فقد خصّ سورة الفاتحة و البقرة و شطرا قلیلا من سورة آل عمران بما رواها عن علیّ بن ابراهیم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قبل الشروع فی تفسیر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الفضل العبّاس بن محمّد بن القاسم بن حمزة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أبی عمیر، عن حمّاد بن عیسی،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عدّة طرق لعلیّ بن إبراهیم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ساق الکلام بهذا الوصف إلی الآیة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 لمّا وصل إلی تفسیر تلک الآیة، أی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أدخل فی التفسیر ما أملاه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لزیاد بن </w:t>
      </w:r>
    </w:p>
    <w:p>
      <w:pPr>
        <w:pStyle w:val="BookText"/>
        <w:rPr/>
      </w:pPr>
      <w:r>
        <w:rPr>
          <w:rFonts w:ascii="IRNazanin" w:hAnsi="IRNazanin" w:eastAsia="IRNazanin"/>
          <w:color w:val="111111"/>
          <w:sz w:val="28"/>
          <w:sz w:val="28"/>
          <w:szCs w:val="28"/>
          <w:rtl w:val="true"/>
          <w:lang w:bidi="fa-IR"/>
        </w:rPr>
        <w:t>المنذر أبی الجارود فی تفسیر القرآن، و قال بعد ذکر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أحمد بن محمد بن سعید المعروف بابن عقدة و هو زیدیّ من قبیلة همدان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کثیر بن عیّاش، عن زیاد بن المنذر أبی الجارود، 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السند بنفسه نفس السند الّذی یروی به النّجاشی و الشیخ تفسیر أبی الجارود، و لمّا کان الشیخ و النّجاشی متأخّرین من جامع التفسیر، نقل النجاشی عن أحمد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عدّة من أصحابنا، و نقل الشیخ عنه أیضا بواسطة شخصین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و أبی بکر الدوری 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تبیّن أنّ التفسیر ملفّق من تفسیر علیّ بن إبراهیم و تفسیر أبی الجارود، و لکلّ من التفسیرین سند خاصّ، یعرفه کلّ من راجع هذا التفسیر، ثمّ إنّه بعد هذا ینقل عن علیّ بن إبراهیم کما ینقل عن مشایخه الاخر إلی آخر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التلفیق، کیف یمکن الاعتماد علی ما ذکر فی دیباجة الکتاب لو ثبت کون الدیباجة لعلیّ بن إبراهیم نفسه؟</w:t>
      </w:r>
    </w:p>
    <w:p>
      <w:pPr>
        <w:pStyle w:val="BookText"/>
        <w:rPr/>
      </w:pPr>
      <w:r>
        <w:rPr>
          <w:rFonts w:ascii="IRNazanin" w:hAnsi="IRNazanin" w:eastAsia="IRNazanin"/>
          <w:color w:val="111111"/>
          <w:sz w:val="28"/>
          <w:sz w:val="28"/>
          <w:szCs w:val="28"/>
          <w:rtl w:val="true"/>
          <w:lang w:bidi="fa-IR"/>
        </w:rPr>
        <w:t>فعلی ذلک فلو أخذنا بهذا التوثیق الجماعی، یجب أن یفرق بین ما روی الجامع عن نفس علیّ بن ابراهیم، و ما روی عن غیره من مشایخه، فإنّ شهادة القمّی یکون حجّة فی ما یرویه نفسه، لا ما یرویه تلمیذه من مشایخه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الاعتماد علی هذا التفسیر بعد هذا الاختلاط مشکل جدّا، خصوصا مع ما فیه من الشذوذ فی المتون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ذهب بعض أهل التّحقیق إلی أنّ النسخة المطبوعة تختلف عمّا نقل عن ذلک التّفسیر فی بعض الکتب، و عند ذلک لا یبقی اعتماد علی هذا التوثیق الضمنی أیضا، فلا یبقی اعتماد لا علی السّند و لا علی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الهدف من التلفیق بین التفسیرین احتمالا ذکره شیخنا المجیز الطهرانی، و هو أنّ طبرستان فی ذلک الأوان کانت مرکز الزیدیة، فینقدح فی النفس احتمال أنّ نزول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إنّما کان لترویج الحقّ بها، و رأی من الترویج، السعی فی جلب الرغبات إلی هذا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الدینی المرویّ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ترویجه عند جمیع أهلها علی إدخال بعض ما یرویه أبو الجارود عن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المرغوب عند الفرقة العظیمة من الزیدیة الذین کانوا یسمّون بالجارودیة، نسبة إلیه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مؤلف التفسیر کما روی فیه عن علیّ بن ابراهیم، روی عن عدّة مشایخ اخر استخرجها المتتبّع الطهرانی فی تعلیقته علی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بیان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عن یحیی بن زکریّا، عن علیّ بن حسان، عن عبد الرحمن بن کثیر،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مُصِیبَةٍ</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جعفر بن محمّد بن الحسن الرزّاز هو شیخ أبی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ابن قولویه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القائل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إبراهیم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الرزّاز یروی عن مشایخ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خاله محمّد 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أبو جعفر محمّد بن أحمد بن یحیی بن عمران الأشعری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النّجاشی بروایة الرزّاز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الحسین بن محمّد بن عامر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الحسین بن محمّد بن عامر الأشعری، عن المعلّی بن محمّد البصری عن ابن أبی عمیر، عن أبی جعفر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الحسین بن محمّد بن عامر یروی تفسیر المعلّی البصری عنه، و قد أکثر الکلینی من الروایة عنه فی الکافی، و یروی عنه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أبی بکر همّام 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ربیع، عن محمّد بن سنان، عن عمّار بن مروان، عن منخل، عن جابر،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علی محمّد بن همّام بن سهیل الکاتب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کما ضبطه تلمیذه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ابن قولویه فی کامل الزیارات و أبو عبد اللّه محمّد بن إبراهیم النعمانی، تلمیذ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 شیخنا المجیز الطهرانی ثلّة ممّن روی عنه جامع التفسیر، و إلیک أسماء بعضهم علی وجه الاجمال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الحسین السعد آبادی القمّی الراوی عن أحمد بن أبی عبد اللّه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علی أحمد بن إدریس بن أحمد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محمّد بن أحمد بن ثابت، الراوی عن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عبد اللّه بن جعفر الحمیری القمی، الراوی عن أبیه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عبد اللّه، و هو أبو الحسین محمّد بن عون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النینوائی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من مشایخ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مهزیار، عن أبیه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الحسنی الراوی لتفسیر الفرات عن مؤلّفه، و فرات و علیّ بن إبراهیم کانا متعاصرین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المشایخ الّذین یروی عنهم فی هذا التفسیر، مع أنّه لم یوجد روایة علیّ بن إبراهیم عن أحد من هؤلاء فی جمیع روایاته المرویّة عنه فی الکافی و غیره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عندئذ لا یصحّ القول بأنّ کلّ ما ورد فی أسناد تفسیر علیّ بن ابراهیم القمی ثقات بتوثیق المؤلّف فی دیباجة الکتاب، لما عرفت أنّ التفسیر ملفّق ممّا رواه جامع التفسیر عن علیّ بن إبراهیم، عن مشایخه إلی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رواه عن عدّة من مشایخه عن مشایخهم إلی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لا یمکن القول بأنّ مراد القمّی من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مشایخنا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وقع فی سنده إلی أن ینتهی إلی الإمام، بل الظّاهر کون المراد خصوص مشایخه بلا واسطة، و یعرب عنه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الأساتذة بلا واسطة، و لمّا کان النّقل عن الضّعیف بلا واسطة من وجوه الضّعف، دون النّقل عن الثقة إذا روی عن غیرها خصّ مشایخه بالوثاقة لیدفع عن نفسه سهم النقد و الاعتراض، کما ذکرنا فی مشایخ ابن قولویه، و إلاّ فقد ورد فی أسناد القمّی من لا یصحّ الاعتماد علیه من امّهات المؤمنین فلاحظ</w:t>
      </w:r>
      <w:r>
        <w:rPr>
          <w:rFonts w:eastAsia="IRNazanin" w:cs="IRNazanin"/>
          <w:color w:val="111111"/>
          <w:sz w:val="28"/>
          <w:szCs w:val="28"/>
          <w:rtl w:val="true"/>
          <w:lang w:bidi="fa-IR"/>
        </w:rPr>
        <w:t xml:space="preserve">. </w:t>
      </w:r>
      <w:bookmarkStart w:id="461" w:name="pg2858_19729"/>
    </w:p>
    <w:p>
      <w:pPr>
        <w:pStyle w:val="Heading3"/>
        <w:numPr>
          <w:ilvl w:val="2"/>
          <w:numId w:val="1"/>
        </w:numPr>
        <w:rPr/>
      </w:pPr>
      <w:bookmarkStart w:id="462" w:name="__RefHeading___Toc2760106_1395250215"/>
      <w:bookmarkStart w:id="463" w:name="_Toc157"/>
      <w:bookmarkEnd w:id="461"/>
      <w:bookmarkEnd w:id="462"/>
      <w:r>
        <w:rPr/>
        <w:t>7</w:t>
      </w:r>
      <w:r>
        <w:rPr>
          <w:rtl w:val="true"/>
        </w:rPr>
        <w:t xml:space="preserve"> - </w:t>
      </w:r>
      <w:r>
        <w:rPr>
          <w:rtl w:val="true"/>
        </w:rPr>
        <w:t>اصحاب الصادق علیه السلام فی رجال الشیخ</w:t>
      </w:r>
      <w:bookmarkEnd w:id="46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2760108_1395250215"/>
      <w:bookmarkStart w:id="465" w:name="_Toc158"/>
      <w:bookmarkEnd w:id="464"/>
      <w:r>
        <w:rPr>
          <w:rtl w:val="true"/>
        </w:rPr>
        <w:t>اشارة</w:t>
      </w:r>
      <w:bookmarkEnd w:id="46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من ذکره الشیخ فی رجاله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و قد استدلّ علیه بما ذکره الشیخ المفید فی إرشاده، و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الناس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ما سارت به الرکبان، و انتشر ذکره فی البلدان، و لم ینقل عن أحد من أهل بیته العلماء، ما نقل عنه، و لا لقی أحد منهم من أهل الآثار، و نقلة الاخبار، و لا نقلوا عنهم کما نقلوا عن أبی عبد اللّه، فإنّ أصحاب الحدیث قد جمعوا أسماء الرواة عنه من الثقات علی اختلافهم فی الآراء و المقالات فکانوا أربعة آلاف رجل</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 آشوب فی مناقبه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ما لم ینقل عن أحد، و قد جمع أصحاب الحدیث أسماء الرواة من الثقات علی اختلافهم فی الآراء و المقالات فکانوا أربعة آلاف رجل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محمّد بن علی 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جمع أصحاب الحدیث أسماء الرواة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علی اختلافهم فی الآراء و المقالات و کانوا أربعة آلاف</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هؤلاء الأثبات الثلاثة وصفوا تلک الصفوة بالثقات و إن کان کلام الشیخ و النجاشی خالیا عن ذلک الوصف کما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أهل الرجال أنّ أحمد بن محمّد بن سعید الحافظ المکنّی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ضبط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الرجال و هو کتاب من روی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الشیخ فی فهرسه،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کتاب الرجال و هو کتاب من روی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کلام النجاشی و الشیخ توصیف رجاله بالوثاقة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فما ذکره الشیخ المفید لو کان ناظرا إلی ما جمعه ابن عقدة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یکون ما ذکره نفسه و من تبعه کابن شهر آشوب و الفتّال شهادة منهم علی وثاقة أربعة آلاف رجل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إنّ الشیخ قد أخرج أسماء هؤلاء الرواة فی رجاله مع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دیباجة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أجد لأصحابنا کتابا جامعا فی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الرجال الّذین رووا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الأئمّة من بعده إلی زمن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مختصرات، قد ذکر کلّ انسان منهم طرفا، إلاّ ما ذکره ابن عقدة، فإنّه قد بلغ الغایة فی ذلک، و لم یذکر رجاله باقی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أنا أذکر ما ذکره، و اورد من بعد ذلک من لم یذکره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فبملاحظة هذین الأمرین تصبح النتیجة هی أنّ ما ذکره الشیخ من أسماء الرواة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حسب توثیق الشیخ المفید و 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جماعة من المتأخّرین تبعوا الشیخ المفید و اقتفوا أثره فی ما ذکره، و إلیک نقل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علم الدین المرتضی علیّ بن جلال الدین عبد الحمید النسابة، الّذی هو من علمائنا فی أوائل القرن الثامن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اشتهر بین العامّة و الخاصّة أنّ أصحاب الحدیث جمعوا أسماء الرواة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علی اختلافهم فی الآراء و المقالات فکانوا أربعة آلاف</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الطبرسی فی الباب الخامس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مناقب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ینقل عن أحد من سائر العلوم ما نقل عنه، فإنّ أصحاب الحدیث قد جمعوا أسامی الرواة عنه من الثقات علی اختلافهم فی المقالات و الدیانات، فکانوا أربعة آلاف رجل</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بعض المتأخّرین اکتفوا بذکر عدد الرواة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توصیفهم بکونهم من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انتشر عنه من العلوم الجمّة ما بهر به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من الرجال ما یقارب أربعة آلاف رجل</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ابن عقدة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یحکون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و عشرین ألف حدیث بأسانیدها و اذاکر بثلاثمائة ألف حدیث و له کتب ذکرناها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 أسماء الرجال الّذین رووا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رجل، و أخرج فیه لکلّ رجل الحدیث الّذی رواه، مات بالکوفة سنة ثلاث و ثلاثین و ثلاثمائة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الشیخ فی رجاله یختلف مع ما نقله العلاّمة عنه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جماعة یحکون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و عشرین ألف حدیث بأسانیدها، و اذاکر بثلاثمائة ألف حدیث، روی عنه التّلعکبری من شیوخنا و غیره، و سمعنا من ابن المهدی و من أحمد بن محمّد المعروف بابن الصلت، رویا عنه و أجاز لنا ابن الصّلت عنه بجمیع روایاته، و مولده سنة تسع و أربعین و مائتین، و مات سنة اثنین و ثلاثین و ثلاثمائة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قد وقفت علی عبارة الشیخ فی الفهرس فلاحظ، و لیس فی عبارة الشیخ فی رجاله و فهرسه ممّا ذکره العلاّمة من عدد الرواة عنه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من أجوبة مسائله أربعمائة مصنّف لأربعمائة مصنّف، و دوّن من رجاله المعروفین أربعة آلاف رجل من أهل العراق و الحجاز و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رام معرفة رجالهم، و الوقوف علی مصنّفاتهم، فلیطالع کتاب الحافظ بن عقدة و فهرس النجاشی و</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الشیخ الکبیر والد الشیخ البهائی مثل ما قاله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اشتهر عنه </w:t>
      </w:r>
      <w:bookmarkStart w:id="466" w:name="pg2858_19735"/>
    </w:p>
    <w:p>
      <w:pPr>
        <w:pStyle w:val="BookText"/>
        <w:rPr/>
      </w:pPr>
      <w:bookmarkEnd w:id="466"/>
      <w:r>
        <w:rPr>
          <w:rFonts w:ascii="IRNazanin" w:hAnsi="IRNazanin" w:eastAsia="IRNazanin"/>
          <w:color w:val="111111"/>
          <w:sz w:val="28"/>
          <w:sz w:val="28"/>
          <w:szCs w:val="28"/>
          <w:rtl w:val="true"/>
          <w:lang w:bidi="fa-IR"/>
        </w:rPr>
        <w:t xml:space="preserve">من العلوم ما بهر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العامّة و الخاصّة ممّن برز و مهر بتعلّمه من العلماء و الفقهاء أربعة آلاف رجل، کزرارة بن أعین و</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العلاّمة المجلسی فی شرحه علی الکافی بعد ما نقل 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الأصحاب أخبارا من ابن عقدة فی کتاب الرجال و المسموع من المشایخ أنّه کان کتابا بترتیب کتب الحدیث و الفقه و ذکر أحوال کلّ واحد منهم، و روی عن کتابه خبرا أو خبرین أو أکثر، و کان ضعف الکافی</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ما ذکره المجلسی یتفاوت مع ما ذکره العلاّمة فی مختلفة، فإنّ الظاهر من عبارة العلاّمة أنّه کان علی حسب ترتیب الکتب الرجالیّة، و أنّه أخرج لکلّ رجل کلّ الأحادیث الّتی رواه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الکلمات الواردة فی المقام الّتی قد جمعها المتتبّع الخبیر العلاّمة النوری فی الفائدة الثامنة من خاتمة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راجعنا نفس المصادر فنقلناها عنها</w:t>
      </w:r>
      <w:r>
        <w:rPr>
          <w:rFonts w:eastAsia="IRNazanin" w:cs="IRNazanin"/>
          <w:color w:val="111111"/>
          <w:sz w:val="28"/>
          <w:szCs w:val="28"/>
          <w:rtl w:val="true"/>
          <w:lang w:bidi="fa-IR"/>
        </w:rPr>
        <w:t>.</w:t>
      </w:r>
    </w:p>
    <w:p>
      <w:pPr>
        <w:pStyle w:val="Heading4"/>
        <w:numPr>
          <w:ilvl w:val="3"/>
          <w:numId w:val="1"/>
        </w:numPr>
        <w:rPr/>
      </w:pPr>
      <w:bookmarkStart w:id="467" w:name="__RefHeading___Toc2760110_1395250215"/>
      <w:bookmarkStart w:id="468" w:name="_Toc159"/>
      <w:bookmarkEnd w:id="467"/>
      <w:r>
        <w:rPr>
          <w:rtl w:val="true"/>
        </w:rPr>
        <w:t>نظرنا فی الموضوع</w:t>
      </w:r>
      <w:bookmarkEnd w:id="46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صدر توثیق من الشیخ المفید فی حقّ أربعة آلاف رجل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إنّ مراده هو نفس ما ورد فی رجال ابن عقدة، فأمر مظنون أو محتمل، إذ لم یکن التألیف فی الرجال فی هذه العصور مختصّا بابن عقدة، کیف و المؤلّفون فی علم الرجال من عصر الحسن بن محبوب إلی زمن الشیخ الطوسی أکثر من أن یذکر</w:t>
      </w:r>
      <w:r>
        <w:rPr>
          <w:rStyle w:val="FootnoteAnchor"/>
          <w:rtl w:val="true"/>
        </w:rPr>
        <w:footnoteReference w:id="453"/>
      </w:r>
      <w:r>
        <w:rPr>
          <w:rFonts w:ascii="IRNazanin" w:hAnsi="IRNazanin" w:eastAsia="IRNazanin"/>
          <w:color w:val="111111"/>
          <w:sz w:val="28"/>
          <w:sz w:val="28"/>
          <w:szCs w:val="28"/>
          <w:rtl w:val="true"/>
          <w:lang w:bidi="fa-IR"/>
        </w:rPr>
        <w:t xml:space="preserve">فلا یصحّ أن یقال إنّ الشیخ المفید ناظر فی عبارته هذه إلی ما کتبه ابن </w:t>
      </w:r>
    </w:p>
    <w:p>
      <w:pPr>
        <w:pStyle w:val="BookText"/>
        <w:rPr/>
      </w:pPr>
      <w:r>
        <w:rPr>
          <w:rFonts w:ascii="IRNazanin" w:hAnsi="IRNazanin" w:eastAsia="IRNazanin"/>
          <w:color w:val="111111"/>
          <w:sz w:val="28"/>
          <w:sz w:val="28"/>
          <w:szCs w:val="28"/>
          <w:rtl w:val="true"/>
          <w:lang w:bidi="fa-IR"/>
        </w:rPr>
        <w:t xml:space="preserve">عقدة مع وفور کتب الرجال، بل هی ناظرة لما جاء فی الکتب الرجالیّة المؤلّفة فی تلک العصور فی أصحاب الصادقین، بل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یؤیّد ذلک أنّ الشیخ المفید عبّر بلفظ الجمع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الحدیث قد جمعوا أسماء الرواة عنه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 عبارة الشیخ المفید بما جاء فی رجال ابن عقدة، أمر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أنّ المقصود من أصحاب الحدیث لیس خصوص ابن عقدة، أنّ الشیخ قد التزم فی مقدّمة رجاله أن یأتی بکلّ ما ذکره ابن عقدة فی رجاله مع زیادات لم یذکرها ابن عقدة، و مع ذلک لم یبلغ عدد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الشیخ 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مقصود المفید من أصحاب الحدیث هو خصوص ما ذکره ابن عقدة، یجب أن یبلغ عدد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الشیخ أیضا إلی أربعة آلاف، لما التزم به الشیخ فی مقدّمته، مع أنّ المذکور فی رجاله لا یتجاوز عن ثلاثة آلاف و خمسین رجلا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اعتذر عنه المحدّث النوری بأنّ ما أسقطه الشیخ فی باب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 فی باب أصحاب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أصحاب أبی إبراهیم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بعض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عصر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أدرک عصر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فاکتفی الشیخ فی رجاله فی الباب المعقود لخصوص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من اختصّ بالصّادق و لم یدرک الإمام الباقر، و لا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المناط کلّ من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روایة عن غیره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لکنّ الاعتذار غیر موجّه، لأنّ أبا العبّاس ابن عقدة قد أفرد لأصحاب کلّ امام قبل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فهرسه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کتاب من روی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من روی عن الحسن و الحسین، و کتاب من روی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أخباره، کتاب من روی 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أخباره، کتاب من روی عن زید بن علی و مسنده، کتاب الرجال و هو کتاب من روی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هذا التّصریح لا یصحّ هذا الاعتذار، نعم لو کان أبو العبّاس ابن عقدة مکتفیا فی التألیف بذکر خصوص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أن یقال إنّ ما أسقطه الشیخ من أصحابه، أدرجه فی أصحاب الإمامین الهمامین، الباقر 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المفروض أنّ ابن عقدة قد أفرد لأصحاب الإمام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خاصّا و إن لم یؤلّف فی أصحاب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الظّاهر من عبارة المتتبّع، العلاّمة النوری، أنّ ابن عقدة هو الّذی وثّقهم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وثّقهم ابن عقدة، فإنّه صنّف کتابا فی خصوص رجاله، و أنهاهم إلی أربعة آلاف، و وثّق جمیعهم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مع أنّ العبارات الحاکیة لعمل ابن عقدة لیست فیها أیّة إشارة إلی توثیق ابن عقدة، و إنّما الظاهر من عبائر النجاشی و الشیخ فی رجالهما و فهرسه هو أنّ ابن عقدة جمع أسماء الرواة عنه، لا أنّه وثقهم، و بذلک یسقط البحث الّذی عقده العلاّمة النوری فی توثیق ابن عقدة، فإنّه زیدی، و هل یکون توثیقه حجّة أو لا؟ و قد أطنب الکلام 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المراجع لما نقلناه من المشایخ یقف علی أنّ المصدر الأساسی </w:t>
      </w:r>
    </w:p>
    <w:p>
      <w:pPr>
        <w:pStyle w:val="BookText"/>
        <w:rPr/>
      </w:pPr>
      <w:r>
        <w:rPr>
          <w:rFonts w:ascii="IRNazanin" w:hAnsi="IRNazanin" w:eastAsia="IRNazanin"/>
          <w:color w:val="111111"/>
          <w:sz w:val="28"/>
          <w:sz w:val="28"/>
          <w:szCs w:val="28"/>
          <w:rtl w:val="true"/>
          <w:lang w:bidi="fa-IR"/>
        </w:rPr>
        <w:t xml:space="preserve">لوثاقة هؤلاء الرواة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المفید، و أمّا البواقی فقد اقتفوا أثره، و تؤیّد ذلک وحدة کثیر من العبارات، علی أنّ عدّة من المشایخ قد اقتفت الشیخ المفید فی عدد الرواة، من غیر تصریح بکونهم ثقات أو لا، کما أوعزنا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أسند الشیخ الحرّ العاملی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 بن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التوثیق إلی المفید و ابن شهر آشوب و الطّبرسی، من دون إسناده إلی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بتوثیقه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توثیق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ثبت ضعفه لم یکن بعیدا، لأنّ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إبن شهر آشوب فی 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وثّقوا أربعة آلاف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منهم فی جمیع کتب الرجال و الحدیث، لا یبلغون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العلاّمة و غیره أنّ ابن عقدة جمع الأربعة آلاف المذکورین فی کتب الرجال</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الاعتماد علی هذا التوثیق و إن صدر من شیخ الامّة و مفیدها و أیّدته جماعة من الأصحاب، مشکل جدّا، لأنّه إن أراد بذلک أنّ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أربعة آلاف و کلّهم کانوا ثقات، فهذا أشبه بما علیه الجمهور من أنّ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عدولا، و إن أراد أنّ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کثیرین، إلاّ أنّ الثقات منهم کانوا أربعة آلاف، فهذا أمر یمکن التسالم علیه لکنّه غیر مفید، إذ لیس لنا طریق إلی معرفة الثّقات منهم، و لیس لنا دلیل علی أنّ ما ذکره الشیخ فی رجاله کلّهم من الثقات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أضف إلی ذلک أنّ الشیخ قد ضعّف عدّة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فی الباب المختصّ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بن أبی حیّة ضعیف، </w:t>
      </w:r>
    </w:p>
    <w:p>
      <w:pPr>
        <w:pStyle w:val="BookText"/>
        <w:rPr/>
      </w:pPr>
      <w:r>
        <w:rPr>
          <w:rFonts w:ascii="IRNazanin" w:hAnsi="IRNazanin" w:eastAsia="IRNazanin"/>
          <w:color w:val="111111"/>
          <w:sz w:val="28"/>
          <w:sz w:val="28"/>
          <w:szCs w:val="28"/>
          <w:rtl w:val="true"/>
          <w:lang w:bidi="fa-IR"/>
        </w:rPr>
        <w:t>الحارث بن عمر البصری أبو عمر ضعیف الحدیث، عبد الرحمن بن الهلقام ضعیف، عمرو بن جمیع البصری الأزدی ضعیف الحدیث، محمّد بن حجّاج المدنی منکر الحدیث، محمّد بن عبد الملک الأنصاری الکوفی ضعیف، محمّد بن مقلاص الأسدی الکوفی ملعون غال</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إلی غیر ذلک من العبارات فی حقّ بعض أصحابه،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جاء به رجال الشیخ نفس ما ذکره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أتعب المتتبّع العلاّمة النوری نفسه الشریفة فی توجیه هذه التصریحات بوجود الضعاف بین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یمکن الاعتماد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الضّعف ما لا ینافی الوثاقة کالروایة عن الضعفاء، أو روایة الضعفاء عنه، أو الاعتماد علی المراسیل، أو الوجادة</w:t>
      </w:r>
      <w:r>
        <w:rPr>
          <w:rStyle w:val="FootnoteAnchor"/>
          <w:rtl w:val="true"/>
        </w:rPr>
        <w:footnoteReference w:id="459"/>
      </w:r>
      <w:r>
        <w:rPr>
          <w:rFonts w:ascii="IRNazanin" w:hAnsi="IRNazanin" w:eastAsia="IRNazanin"/>
          <w:color w:val="111111"/>
          <w:sz w:val="28"/>
          <w:sz w:val="28"/>
          <w:szCs w:val="28"/>
          <w:rtl w:val="true"/>
          <w:lang w:bidi="fa-IR"/>
        </w:rPr>
        <w:t>أو روایة ما ظاهره الغلوّ و الجبر و التشبیه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تری أنّ ما ذکره من التوجیه خلاف الظّاهر جدّا، و الروایة عن الضّعفاء و الاعتماد علی المراسیل و إن کانا من أسباب الضّعف عند القدماء، لکنّ الانصاف أنّه إذا ارید الضعف من هذه الناحیة یجب أن یصرّح به، و لو اطلق، فالظّاهر أنّ الضعف راجع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قال فی حقّ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غال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خرجنا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یثبت التوثیق العمومی لأصحاب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رجال الشیخ أو ما بأیدینا فی کتب الرجال</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2858_19741"/>
      <w:bookmarkStart w:id="470" w:name="pg2858_19741"/>
      <w:bookmarkEnd w:id="470"/>
    </w:p>
    <w:p>
      <w:pPr>
        <w:pStyle w:val="Heading3"/>
        <w:numPr>
          <w:ilvl w:val="2"/>
          <w:numId w:val="1"/>
        </w:numPr>
        <w:rPr/>
      </w:pPr>
      <w:bookmarkStart w:id="471" w:name="pg2858_19741"/>
      <w:bookmarkStart w:id="472" w:name="__RefHeading___Toc2760112_1395250215"/>
      <w:bookmarkStart w:id="473" w:name="_Toc160"/>
      <w:bookmarkEnd w:id="471"/>
      <w:bookmarkEnd w:id="472"/>
      <w:r>
        <w:rPr/>
        <w:t>8</w:t>
      </w:r>
      <w:r>
        <w:rPr>
          <w:rtl w:val="true"/>
        </w:rPr>
        <w:t xml:space="preserve"> - </w:t>
      </w:r>
      <w:r>
        <w:rPr>
          <w:rtl w:val="true"/>
        </w:rPr>
        <w:t>هل شیخوخة الاجازة دلیل الوثاقة عند المستجیز؟</w:t>
      </w:r>
      <w:bookmarkEnd w:id="47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4" w:name="__RefHeading___Toc2760114_1395250215"/>
      <w:bookmarkStart w:id="475" w:name="_Toc161"/>
      <w:bookmarkEnd w:id="474"/>
      <w:r>
        <w:rPr>
          <w:rtl w:val="true"/>
        </w:rPr>
        <w:t>اشارة</w:t>
      </w:r>
      <w:bookmarkEnd w:id="47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2858_19743"/>
      <w:bookmarkStart w:id="477" w:name="pg2858_19743"/>
      <w:bookmarkEnd w:id="477"/>
    </w:p>
    <w:p>
      <w:pPr>
        <w:pStyle w:val="BookText"/>
        <w:rPr/>
      </w:pPr>
      <w:bookmarkStart w:id="478" w:name="pg2858_19743"/>
      <w:bookmarkEnd w:id="478"/>
      <w:r>
        <w:rPr>
          <w:rFonts w:ascii="IRNazanin" w:hAnsi="IRNazanin" w:eastAsia="IRNazanin"/>
          <w:color w:val="111111"/>
          <w:sz w:val="28"/>
          <w:sz w:val="28"/>
          <w:szCs w:val="28"/>
          <w:rtl w:val="true"/>
          <w:lang w:bidi="fa-IR"/>
        </w:rPr>
        <w:t>إنّ قسما من مشایخ الاجازة الّذین یجیزون روایة أصل أو کتاب لغیرهم، غیر موصوفین فی کتب الرجال بالوثاقة، فهل استجازة الثقة عن واحد منهم آیة کونه ثقة أو لا؟ و هذا نظیر ما روی الصّدوق و الشیخ کثیرا من الاصول و الکتب بالاستجازة عن عدّة من المشایخ الذین یعدّون من مشایخهما فی الروایة، فهل استجازة ذینک العلمین أو غیرهما من هؤلاء دلیل علی وثاقتهم مطلقا أو عند المستجیزین خاصّة أو لا یدلّ علی شیء من ذلک؟</w:t>
      </w:r>
    </w:p>
    <w:p>
      <w:pPr>
        <w:pStyle w:val="Heading4"/>
        <w:numPr>
          <w:ilvl w:val="3"/>
          <w:numId w:val="1"/>
        </w:numPr>
        <w:rPr/>
      </w:pPr>
      <w:bookmarkStart w:id="479" w:name="__RefHeading___Toc2760116_1395250215"/>
      <w:bookmarkStart w:id="480" w:name="_Toc162"/>
      <w:bookmarkEnd w:id="479"/>
      <w:r>
        <w:rPr>
          <w:rtl w:val="true"/>
        </w:rPr>
        <w:t>توضیحه مع تحقیقه</w:t>
      </w:r>
      <w:bookmarkEnd w:id="480"/>
    </w:p>
    <w:p>
      <w:pPr>
        <w:pStyle w:val="BookText"/>
        <w:rPr/>
      </w:pPr>
      <w:r>
        <w:rPr>
          <w:rFonts w:ascii="IRNazanin" w:hAnsi="IRNazanin" w:eastAsia="IRNazanin"/>
          <w:color w:val="111111"/>
          <w:sz w:val="28"/>
          <w:sz w:val="28"/>
          <w:szCs w:val="28"/>
          <w:rtl w:val="true"/>
          <w:lang w:bidi="fa-IR"/>
        </w:rPr>
        <w:t xml:space="preserve">لو قلنا إنّ روایة الثقة عن شخص آیة کون المرویّ عنه ثقة عند الراوی، فلا کلام فی کلام مشایخ الاجازة لأمثال الصّدوق و الشیخ و غیرهما ثقات، لکن ذلک الأصل ممّا لا أصل له، إلا إذا أکثر الروایة عنه، کما سیوافیک، و قد عقد المحقّق الداماد فصلا خاصّا فی رواشحه، فراجع الراشحة الثلاثة و الثلاثین، الصفحة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 الکلام فی المقام علی غیر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الاجازة علی أقسام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یجیز الشیخ کتاب نفسه، فیشترط فی الشیخ المجیز ما یشترط فی سائر الرواة من الوثاقة و الضّبط، و حکم شیخ الاجازة فی هذا المجال حکم </w:t>
      </w:r>
    </w:p>
    <w:p>
      <w:pPr>
        <w:pStyle w:val="BookText"/>
        <w:rPr/>
      </w:pPr>
      <w:r>
        <w:rPr>
          <w:rFonts w:ascii="IRNazanin" w:hAnsi="IRNazanin" w:eastAsia="IRNazanin"/>
          <w:color w:val="111111"/>
          <w:sz w:val="28"/>
          <w:sz w:val="28"/>
          <w:szCs w:val="28"/>
          <w:rtl w:val="true"/>
          <w:lang w:bidi="fa-IR"/>
        </w:rPr>
        <w:t>سائر الرواة الواقعین فی سند الحدیث، فیشترط فیه ما یشترط فیهم، و لا یدلّ استجازة الثقة علی کونه ثقة حتّی عنده، إذ لا تزید الاستجازة علی روایة الثقة عنه، فکما أنّها لا تدلّ علی وثاقة المرویّ عنه، فهکذا الاستجازة، فیجب إحراز وثاقة المجیز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جمیع أحادیث کتابه مطابقا لأحادیث کتاب معتبر، یکون أحادیثه مقبولة سواء أکان فی نفسه ثقة أو ضعیفا، و لذا قال ابن الولید استاذ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اورمة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المطعون فیه بالغلوّ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کان فی کتبه ممّا وجد فی کتب الحسین بن سعید و غیره، فإنّه یعتمد علیه و یفتی به، و کلّ ما تفرّد به لم یجز العمل علیه و لا یعتمد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تحصیل هذا الشرط ممّا لا یمکن فی هذه العصور، لإندراس المصنّفات و الاصول بعد الشیخ الطوسی، فقد أصبحت تلک الکتب بعد الجوامع الثانویة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مرغوبة عنها، لعدم إحساس الحاجة إلی کتابتها و استنساخها مع وجود تلک الجوامع، خصوصا بعد کلام الشیخ فی آخر الاستبصار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أرجو من اللّه تعالی أن تکون هذه الکتب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سهّل اللّه تعالی الفراغ منها، لا یحتاج معها إلی شیء من الکتب و الاصول، لأنّ الکتاب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جمیع أحادیث الفقه المتّفق علیه و المختلف فیه، و کتاب النهایة یشتمل علی تجرید الفتاوی فی جمیع أبواب الفقه و ذکر جمیع ما روی فیه، علی وجه یصغر حجمه و تکثر فائدته و یصلح للحفظ، و هذا الکتاب یشتمل علی جمیع ما روی من الأخبار المختلفة و بیان وجه التأویل فیها و الجمع </w:t>
      </w:r>
    </w:p>
    <w:p>
      <w:pPr>
        <w:pStyle w:val="BookText"/>
        <w:rPr/>
      </w:pP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أجاز کتاب غیره و کان انتساب الکتاب إلی مصنّفه مشهورا فالاجازة لأجل مجرّد اتّصال السند، لا لتحصیل العلم بالنسبة إلی مصنّفه و الاجازات الرائجة بالنسبة إلی الکتب الأربعة و غیرها من المؤلّفات الحدیثیّة المشهورة کلّها من هذا القبیل، فلیست الاجازة إلاّ لأجل تحصیل اتّصال السّند و تصحیح الحکایة عند نقل الحدیث عن شیخ الاجازة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یصل إلی أرباب الکتب الأربعة و ینتهی السند إلی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هذه الصورة لا یحرز وثاقة الشیخ بالاستجازة أیضا، لأنّ نسبة الکتب إلی أربابها ثابتة، و إنّما الغایة من تحصیلها، تصحیح الحکایة و التمکّن من القول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ینتهی الأمر إلی الإمام، و یکفی فیه نفس الاجازة سواء کان المجیز ثقة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الصّدوق بالنسبة إلی الکتب التی أخذ منها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کتب مشهورة، علیها المعوّل و إلیها المرجع، و أنّ ما ذکره فی المشیخة فی آخر الکتب، لأجل تحصیل اتّصال السند، لا لتصحیح نسبة الکتاب إلی مؤلّفه، فلا تدلّ استجازته علی وثاقة من روی عنهم فی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أنّ الشیخ الکلینی ذکر تمام السند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فبدأ الحدیث باسم شیخ الاجازة عن شیخه إلی أن ینتهی إلی الشیخ الّذی أخذ الحدیث عن کتابه، حتّی یصل إلی الإمام، و هذه سیرته فی غالب الروایات الاّ ما شذّ</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الشیخ الصدوق و کذا الشیخ الطوسی قد بنیا علی حذف أوائل السند و الاکتفاء باسم من اخذ الحدیث من أصله و مصنّفه، حتّی یصل السّند إلی </w:t>
      </w:r>
    </w:p>
    <w:p>
      <w:pPr>
        <w:pStyle w:val="BookText"/>
        <w:rPr/>
      </w:pPr>
      <w:r>
        <w:rPr>
          <w:rFonts w:ascii="IRNazanin" w:hAnsi="IRNazanin" w:eastAsia="IRNazanin"/>
          <w:color w:val="111111"/>
          <w:sz w:val="28"/>
          <w:sz w:val="28"/>
          <w:szCs w:val="28"/>
          <w:rtl w:val="true"/>
          <w:lang w:bidi="fa-IR"/>
        </w:rPr>
        <w:t xml:space="preserve">الإمام، ثمّ وضعا فی آخر 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بها طریقتهما إلی من أخذا الحدیث من کتابه، فهی المرجع فی اتّصال السند فی أخبار کتابهما، و ربّما أخلاّ بذکر السند إلی بعض أصحاب الکتب فصار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دأب الشیخین الصدوق و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الکتب الّتی أخذ الصدوق منها الأحادیث و بدأ السند بأسامی مؤلّفیها، کتب مشهورة معروفة غیر محتاجة إلی إثبات النّسبة، فوجود السند إلی هذه الکتب و عدمه سواسیة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مقدّمة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ما فیه مستخرج من کتب مشهورة علیها المعوّل و إلیها المرجع مثل کتاب حریز بن عبد اللّه السجستانی، و کتاب عبید اللّه ابن علی الحلبیّ، و کتب علیّ بن مهزیار الأهوازی، و کتب الحسین بن سعید، و نوادر أحمد بن محمّد بن عیسی، و کتاب نوادر الحکمة تصنیف محمّد بن أحمد بن یحیی بن عمران الأشعری، و کتاب الرحمة لسعد بن عبد اللّه، و جامع شیخنا محمّد بن الحسن بن الولید، و نوادر محمّد بن أبی عمیر، و کتب المحاسن لأحمد بن أبی عبد اللّه البرقی، و رسالة أبی إلیّ و غیرها من الاصول و المصنّفات الّتی طرقی إلیها معروفة فی فهرس الکتب الّتی رویتها عن مشایخی و أسلافی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العبارة من المحدّث الأکبر نصّ علی ثبوت نسبة هذه الکتب إلی مؤلّفیها، و لم یکن هناک أیّة حاجة إلی طریق یدلّ علی النسبة، و أنّ ما أتی به فی المشیخة من الأسماء لمجرّد اتّصال السند، فلو اکتفینا بمثل هذا التنصیص من الصّدوق، لکان البحث عن صحّة طریق الصّدوق و عدمها بالنسبة إلی هذه الکتب و نظائرها بحثا زائدا غیر مفید، اللّهم إلاّ فی الکتب غیر المعروفة التی لم تثبت نسبتها إلی مؤلّفیها، لو نقل عنها فیه، و إلی ذلک کان یمیل السیّد </w:t>
      </w:r>
    </w:p>
    <w:p>
      <w:pPr>
        <w:pStyle w:val="BookText"/>
        <w:rPr/>
      </w:pPr>
      <w:r>
        <w:rPr>
          <w:rFonts w:ascii="IRNazanin" w:hAnsi="IRNazanin" w:eastAsia="IRNazanin"/>
          <w:color w:val="111111"/>
          <w:sz w:val="28"/>
          <w:sz w:val="28"/>
          <w:szCs w:val="28"/>
          <w:rtl w:val="true"/>
          <w:lang w:bidi="fa-IR"/>
        </w:rPr>
        <w:t xml:space="preserve">المحقّق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درسه الشریف عند ما أفاض البحث فی المشیخة، و بذلک یعلم وجه ما أفاده الشیخ الطوسی من تقدیم روایة السامع علی روایة المستجیز إلاّ فیما إذا روی المستجیز باجازته أصلا معروفا أو مصنّفا مشهورا فیسقط الترجیح</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طرق الشیخ الطوسی أیضا إلی أصحاب الکتب المعروفة الثابتة نسبتها إلی مؤلفیها، بحث زائد غیر مفید، فلا وجه لعدّ الحدیث ضعیفا أو حسنا لأجل ضعف طریقه أو عدم ثبوت وثاقة مشایخ إجازته إلی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تشخیص حال هذه الکتب من حیث ثبوت انتسابها إلی مؤلّفیها و عدمه لولا الإحراز، یدخل فی القسم الثالث الّذی سیوافیک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نعرف الاصول المشهورة و المصنّفات المعروفة کالقدماء، حکمنا بصحّة کثیر من أحادیث الکافی الّتی حکموا بعدم صحّتها بالاصطلاح الحادث المتأخّر، فإنّ أکثر الوسائط، مشایخ إجازة، و أکثر أحادیثها مأخوذة من مصنّفات أصحاب الائمّة و اصولهم، و ذکر سائر المشایخ لمجرّد اتّصال السلسلة کما هو دیدن أصحاب الحدیث، کالمفید فی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الأخذ من الکافی، و الصدّوق فی غیر فقیهه، و الشیخ فی الجزئین الأوّلین من استبصاره، لکنّ الأسف ضیاع تلک الاصول و المصنّفات</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استثناء الفقیه، فلما عرفت من أنّ الصدوق لا یذکر فی بدء السند إلاّ اسم الشخص الّذی أخذ الحدیث عن کتابه، و لا یذکر مشایخ الاجازة إلاّ فی خاتمة الکتاب المسمّاة بالمشیخة، و قد عرفت أنّ البحث عن طرق الصّدوق </w:t>
      </w:r>
    </w:p>
    <w:p>
      <w:pPr>
        <w:pStyle w:val="BookText"/>
        <w:rPr/>
      </w:pPr>
      <w:r>
        <w:rPr>
          <w:rFonts w:ascii="IRNazanin" w:hAnsi="IRNazanin" w:eastAsia="IRNazanin"/>
          <w:color w:val="111111"/>
          <w:sz w:val="28"/>
          <w:sz w:val="28"/>
          <w:szCs w:val="28"/>
          <w:rtl w:val="true"/>
          <w:lang w:bidi="fa-IR"/>
        </w:rPr>
        <w:t>غیر مفید، لأنّ الکتب المنقولة عنها معروفة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استثناء الجزئین الأوّلین من الاستبصار، فلأنّه سلک فیهما علی غیر النّحو الّذی سلک فی بقیّة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 سلکت فی أوّل الکتاب إیراد الأحادیث بأسانیدها و علی ذلک اعتمدت فی الجزء الأوّل و الثانی، ثمّ اختصرت فی الجزء الثالث و عوّلت علی الابتداء بذکر الراوی الّذی أخذت الحدیث من کتابه أو أصله، علی أن اورد عند الفراغ من الکتاب جملة من الأسانید یتوصّل بها إلی هذه الکتب و الاصول، حسب ما عملته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ذکرته عن محمّد بن یعقوب</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أنّه لو کانت نسبة الکتب الّتی اخذ منها الحدیث إلی مؤلّفیها، مثل نسبة کتاب الکافی إلی مؤلّفه أو أدنی منها، لما دلّت الاستجازة علی وثاقة مجیزها و أیضا لما ضرّ عدم وثاقة شیخ الإجازة فضلا عن کونه مشکوک الوثاقة بالنقل عن هذه الکتب، لما عرفت أنّ نسبة الکتب الّتی أخذ الصدوق عنه الحدیث إلی مؤلّفیها، کمثل نسبة الکافی إلی مؤلّفه أو أقلّ منها بقلیل، و قد عرفت أنّ البحث عن طرق الصّدوق إلی الکتب غیر مفیدة و وافقنا فی ذلک المحقّق التستری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أن یقال بعدم الاحتیاج إلی ما فعل فی طرق الصّدوق، حیث إنّه صرّح فی الفقیه بمعروفیّة طرقه إلی الکتب و أنّ الکتب فی نفسها مشهورة</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قد عرفت منّا ما ذکره السیّد المحقّق البروجردی فی درسه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کنّا متمکّنین من تشخیص الکتب الثابتة نسبتها إلی مؤلّفیها عن غیرها، لاستغنینا عن کثیر من المباحث الّتی تدور حول مشیخة </w:t>
      </w:r>
    </w:p>
    <w:p>
      <w:pPr>
        <w:pStyle w:val="BookText"/>
        <w:rPr/>
      </w:pPr>
      <w:r>
        <w:rPr>
          <w:rFonts w:ascii="IRNazanin" w:hAnsi="IRNazanin" w:eastAsia="IRNazanin"/>
          <w:color w:val="111111"/>
          <w:sz w:val="28"/>
          <w:sz w:val="28"/>
          <w:szCs w:val="28"/>
          <w:rtl w:val="true"/>
          <w:lang w:bidi="fa-IR"/>
        </w:rPr>
        <w:t>الشیخ الطوسی حتّی صارت سببا لتقسیم أحادیثهما حسب اختلاف حال المشایخ إلی الصّحیح و الموثّق و الحسن و الضعیف، لأنّ جمیع الوسائط بینه و بین صاحب الکتاب، أو صاحب الاصل، فی الحقیقة مشایخ اجازة لکتاب الغیر و أصله، و لکنّه أمنیّة لا تحصل إلاّ بالسعی الجماعی فی ذاک المجال، و قیام لجنة بالتّحقیق فی المکتبات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أجاز روایة کتاب لم تثبت نسبته إلی مؤلّفه إلاّ بواسطة الشیخ المجیز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أنّه تشترط وثاقة الشیخ المجیز عند المستجیز، إذ لولاه لما ثبت نسبته إلی المؤلّف، و بدونها لا یثبت الکتاب و لا ما احتواه من السند و المتن و عادت الاجازة أمرا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توثیق المستجیز أو ثبوت وثاقة المجیز عند المستجیز کافیا لنا نأخذ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 إنّ الهدف الأسمی فی هذا القسم من الاستجازة و الاستمداد من ذکر الطّریق إلی أصحاب هذه الکتب، هو إثبات نسبة هذه الکتب إلی أصحابنا و مؤلّفیها لا غیر، و لا یتحقّق هذا الهدف إلاّ أن یکون الشیوخ المجیزون واحدا بعد واحد، ثقات یعتمد علی قولهم، فلو لم یکن الشیخ ثقة عند المستجیز، لما کان للاستناد إلیه أیّة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الفائدة العلیا من ذکر الطّریق فی المشیخة، هو إثبات نسبة هذه الکتب إلی مؤلّفیها إثباتا لا غبار علیه، و هذا الهدف لا یتحقّق عند المستجیز إلاّ بکون شیخ الاجازة ثقة عنده، و إلاّ فلو کان مجهولا أو ضعیفا أو مطعونا بإحدی الطّرق، لما کان لهذه الاستجازة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یعنی به من أنّ شیخوخة الاجازة دلیل علی وثاقة الشیخ عند المستجیز</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بأنّ الحسن بن محمّد بن یحیی، المعروف بابن أخی طاهر، عرّفه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المجاهیل أحادیث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p>
    <w:p>
      <w:pPr>
        <w:pStyle w:val="BookText"/>
        <w:rPr/>
      </w:pPr>
      <w:r>
        <w:rPr>
          <w:rFonts w:ascii="IRNazanin" w:hAnsi="IRNazanin" w:eastAsia="IRNazanin"/>
          <w:color w:val="111111"/>
          <w:sz w:val="28"/>
          <w:sz w:val="28"/>
          <w:szCs w:val="28"/>
          <w:rtl w:val="true"/>
          <w:lang w:bidi="fa-IR"/>
        </w:rPr>
        <w:t xml:space="preserve">أصحابنا یضعّفونه و مات فی شهر ربیع الأوّل سنة </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مشایخ الاجازة للتلّعکبری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التلّعکبری و سمع منه سنة سبع و عشرین و ثلاثمائة إلی سنة خمس و خمسین و له منه إجازة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ینافی ما ذکرنا، لإمکان ثبوت وثاقته عند المستجیز کما لا یخفی، فلو کان ثبوت وثاقته عند المستجیز کافیا لنا، ما لم یدلّ دلیل علی خلافه، نأخذ بالحدیث إذا وقع فی السّند و إلاّ فلا</w:t>
      </w:r>
      <w:r>
        <w:rPr>
          <w:rFonts w:eastAsia="IRNazanin" w:cs="IRNazanin"/>
          <w:color w:val="111111"/>
          <w:sz w:val="28"/>
          <w:szCs w:val="28"/>
          <w:rtl w:val="true"/>
          <w:lang w:bidi="fa-IR"/>
        </w:rPr>
        <w:t xml:space="preserve">. </w:t>
      </w:r>
      <w:bookmarkStart w:id="481" w:name="pg2858_1975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2760118_1395250215"/>
      <w:bookmarkStart w:id="483" w:name="_Toc163"/>
      <w:bookmarkEnd w:id="481"/>
      <w:bookmarkEnd w:id="482"/>
      <w:r>
        <w:rPr/>
        <w:t>9</w:t>
      </w:r>
      <w:r>
        <w:rPr>
          <w:rtl w:val="true"/>
        </w:rPr>
        <w:t xml:space="preserve"> - </w:t>
      </w:r>
      <w:r>
        <w:rPr>
          <w:rtl w:val="true"/>
        </w:rPr>
        <w:t>الوکالة عن الامام علیه السلام</w:t>
      </w:r>
      <w:bookmarkEnd w:id="48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ربما تعدّ الوکالة من الإمام، طریقا إلی وثاقة الراوی، لکنّه لا ملازمة بینها و بین وثاقته، نعم لو کان وکیلا فی الامور المالیّة، تکون أمارة علی کونه أمینا فی الامور المالیّة، و أین هو من کونه عادلا، ثقة ضابطا؟ نعم إذا کان الرجل وکیلا من جانب الإمام طیلة سنوات، و لم یرد فیه ذمّ یمکن أن تکون قرینة علی وثاقته و ثبات قدمه، إذ من البعید أن یکون الکاذب وکیلا من جانب الإمام عدّة سنوات و لا یظهر کذبه للامام فیعزله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وثاقة کلّ من کان وکیلا من قبل المعصومین بما رواه الکلینی عن علیّ بن محمد، عن الحسن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شیئا، ثمّ صرت إلی العسکر، فخرج إلیّ لیس فینا شکّ و لا فی من یقوم مقامنا، بأمرنا، ردّ ما معک إلی حاجز بن یزید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لم تکن الوکالة ملازمة للعدالة، لما کان للذمّ معنی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أخصّ من المدّعی، فإنّ الظاهر أنّ المراد الوکلاء المعروفون الّذین قاموا مقام الائمّة بأمرهم، و هذا غیر کون الرجل وکیلا للامام فی أمر ضیعته أو أمر من الامور</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2858_19755"/>
      <w:bookmarkStart w:id="485" w:name="pg2858_19755"/>
      <w:bookmarkEnd w:id="48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pg2858_19755"/>
      <w:bookmarkStart w:id="487" w:name="__RefHeading___Toc2760120_1395250215"/>
      <w:bookmarkStart w:id="488" w:name="_Toc164"/>
      <w:bookmarkEnd w:id="486"/>
      <w:bookmarkEnd w:id="487"/>
      <w:r>
        <w:rPr/>
        <w:t>10</w:t>
      </w:r>
      <w:r>
        <w:rPr>
          <w:rtl w:val="true"/>
        </w:rPr>
        <w:t xml:space="preserve"> - </w:t>
      </w:r>
      <w:r>
        <w:rPr>
          <w:rtl w:val="true"/>
        </w:rPr>
        <w:t>کثرة تخریج الثقة عن شخص</w:t>
      </w:r>
      <w:bookmarkEnd w:id="48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نقل الثقة عن شخص لا یدلّ علی کون المرویّ عنه ثقة، لشیوع نقل الثقات من غیرهم، نعم کانت کثرة النقل عن الضّعاف أمرا مرغوبا عنه بین المشایخ و کانت معدودة من جهات الضعف، و لأجل هذا أخرج أحمد بن محمّد بن عیسی القمی، زمیله أحمد بن محمّد بن خالد عن قم، لکثرة النقل عن الضعفاء، 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أکثر الروایة عن الضعفاء و اعتمد المراسیل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علیه القمّیون، و لیس الطعن فیه، إنّما الطعن فیمن یروی عنه، فإنّه کان لا یبالی عمّن أخذ، علی طریقة أهل الاخبار، و کان أحمد بن محمّد بن عیسی أبعده من قم، ثمّ أعاده إلیها و اعتذر إلیه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 فی ترجمة 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الحدیث، غیر معتمد فیه، و کان أحمد بن محمّد بن عیسی یشهد علیه بالغلوّ و الکذب و أخرجه من قم إلی الری و کان یسکنها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کثرة تخریج الثقة عن شخص دلیل </w:t>
      </w:r>
    </w:p>
    <w:p>
      <w:pPr>
        <w:pStyle w:val="BookText"/>
        <w:rPr/>
      </w:pPr>
      <w:r>
        <w:rPr>
          <w:rFonts w:ascii="IRNazanin" w:hAnsi="IRNazanin" w:eastAsia="IRNazanin"/>
          <w:color w:val="111111"/>
          <w:sz w:val="28"/>
          <w:sz w:val="28"/>
          <w:szCs w:val="28"/>
          <w:rtl w:val="true"/>
          <w:lang w:bidi="fa-IR"/>
        </w:rPr>
        <w:t>علی وثاقته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أنّ کثرة الروایة عن الضّعاف کانت تعدّ من أسباب الضّعف حتی آل أمر أحمد بن محمّد بن خالد، و سهل بن زیاد الآدمی إلی الاقصاء من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کثرة النقل عن شخص آیة کون المرویّ عنه ثقة، و إلاّ عاد النقل لغوا و مرغوبا عنه، و هذا بخلاف قلّة النقل،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أمرا متعارفا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للنقل غایات اخری، غیر الاعتماد و هو تعضید سائر الروایات و النّقول، و هذه منتفیة فیما إذا کثر النقل عن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صاحب المستدرک قد أفرط فی تکثیر أسباب التوثیق و جعل نقل الثقة عن شخص آیة کون المرویّ عنه ثقة، و تمسّک بوجوه غیر نافعة یقف علیها السابر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نهایة الدراسة حول التوثیقات العامّة، فقد عرفت الصّحیح عن السقیم، و أنّ المفید منها قلیل بالنسبة إلی غیره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نختم الحدیث حول هذا الموضوع و نخوض فی موضوع آخر، و هو بیان مدی اعتبار الکتب الأربعة من حیث الصحّة و الاعتبار، و هو بحث قیّم لا یستغنی عنه الفقیه، کما أنّه لا یمکن أن یکتفی بما ورد فی هذه الدراسة، بل لا بدّ من مواصلة البحث و الدراسة فی هذا المجال، بدقّة و مزید إمعان</w:t>
      </w:r>
      <w:r>
        <w:rPr>
          <w:rFonts w:eastAsia="IRNazanin" w:cs="IRNazanin"/>
          <w:color w:val="111111"/>
          <w:sz w:val="28"/>
          <w:szCs w:val="28"/>
          <w:rtl w:val="true"/>
          <w:lang w:bidi="fa-IR"/>
        </w:rPr>
        <w:t xml:space="preserve">. </w:t>
      </w:r>
      <w:bookmarkStart w:id="489" w:name="pg2858_19759"/>
    </w:p>
    <w:p>
      <w:pPr>
        <w:pStyle w:val="Heading2"/>
        <w:numPr>
          <w:ilvl w:val="1"/>
          <w:numId w:val="1"/>
        </w:numPr>
        <w:rPr/>
      </w:pPr>
      <w:bookmarkStart w:id="490" w:name="__RefHeading___Toc2760122_1395250215"/>
      <w:bookmarkStart w:id="491" w:name="_Toc165"/>
      <w:bookmarkEnd w:id="489"/>
      <w:bookmarkEnd w:id="490"/>
      <w:r>
        <w:rPr>
          <w:rtl w:val="true"/>
        </w:rPr>
        <w:t>الفصل السابع</w:t>
      </w:r>
      <w:r>
        <w:rPr>
          <w:rtl w:val="true"/>
        </w:rPr>
        <w:t xml:space="preserve">: </w:t>
      </w:r>
      <w:r>
        <w:rPr>
          <w:rtl w:val="true"/>
        </w:rPr>
        <w:t>دراسة حول الکتب الاربعة</w:t>
      </w:r>
      <w:bookmarkEnd w:id="491"/>
    </w:p>
    <w:p>
      <w:pPr>
        <w:pStyle w:val="Heading3"/>
        <w:numPr>
          <w:ilvl w:val="2"/>
          <w:numId w:val="1"/>
        </w:numPr>
        <w:rPr/>
      </w:pPr>
      <w:bookmarkStart w:id="492" w:name="__RefHeading___Toc2760124_1395250215"/>
      <w:bookmarkStart w:id="493" w:name="_Toc166"/>
      <w:bookmarkEnd w:id="492"/>
      <w:r>
        <w:rPr>
          <w:rtl w:val="true"/>
        </w:rPr>
        <w:t>اشارة</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2858_19761"/>
      <w:bookmarkStart w:id="495" w:name="pg2858_19761"/>
      <w:bookmarkEnd w:id="495"/>
    </w:p>
    <w:p>
      <w:pPr>
        <w:pStyle w:val="Heading3"/>
        <w:numPr>
          <w:ilvl w:val="2"/>
          <w:numId w:val="1"/>
        </w:numPr>
        <w:rPr/>
      </w:pPr>
      <w:bookmarkStart w:id="496" w:name="pg2858_19761"/>
      <w:bookmarkStart w:id="497" w:name="__RefHeading___Toc2760126_1395250215"/>
      <w:bookmarkStart w:id="498" w:name="_Toc167"/>
      <w:bookmarkEnd w:id="496"/>
      <w:bookmarkEnd w:id="497"/>
      <w:r>
        <w:rPr/>
        <w:t>1</w:t>
      </w:r>
      <w:r>
        <w:rPr>
          <w:rtl w:val="true"/>
        </w:rPr>
        <w:t xml:space="preserve"> - </w:t>
      </w:r>
      <w:r>
        <w:rPr>
          <w:rtl w:val="true"/>
        </w:rPr>
        <w:t xml:space="preserve">تقییم احادیث </w:t>
      </w:r>
      <w:r>
        <w:rPr>
          <w:rtl w:val="true"/>
        </w:rPr>
        <w:t>«</w:t>
      </w:r>
      <w:r>
        <w:rPr>
          <w:rtl w:val="true"/>
        </w:rPr>
        <w:t>الکافی</w:t>
      </w:r>
      <w:r>
        <w:rPr>
          <w:rtl w:val="true"/>
        </w:rPr>
        <w:t>»</w:t>
      </w:r>
      <w:bookmarkEnd w:id="4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2760128_1395250215"/>
      <w:bookmarkStart w:id="500" w:name="_Toc168"/>
      <w:bookmarkEnd w:id="499"/>
      <w:r>
        <w:rPr>
          <w:rtl w:val="true"/>
        </w:rPr>
        <w:t>اشارة</w:t>
      </w:r>
      <w:bookmarkEnd w:id="50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البحث عن کتاب الکافی للشیخ الأجلّ الکلینی یقع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من ورد فی أسناد الکافی ثقة أو لا؟ و هذا هو الّذی استقصینا البحث عنه عند البحث عن أدلّة نفاة الحاجة إلی علم الرّجال و أوضحنا الحال فیه فلا نعود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قرائن تدلّ علی أنّ کلّ ما ورد فیه من الروایات صحیح، بمعنی أنّه معتبر یصحّ العمل به أو لا؟ و هذا ما نبحث عنه فی المقام، و لنقدّم کلمة فی حقّ المؤلف و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کتاب الکافی أحد الکتب الأربعة الّتی علیها تدور رحی استنباط مذهب الإمامیّة، فإنّ أدلّة الأحکام و إن کانت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العقل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المشهور بین الفقهاء، إلاّ أنّ الناظر فی فروع الدین یعلم أنّ العمدة فی استعلام الفرائض و السنن، و الحلال و الحرام، هو الحدیث و أنّ الحاوی لجلّها، هو الکتب الأربعة، و کتاب الکافی بینها کالشمس بین نجوم السماء، و المؤلّف أغنی من التّوصیف و أشهر من التبجیل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وصف الشیخ المفید فی شرح عقائد الصدوق کتاب الکافی بأنّه أجلّ </w:t>
      </w:r>
    </w:p>
    <w:p>
      <w:pPr>
        <w:pStyle w:val="BookText"/>
        <w:rPr/>
      </w:pPr>
      <w:r>
        <w:rPr>
          <w:rFonts w:ascii="IRNazanin" w:hAnsi="IRNazanin" w:eastAsia="IRNazanin"/>
          <w:color w:val="111111"/>
          <w:sz w:val="28"/>
          <w:sz w:val="28"/>
          <w:szCs w:val="28"/>
          <w:rtl w:val="true"/>
          <w:lang w:bidi="fa-IR"/>
        </w:rPr>
        <w:t>کتب الشیعة و أکثرها فائدة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الکرکی فی إجازته للقاضی صفی الدین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جمیع مصنّفات و مرویّات الشیخ الإمام السعید الحافظ المحدّث الثقة، جامع أحادیث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بن یعقوب الکلینی، صاحب الکتاب الکبیر فی الحدیث المسمّی بالکافی، الّذی لم یعمل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جمع هذا الکتاب من الأحادیث الشرعیّة، و الأسرار الربانیّة ما لا یوجد فی غیره، و هذا الشیخ یروی عمّن لا یتناهی کثرة من علماء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رجالهم و محدّثیهم مثل 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حسین والد شیخنا البهائی فی الکتاب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کتاب الکافی، فهو للشّیخ أبی جعفر محمّد بن یعقوب الکلینی، شیخ عصره فی وقته، و وجه العلماء و النبلاء، کان أوثق الناس فی الحدیث و أنقدهم له و أعرفهم به، صنّف کتاب الکافی و هذّبه فی عشرین سنة، و هو یشتمل علی ثلاثین کتابا یحتوی علی ما لا یحتوی علیه غیره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المجلسی فی مقدمة شرحه علی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ابتدأت بکتاب الکافی للشیخ الصدوق ثقة الإسلام مقبول طوائف الأنام، ممدوح الخاص و العام،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الأئمة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أضبط الأصول و أجمعها و أحسن مؤلفات الغرفة الناجیة و أعظمها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کلمات الثناء و الاطراء ممّا لا مجال لذکرها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 فی ترجمة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بن إسحاق أبو </w:t>
      </w:r>
    </w:p>
    <w:p>
      <w:pPr>
        <w:pStyle w:val="BookText"/>
        <w:rPr/>
      </w:pPr>
      <w:r>
        <w:rPr>
          <w:rFonts w:ascii="IRNazanin" w:hAnsi="IRNazanin" w:eastAsia="IRNazanin"/>
          <w:color w:val="111111"/>
          <w:sz w:val="28"/>
          <w:sz w:val="28"/>
          <w:szCs w:val="28"/>
          <w:rtl w:val="true"/>
          <w:lang w:bidi="fa-IR"/>
        </w:rPr>
        <w:t xml:space="preserve">جعفر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خاله علاّن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فی وقته بالری و وجههم، و کان أوثق الناس فی الحدیث و 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الکتاب الکبیر المعروف بالکلینی یسمّی الکافی فی عشرین سنة، شرح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کتاب فضل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عدّ أحدا و ثلاثین کتابا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بعض مشایخه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الکافی فجمیع أحادیثه حصرت فی ستّة عشر ألف حدیث و مائة و تسعة و تسعین حدیثا، الصحیح منها باصطلاح من تأخر خمسة آلاف و اثنان و سبعون حدیثا و الحسن مائة و أربعة و أربعون حدیثا، و الموثّق مائة حدیث و ألف حدیث و ثمانیة عشر حدیثا، و القوی منها اثنان و ثلاثمائة، و الضعیف منها أربعمائة و تسعة آلاف و خمسة و ثمانون حدیثا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المتتبّع المحدّث النوری بعد نقل ذلک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من القویّ ما کان بعض رجال سنده أو کلّه، الممدوح من غیر الامامی و لم یکن فیه من یضعف به الحدیث</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فی الکافی یزید علی ما فی مجموع الصحاح الستة للجمهور و عدّة کتب الکافی اثنان و ثلاثون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الحافظ 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جمیع أحادیث صحیح البخاری بالمکرّر، سوی المعلّقات و المتابعات، علی ما حرّرته و حقّقته، سبعة آلاف و ثلاثمائة و سبعة و تسعون حدیثا، و الخالص من ذلک بلا تکریر ألفا حدیث و ستمائة و حدیثان، و إذا انضمّ إلیه المتون المعلّقة المرفوعة </w:t>
      </w:r>
      <w:bookmarkStart w:id="501" w:name="pg2858_19766"/>
    </w:p>
    <w:p>
      <w:pPr>
        <w:pStyle w:val="BookText"/>
        <w:rPr/>
      </w:pPr>
      <w:bookmarkEnd w:id="501"/>
      <w:r>
        <w:rPr>
          <w:rFonts w:ascii="IRNazanin" w:hAnsi="IRNazanin" w:eastAsia="IRNazanin"/>
          <w:color w:val="111111"/>
          <w:sz w:val="28"/>
          <w:sz w:val="28"/>
          <w:szCs w:val="28"/>
          <w:rtl w:val="true"/>
          <w:lang w:bidi="fa-IR"/>
        </w:rPr>
        <w:t>و هی مائة و خمسون حدیثا، صار مجموع الخالص ألفی حدیث و سبعمائة و أحدا و ستّین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مسلم أنّ کتابه أربعة آلاف حدیث دون المکرّرات و بالمکرّرات سبعة آلاف و مائتان و خمسة و سبعون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 فی أول 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جمعت فی کتابی هذا اربعة آلاف حدیث و ثمانیة أحادیث من الصحیح و ما یشبهه و ما یقاربه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جمع الامام أبو السعادات مبارک بن محمّد بن الاثیر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فی هذه الصحاح فی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من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عدد أحادیثه </w:t>
      </w:r>
      <w:r>
        <w:rPr>
          <w:rFonts w:eastAsia="IRNazanin" w:cs="IRNazanin"/>
          <w:color w:val="111111"/>
          <w:sz w:val="28"/>
          <w:szCs w:val="28"/>
          <w:rtl w:val="true"/>
          <w:lang w:bidi="fa-IR"/>
        </w:rPr>
        <w:t>«</w:t>
      </w:r>
      <w:r>
        <w:rPr>
          <w:rFonts w:eastAsia="IRNazanin" w:cs="IRNazanin"/>
          <w:color w:val="111111"/>
          <w:sz w:val="28"/>
          <w:szCs w:val="28"/>
          <w:lang w:bidi="fa-IR"/>
        </w:rPr>
        <w:t>9483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الجرزی فیه بین البخاری و المسلم و الموطّأ و سنن أبی داود و سنن النسائی و الترمذی، عمله علی حروف المعجم و شرح غریب الأحادیث و معانیها و أحکامها و صنّف رجالها و نبّه علی جمیع ما یحتاج إلیه منها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حال الکتاب و مکانته و إلیک بیان مدی صحّة روایاته</w:t>
      </w:r>
      <w:r>
        <w:rPr>
          <w:rFonts w:eastAsia="IRNazanin" w:cs="IRNazanin"/>
          <w:color w:val="111111"/>
          <w:sz w:val="28"/>
          <w:szCs w:val="28"/>
          <w:rtl w:val="true"/>
          <w:lang w:bidi="fa-IR"/>
        </w:rPr>
        <w:t>.</w:t>
      </w:r>
    </w:p>
    <w:p>
      <w:pPr>
        <w:pStyle w:val="Heading4"/>
        <w:numPr>
          <w:ilvl w:val="3"/>
          <w:numId w:val="1"/>
        </w:numPr>
        <w:rPr/>
      </w:pPr>
      <w:bookmarkStart w:id="502" w:name="__RefHeading___Toc2760130_1395250215"/>
      <w:bookmarkStart w:id="503" w:name="_Toc169"/>
      <w:bookmarkEnd w:id="502"/>
      <w:r>
        <w:rPr>
          <w:rtl w:val="true"/>
        </w:rPr>
        <w:t>الصحیح عند القدماء و المتأخرین</w:t>
      </w:r>
      <w:bookmarkEnd w:id="50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الحدیث إلی الأقسام الأربعة المشهورة تقسیم جدید حدث من زمن الرجالی السیّد أحمد بن طاوس استاذ العلاّمة و ابن داود الحلّیین، بعد ما کان التقسیم بین القدماء ثنائیا غیر خارج عن کون الحدیث معتبرا أو غیر معتبر، فما أیّدته القرائن الداخلیّة کوثاقة الراوی، أو الخارجیّة کوجوده فی أصل معتبر </w:t>
      </w:r>
    </w:p>
    <w:p>
      <w:pPr>
        <w:pStyle w:val="BookText"/>
        <w:rPr/>
      </w:pPr>
      <w:r>
        <w:rPr>
          <w:rFonts w:ascii="IRNazanin" w:hAnsi="IRNazanin" w:eastAsia="IRNazanin"/>
          <w:color w:val="111111"/>
          <w:sz w:val="28"/>
          <w:sz w:val="28"/>
          <w:szCs w:val="28"/>
          <w:rtl w:val="true"/>
          <w:lang w:bidi="fa-IR"/>
        </w:rPr>
        <w:t>معروف الانتساب إلی جماعة کزرارة و محمّد بن مسلم و الفضیل بن یسار، فهو صحیح، أی معتبر یجوز الاستناد إلیه، و الفاقد لکلتا المزیّتین غیر صحیح، بمعنی أنّه غیر معتبر لا یمکن الرکون إلیه، و إن امکن أن یکون صادرا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التقسیم المعروف بین القدماء إلی عصر الرجالی المعروف 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بعده، فقد آل الأمر الی التقسیم الرباعی، بتقسیمه إلی صحیح و موثّق و حسن و ضعیف، و أمّا الباعث لهذا التقسیم و رفض التقسیم الدارج بین القدماء، فلیس هنا محلّ ذکره، و لعلّ السبب هو أنّ القرائن المورثة للاطمئنان آل إلی القلّة و الندرة حسب مرور الزمان، و أوجب ضیاع الاصول و المصنّفات المؤلّفة بید أصحابهم الثقات، فالتجأ إلی وضع التقسیم الرباعی الذی یبتنی علی ملاحظة السند و أحوال الراوی، و علی کلّ تقدیر فهناک اصطلاحان للحدیث الصحیح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الهدف من البحث هنا، هو استعراض صحّة أحادیث الکافی حسب اصطلاح القدماء، أعنی اعتبارها لأجل القرائن الداخلیّة أو الخارجیّة، و ممّن أصرّ بذلک شیخ مشایخنا المحدّث النوری فی الفائدة الرابعة من خاتمة المستدرک، و اعتمد فی ذلک علی وجوه أربعة، أهمّها الوجه الرابع الذی استعرضناه عند البحث عن أدلّة نفاة الحاجة إلی علم الرجال، لأنّه کان وجها عامّا یعمّ الکافی و غیره من سائر الکتب الأربعة، و هو الاعتماد علی ما صرّح به مؤلّفوه علی صحّة ما ورد فیها، و قد عرفت مدی متانة ذلک الوجه، و هنا نستعرض الوجوه الثلاثة الباقیة، فهی حسب اعتقاده تثبت اعتبار أحادیثه و تغنی الباحث عن ملاحظة حال آحاد رجال سند الأحادیث المودعة فیه، و تورث الوثوق و الاطمئنان بصدورها و صحّتها بالمعنی المعروف بین القدماء، و إلیک تلک الوجوه الثّلاثة</w:t>
      </w:r>
      <w:r>
        <w:rPr>
          <w:rFonts w:eastAsia="IRNazanin" w:cs="IRNazanin"/>
          <w:color w:val="111111"/>
          <w:sz w:val="28"/>
          <w:szCs w:val="28"/>
          <w:rtl w:val="true"/>
          <w:lang w:bidi="fa-IR"/>
        </w:rPr>
        <w:t xml:space="preserve">: </w:t>
      </w:r>
      <w:bookmarkStart w:id="504" w:name="pg2858_19768"/>
    </w:p>
    <w:p>
      <w:pPr>
        <w:pStyle w:val="Heading4"/>
        <w:numPr>
          <w:ilvl w:val="3"/>
          <w:numId w:val="1"/>
        </w:numPr>
        <w:rPr/>
      </w:pPr>
      <w:bookmarkStart w:id="505" w:name="__RefHeading___Toc2760132_1395250215"/>
      <w:bookmarkStart w:id="506" w:name="_Toc170"/>
      <w:bookmarkEnd w:id="504"/>
      <w:bookmarkEnd w:id="505"/>
      <w:r>
        <w:rPr>
          <w:rtl w:val="true"/>
        </w:rPr>
        <w:t>الوجه الأوّل</w:t>
      </w:r>
      <w:r>
        <w:rPr>
          <w:rtl w:val="true"/>
        </w:rPr>
        <w:t xml:space="preserve">: </w:t>
      </w:r>
      <w:r>
        <w:rPr>
          <w:rtl w:val="true"/>
        </w:rPr>
        <w:t>المدائح الواردة حول الکافی</w:t>
      </w:r>
      <w:bookmarkEnd w:id="506"/>
    </w:p>
    <w:p>
      <w:pPr>
        <w:pStyle w:val="BookText"/>
        <w:rPr/>
      </w:pPr>
      <w:r>
        <w:rPr>
          <w:rFonts w:ascii="IRNazanin" w:hAnsi="IRNazanin" w:eastAsia="IRNazanin"/>
          <w:color w:val="111111"/>
          <w:sz w:val="28"/>
          <w:sz w:val="28"/>
          <w:szCs w:val="28"/>
          <w:rtl w:val="true"/>
          <w:lang w:bidi="fa-IR"/>
        </w:rPr>
        <w:t>إنّ المدائح الواردة فی حقّ الکتاب، تقتضی غناء الفقیه عن ملاحظة آحاد رواته، و إلیک المدائح إجمالا و إن مرّ تفصیلها فی صدر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وصفه الشیخ المفید فی شرح عقائد الصّدوق بأنّه أجلّ کتب الشیعة و أکثرها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عرّفه المحقّق الکرکی فی إجازته للقاضی صفیّ الدّین عیسی بأنّه لم یعمل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الشهید فی إجازته للشیخ زین الدین أبی الحسن علیّ بن الخازن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یعمل للامامیّة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محمّد أمین الدین الاسترآبادی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سمعنا من مشایخنا و علمائنا أنّه لم یصنّف فی الاسلام کتاب یوازیه أو یدانیه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وصفه العلاّمة المجلسی بأنّه أضبط الاصول و أجمعها و أحسن مؤلّفات الفرقة الناجیة و أعظمها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المدائح لا ترجع إلی کبر الکتاب و کثرة أحادیثه، فإنّ مثله و أکبر منه ممّن تقدّم أو تأخّر عنه، کان کثیرا متداولا بینهم، کالمحاسن لأحمد بن محمّد ابن خالد البرقی، و نوادر الحکمة لمحمّد بن أحمد بن یحیی بن عمران الأشعری، و إنّما هی لأجل إتقانه و ضبطه و تثبّته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یستفاد من هذه المدائح اعتبار الکتاب بما هو هو، فی مقابل عدم صلاحیّته للمرجعیّة و المصدریّة، لأنّه لازم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الکتب و أکثرها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یعمل مثله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استفادة غنی المستنبط عن ملاحظة آحاد رجال أحادیثه، و أنّ کلّ ما فیه معتبر فلا، إذ لیس معنی اعتبار الکتاب صحّة کلّ واحد من أحادیثه، بحیث یغنی الباحث عن أیّة مراجعة، </w:t>
      </w:r>
    </w:p>
    <w:p>
      <w:pPr>
        <w:pStyle w:val="BookText"/>
        <w:rPr/>
      </w:pPr>
      <w:r>
        <w:rPr>
          <w:rFonts w:ascii="IRNazanin" w:hAnsi="IRNazanin" w:eastAsia="IRNazanin"/>
          <w:color w:val="111111"/>
          <w:sz w:val="28"/>
          <w:sz w:val="28"/>
          <w:szCs w:val="28"/>
          <w:rtl w:val="true"/>
          <w:lang w:bidi="fa-IR"/>
        </w:rPr>
        <w:t>و لأجل ذلک لا یتبادر ذلک المعنی من توصیف غیر الکافی بهذه الصفات، کمعاجم اللّغة و التاریخ و السیر، مثلا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الکتب فی اللّغة أو إنّ تاریخ الطبری لم یعمل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الوجه الثالث الّذی سیوافیک، ما یمکن أن یکون مؤیّدا لکلامه هذا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هناک کتبا لا ینظر إلی أسانید احادیثها، فلا یکون الکافی أجلّ هذه الکتب إلاّ إذا اشتمل علی تلک المزیّة، و إلاّ فلا یصحّ أن یعدّ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کتاب یشتمل علی تلک المزیّة، و لو أراد منه الاصول المؤلفة فی عصر الأئمة، فصریح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صحة الاحتجاج بها بکون راویها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بیان ما هو المختار فی باب حجّیة خبر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الفرقة المحقّة مجمعة علی العمل بهذه الأخبار الّتی رووها فی تصانیفهم، و دوّنوها فی اصولهم لا یتناکرون ذلک و لا یتدافعونه، حتّی إنّ واحدا منهم إذا أفتی بشیء لا یعرفونه، سألوه من أین قلت هذا؟ فإذا أحالهم علی کتاب معروف، أو أصل مشهور و کان راویه ثقة لا ینکر حدیثه، سکتوا و سلّموا الأمر فی ذلک و قبلوا قوله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صریحة فی أنّ ورود الخبر فی الاصول المدوّنة، لم یکن کافیا فی الاحتجاج ما لم یحرز وثاقة راویه، فاذا کان هذا حال الاصول فغیرها أولی بلزوم المراجعة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وجود ما لا ینظر إلی أسانیده، فالظّاهر أنّ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الکافی أجلّ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أشبه هذا، تفوّقه علی سائر الکتب الحدیثیّة من جهة الاسلوب و التبویب و الجامعیّة و الضابطیّة، إلی غیر ذلک من المزایا الّتی لا توجد فی نظائرها المتقدّمة علیه أو المتأخّرة عنه، لا أنّه جامع لمزیّة کلّ کتاب </w:t>
      </w:r>
      <w:bookmarkStart w:id="507" w:name="pg2858_19770"/>
    </w:p>
    <w:p>
      <w:pPr>
        <w:pStyle w:val="BookText"/>
        <w:rPr/>
      </w:pPr>
      <w:bookmarkEnd w:id="507"/>
      <w:r>
        <w:rPr>
          <w:rFonts w:ascii="IRNazanin" w:hAnsi="IRNazanin" w:eastAsia="IRNazanin"/>
          <w:color w:val="111111"/>
          <w:sz w:val="28"/>
          <w:sz w:val="28"/>
          <w:szCs w:val="28"/>
          <w:rtl w:val="true"/>
          <w:lang w:bidi="fa-IR"/>
        </w:rPr>
        <w:t>کان قبله، و یعلم مفاد هذه المدائح من إمعان النظر فی الکتب الّتی مدحت بهذه المدائح مثلا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جامع حدیثیّ لم یعمل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من جلائل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النظر تصحیح کلّ ما فی البحار من الروایات، و تصدیق کلّ ما جاء فی الجواهر من الفتیا، بل الجامعیّة فی الأوّل، و کثرة الفروع و دقّة النظر فی الثانی هی الباعثة إلی توصیفهما بما ذکرناه، و لیس المراد أنّ کلّ مزیّة موجودة فی الکتب الحدیثیّة أو الفقهیّة موجودة فیهما</w:t>
      </w:r>
      <w:r>
        <w:rPr>
          <w:rFonts w:eastAsia="IRNazanin" w:cs="IRNazanin"/>
          <w:color w:val="111111"/>
          <w:sz w:val="28"/>
          <w:szCs w:val="28"/>
          <w:rtl w:val="true"/>
          <w:lang w:bidi="fa-IR"/>
        </w:rPr>
        <w:t>.</w:t>
      </w:r>
    </w:p>
    <w:p>
      <w:pPr>
        <w:pStyle w:val="Heading4"/>
        <w:numPr>
          <w:ilvl w:val="3"/>
          <w:numId w:val="1"/>
        </w:numPr>
        <w:rPr/>
      </w:pPr>
      <w:bookmarkStart w:id="508" w:name="__RefHeading___Toc2760134_1395250215"/>
      <w:bookmarkStart w:id="509" w:name="_Toc171"/>
      <w:bookmarkEnd w:id="508"/>
      <w:r>
        <w:rPr>
          <w:rtl w:val="true"/>
        </w:rPr>
        <w:t>الوجه الثانی</w:t>
      </w:r>
      <w:r>
        <w:rPr>
          <w:rtl w:val="true"/>
        </w:rPr>
        <w:t xml:space="preserve">: </w:t>
      </w:r>
      <w:r>
        <w:rPr>
          <w:rtl w:val="true"/>
        </w:rPr>
        <w:t>المدائح الواردة فی حقّ المؤلف</w:t>
      </w:r>
      <w:bookmarkEnd w:id="509"/>
    </w:p>
    <w:p>
      <w:pPr>
        <w:pStyle w:val="BookText"/>
        <w:rPr/>
      </w:pPr>
      <w:r>
        <w:rPr>
          <w:rFonts w:ascii="IRNazanin" w:hAnsi="IRNazanin" w:eastAsia="IRNazanin"/>
          <w:color w:val="111111"/>
          <w:sz w:val="28"/>
          <w:sz w:val="28"/>
          <w:szCs w:val="28"/>
          <w:rtl w:val="true"/>
          <w:lang w:bidi="fa-IR"/>
        </w:rPr>
        <w:t>ذهب المحدّث النوری إلی أنّ المدائح الواردة فی حقّ الکلینیّ، تستلزم صحّة روایات کتابه و اعتبارها و عدم لزوم المراجعة إلی آحاد أسناد روایاتها، و إلیک بعض تلک المدائح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الکلینی أوثق الناس فی الحدیث و أثبتهم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 مثل النجاشی لا یقع موقعه إلاّ أن یکون الکلینی واجدا لکلّ ما مدح به الرواة و المؤلّفون ممّا یتعلّق بسند الحدیث و اعتبار الخبر، و من أجلّ المدائح و أشرف الخصال المتعلّقة بالمقام، الروایة عن الثقات و نقل الأخبار الموثوق بها، کما ذکروه فی تراجم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الحسن الطّاطری کان واقفیّا شدید العناد فی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فی الفقه رواها عن الرجال الموثوق بهم و بروایاتهم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بشیر، کثیر العلم ثقة روی عن الثقات و رووا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النّجاشی بمثله فی ترجمة محمّد بن إسماعیل بن میمون الزعفرانی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سوّت الطائفة بین ما یرویه محمّد بن أبی عمیر و صفوان بن یحیی و أحمد بن محمّد بن أبی نصر و غیرهم من الثقات الّذین عرّفوا بأنّهم لا یروون و لا یرسلون إلاّ ممّن یوثق به، و بین ما أسنده غیرهم، و لذلک عملوا بمراسیلهم إذا انفرد عن روایة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أبی عقیل شیخ من علمائنا تقبل مراسیله لعدالته 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أبو جعفر الکلینی أوثقهم و أثبتهم فی الحدیث، فلا بدّ و أن یکون جامعا لکلّ ما مدح به آحادهم من جهة الروایة فلو روی عن مجهول، أو ضعیف ممّن یترک روایته، أو خبرا یحتاج إلی النّظر فی سنده، لم یکن أوثقهم و أثبتهم، فانّ کلّ ما قیل فی حقّ الجماعة من المدائح و الأوصاف المتعلّقة بالسند، یرجع إلیهما، فان قیس مع البزنطی و أضرابه و جعفر بن بشیر لا بدّ و أن یحکم بوثاقة مشایخه، و إن قیس مع الطاطری و أصحاب الاجماع، فلا مناص من الحکم بصحّة حدیثه و أنّه لم یودع فی کتابه إلاّ ما تلقاه من الموثوقین بهم و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النجاشی قال بعد توصیفه بالأوثقیّة بأنّه ألّف الکافی فی عشرین سنة، و ظاهر أنّ ذکره لمدّة تألیفه لبیان أثبتیّته و أنّه لم یکن غرضه مجرّد جمع شتات الأخبار، فإنّه لا یحتاج إلی هذه المدّة الطویلة، بل و لا إلی عشرها، بل الغرض جمع الأحادیث المعتبرة المعتمدة الموثوق بها، و هذا یحتاج إلی هذه المدّة، لاحتیاجه إلی جمع الاصول و الکتب المعتبرة، و اتّصالها إلی أربابها بالطرق المعتبرة و النظر فی متونها و تصحیحها و تنقیحها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أوثقیّته و أثبتیّته أیضا، أنّه مبرّء عن کلّ ما قدح به الرواة و ضعّفوا </w:t>
      </w:r>
    </w:p>
    <w:p>
      <w:pPr>
        <w:pStyle w:val="BookText"/>
        <w:rPr/>
      </w:pPr>
      <w:r>
        <w:rPr>
          <w:rFonts w:ascii="IRNazanin" w:hAnsi="IRNazanin" w:eastAsia="IRNazanin"/>
          <w:color w:val="111111"/>
          <w:sz w:val="28"/>
          <w:sz w:val="28"/>
          <w:szCs w:val="28"/>
          <w:rtl w:val="true"/>
          <w:lang w:bidi="fa-IR"/>
        </w:rPr>
        <w:t>به من حیث الروایة، کالروایة عن الضعفاء و المجاهیل، و عمّن لم یلقه، و سوء الضبط، و اضطراب ألفاظ الحدیث، و الاعتماد علی المراسیل الّتی لم یتحقّق وثاقة الساقط عنده، و أمثال ذلک ممّا لا ینافی العدالة و لا یجتمع مع التثبّت و الوثاقة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نقلنا کلامه بطوله لما فیه من فوائد و نکات، و مع ذلک کلّه، فالنتیجة الّتی استنبطها غیر صحیحة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الأوثقیة صفة تفضیل من الوثاقة، و المراد منه التحرّز عن الکذب لأجل العدالة و الورع، کما أنّ الأثبتیّة وصف تفضیل من التثبّت، و المراد منه قلّة الزلّة و الخطأ و ندرة الاشتباه، فلو کان غیر متحرّز عن الکذب لا یکون ثقة، و لو کان کثیر الزلّة، و الخطأ لا یکون 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المادّة، و علیه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الواقع فی الدرجة العلیا من التحرّز عن الکذب، کما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المصون عن الزلّة و العثرة بوجه 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یدلّ اللفظان علی ما رامه المحدّث النوری و إن أتعب نفسه الشریفة فی جمع الشواهد لما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یستفاد من اللّفظین أنّ کلّ ما یوصف به معدود من الرواة فی الفضائل فهو حاصل فیه علی الوجه الأتمّ و الأشدّ بل المراد تنزیهه من جهة التحرّز عن الکذب، و توصیفه من جهة الصیانة عن الاشتباه و الزلّة، و أنّه من تینک الجهتین فی الدرجة العلیا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أین هو من صحّة عامّة روایاته لأجل وثاقة رواتها، أو اکتنافها بالقرائن الداخلیة، کما هو المدّعی؟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جماعة من أصحابنا بعدم الروایة أو الارسال إلا عن ثقة، علی فرض ثبوتة فضیلة لهم، لیست لها دخالة فی الاتّصاف بالوثاقة، بحیث لو لم یکن الکلینی مثلهم لا یکون أوثق الناس و أثبتهم، لما عرفت من أنّ المادّة و الهیئة لا ترمیان إلاّ إلی التحرّز عن الکذب، و السداد عن الزلّة و قلّة الاشتباه، من دون نظر إلی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عن الضعفاء مع ترک التسمیة یخالف الوثاقة، و أمّا الروایة عنهم معها فلا یخالفها أبدا، نعم إکثار الروایة من الضعفاء کان أمرا مذموما، و قد رمی به أحمد بن محمّد بن خالد البرقی، و أمّا النقل عنهم علی الوجه المتعارف مع التسمیة فلا ینافی الوثاقة و الثبت، فلا مانع من أن یروی الکلینی مع ذکر أسمائهم و مع ذلک یکون من أوثق الناس و أثبتهم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المتحرّزین فی النقل عن الضعفاء، إنّما یتحرّزون فی النقل عنهم بلا واسطة، و أمّا النقل عنهم بواسطة الثقات، فقد کان رائجا، و هذا هو النجاشی لا یروی إلاّ عن ثقة بلا واسطة، و أمّا معها فیروی عنها و عن غیرها، و لأجل ذلک یقول فی ترجمة أبی المفضّل محمّد بن عبد اللّه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سافر فی طلب الحدیث عمره، أصله کوفّی و کان فی أوّل امره ثبتا ثمّ خلط، و رأیت جلّ أصحابنا یغمزونه و یضعّفونه، له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 سمعت منه کثیرا ثمّ توقفت عن الروایة عنه إلاّ بواسطة بینی و بینه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الکلینی لا یروی فی کتابه بلا واسطة إلاّ عن الثقات، و أمّا معها فیروی عن الثقة و غیرها، و أمّا الالتزام بالنقل عن الثقات فی جمیع السلسلة فلم یثبت فی حقّ أحد، إلاّ المعروفین بهذا الوصف، أعنی ابن أبی عمیر و صفوان و البزنطی کما أوضحناه</w:t>
      </w:r>
      <w:r>
        <w:rPr>
          <w:rFonts w:eastAsia="IRNazanin" w:cs="IRNazanin"/>
          <w:color w:val="111111"/>
          <w:sz w:val="28"/>
          <w:szCs w:val="28"/>
          <w:rtl w:val="true"/>
          <w:lang w:bidi="fa-IR"/>
        </w:rPr>
        <w:t xml:space="preserve">. </w:t>
      </w:r>
      <w:bookmarkStart w:id="510" w:name="pg2858_19774"/>
    </w:p>
    <w:p>
      <w:pPr>
        <w:pStyle w:val="BookText"/>
        <w:rPr/>
      </w:pPr>
      <w:bookmarkEnd w:id="510"/>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تألیف الکافی فی عشرین سنة، لم یکن لأجل تمییز الصحیح عن غیره، و جمع الروایات الموثوق بها فقط، بل کان هذا أحد الأهداف، و لکن کان هناک أسباب اخر لطول المدّة، و هو السعی فی العثور علی النسخ الصحیحة المقروءة علی المشایخ، أو المسموعة عنهم و انتخاب الصحیح عن الغلط، و الأصحّ من الصحیح، و الدّقة فی مضمون الروایة، و وضعها فی الباب المناسب له، إلی غیر ذلک من الأسباب الّتی تأخذ الوقت الثمین من المؤلّف، و لم یکن التألیف یومذاک أمرا سهلا، و لم تکن الکتب مطبوعة منتشرة حتّی یمهّد الطریق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ذلک لم یکن هدفه أیضا مجرّد الجمع بلا دقّة، و التألیف بلا ملاحظة الأسناد و المتون، و لکن لا علی وجه یغنی عن ملاحظة الأسناد مطلقا، و علی کلّ حال، فالکتاب مع جلالته عمل فردی لا یمکن أن یکون نقیّا عن الاشتباه و الزلّة غیر محتاج إلی التّنقیب و التفتیش، فجهوده الکبری مشکورة لا تستغنی عنها، و لکن لا یکتفی بها</w:t>
      </w:r>
      <w:r>
        <w:rPr>
          <w:rFonts w:eastAsia="IRNazanin" w:cs="IRNazanin"/>
          <w:color w:val="111111"/>
          <w:sz w:val="28"/>
          <w:szCs w:val="28"/>
          <w:rtl w:val="true"/>
          <w:lang w:bidi="fa-IR"/>
        </w:rPr>
        <w:t>.</w:t>
      </w:r>
    </w:p>
    <w:p>
      <w:pPr>
        <w:pStyle w:val="Heading4"/>
        <w:numPr>
          <w:ilvl w:val="3"/>
          <w:numId w:val="1"/>
        </w:numPr>
        <w:rPr/>
      </w:pPr>
      <w:bookmarkStart w:id="511" w:name="__RefHeading___Toc2760136_1395250215"/>
      <w:bookmarkStart w:id="512" w:name="_Toc172"/>
      <w:bookmarkEnd w:id="511"/>
      <w:r>
        <w:rPr>
          <w:rtl w:val="true"/>
        </w:rPr>
        <w:t>الوجه الثالث</w:t>
      </w:r>
      <w:r>
        <w:rPr>
          <w:rtl w:val="true"/>
        </w:rPr>
        <w:t xml:space="preserve">: </w:t>
      </w:r>
      <w:r>
        <w:rPr>
          <w:rtl w:val="true"/>
        </w:rPr>
        <w:t>کون المؤلف فی عصر الغیبة الصغری</w:t>
      </w:r>
      <w:bookmarkEnd w:id="512"/>
    </w:p>
    <w:p>
      <w:pPr>
        <w:pStyle w:val="Heading5"/>
        <w:numPr>
          <w:ilvl w:val="4"/>
          <w:numId w:val="1"/>
        </w:numPr>
        <w:rPr/>
      </w:pPr>
      <w:bookmarkStart w:id="513" w:name="__RefHeading___Toc2760138_1395250215"/>
      <w:bookmarkStart w:id="514" w:name="_Toc173"/>
      <w:bookmarkEnd w:id="513"/>
      <w:r>
        <w:rPr>
          <w:rtl w:val="true"/>
        </w:rPr>
        <w:t>اشارة</w:t>
      </w:r>
      <w:bookmarkEnd w:id="51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السید علیّ 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اعتبار الوصیّة المعروفة الّتی کتبها أمیر المؤمنین لولده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 إلی وجه آخر لاعتبار أحادیث الکافی و قال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الشیخ محمّد بن یعقوب کان حیّا فی زمن وکلاء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و ولده أبی جعفر محمّد، و أبی القاسم بن روح، و علیّ بن محمّد السیمری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توفّی محمّد بن یعقوب قبل وفاة علیّ بن محمد السیمری، لأنّ علیّ بن محمد السیمری توفّی فی شعبان سنة تسع و عشرین و ثلاثمائة، و الکلینی توفی ببغداد سنة ثمان و عشرین و ثلاثمائة فتصانیف الکلینی و روایاته فی زمن الوکلاء </w:t>
      </w:r>
    </w:p>
    <w:p>
      <w:pPr>
        <w:pStyle w:val="BookText"/>
        <w:rPr/>
      </w:pPr>
      <w:r>
        <w:rPr>
          <w:rFonts w:ascii="IRNazanin" w:hAnsi="IRNazanin" w:eastAsia="IRNazanin"/>
          <w:color w:val="111111"/>
          <w:sz w:val="28"/>
          <w:sz w:val="28"/>
          <w:szCs w:val="28"/>
          <w:rtl w:val="true"/>
          <w:lang w:bidi="fa-IR"/>
        </w:rPr>
        <w:t>المذکورین فی وقت یجد طریقا إلی تحقیق منقولاته و تصدیق مصنّفاته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المحدّث الحرّ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الوکلاء المذکورین</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لم ینقل تتمّة کلامه الّذی هو أوفی دلالة علی ما هو بصدد إثباته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النوری بعد نقل کلام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نتیجة ما ذکره من المقدّمات عرض الکتاب علی أحدهم و إمضاؤه و حکمه بصحّته، و هو عین إمضاء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و إن کان أمرا غیر قطعیّ یصیب و یخطیء، و لا یجوز التشبّث به فی المقام، إلاّ أنّ التأمل فی مقدّماته یورث الظنّ القویّ و الاطمئنان التامّ أو الوثوق بما ذکره،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 الطائفة و عینهم و مرجعهم کما صرّحوا به، فی بلد إقامة النوّاب، و کان غرضه من التألیف، العمل به فی جمیع ما یتعلّق بامور الدین، لاستدعائهم و سؤالهم عنه ذلک، کما صرّح به فی أوّل الکتاب، و کان بمحضره فی بغداد، یسألون عن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أحد من النوّاب عن صحّة بعض الأخبار، و جواز العمل به، و فی مکاتیب محمّد بن عبد اللّه بن جعفر الحمیری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جملة وافرة و غیرها، فمن البعید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مدّة تألیفه و هی عشرون سنة لم یعلمهم بذلک، و لم یعرضه علیهم مع ما کان فیما بینهم من المخالطة و المعاشرة بحسب العادة و کانت الشیعة یسألون عن الأبواب حوائج و امورا دنیویّة تعسرّت علیهم یریدون قضاءها و إصلاحها، و هذا أبو غالب الزراری استنسخ قسما کبیرا من أبواب الکافی و رواه عن مؤلّفه بالقراءة علیه أو بالاجازة، فمن البعید أن لا یعرضه علی الأبواب مع أنّه رفع مشکلة زوجته فوافاه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عرض الکتاب علی النوّاب مرسوما، روی الشیخ فی غیبته أنّه لمّا عمل الشلمغانی کتاب التکلیف، قال الشیخ أبو 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إلیّ لأنظره، فجاؤوا به فقرأه من أوّله إلی آخره، فقال ما فیه شیء إلاّ و قد روی عن الائمّة إلاّ فی موضعین أو ثلاثة، فإنّه کذب علیهم فی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الشیخ من کتب ابن أبی العزاقر بعد ما ذمّ و خرجت فیه اللّعنة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نعمل بکتبه و بیوتنا منها ملأی؟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فیها ما قاله أبو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کتب بنی فضّال،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نعمل بکتبهم و بیوتنا منها ملأی؟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البعید غایة البعد أنّ أحدا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یطلب من الکلینی هذا الکتاب الّذی عمل لکافّة الشیعة، أو لم یره عنده و لم ینظر إلیه، و قد عکف علیه وجوه الشیعة و عیون الطائفة، و بالجملة فالناظر إلی جمیع ذلک لعلّه یطمئنّ إلی ما أشار إلیه السیّد الأجلّ، و توهّم أنّه لو عرض علی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أحد من نوّابه لذاع و اشتهر، منقوض بالکتب المعروضة علی آبائه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ینقل إلینا کلّ واحد منها إلاّ بطریق أو بطریقین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مبنیّ علی أمرین غیر ثابتین، بل الثابت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الکلینی مقیما ببغداد و قام بتألیفه بمرأی و مسمع من النوّاب، و کان بینه و بینهم مخالطة و معاشرة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الجهة الباعثة إلی عرض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القاسم بن روح، کانت موجودة فی الکافی أیضا و إلیک بیان الأمرین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صریح قول النجاشی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فی وقته بالری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مقیما بالری، مؤلّفا فیها، و إنّما انتقل فی اخریات عمره إلی بغداد، و لم نقف علی سنة انتقاله إلی بغداد و مدّة إقامته فیها، و إن ادّعی بعضهم أنّه أقام بها سنتین ثمّ توفّی، و من البعید أن لا یستنسخ منه فی موطنه عدّة نسخ بواسطة تلامیذه قبل الانتقال إلی بغداد، و لا ینتشر فی الأقطار الاسلامیّة، و لو صحّ ذلک فلا فائدة من العرض بعد النشر، و لا فی الاستظهار بعد البثّ، و إنّما یکون مفیدا لو عرض قبل النشر و استظهر قبل البثّ، حتّی یعالج ما یحتاج إلی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تکن بینهما مخالطة و معاشرة، بشهادة انّه لم یرو عن أحد من النوّاب فی أبواب الکافی، حتّی ما یرجع إلی الإمام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یعرب عن عدم خلطته و معاشرته معهم، و إلاّ لنقل منهم روایة أو روایات فی الأبواب المختلفة، و مع هذا فکیف یصحّ أن یدّعی أنّه عرض کتابه علیهم و استظهر منهم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عرض هو نفسه أو أحد تلامیذه، کتابه علیهم، لذکره فی دیباجة الکتاب، و قد کتب الدیباجة بعد تألیف الکتاب کما هو ظاهر لمن لاحظها، و ما ذکره المحدّث النوری من أنّ هنا کتبا معروضة علی الإمام، لم ینتقل إلاّ بطریق أو طریقین غیر تامّ، لأنّ هذه الکتب عرضت علی الإمام بعد وفاة مؤلّفیها، و المدّعی أنّه عرض الکافی بواسطة المؤلّف أو تلامیذه فی حیاة مؤلفه، فطبع الحال یقتضی أنه لو کان نفس المؤلف عرضه، لأثبته فی المقدّمة قطعا، تثبیتا لموقف الکتاب الّذی ألّفه لیکون مرجعا للشیعة فی جمیع الأعصار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الداعی إلی عرض کتاب الشلمغانی، هو احتمال انّه أدخل فیه لأجل انحرافه ما لم یصدر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کتاب التکلیف کالرسالة العملیة ینظر فیه کلّ عاکف و باد، و عمل بما فیه، و أین هو </w:t>
      </w:r>
    </w:p>
    <w:p>
      <w:pPr>
        <w:pStyle w:val="BookText"/>
        <w:rPr/>
      </w:pPr>
      <w:r>
        <w:rPr>
          <w:rFonts w:ascii="IRNazanin" w:hAnsi="IRNazanin" w:eastAsia="IRNazanin"/>
          <w:color w:val="111111"/>
          <w:sz w:val="28"/>
          <w:sz w:val="28"/>
          <w:szCs w:val="28"/>
          <w:rtl w:val="true"/>
          <w:lang w:bidi="fa-IR"/>
        </w:rPr>
        <w:t xml:space="preserve">من کتاب الکافی الّذی ألّفه الثقة الثّبت الورع، الّذی نقطع بعدم کذبه 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حاجة للعرض، و إلاّ لوجب عرض غیره من الجوامع، مثل جامع البزنطی، و محاسن البرقی، و نوادر الحکمة للأشعری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یؤیّد أنّه کان هنا سبب خاص لعرض کتاب التکلیف دون غیره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إنّ قیاس کتاب الکافی بکتاب التکلیف، قیاس مع الفارق، و قد ألّف الشیخ الشلمغانی کتاب التکلیف حال استقامته، ثمّ ادعی ما ادعی، فخرج التوقیع علی لعنه و البراءة منه من الناحیة المقدّسة عام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 صار ذلک مظنّة للسؤال عن کتابه الّذی کان کالرسالة العملیّة، فصار العمل به مظنّة الضلال، کما أنّ ترکه کان مظنّة ترک ما یصحّ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المحذور المختصّ به، رفع الأمر إلی الشیخ أبی القاسم بن روح، فطلب الکتاب و طالعه و عیّن مواضع ضلاله، و أین هذا من کتاب الکافی الّذی ألّفه الثقة الثبت لیکون مصدرا و مرجعا للفقهاء و لا بأس بنقل ما ورد حول کتاب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زهومة النوبختی،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روح بن أبی القاسم بن روح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عمل محمّد بن علی الشلمغانی کتاب التکلیف، قال أبو القاسم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إلیّ لأنظره، فقرأه من أوّله إلی 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شیء إلاّ و قد روی عن الأئمّة، إلاّ فی موضعین أو ثلاثة، فإنّه کذب علیهم فی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بسنده عن عبد اللّه الکوفی خادم الشیخ حسین بن روح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ابن أبی العزاقر بعد ما ذمّ و خرجت فیه اللّعنة، و قیل له فکیف نعمل بکتبه و بیوتنا منه ملأی؟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bookmarkStart w:id="515" w:name="pg2858_19779"/>
    </w:p>
    <w:p>
      <w:pPr>
        <w:pStyle w:val="BookText"/>
        <w:rPr/>
      </w:pPr>
      <w:bookmarkEnd w:id="515"/>
      <w:r>
        <w:rPr>
          <w:rFonts w:ascii="IRNazanin" w:hAnsi="IRNazanin" w:eastAsia="IRNazanin"/>
          <w:color w:val="111111"/>
          <w:sz w:val="28"/>
          <w:sz w:val="28"/>
          <w:szCs w:val="28"/>
          <w:rtl w:val="true"/>
          <w:lang w:bidi="fa-IR"/>
        </w:rPr>
        <w:t xml:space="preserve">فیها ما قاله أبو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کتب بنی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نعمل بکتبهم و بیوتنا منه ملأی؟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سلامة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 الشیخ الحسین بن روح کتاب التأدیب</w:t>
      </w:r>
      <w:r>
        <w:rPr>
          <w:rStyle w:val="FootnoteAnchor"/>
          <w:rtl w:val="true"/>
        </w:rPr>
        <w:footnoteReference w:id="491"/>
      </w:r>
      <w:r>
        <w:rPr>
          <w:rFonts w:ascii="IRNazanin" w:hAnsi="IRNazanin" w:eastAsia="IRNazanin"/>
          <w:color w:val="111111"/>
          <w:sz w:val="28"/>
          <w:sz w:val="28"/>
          <w:szCs w:val="28"/>
          <w:rtl w:val="true"/>
          <w:lang w:bidi="fa-IR"/>
        </w:rPr>
        <w:t>إلی قم، و کتب إلی جماعة الفقهاء بها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هذا الکتاب و انظروا فیه شیء یخالفکم؟ فکتبوا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کلّه صحیح، و ما فیه شیء یخالف، إلاّ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فی الفطرة نصف صاع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عندنا مثل الشعیر من کلّ واحد صاع</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جزم بعض المجازفین بکون جمیع الکافی معروضا علی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 فی بلد السفراء فلا یخفی ما فیه، نعم عدم انکار القائم و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أمثاله فی تألیفاتهم و روایاتهم ممّا یورث الظنّ المتاخم للعلم بکونهم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راضین بفعلهم و مجوّزین للعمل بأخبارهم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2760140_1395250215"/>
      <w:bookmarkStart w:id="517" w:name="_Toc174"/>
      <w:bookmarkEnd w:id="516"/>
      <w:r>
        <w:rPr>
          <w:rtl w:val="true"/>
        </w:rPr>
        <w:t>تقییم العرض علی وکیل الناحیة</w:t>
      </w:r>
      <w:bookmarkEnd w:id="51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الشیعة عرضت کتب الشلمغانی علی الشیخ أبی القاسم وکیل الناحیة لأجل، درایته بالحدیث و تعرّفه علی کلمات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لأجل ذلک لمّا عرض علیه کتاب التکلیف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 شیء إلاّ و قد روی عن الأئمّة إلاّ موضعین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لأجل عرضه علی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انه قد أنفذ الکتاب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فقهاء قم، و التمس نظرهم فیه، فکتبوا فی حقه ما عرفته، فإذا کان عرض الکتاب علی الشیخ أبی القاسم لأجل </w:t>
      </w:r>
    </w:p>
    <w:p>
      <w:pPr>
        <w:pStyle w:val="BookText"/>
        <w:rPr/>
      </w:pPr>
      <w:r>
        <w:rPr>
          <w:rFonts w:ascii="IRNazanin" w:hAnsi="IRNazanin" w:eastAsia="IRNazanin"/>
          <w:color w:val="111111"/>
          <w:sz w:val="28"/>
          <w:sz w:val="28"/>
          <w:szCs w:val="28"/>
          <w:rtl w:val="true"/>
          <w:lang w:bidi="fa-IR"/>
        </w:rPr>
        <w:t xml:space="preserve">تعرّفه بالحدیث، لا لأجل عرضه علی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فالکلینی کان فی غنی عن عرضه علیه، لأنّ الشیخ لم یکن أقوی منه فی الحدیث و عرفان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الهدف عرضه علی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لما ذکر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العلاّمة المجلسی من حصول الظنّ المتاخم للعلم بکونه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 بفعله فهذا ممّا لا شکّ فیه، کیف و لو لا الکافی و أضرابه لما بقی الدین، و لضاعت السنّة، و لکنّه لا یقتضی أن یؤخذ بکلّ روایاته من دون تحقیق فی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العلاّمة المجلسی فی نفس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عندی أنّ وجود الخبر فی أمثال تلک الاصول المعتبرة مما یورث جواز العمل به، و لکن لا بدّ من الرجوع إلی الأسانید لترجیح بعضها علی بعض عند التعارض</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یدلّ علی أنّه لم یکن جمیع روایات الکتاب صحیحة عند المؤلّف نفسه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فی مقدّمة الکافی الخبرین المتعارضین و کیفیّة علاجهما، بأنّ من المتعارضین ما أمر الإمام بترجیحه بموافقة الکتاب و مخالفته العامّة و کونه موافقا للمجمع علیه، و فیما لا یوجد المرجّحات المذکورة، یجوز الأخذ بأحدهما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کیف یمکن القول بأنّ کلّ ما ورد فی الکافی کان صحیحا عند الکلینی، و إلیک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یسع أحدا تمییز شیء ممّا اختلف الرواة فیه عن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برأیه، إلاّ علی ما أطلقه العالم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علی کتاب اللّه فما وافق کتاب اللّه عزّ و جلّ فخذوه، و 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 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w:t>
      </w:r>
    </w:p>
    <w:p>
      <w:pPr>
        <w:pStyle w:val="BookText"/>
        <w:rPr/>
      </w:pPr>
      <w:r>
        <w:rPr>
          <w:rFonts w:ascii="IRNazanin" w:hAnsi="IRNazanin" w:eastAsia="IRNazanin"/>
          <w:color w:val="111111"/>
          <w:sz w:val="28"/>
          <w:sz w:val="28"/>
          <w:szCs w:val="28"/>
          <w:rtl w:val="true"/>
          <w:lang w:bidi="fa-IR"/>
        </w:rPr>
        <w:t>بالمجمع علیه،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لا نعرف من جمیع ذلک إلاّ أقلّه و لا نجد شیئا أحوط و لا أوسع من ردّ علم ذلک کلّه إلی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ما وسع من الأمر فیه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بأیّما أخذتم من باب التسلیم وسعکم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ظاهر فی أنّ الکلینی لم یکن یعتقد بصدور روایات کتابه عن المعصوم جزما، و إلاّ لم یکن مجال للاستشهاد بالروایة علی لزوم الأخذ بما له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أنّه لو کان کلّ ما فی الکافی صحیحا عند الکلینی لنقل منه إلی غیره بعبارة واضحة، و کان للصّدوق الّذی یعدّ فی الطبقة التالیة للکلینی نقل ذلک القول فی أحد کتبه، بل کان علیه أن یصحّح ما صحّحه الکلینی، و یزیّف ما زیّفه، إذ لیس الکلینی بأقلّ من شیخه محمّد بن الحسن بن الولید، فقد نری أنّه یقول فی حقّه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خبر صلاة یوم غدیر خمّ و الثواب المذکور فیه لمن صامه فانّ شیخنا محمّد بن الحسن کان لا یصحّحه و یقول إنّه من طریق محمّد بن موسی الهمدانی و کان غیر ثقة، و کلّ ما لا یصحّحه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یحکم بصحّته من الأخبار فهو عندنا متروک غیر صحیح</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سیّء الرأی فی محمّد بن عبد اللّه المسمعی، راوی الحدیث، و إنّی أخرجت هذا الخبر فی هذا الکتاب، لأنّه کان فی کتاب الرحمة، و قد قرأته علیه فلم ینکره و رواه لی</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یشیر إلی أنّه لم یکن کتاب الکافی عند الصدوق بهذه المنزلة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ربّما یستدلّ علی عدم صحّة ما فی الکافی بأنّ الشیخ الصّدوق إنّما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اجابة لطلب السید الشریف أبی عبد اللّه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کتاب الکافی أوسع من الفقیه، فلو کانت جمیع روایات الکافی صحیحة عند الشیخ الصدوق، فضلا عن أن تکون قطعیة الصدور، لم تکن حاجة إلی کتابة کتاب الفقیه، بل کان علی الشیخ الصدوق إرجاع السائل إلی کتاب الکافی</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هذا الاستدلال، فان السید الشریف طلب من الشیخ الصدوق کتابا أشبه بالرسائل العملیة الرائجة فی هذه الأعصار، و لم یکن الکافی بهذه المثابة، فلأجل ذلک لم یرجعه الشیخ الصدوق إلی ذلک الکتاب، لا لأجل عدم قطعیّة روایاته أو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یورد علی المستدلّ بقطعیّة أحادیث الکافی أنّ الشیخ الکلینی روی فی کتابه روایات کثیرة عن غیر أهل البیت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یجتمع مع ما صرح به فی دیباجة کتابه من أنّه یأخذ منه من یرید علم الدین و العمل به بالآثار الصحیحة عن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ذلک الشیخ المتتبّع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رسالة الاستاذ الاکبر، المحقّق البهبهانی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أکثر من الروایة عن غیر المعصوم فی أوّل کتاب الارث، و قال فی کتاب الدیات فی باب وجوه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القتل علی ثلاثة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یورد فی ذلک الکتاب حدیثا آخر، و فی باب شهادة الصبیان 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إسماعیل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أکثر أیضا فی اصول الکافی من الروایة عن غیر المعصوم منه ما ذکره فی مولد الحسین من حکایة الاسد الذی دعته فضّة إلی حراسة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فی مولد أمیر المؤمنین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أسید بن صفوان</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جاء بعض ما رواه الشیخ الکلینی عن غیر المعصوم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أیضا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نقل هذه الکلمات مع التصریح بأسماء المروی عنهم لا یضرّ المستدلّ، فانّ نقل هذه الکلمات عن أصحابها مع کونهم غیر معصومین، کنقل معانی اللّغة عن أصحابها و لا ینافی کون مجموع الکتاب مروّیا عن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أنّ کتاب الکافی کتاب جدیر بالعنایة، و یعدّ أکبر المراجع و أوسعها للمجتهدین، و لیست روایاته قطعیّة الصدور فضلا عن کونها متواترة أو مستفیضة، و لا أنّ القرائن الخارجیّة دلّت علی صحّتها و لزوم الاعتماد علیها، بل هو کتاب شامل للصحیح و السقیم، فیجب علی المجتهد المستنبط تمییز الصحیح عن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ایقاف القاریء علی بعض ما لا یمکن القول بصحّته نقلا و عقلا نشیر إلی نموذجین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وَ إِنَّهُ لَذِکْرٌ لَکَ وَ لِقَوْمِکَ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أهل بیته المسؤولون و هم الذکر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النّبی، فمن المخاطب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وجود هذه </w:t>
      </w:r>
    </w:p>
    <w:p>
      <w:pPr>
        <w:pStyle w:val="BookText"/>
        <w:rPr/>
      </w:pPr>
      <w:r>
        <w:rPr>
          <w:rFonts w:ascii="IRNazanin" w:hAnsi="IRNazanin" w:eastAsia="IRNazanin"/>
          <w:color w:val="111111"/>
          <w:sz w:val="28"/>
          <w:sz w:val="28"/>
          <w:szCs w:val="28"/>
          <w:rtl w:val="true"/>
          <w:lang w:bidi="fa-IR"/>
        </w:rPr>
        <w:t>الروایات الشاذّة النادرة لا ینقص من عظمة الکتاب و جلالته، و أیّ کتاب بعد کتاب اللّه العزیز، لیس فیه شیء؟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فنرجو المراجعة إلی المصدر التالی</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518" w:name="pg2858_1978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2760142_1395250215"/>
      <w:bookmarkStart w:id="520" w:name="_Toc175"/>
      <w:bookmarkEnd w:id="518"/>
      <w:bookmarkEnd w:id="519"/>
      <w:r>
        <w:rPr/>
        <w:t>2</w:t>
      </w:r>
      <w:r>
        <w:rPr>
          <w:rtl w:val="true"/>
        </w:rPr>
        <w:t xml:space="preserve"> - </w:t>
      </w:r>
      <w:r>
        <w:rPr>
          <w:rtl w:val="true"/>
        </w:rPr>
        <w:t xml:space="preserve">تقییم احادیث </w:t>
      </w:r>
      <w:r>
        <w:rPr>
          <w:rtl w:val="true"/>
        </w:rPr>
        <w:t>«</w:t>
      </w:r>
      <w:r>
        <w:rPr>
          <w:rtl w:val="true"/>
        </w:rPr>
        <w:t>من لا یحضره الفقیه</w:t>
      </w:r>
      <w:r>
        <w:rPr>
          <w:rtl w:val="true"/>
        </w:rPr>
        <w:t>»</w:t>
      </w:r>
      <w:bookmarkEnd w:id="5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الصدوق محمّد بن علی ابن الحسین بن بابویه المولود بدعاء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حدود عام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من أصحّ الکتب الحدیثیة و أتقنها بعد الکافی، و هی فی الاشتهار و الاعتبار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الشیخ الصّدوق فی دیباجة کتابه أنّه لمّا ساقه القضاء إلی بلاد الغربة و نزل أرض بلخ، وردها الشریف الدین أبو عبد اللّه محمّد بن الحسن المعروف بنعمة، فدام سروره بمجالسته، و انشرح صدره بمذاکرته، و قد طلب منه أن یصنّف کتابا فی الفقه و الحلال و الحرام و یسمیّه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صنّف الطبیب الرازی محمّد بن زکریا کتابا فی الطبّ 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مسؤوله و صنّف هذا الکتاب 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یصف هذا الکتاب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أقصد فیه قصد المصنّفین فی إیراد جمیع ما رووه، بل قصدت إلی إیراد ما أفتی به، و أحکم بصحّته، و أعتقد فیه أنّه حجّة فیما بینی و بین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ذکره، و تعالت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فیه </w:t>
      </w:r>
    </w:p>
    <w:p>
      <w:pPr>
        <w:pStyle w:val="BookText"/>
        <w:rPr/>
      </w:pPr>
      <w:r>
        <w:rPr>
          <w:rFonts w:ascii="IRNazanin" w:hAnsi="IRNazanin" w:eastAsia="IRNazanin"/>
          <w:color w:val="111111"/>
          <w:sz w:val="28"/>
          <w:sz w:val="28"/>
          <w:szCs w:val="28"/>
          <w:rtl w:val="true"/>
          <w:lang w:bidi="fa-IR"/>
        </w:rPr>
        <w:t xml:space="preserve">مستخرج من کتب مشهورة علیها المعوّل، و إلیها المرجع، مثل کتاب حریز بن عبد اللّه السجستانی، و کتاب عبید اللّه بن علیّ الحلبی، و کتب علیّ بن مهزیار الأهوازی، و کتب الحسین بن سعید، و نوادر أحمد بن محمّد بن عیسی، و کتاب نوادر الحکمة تصنیف محمّد بن أحمد بن یحیی بن عمران الأشعری، و کتاب الرحمة لسعد بن عبد اللّه الأشعری، و جامع شیخنا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محمّد بن أبی عمیر، و کتب المحاسن لأحمد بن أبی عبد اللّه البرقی، و رسالة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 غیرها من الاصول و المصنّفات الّتی طرقی إلیها معروفة فی فهرس الکتب الّتی رویتها عن مشایخی و أسلافی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بالغت فی ذلک جهدی مستعینا باللّه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هذا مسلکا غیر ما سلکه الشیخ الکلینی، فانّ ثقة الإسلام کما عرفت جری فی الکافی علی طریقة السلف من ذکر جمیع السند غالبا، و ترک أوائل الاسناد ندرة اعتمادا علی ما ذکره فی الأخبار المتقدّمة علیها و أمّا الشیخ الصدوق فانّه بنی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الأمر علی اختصار الأسانید، و حذف أوائل السند، و وضع مشیخة فی آخر الکتاب یعرف بها طریقه إلی من روی عنه، فهی المرجع فی اتّصال اسناده فی أخبار هذا الکتاب، و ربّما أخلّ بذکر الطریق إلی بعض فیکون السند باعتباره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أطالوا البحث عن أحوال المذکورین فی المشیخة، و مدحهم و قدحهم و صحّة الطریق من جهتهم أو من جهة القرائن الخارجیّة، و أوّل من دخل فی هذا الباب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داود، ثمّ أرباب المجامیع الرجالیة و شرّاح الفقیه کالتفریشی و المجلسی الأوّل و غیرهما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البحث فی تقییم الکتاب، یقع فی عدّة نقاط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استدلّ علی أنّ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صحیحة، بمعنی کون من جاء فی أسانیده من الرواة ثقات،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قصدت إلی إیراد ما افتی به و أحکم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الصّحة فی هذه العبارة، هو الحکم بعدالة الراوی أو وثاقته، فتکون هذه العبارة تنصیصا من الشیخ الصّدوق علی أنّ من ورد فی أسناد ذلک الکتاب، کلّهم عدول أو ثقات، و لا یخفی أن استفادة ذلک من تلک العبارة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الصّحیح فی مصطلح القدماء و منهم الصدوق، غیر الصحیح فی مصطلح المتأخرین، إذ الصّحیح عند المتأخّرین هو کون الراوی عدلا إمامیّا، و لکنّ الصحیح عند القدماء عبارة عمّا اعتضد بما یقتضی اعتمادهم علیه، أو اقترن بما یوجب الوثوق و الرکون إلیه و أسبابه عندهم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فی کثیر من الاصول الأربعمائة المؤلّفة فی عصور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وجوده فی أصل معروف الانتساب لمن اجتمعت العصابة علی تصدیقهم کزرارة و محمّد بن مسلم و أضرابهما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اندراجه فی إحدی الکتب الّتی عرضت 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فأثنوا علی مصنّفیها، ککتاب عبید اللّه الحلبیّ الّذی عرض علی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یونس بن عبد الرحمن و فضل بن شاذان المعروضین علی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مأخوذا من الکتب الّتی شاع بین سلفهم الوثوق بها و الاعتماد علیها، سواء الّفت بید رجال الفرقة المحقّة ککتاب الصّلاة لحریز بن عبد اللّه، و کتب الحسن و الحسین ابنی سعید، و علیّ بن مهزیار، أو بید غیرهم ککتاب حفص بن غیاث، و کتب الحسین بن عبید اللّه السعدی و کتاب القبلة لعلیّ بن </w:t>
      </w:r>
    </w:p>
    <w:p>
      <w:pPr>
        <w:pStyle w:val="BookText"/>
        <w:rPr/>
      </w:pPr>
      <w:r>
        <w:rPr>
          <w:rFonts w:ascii="IRNazanin" w:hAnsi="IRNazanin" w:eastAsia="IRNazanin"/>
          <w:color w:val="111111"/>
          <w:sz w:val="28"/>
          <w:sz w:val="28"/>
          <w:szCs w:val="28"/>
          <w:rtl w:val="true"/>
          <w:lang w:bidi="fa-IR"/>
        </w:rPr>
        <w:t>الحسن الطاطری</w:t>
      </w:r>
      <w:r>
        <w:rPr>
          <w:rStyle w:val="FootnoteAnchor"/>
          <w:rtl w:val="true"/>
        </w:rPr>
        <w:footnoteReference w:id="505"/>
      </w:r>
      <w:r>
        <w:rPr>
          <w:rFonts w:ascii="IRNazanin" w:hAnsi="IRNazanin" w:eastAsia="IRNazanin"/>
          <w:color w:val="111111"/>
          <w:sz w:val="28"/>
          <w:sz w:val="28"/>
          <w:szCs w:val="28"/>
          <w:rtl w:val="true"/>
          <w:lang w:bidi="fa-IR"/>
        </w:rPr>
        <w:t>، و قد جری الشیخ الصّدوق علی متعارف القدماء فحکم بصحّة جمیع أحادیثه، و هذا غیر ما نحن بصدده من عدالة الراوی أو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عند القدماء هو ما وثقوا بکونه من المعصوم أعمّ من أن یکون منشأ وثوقهم کون الراوی من الثقات، أو أمارات اخر، و یکونوا قطعوا بصدوره عنهم أو یظنّون</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ذلک فبین صحیح القدماء و صحیح المتأخّرین العموم و الخصوص المطلق، فحکم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أحادیثه لا یستلزم صحّتها باصطلاح المتأخّرین، من کون الرواة فی الأسانید کلّهم ثقات، لاحتمال کون المنشأ فی الجمیع أو بعضها هو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الصدوق بصدد الحکم بوثاقة أو عدالة کلّ من وقع فی أسناد کتابه، و لکنّه مخدوش من جانب آخر، لأنّه قد علم من حاله أنّه یتبع فی التصحیح و التضعیف شیخه ابن الولید، و لا ینظر إلی حال الراوی نفسه، و أنّه ثقة أو غیر ثقة، و معه کیف یمکن أن یکون قوله هذا شهادة حسیّة علی عدالة أو وثاقة کلّ من ذکر فی أسناد کتابه، و قد مرّ عند دراسة کتاب الکافی طریقته فی التصحیح و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طریقة شیخه، موافقة لطریقة المتأخّرین و یکون قوله إخبارا عن شهادة أستاذه بعدالة أو وثاقة الواردین فی هذا الکتاب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العبارة التالیة، أنّه یعتمد فی تصحیح الروایة علی وجود الروایة فی کتب المشایخ العظام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سیّء الرأی فی محمّد بن عبد اللّه المسمعی راوی هذا الحدیث، و إنّی أخرجت هذا الخبر فی هذا </w:t>
      </w:r>
    </w:p>
    <w:p>
      <w:pPr>
        <w:pStyle w:val="BookText"/>
        <w:rPr/>
      </w:pPr>
      <w:r>
        <w:rPr>
          <w:rFonts w:ascii="IRNazanin" w:hAnsi="IRNazanin" w:eastAsia="IRNazanin"/>
          <w:color w:val="111111"/>
          <w:sz w:val="28"/>
          <w:sz w:val="28"/>
          <w:szCs w:val="28"/>
          <w:rtl w:val="true"/>
          <w:lang w:bidi="fa-IR"/>
        </w:rPr>
        <w:t>الکتاب، لأنّه کان فی کتاب الرحمة، و قد قرأته علیه فلم ینکره و رواه لی</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هذا یعرب عن أنّه ما کان یتفحّص عن أحوال الراوی عند الروایة، و هذا إن لم یکن کلیّا لکنّه أمر ذائع فی تصحیحاته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 کتاب الفقیه لا تتجاوز عن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منها ألفان و خمسون حدیثا مرسلا، و عند ذلک یقع الکلام کیف یمکن الرکون علی هذا الکتاب بلا تحقیق عن اسناده، مع أنّ جمیع الأحادیث المسندة فیها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المراسیل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مرادهم من المرسل ما لم یذکر فیه اسم الراوی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ذکر الراوی و صاحب الکتاب، و نسی أن یذکر طریقه إلیه فی المشیخة، و هم علی ما صرّح به المجلسی أزید من مائة و عشرین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مراسیل الفقیه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الأجلّة إلی القول باعتبار مراسیله، قال التفریشی فی شرحه علی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مراسیله ینبغی أن لا یقصر فی الاعتماد علی مسانیده، حیث حکم بصحّة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وجه ترجیح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باذعانه بمضمون الخبر، بخلاف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مراسیل الصدوق فی الفقیه کمراسیل ابن أبی عمیر فی الحجّیة و الاعتبار، و إنّ هذه المزّیة من خواصّ هذا الکتاب لا توجد فی غیره من کتب الأصحاب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بهاء الدین فی شرح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حتّی تعلم أنّه قذر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من مراسیل المؤلّف، و هی کثیرة فی هذا الکتاب، تزید علی ثلث الأحادیث الموردة فیه، و ینبغی أن لا یقصر الاعتماد علیها من الاعتماد علی مسانیده، من حیث تشریکه بین النّوعین فی کونه ممّا یفتی به و یحکم بصحّته، و یعتقد أنّه حجّة بینه و بین ربّه، بل ذهب جماعة من الاصولیّین إلی ترجیح مرسل العدل علی مسانیده محتجّین بأنّ قول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باذعانه بمضمون الخبر، بخلاف 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فلان، عن فلان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ابن أبی عمیر کمسانیده فی الاعتماد علیها، لما علموا من عادته أنّه لا یرسل إلاّ عن ثقة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الداماد فی الرواشح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الارسال بالاسقاط رأسا جزما، کما قال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أو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یتم فیه، و ذلک مثل قول الصدوق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مفاده الجزم أو الظنّ بصدور الحدیث عن المعصوم، فیجب أن تکون الوسائط عدولا فی ظنّه، و إلاّ کان الحکم الجازم بالاسناد هادما لجلالته و عدالته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غایة ما یقتضیه الاسناد جازما، هو جزم الصدوق أو اطمئنانه علی صدور الروایة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لا یقتضی أن یکون منشأ جزمه هو عدالة الراوی أو وثاقته، فیمکن أن یکون منشؤه هو القرائن الحافّة علی الخبر الّتی یفید القطع أو الاطمئنان بصدور الخبر، و لو کان اطمئنانه حجّة للغیر، یصحّ للغیر الرکون إلیه و إلاّ فلا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الصدوق کثیرا ما ذکر الراوی و نسی أن یذکر طریقه إلیه فی المشیخة، أو ذکر طریقه و لکن لم یکن صحیحا عندنا، فهل هنا طریق </w:t>
      </w:r>
    </w:p>
    <w:p>
      <w:pPr>
        <w:pStyle w:val="BookText"/>
        <w:rPr/>
      </w:pPr>
      <w:r>
        <w:rPr>
          <w:rFonts w:ascii="IRNazanin" w:hAnsi="IRNazanin" w:eastAsia="IRNazanin"/>
          <w:color w:val="111111"/>
          <w:sz w:val="28"/>
          <w:sz w:val="28"/>
          <w:szCs w:val="28"/>
          <w:rtl w:val="true"/>
          <w:lang w:bidi="fa-IR"/>
        </w:rPr>
        <w:t xml:space="preserve">یعالج هذه المشکلة؟ فقد قام المحقّق الأردبیلی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تصحیح هذه الروایات بطریق خاصّ نذکره عند البحث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عند سید المحقّقین،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الاجابة عن هذا السؤال هو أنّ الکتب الّتی نقل عنه الصدوق فی هذا الکتاب کانت کتبا مشهورة، و کان الأصحاب یعوّلون علیها و یرجعون إلیها، و لم یکن ذکر الطریق إلی هذه الکتب إلاّ تبرّعا و تبرّکا، أی لاخراج الکتب عن صورة المرسل إلی صورة المسند و إن کان لبّا جمیعها مسانید، لشهرة انتساب هذه الکتب إلی مؤلّفیها، و بذلک کانت تستغنی عن ذکر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 قوله فی دیباجة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ما فیه مستخرج من کتب مشهورة علیها المعوّل و إلیها المرجع مثل کتاب حریز بن عبد اللّه السجستانی</w:t>
      </w:r>
      <w:r>
        <w:rPr>
          <w:rStyle w:val="FootnoteAnchor"/>
          <w:rtl w:val="true"/>
        </w:rPr>
        <w:footnoteReference w:id="510"/>
      </w:r>
      <w:r>
        <w:rPr>
          <w:rFonts w:ascii="IRNazanin" w:hAnsi="IRNazanin" w:eastAsia="IRNazanin"/>
          <w:color w:val="111111"/>
          <w:sz w:val="28"/>
          <w:sz w:val="28"/>
          <w:szCs w:val="28"/>
          <w:rtl w:val="true"/>
          <w:lang w:bidi="fa-IR"/>
        </w:rPr>
        <w:t>، و کتاب عبید اللّه بن علیّ الحلبی</w:t>
      </w:r>
      <w:r>
        <w:rPr>
          <w:rStyle w:val="FootnoteAnchor"/>
          <w:rtl w:val="true"/>
        </w:rPr>
        <w:footnoteReference w:id="511"/>
      </w:r>
      <w:r>
        <w:rPr>
          <w:rFonts w:ascii="IRNazanin" w:hAnsi="IRNazanin" w:eastAsia="IRNazanin"/>
          <w:color w:val="111111"/>
          <w:sz w:val="28"/>
          <w:sz w:val="28"/>
          <w:szCs w:val="28"/>
          <w:rtl w:val="true"/>
          <w:lang w:bidi="fa-IR"/>
        </w:rPr>
        <w:t xml:space="preserve">، و کتب علیّ بن مهزیار الاهوازی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نقلناه عنه آنفا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هذه العبارة لا یبقی شکّ للانسان أنّ ذکر الطّریق إلی هذه الکتب فی المشیخة، لم یکن إلاّ عملا تبرّعیا غیر إلزامی، و لأجل ذلک نری أنّه لم یذکر طریقا إلی بعض هذه الکتب، أو ذکر طریقا فیه ضعف، لعدم المبالاة بصحّة الطریق و عدمها، لأنّه لم تکن الغایة إثبات انتساب الکتب إلی أصحابها، فإنّ الکتب کانت مشهورة الانتساب إلی مؤلّفیها، و لأجل ذلک نری أنّ المحقّق المولی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شرحه علی الفقیه عند تفسیر العبارة المتقدّمة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کتب </w:t>
      </w:r>
    </w:p>
    <w:p>
      <w:pPr>
        <w:pStyle w:val="BookText"/>
        <w:rPr/>
      </w:pPr>
      <w:r>
        <w:rPr>
          <w:rFonts w:ascii="IRNazanin" w:hAnsi="IRNazanin" w:eastAsia="IRNazanin"/>
          <w:color w:val="111111"/>
          <w:sz w:val="28"/>
          <w:sz w:val="28"/>
          <w:szCs w:val="28"/>
          <w:rtl w:val="true"/>
          <w:lang w:bidi="fa-IR"/>
        </w:rPr>
        <w:t>مشهورة بین المحدّثین، بالانتساب إلی مصنّفیها و رواتها، و الظّاهر أنّ المراد بالشهرة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المعوّل، یعنی کلّها محلّ اعتماد الأصحاب</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منهم النقل من الکتب المعتبرة المشهورة، فاذا کان صاحب الکتاب ثقة یکون الخبر صحیحا، لأنّ الظّاهر من نقل السند إلی الکتاب المشهور المتواتر، مجرّد التیمّن و التبرّک لا سیّما إذا کان من الجماعة المشهورین کالفضیل بن یسار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أنّه لا یضرّ جهالة سندیهما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کثرة التتبّع یظهر أنّ مدار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 علی الکتب المشهورة، و کان اتّصال السند عنده أیضا لمجرّد التیمّن و التبرّک، و لئلاّ یلحق الخبر بحسب الظّاهر بالمرسل، فإن روی خبرا عن حمّاد بن عیسی، أو صفوان بن یحیی، أو محمّد بن أبی عمیر فالظّاهر أنّه أخذ من کتبهم فلا یضرّ الجهالة الّتی تکون فی السند إلی الکتب بمثل محمّد بن إسماعیل عن الفضل، أو الضعف بمثل سهل بن زیاد</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ذلک نری أنّ البحث عن طرق الصّدوق إلی أصحاب الکتب أمر زائد، فاللازم البحث عن مؤلّف الکتاب و طرقه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کان سیّدنا المحقّق البروجردی یمیل إلیه و یقرّبه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ذلک کلّما علم أنّ الشیخ الصّدوق أخذ الحدیث من الکتب المعروفة، فالبحث عن الطّریق أمر غیر لازم، و أمّا إذا لم نجزم بذلک و احتملنا أنّ الحدیث وصل إلیه بالطرق المذکورة فی المشیخة، فالبحث عن صحّة الطرق یعدّ أمرا لازما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 بمثل ذلک فی طرق الکافی، فإذا علم أنّه أخذ الحدیث من الکتب الّتی ثبت إسنادها إلی الرّاوی، فلا وجه للبحث عن ضعف الطّریق أو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نستغنی عن کثیر من المباحث حول طرق الصدوق إلی أرباب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أطالوا البحث عن أحوال المذکورین فی المشیخة و مدحهم و قدحهم و صحّة الطریق من جهتهم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أوّل من دخل فی هذا الباب هو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تبعه ابن داود ثمّ أرباب المجامیع الرجالیة و شرّاح الفقیه، کالعالم الفاضل المولی مراد التفریشی و العالم الجلیل المجلسی الأوّل و غیرهما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2858_19797"/>
      <w:bookmarkStart w:id="522" w:name="pg2858_19797"/>
      <w:bookmarkEnd w:id="522"/>
    </w:p>
    <w:p>
      <w:pPr>
        <w:pStyle w:val="Heading3"/>
        <w:numPr>
          <w:ilvl w:val="2"/>
          <w:numId w:val="1"/>
        </w:numPr>
        <w:rPr/>
      </w:pPr>
      <w:bookmarkStart w:id="523" w:name="pg2858_19797"/>
      <w:bookmarkStart w:id="524" w:name="__RefHeading___Toc2760144_1395250215"/>
      <w:bookmarkStart w:id="525" w:name="_Toc176"/>
      <w:bookmarkEnd w:id="523"/>
      <w:bookmarkEnd w:id="524"/>
      <w:r>
        <w:rPr/>
        <w:t>3</w:t>
      </w:r>
      <w:r>
        <w:rPr>
          <w:rtl w:val="true"/>
        </w:rPr>
        <w:t xml:space="preserve"> - </w:t>
      </w:r>
      <w:r>
        <w:rPr>
          <w:rtl w:val="true"/>
        </w:rPr>
        <w:t xml:space="preserve">تقییم احادیث </w:t>
      </w:r>
      <w:r>
        <w:rPr>
          <w:rtl w:val="true"/>
        </w:rPr>
        <w:t>«</w:t>
      </w:r>
      <w:r>
        <w:rPr>
          <w:rtl w:val="true"/>
        </w:rPr>
        <w:t>التهذیب</w:t>
      </w:r>
      <w:r>
        <w:rPr>
          <w:rtl w:val="true"/>
        </w:rPr>
        <w:t xml:space="preserve">» </w:t>
      </w:r>
      <w:r>
        <w:rPr>
          <w:rtl w:val="true"/>
        </w:rPr>
        <w:t xml:space="preserve">و </w:t>
      </w:r>
      <w:r>
        <w:rPr>
          <w:rtl w:val="true"/>
        </w:rPr>
        <w:t>«</w:t>
      </w:r>
      <w:r>
        <w:rPr>
          <w:rtl w:val="true"/>
        </w:rPr>
        <w:t>الاستبصار</w:t>
      </w:r>
      <w:r>
        <w:rPr>
          <w:rtl w:val="true"/>
        </w:rPr>
        <w:t>»</w:t>
      </w:r>
      <w:bookmarkEnd w:id="52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2760146_1395250215"/>
      <w:bookmarkStart w:id="527" w:name="_Toc177"/>
      <w:bookmarkEnd w:id="526"/>
      <w:r>
        <w:rPr>
          <w:rtl w:val="true"/>
        </w:rPr>
        <w:t>اشارة</w:t>
      </w:r>
      <w:bookmarkEnd w:id="52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المقنعة للشیخ المفید، تألیف شیخ الطائفة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کتب الحدیث منزلة و أکثرها منفعة، و قد شرع الشیخ فی تألیف هذا الکتاب لمّا بلغ سنّة ستّا و عشرین و هذا من خوارق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من أدعیته للمفید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نقل عبارة المقنعة حیث یقول فی أوّل الکتاب إلی أواخر کتاب الصّلاة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إلی آخر الکتاب یقول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الطّهارة و الصّلاة فی حال حیاة الشیخ المفید و قد قدم الشیخ الطوسی العراق عام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و توفی الشیخ المفید عام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 أنت إذا نظرت إلی کلماته فی الکتابین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جادل به المخالفین فی المسائل الخلافیة، کمسألة مسح الرجلین، و ما أفاده فی مقام الجمع بین الأخبار، و اختیاراته فی المسائل، و ما یستند إلیه فیها و ما یورده من الأخبار فی کلّ مسألة، لأذعنت أنّه من أبناء سبعین</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طریقة الشیخ فی نقل الأحادیث فی هذا الکتاب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الأجلّ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یذکر فی التّهذیب و الاستبصار جمیع السند، کما فی الکافی، و قد یقتصر علی البعض بحذف الصدر، کما فی الفقیه، و لکنّه استدرک المتروک فی آخر الکتابین، فوضع له مشیخته المعروفة، و هی فیهما واحدة غیر مختلفة، قد ذکر فیهما جملة من الطرق إلی أصحاب الاصول و الکتب ممّن صدّر الحدیث بذکرهم و ابتدأ بأسمائهم، و لم یستوف الطّرق کلّها، و لا ذکر الطّریق إلی کلّ من روی عنه بصورة التّعلیق، بل ترک الأکثر لقلّة روایته عنهم، و أحال التفصیل إلی فهارس الشیوخ المصنّفة فی هذا الباب، و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الحوالة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صنّفه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مشیخة تهذیبه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الآن فحیث وفّق اللّه تعالی للفراغ من هذا الکتاب، نحن نذکر الطّرق الّتی یتوصّل بها إلی روایة هذه الاصول و المصنّفات، و نذکرها علی غایة ما یمکن من الاختصار لتخرج الاخبار بذلک عن حدّ المراسیل و تلحق بباب المسندات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ذکرناه فی هذا الکتاب عن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أخبرنا الشیخ أبو عبد اللّه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القاسم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به أیضا الحسین بن عبید اللّه، عن أبی غالب أحمد بن محمّد الزراری و أبی محمّد هارون بن موسی التلّعکبری، و أبی القاسم جعفر بن محمّد بن قولویه، و أبی عبد اللّه أحمد بن أبی رافع الصیمری، و أبی المفضّل الشیبانی، و غیرهم، کلّهم عن محمّد بن یعقوب الکلینی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به أیضا أحمد بن عبدون المعروف بابن الحاشر، عن أحمد بن أبی رافع، و أبی الحسین عبد الکریم بن عبد اللّه بن نصر البزّاز بتنیس و بغداد </w:t>
      </w:r>
    </w:p>
    <w:p>
      <w:pPr>
        <w:pStyle w:val="BookText"/>
        <w:rPr/>
      </w:pPr>
      <w:r>
        <w:rPr>
          <w:rFonts w:ascii="IRNazanin" w:hAnsi="IRNazanin" w:eastAsia="IRNazanin"/>
          <w:color w:val="111111"/>
          <w:sz w:val="28"/>
          <w:sz w:val="28"/>
          <w:szCs w:val="28"/>
          <w:rtl w:val="true"/>
          <w:lang w:bidi="fa-IR"/>
        </w:rPr>
        <w:t>عن أبی جعفر محمّد بن یعقوب الکلینی جمیع مصنّفاته و أحادیثه سماعا و إجازة ببغداد بباب الکوفة، بدرب السلسلة سنة سبع و عشرین و ثلاثمائة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ذلک فربما یتصوّر أنّه یجب التفتیش و التفحّص عن طرق الشیخ إلی أصحاب الکتب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مذهب سیّد المحقّقین آیة اللّه البروجردی و هو أحد المعنیّین فی علم الرجال، و أنّه کان یذهب تبعا للمجلسیّ الأوّل إلی أنّ المشیخة للصدوق و للشیخ، لم تکن إلاّ لمجرّد إظهار الأحادیث بصور المسندات لا لأجل تحصیل العلم بنسبة الکتب إلی مؤلّفیها، فإنّ نسبة هذه الکتب إلی أصحابها کانت ثابتة غیر محتاجة إلی تحصیل السند، و بالجملة ذکر المشیخة لأجل التبرّک و التیمّن، و لاتّصال السند کما هو المرسوم فی هذه الأعصار أیضا، حیث یستجیزون عن المشایخ بالنسبة إلی الکتب الأربعة و غیرها حتّی یصحّ لهم نقل الأحادیث عن هذه الکتب مسندا، و أمّا کون المشیخة لأجل تحصیل صحّة نسبة هذه الکتب إلی أصحابها فهذا ممّا ینافیه کلام الصدوق و الشیخ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الصدوق فقد قدّمنا کلامه، و أمّا الشیخ فهو یقول فی مشیخة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الأخبار بذلک عن حدّ المراسیل و تلحق بباب المسندات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العبارة تعطی أنّ الغایة من ذکر المشیخة جعل الحدیث و إخراجه بصورة المسانید لا غیر، و لأجل ذلک نری أنّ الشیخ یبتدأ فی المشیخة بذکر الطّرق إلی کتاب الکافی للکلینی، مع أنّ ثبوته له أظهر من الشمس، و بذلک تعرف أنّ البحث فی طرق الشّیخ إلی أصحاب الکتب فی المشیخة ممّا لا طائل تحته، و لیس علی الفقیه إلاّ التفتیش عن أحوال أصحاب الکتب و من یروون عنهم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إذا کانت الکتب غیر معروفة، فعندئذ یجب الفحص عن کلّ </w:t>
      </w:r>
      <w:bookmarkStart w:id="528" w:name="pg2858_19802"/>
    </w:p>
    <w:p>
      <w:pPr>
        <w:pStyle w:val="BookText"/>
        <w:rPr/>
      </w:pPr>
      <w:bookmarkEnd w:id="528"/>
      <w:r>
        <w:rPr>
          <w:rFonts w:ascii="IRNazanin" w:hAnsi="IRNazanin" w:eastAsia="IRNazanin"/>
          <w:color w:val="111111"/>
          <w:sz w:val="28"/>
          <w:sz w:val="28"/>
          <w:szCs w:val="28"/>
          <w:rtl w:val="true"/>
          <w:lang w:bidi="fa-IR"/>
        </w:rPr>
        <w:t>من فی الطّریق کما لا یخفی</w:t>
      </w:r>
      <w:r>
        <w:rPr>
          <w:rFonts w:eastAsia="IRNazanin" w:cs="IRNazanin"/>
          <w:color w:val="111111"/>
          <w:sz w:val="28"/>
          <w:szCs w:val="28"/>
          <w:rtl w:val="true"/>
          <w:lang w:bidi="fa-IR"/>
        </w:rPr>
        <w:t>.</w:t>
      </w:r>
    </w:p>
    <w:p>
      <w:pPr>
        <w:pStyle w:val="Heading4"/>
        <w:numPr>
          <w:ilvl w:val="3"/>
          <w:numId w:val="1"/>
        </w:numPr>
        <w:rPr/>
      </w:pPr>
      <w:bookmarkStart w:id="529" w:name="__RefHeading___Toc2760148_1395250215"/>
      <w:bookmarkStart w:id="530" w:name="_Toc178"/>
      <w:bookmarkEnd w:id="529"/>
      <w:r>
        <w:rPr>
          <w:rtl w:val="true"/>
        </w:rPr>
        <w:t>تصحیح أسانید الشیخ</w:t>
      </w:r>
      <w:bookmarkEnd w:id="530"/>
    </w:p>
    <w:p>
      <w:pPr>
        <w:pStyle w:val="BookText"/>
        <w:rPr/>
      </w:pPr>
      <w:r>
        <w:rPr>
          <w:rFonts w:ascii="IRNazanin" w:hAnsi="IRNazanin" w:eastAsia="IRNazanin"/>
          <w:color w:val="111111"/>
          <w:sz w:val="28"/>
          <w:sz w:val="28"/>
          <w:szCs w:val="28"/>
          <w:rtl w:val="true"/>
          <w:lang w:bidi="fa-IR"/>
        </w:rPr>
        <w:t>ثمّ إنّه لمّا کان کثیر من طرق الشیخ الواردة فی مشیخة التّهذیب، معلولا بضعف، أو إرسال، أو جهالة، أو بدء الحدیث باناس لم یذکر لهم طریق فی المشیخة، حاول بعض المحقّقین لرفع هذه النقیصة من کتاب التهذیب بالرجوع إلی فهرس الشّیخ أوّلا، و طرق من تقدّمه عصرا ثانیا، أو عاصره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للشیخ فی الفهرس طرقا إلی أرباب الکتب و الاصول الّذین أهمل ذکر السند إلی کتبهم فی التّهذیب، فبالرجوع إلی ذلک الکتاب یعلم طریق الشّیخ إلی أرباب الکتب الّتی لم یذکر سنده إلیها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فبالرّجوع إلی مشیخة الفقیه و رسالة الشیخ أبی غالب الزراری، إذا کان لهما سند إلی الکتب الّتی لم یذکر سنده إلیها فی التهذیب، لکن إذا أوصلنا سند الشیخ إلی هؤلاء، و بالنتیجة یحصل السند إلی أصحاب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فبالرجوع إلی طریق النجاشی، فانّه کان معاصرا للشیخ، مشارکا له فی أکثر المشایخ کالمفید و الحسین بن عبید اللّه الغضائری، و ابنه أحمد بن الحسین، و أحمد بن عبدون الشهیر بابن الحاشر، فاذا علم روایة النجاشی للأصل و الکتاب بتوسّط أحد هؤلاء کان ذلک طریقا للشّیخ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المتتبّع الخبیر الشیخ محمد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تلامیذ العلاّمة المجلسی قد قام بتألیف کتابین فی الرجال، و لکلّ دور خاص</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عرفنا مکانته عند البحث عن الاصول الرجالیة المتأخرة فی الفصول السابقة، و الکتاب مطبوع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بعد غیر مطبوع، و لم نقف علیه إلی الآن، لکن ذکر المؤلّف مختصره، و دیباجته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 اختصره المحدّث النوری و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علیه زیادات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حاول المؤلّف فی هذا الکتاب تصحیح أسانید الشیخ فی التّهذیبین بطریق آخر غیر ما ذکرناه من الرجوع إلی مشیخة الفهرس، أو مشیخة من تقدّمه، أو عاصره، و إلیک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الجلیل المیرزا الاسترآبادی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مصطفی التفریشی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عمدوا إلی ذکر الشیوخ الّذین اخذت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اصولهم و کتبهم، و ابتدأ الشیخ فی معظم أسانیدها بذکرهم اختصارا، مع أنّه لم یدرک زمانهم، و لکن ذکر طریقه إلیهم فی آخر الکتابین، و هم تسعة و ثلاثون 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العلاّمة و الاسترآبادی من هؤلاء المشیخة خمسة و عشرین، و ترکا الباقی و لعلّ منشأه أنّ طریق الشیخ إلی غیر هؤلاء غیر معتبر عندهم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التفریشی</w:t>
      </w:r>
      <w:r>
        <w:rPr>
          <w:rStyle w:val="FootnoteAnchor"/>
          <w:rtl w:val="true"/>
        </w:rPr>
        <w:footnoteReference w:id="520"/>
      </w:r>
      <w:r>
        <w:rPr>
          <w:rFonts w:ascii="IRNazanin" w:hAnsi="IRNazanin" w:eastAsia="IRNazanin"/>
          <w:color w:val="111111"/>
          <w:sz w:val="28"/>
          <w:sz w:val="28"/>
          <w:szCs w:val="28"/>
          <w:rtl w:val="true"/>
          <w:lang w:bidi="fa-IR"/>
        </w:rPr>
        <w:t xml:space="preserve">فقد زاد علی مشیخة التهذیبین أحدا و ثلاثین شیخا، الّذین لم یذکر الشیخ سنده إلیهم فی خاتمة الکتابین، و قام هو باستخراج سنده إلیهم من الفهرس، فبلغت المشایخ حسب عدّه سبعین شیخا، و لکنّ المعتبر عنده من مجموع الطّرق ثلاثون طریقا، و قد أوجب هذا اضطرابا و إشکالا فی اعتبار أحادیث الکتابین، حیث صار ذلک سببا لعدم اعتبار </w:t>
      </w:r>
    </w:p>
    <w:p>
      <w:pPr>
        <w:pStyle w:val="BookText"/>
        <w:rPr/>
      </w:pPr>
      <w:r>
        <w:rPr>
          <w:rFonts w:ascii="IRNazanin" w:hAnsi="IRNazanin" w:eastAsia="IRNazanin"/>
          <w:color w:val="111111"/>
          <w:sz w:val="28"/>
          <w:sz w:val="28"/>
          <w:szCs w:val="28"/>
          <w:rtl w:val="true"/>
          <w:lang w:bidi="fa-IR"/>
        </w:rPr>
        <w:t>أحادیث أربعین شیخا من سبعین ممّن صدّر الحدیث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حاول المحقّق الأردبیلی لتصحیح أسانید الکتابین بشکل آخر، ذکره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علماء الرجال من طرق الشیخ قلیل فی الغایة، و لا یکون مفیدا فی ما هو المطلوب، و الشیخ لمّا أراد إخراج الروایات الّتی لم یذکر طریقه إلی أرباب الکتب فی نفس التهذیب و الاستبصار من الارسال، ذکر فی المشیخة و الفهرس طریقا أو طریقین أو اکثر إلی کلّ واحد من أرباب الکتب و الاصول، فمن کان قصده الاطّلاع علی أحوال الأحادیث، ینبغی له أن ینظر إلی المشیخة و یرجع إلی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راجعت إلیهما رأیت أنّ کثیرا من الطرق المورودة فیهما معلول علی المشهور، بضعف أو إرسال، أو جهالة و أیضا رأیت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بدأ فی أسانید الروایات باناس لم یذکر لهم طریقا أصلا، لا فی المشیخة و لا فی الفهرس، فلأجل ذلک رأیت من اللازم تحصیل طرق الشیخ إلی أرباب الاصول و الکتب، غیر الطّرق المذکورة فی المشیخة و الفهرس، حتّی تصیر تلک الروایات معتبرة، فلمّا طال تفکّری فی ذلک و تضرّعی، القی فی روعی أن أنظر فی أسانید روایات التّهذیبین، فلمّا نظرت فیها وجدت فیها طرقا کثیرة إلیهم غیر ما هو مذکور فی المشیخة و الفهرس، أکثرها موصوف بالصحّة و الاعتبار فصنّفت هذه الرسالة و ذکرت فیها جمیع الشیوخ المذکورین فی المشیخة و الفهرس، و ذیّلت ما فیهما من الطّرق الضعیفة أو المجهولة بالإشارة إلی ما وجدته من الطّرق الصحیحة أو المعتبرة مع تعیین موضعها، و أضفت إلیهم من وجدت له طریقا معتبرا و لم یذکر طریقه فیهما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لزیادة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عن علیّ ابن الحسن الطاطری بدأ بذکر اسمه فی 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فی کتاب الصّلاة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الطاطری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وضّاح،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تصلّی قبل أن تزول، فإنّک تصلّی فی وقت العصر خیر لک أن تصلّی قبل أن تزول</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المشیخة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ذکرته عن علیّ بن الحسن الطاطری فقد أخبرنی به أحمد بن عبدون، عن علیّ بن محمّد بن الزبیر، عن أبی الملک أحمد بن عمر بن کیسبة، عن علیّ بن الحسن 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ضعیف بجهالة اثنین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الزبیر و ابن کیسبة و مقتضاه عدم اعتبار تلک الروایات الّتی یبلغ عددها إلی ثلاثین حدیثا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المحاولة، فهی أنّا إذا رأینا أنّ الشیخ روی فی باب الطّواف أربع روایات 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 عن علی بن الحسن الطاطری، عن درست بن أبی منصور، 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وقفنا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من صدّر به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الشّیخ إلیه صحیح، فعند ذلک یحصل للشّیخ طریق صحیح إلی الطّاطری، لکن لا عن طریقه إلیه فی المشیخة و لا فی الفهرس، بل عن طریقه فی المشیخة إلی موسی بن القاسم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یقول الأردبیلی فی مختصر تصحیح الأسانید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علی بن الحسن الطاطری، فیه علیّ بن محمّد بن الزبیر فی المشیخة و الفهرس، و إلی الطّاطری صحیح فی التّهذیب فی باب الطواف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یعطی أنّ موسی بن القاسم لیس راویا لهذه الروایات الأربع فقط، بل راو لجمیع کتاب الطاطری عنه، فیعلم من ذلک أنّ الشیخ روی کتاب الطاطری تارة بسند ضعیف، و اخری بسند معتبر و بذلک یحکم بصحّة کلّ حدیث بدأ الشیخ فی سنده بالطاطری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ذلک سائر الطرق الّتی للشیخ فی الکتابین إلی المشایخ الّذین لم یذکر سنده إلیهم فی المشیخة و لا فی الفهرس، أو ذکر لکنّه ضعیف علیل، و بهذا التتبّع یحصل له طرق صحیحة أنهاها صاحب الکتاب إلی خمسین و ثمانمائة طریق تقریبا، و عدد المعتبر منها قریب من خمسمائة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المحاولة و قد نقده المحقّق البروجردی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صحّ طرقه إلی المشایخ و إن کان قلیلا، و لکنّ الروایات الّتی رواها الشیخ بهذه الطرق القلیلة عن هؤلاء المشایخ فی غایة الکثرة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رواه بطرقه عن أحمد بن محمّد بن عیسی یقرب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رواه بطرقه عن الحسن بن محمّد بن سماعة قریب من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رواه بطرقه عن الحسین بن سعید یقرب من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رواه بطرقه عن سعد بن عبد اللّه یقرب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رواه بطرقه عن محمّد بن أحمد بن یحیی یقرب من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رواه بطرقه عن محمّد بن علیّ بن محبوب یقرب من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إنّ نقله عن سائر المشایخ الّذین صحّت طرقه إلیهم أیضا کثیر </w:t>
      </w:r>
    </w:p>
    <w:p>
      <w:pPr>
        <w:pStyle w:val="BookText"/>
        <w:rPr/>
      </w:pPr>
      <w:r>
        <w:rPr>
          <w:rFonts w:ascii="IRNazanin" w:hAnsi="IRNazanin" w:eastAsia="IRNazanin"/>
          <w:color w:val="111111"/>
          <w:sz w:val="28"/>
          <w:sz w:val="28"/>
          <w:szCs w:val="28"/>
          <w:rtl w:val="true"/>
          <w:lang w:bidi="fa-IR"/>
        </w:rPr>
        <w:t>جدّا، فکیف لا یکون مفیدا فیما هو المطلوب من إخراج معظم روایات الکتاب عن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موسی بن القاسم عن علیّ بن الحسن الطاطری، عن درست بن أبی منصور، عن ابن مسکان، فهو یحتمل من جهة النقل من کتب المشایخ وجوها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أنّ موسی بن القاسم أخذ الحدیث عن کتاب الطاطری و حینئذ روی موسی هذا الحدیث و جمیع کتاب الطاطری، و بذلک یحصل للشیخ طریق صحیح إلی کتاب الطاطری و هذا هو الذی یتوخّاه المتتبّع الأردبیلی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أنّ موسی بن القاسم أخذ الحدیث عن کتاب درست بن أبی منصور و روی هذا الکتاب عنه بواسطة الطاطری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أنّ موسی أخذ الحدیث عن کتاب ابن مسکان، و روی هذا الکتاب عنه بواسطة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الطاطری، و درست بن أبی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الاحتمالین الأخیرین یحصل للشیخ الطوسی طریق صحیح إلی کتاب درست بن أبی منصور، و کتاب ابن مسکان و لا یحصل طریق صحیح إلی نفس کتاب الطاطری الّذی هو الغایة المتوخّاة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إذا کان طریق الشیخ إلی أحد المشایخ الّذین صدّر الحدیث بأسمائهم و أخذ الحدیث من کتبهم، ضعیفا، فلا یمکن إصلاحه بما إذا وقع ذلک الشیخ فی أثناء السند، و کان طریقه إلیه طریقا صحیحا، لأن توسط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ثنایا السند لا یدلّ علی أخذ الحدیث عن کتابه، بل من الممکن کون الحدیث مأخوذا عن کتاب شیخه أعنی درست بن أبی منصور، أو شیخ شیخه أعنی ابن مسکان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قائم فی جمیع ما استنبطه فی أسانید التهذیبین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الشیخ الطوسی من تصنیف الفهرس و ذکر الطرق إلی من ذکر فیه أنّ له کتابا أو أصلا، لیس إخراج التهذیبین من الارسال و لم یبدأ الشیخ فی أسانیدهما بهؤلاء المذکورین فی الفهرس سوی قلیل منهم، و هم المشیخة المذکورون فی آخر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یوجد فی بدء أسانیدهما شیوخ لم یذکر لهم طریقا فی المشیخة و عدد روایاتهم لا یزید علی خمسمائة تقریبا، و لا تخرج هذه الروایات عن الارسال بسبب الطرق المذکورة فی الفهرس غالبا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الشیخ تفنّن فی الفهرس أیضا فی ذکر الطرق إلی أصحاب الکتب و الاصول علی وجوه، فتارة ذکرهم و ذکر طریقه إلی کتبهم و اخری ذکر کتبهم و اصولهم و لم یذکر الطّریق إلیهم، و ثالثة ذکر جماعة و أشار إلی من ذکرهم أو روی عنهم و لم یصل إسناده فیه إلی من ذکر أو روی، و قد جمع القسمین الأخیرین العلاّمة السید محمد صادق الطباطبائی فی مقدّمة الفهرس</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531" w:name="pg2858_19809"/>
    </w:p>
    <w:p>
      <w:pPr>
        <w:pStyle w:val="Heading2"/>
        <w:numPr>
          <w:ilvl w:val="1"/>
          <w:numId w:val="1"/>
        </w:numPr>
        <w:rPr/>
      </w:pPr>
      <w:bookmarkStart w:id="532" w:name="__RefHeading___Toc2760150_1395250215"/>
      <w:bookmarkStart w:id="533" w:name="_Toc179"/>
      <w:bookmarkEnd w:id="531"/>
      <w:bookmarkEnd w:id="532"/>
      <w:r>
        <w:rPr>
          <w:rtl w:val="true"/>
        </w:rPr>
        <w:t>الفصل الثامن</w:t>
      </w:r>
      <w:r>
        <w:rPr>
          <w:rtl w:val="true"/>
        </w:rPr>
        <w:t xml:space="preserve">: </w:t>
      </w:r>
      <w:r>
        <w:rPr>
          <w:rtl w:val="true"/>
        </w:rPr>
        <w:t>فی فرق الشیعة الواردة فی الکتب</w:t>
      </w:r>
      <w:bookmarkEnd w:id="533"/>
    </w:p>
    <w:p>
      <w:pPr>
        <w:pStyle w:val="Heading3"/>
        <w:numPr>
          <w:ilvl w:val="2"/>
          <w:numId w:val="1"/>
        </w:numPr>
        <w:rPr/>
      </w:pPr>
      <w:bookmarkStart w:id="534" w:name="__RefHeading___Toc2760152_1395250215"/>
      <w:bookmarkStart w:id="535" w:name="_Toc180"/>
      <w:bookmarkEnd w:id="534"/>
      <w:r>
        <w:rPr>
          <w:rtl w:val="true"/>
        </w:rPr>
        <w:t>اشارة</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الکیسانیة و الزیدیة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الناووسیة و الاسماعیلیة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الفطحیة و الواقفیة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الخطابیة و المغیریة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ربما یضعّف الراوی لأجل انتمائه إلی بعض فرق الشیعة کالکیسانیة و الفطحیة و الواقفیة، کما یضعّف من غیر جانب العقیدة ککونه متساهلا فی الروایة، غیر ضابط فی النقل، إلی غیر ذلک من موجبات التضعیف فی جانب العمل، و لأجل إیقاف القاریء علی مبدء تکوّن هذه الفرق و عقائدها إجمالا عقدنا هذا الفصل، لیکون القاریء علی بصیرة عند الوقوف علی أسماء هذه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أکثر هذه الفرق بائدة هالکة، لم یبق منهم إلاّ الزیدیّة و إلاّ الاسماعیلیة، و إنّما تشکّل أکثریة الشیعة، الفرقة الإمامیة الّتی تطلق علیها الاثنا عشریة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هم المسلمون الذین بقوا علی ما عهد إلیهم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الإمام بعده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ذلک المنصب، منصب یعیّن صاحبه من عند اللّه سبحانه، کما أنّ منصب النبوّة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الشیعة فرقة حادثة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الفرق الّتی تکوّنت بعد النبی فی ظلّ الأبحاث الکلامیة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المسلمین اختلفوا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الإمامة، فذهبت عدّة کثیرة منهم إلی أنّ الإمامة سیاسة زمنیّة تناط باختیار العامّة </w:t>
      </w:r>
    </w:p>
    <w:p>
      <w:pPr>
        <w:pStyle w:val="BookText"/>
        <w:rPr/>
      </w:pPr>
      <w:r>
        <w:rPr>
          <w:rFonts w:ascii="IRNazanin" w:hAnsi="IRNazanin" w:eastAsia="IRNazanin"/>
          <w:color w:val="111111"/>
          <w:sz w:val="28"/>
          <w:sz w:val="28"/>
          <w:szCs w:val="28"/>
          <w:rtl w:val="true"/>
          <w:lang w:bidi="fa-IR"/>
        </w:rPr>
        <w:t xml:space="preserve">و ینتصب بنصبهم، و ذهبت عدّة اخری إلی أنّها قضیة اصولیّة و هی رکن الدین، و لا یجوز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إغفاله و إهماله و لا تفویضه إلی العامّة، و استدلّوا علی ذلک بما ورد فی الکتاب حول الإمامة، و ما سمعوه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الدار و یوم الغدیر و غیرهما من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تسمیتهم بالشیعة فإنّما هو لأجل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محبّی علیّ بن أبی طالب و مقتفیه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السیوطی فی تفسیر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عساکر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فأقبل علیّ،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نفسی بیده إنّ هذا و شیعته لهم الفائزون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فکان أصحاب النّبی إذا أقبل علیّ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عدی و ابن عساکر عن أبی سعید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عدی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 الَّذِینَ آمَنُوا وَ عَمِلُوا الصّالِحاتِ أُولئِکَ هُمْ خَیْرُ الْبَرِیَّةِ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شیعتک یوم القیامة راضین مرضیّین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مردویه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 إِنَّ الَّذِینَ آمَنُوا وَ عَمِلُوا الصّالِحاتِ أُولئِکَ هُمْ خَیْرُ الْبَرِیَّةِ أنت و شیعتک، و موعدی و موعدکم الحوض إذا جیئت الامم للحساب تدعون غرّا محجّلین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الشیعة علی وجه الاجمال هم الّذین بقوا علی ما جاء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الوصیّ و لم یغیّروا طریقه، فالشیعة لیست </w:t>
      </w:r>
      <w:bookmarkStart w:id="536" w:name="pg2858_19813"/>
    </w:p>
    <w:p>
      <w:pPr>
        <w:pStyle w:val="BookText"/>
        <w:rPr/>
      </w:pPr>
      <w:bookmarkEnd w:id="536"/>
      <w:r>
        <w:rPr>
          <w:rFonts w:ascii="IRNazanin" w:hAnsi="IRNazanin" w:eastAsia="IRNazanin"/>
          <w:color w:val="111111"/>
          <w:sz w:val="28"/>
          <w:sz w:val="28"/>
          <w:szCs w:val="28"/>
          <w:rtl w:val="true"/>
          <w:lang w:bidi="fa-IR"/>
        </w:rPr>
        <w:t xml:space="preserve">فرقة مختلقة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یخلقهم السیاسات الزمنیة، و لا الأبحاث الکلامیة، بل لم تتکوّن الشیعة إلاّ فی نفس عصر النّبی، فبقوا علی ما کان النّبی علیه و إن کانوا من حیث العدد قلیلین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أصل الشیعة الّذی یجمع جمیع فرقها الاعتقاد بأنّ الإمامة قضیّة اصولیّة غیر مفوّضة إلی الامّة، بل إلی اللّه سبحانه و تعالی بعد وفاة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تفرّقت الشیعة حسب مرور الزمان و حسب السیاسات الوقتیّة و الأبحاث الکلامیّة إلی فرق مختلفة، غیر أنّه لم یبق من تلک الفرق إلاّ ثلاث فرق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الزیدیة، و الاسماعیلیة، و الفرقة الشاخصة من بینها هو الإمامیّة المعتقدة بامامة الائمة الاثنی عشر، أوّلهم علیّ بن أبی طالب فالحسن، فالحسین، فعلیّ بن الحسین، فمحمّد بن علی، فجعفر بن محمّد، فموسی بن جعفر، فعلیّ بن موسی، فمحمّد بن علی، فعلیّ بن محمّد، فالحسن بن علی، فمحمّد بن الحسن القائم الّذی یملأ اللّه به الأرض قسطا و عدلا کما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اطلقت الشیعة فی زماننا تنصرف إلی الشیعة الإمامیة، و أمّا غیرهم کالزیدیة و الاسماعیلیة فیحتاج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کانت الفرق الشیعیة الاخری موجودة فی عصر الأئمّة و بعده، و لأجل ذلک جاء أسماء عدّة من فرق الشیعة فی أسناد الروایات، فلأجل ذلک نبحث عن الفرق الشائعة الرائجة فی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بقلیل، و إن شرب علیهم الدهر و أبادتهم و أهلکتهم، فلم یبق منهم أثر فی الأزمنة الأخیرة، و إلیک بیانها</w:t>
      </w:r>
      <w:r>
        <w:rPr>
          <w:rFonts w:eastAsia="IRNazanin" w:cs="IRNazanin"/>
          <w:color w:val="111111"/>
          <w:sz w:val="28"/>
          <w:szCs w:val="28"/>
          <w:rtl w:val="true"/>
          <w:lang w:bidi="fa-IR"/>
        </w:rPr>
        <w:t>:</w:t>
      </w:r>
    </w:p>
    <w:p>
      <w:pPr>
        <w:pStyle w:val="Heading3"/>
        <w:numPr>
          <w:ilvl w:val="2"/>
          <w:numId w:val="1"/>
        </w:numPr>
        <w:rPr/>
      </w:pPr>
      <w:bookmarkStart w:id="537" w:name="__RefHeading___Toc2760154_1395250215"/>
      <w:bookmarkStart w:id="538" w:name="_Toc181"/>
      <w:bookmarkEnd w:id="537"/>
      <w:r>
        <w:rPr/>
        <w:t>1</w:t>
      </w:r>
      <w:r>
        <w:rPr>
          <w:rtl w:val="true"/>
        </w:rPr>
        <w:t xml:space="preserve"> - </w:t>
      </w:r>
      <w:r>
        <w:rPr>
          <w:rtl w:val="true"/>
        </w:rPr>
        <w:t>الکیسانیة</w:t>
      </w:r>
      <w:bookmarkEnd w:id="53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کیسان مولی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539" w:name="pg2858_19814"/>
    </w:p>
    <w:p>
      <w:pPr>
        <w:pStyle w:val="BookText"/>
        <w:rPr/>
      </w:pPr>
      <w:bookmarkEnd w:id="539"/>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المختار بن أبی عبیدة الثقفی، و علی کلّ تقدیر، هم الذین یعتقدون بامامة محمّد بن الحنفیة بعد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 بل بعد الحسن و الحسین و کان کیسان یدعو الناس إلیه و قد نسب إلی تلک الفرقة عقائد سخیفة فی کتاب الملل و النحل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منصور عبد القاهر بن طاهر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الکیسانیة یرجع محصّلها إلی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تزعم أنّ محمّد بن الحنفیة حیّ لم یمت، و هم علی انتظاره و یزعمون أنّه المهدیّ المنتظر، و الفرقة الثانیة منهم یقرّون بامامته فی وقته و بموته و ینقلون الإمامة بعد موته إلی غیره و یختلفون بعد ذلک فی المنقول إلیه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السیّد الحمیری أیّام عدم استبصاره یذهب مسلک الکیسانیة، و إن رجع عنه و استبصر، و قد قال فی ذلک الزمان أشعاره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الائمّة من قریش ولاة الحق، أربعا سواء</w:t>
      </w:r>
    </w:p>
    <w:p>
      <w:pPr>
        <w:pStyle w:val="BookText"/>
        <w:rPr/>
      </w:pPr>
      <w:r>
        <w:rPr>
          <w:rFonts w:ascii="IRNazanin" w:hAnsi="IRNazanin" w:eastAsia="IRNazanin"/>
          <w:color w:val="111111"/>
          <w:sz w:val="28"/>
          <w:sz w:val="28"/>
          <w:szCs w:val="28"/>
          <w:rtl w:val="true"/>
          <w:lang w:bidi="fa-IR"/>
        </w:rPr>
        <w:t>علیّ و الثلاثة من بنیه هم الأسباط لیس بهم خفاء</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ثمّ إنّ الکیسانیّة تفرّقوا إلی هاشمیّة، إلی بیانیّة، إلی رزامیة، و لا حاجة إلی البحث عن عقائدهم و من أراد فلیراجع إلی محالّها</w:t>
      </w:r>
      <w:r>
        <w:rPr>
          <w:rFonts w:eastAsia="IRNazanin" w:cs="IRNazanin"/>
          <w:color w:val="111111"/>
          <w:sz w:val="28"/>
          <w:szCs w:val="28"/>
          <w:rtl w:val="true"/>
          <w:lang w:bidi="fa-IR"/>
        </w:rPr>
        <w:t>.</w:t>
      </w:r>
    </w:p>
    <w:p>
      <w:pPr>
        <w:pStyle w:val="Heading3"/>
        <w:numPr>
          <w:ilvl w:val="2"/>
          <w:numId w:val="1"/>
        </w:numPr>
        <w:rPr/>
      </w:pPr>
      <w:bookmarkStart w:id="540" w:name="__RefHeading___Toc2760156_1395250215"/>
      <w:bookmarkStart w:id="541" w:name="_Toc182"/>
      <w:bookmarkEnd w:id="540"/>
      <w:r>
        <w:rPr/>
        <w:t>2</w:t>
      </w:r>
      <w:r>
        <w:rPr>
          <w:rtl w:val="true"/>
        </w:rPr>
        <w:t xml:space="preserve"> - </w:t>
      </w:r>
      <w:r>
        <w:rPr>
          <w:rtl w:val="true"/>
        </w:rPr>
        <w:t>الزیدیة</w:t>
      </w:r>
      <w:bookmarkEnd w:id="541"/>
    </w:p>
    <w:p>
      <w:pPr>
        <w:pStyle w:val="Heading4"/>
        <w:numPr>
          <w:ilvl w:val="3"/>
          <w:numId w:val="1"/>
        </w:numPr>
        <w:rPr/>
      </w:pPr>
      <w:bookmarkStart w:id="542" w:name="__RefHeading___Toc2760158_1395250215"/>
      <w:bookmarkStart w:id="543" w:name="_Toc183"/>
      <w:bookmarkEnd w:id="542"/>
      <w:r>
        <w:rPr>
          <w:rtl w:val="true"/>
        </w:rPr>
        <w:t>اشارة</w:t>
      </w:r>
      <w:bookmarkEnd w:id="54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أتباع زید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عدلوا عن إمامة الامام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إمامة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ساقوا الإمامة فی أولاد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یجوّزوا </w:t>
      </w:r>
      <w:bookmarkStart w:id="544" w:name="pg2858_19815"/>
    </w:p>
    <w:p>
      <w:pPr>
        <w:pStyle w:val="BookText"/>
        <w:rPr/>
      </w:pPr>
      <w:bookmarkEnd w:id="544"/>
      <w:r>
        <w:rPr>
          <w:rFonts w:ascii="IRNazanin" w:hAnsi="IRNazanin" w:eastAsia="IRNazanin"/>
          <w:color w:val="111111"/>
          <w:sz w:val="28"/>
          <w:sz w:val="28"/>
          <w:szCs w:val="28"/>
          <w:rtl w:val="true"/>
          <w:lang w:bidi="fa-IR"/>
        </w:rPr>
        <w:t xml:space="preserve">ثبوت الإمامة فی غیرهم، إلاّ أنّهم جوّزوا أن یکون کلّ فاطمیّ عالم شجاع سخیّ خرج بالإمامة، اماما واجب الطاعة سواء کان من أولاد الحسن أو من أولاد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قتل زید بن علی و صلب سنة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قام بالإمامة بعده یحیی بن زید و مضی إلی خراسان و اجتمعت علیه جماعة کثیرة، و قد وصل إلیه الخبر من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یقتل کما قتل أبوه، و یصلب کما صلب أبوه، فجری علیه الأمر کما اخبر فی سنة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 قد فوّض الأمر بعده إلی محمّد و إبراهیم اللّذین خرجا بالمدینة، و مضی إبراهیم إلی البصرة و اجتمع الناس علیه و قتل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بن علیّ قتل بکناسة الکوفة، قتله هشام بن عبد الملک، و یحیی ابن زید قتل بجوزجان خراسان، قتله أمیرها، و محمّد الإمام قتل بالمدینة، قتله عیسی بن ماهان، و إبراهیم الامام قتل بالبصرة أمر بقتله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الزیدیة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الجارودیة، و السلیمانیة، و 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الصالحیّة منهم و البتریّة علی مذهب واحد</w:t>
      </w:r>
      <w:r>
        <w:rPr>
          <w:rFonts w:eastAsia="IRNazanin" w:cs="IRNazanin"/>
          <w:color w:val="111111"/>
          <w:sz w:val="28"/>
          <w:szCs w:val="28"/>
          <w:rtl w:val="true"/>
          <w:lang w:bidi="fa-IR"/>
        </w:rPr>
        <w:t>.</w:t>
      </w:r>
    </w:p>
    <w:p>
      <w:pPr>
        <w:pStyle w:val="Heading4"/>
        <w:numPr>
          <w:ilvl w:val="3"/>
          <w:numId w:val="1"/>
        </w:numPr>
        <w:rPr/>
      </w:pPr>
      <w:bookmarkStart w:id="545" w:name="__RefHeading___Toc2760160_1395250215"/>
      <w:bookmarkStart w:id="546" w:name="_Toc184"/>
      <w:bookmarkEnd w:id="545"/>
      <w:r>
        <w:rPr>
          <w:rtl w:val="true"/>
        </w:rPr>
        <w:t xml:space="preserve">الف </w:t>
      </w:r>
      <w:r>
        <w:rPr>
          <w:rtl w:val="true"/>
        </w:rPr>
        <w:t xml:space="preserve">- </w:t>
      </w:r>
      <w:r>
        <w:rPr>
          <w:rtl w:val="true"/>
        </w:rPr>
        <w:t>الجارودیة</w:t>
      </w:r>
      <w:r>
        <w:rPr>
          <w:rtl w:val="true"/>
        </w:rPr>
        <w:t>:</w:t>
      </w:r>
      <w:bookmarkEnd w:id="546"/>
    </w:p>
    <w:p>
      <w:pPr>
        <w:pStyle w:val="BookText"/>
        <w:rPr/>
      </w:pPr>
      <w:r>
        <w:rPr>
          <w:rFonts w:ascii="IRNazanin" w:hAnsi="IRNazanin" w:eastAsia="IRNazanin"/>
          <w:color w:val="111111"/>
          <w:sz w:val="28"/>
          <w:sz w:val="28"/>
          <w:szCs w:val="28"/>
          <w:rtl w:val="true"/>
          <w:lang w:bidi="fa-IR"/>
        </w:rPr>
        <w:t>أصحاب أبی الجارود زیاد بن المنذر، و قد نقل عنهم الشهرستانی بأنّهم زعموا أنّ النبی نصّ علی علیّ بالوصف دون التسمیة، و قد خالفوا فی هذه المقالة إمامهم زید بن علیّ، فإنّه لم یعتقد هذا الاعتقاد و قد وردت فی ذمّ أبی الجارود روایات فی رجال الکشی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أبو الجارود الهمدانی الخارفی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أصحاب أبی جعفر و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تغیّر لما خرج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تفسیر القرآن، رواه عن أبی جعفر علیه السلام</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تفسیره هذا هو الذی بثّه تلمیذ القمی فی تفسیره، کما </w:t>
      </w:r>
      <w:bookmarkStart w:id="547" w:name="pg2858_19816"/>
    </w:p>
    <w:p>
      <w:pPr>
        <w:pStyle w:val="BookText"/>
        <w:rPr/>
      </w:pPr>
      <w:bookmarkEnd w:id="547"/>
      <w:r>
        <w:rPr>
          <w:rFonts w:ascii="IRNazanin" w:hAnsi="IRNazanin" w:eastAsia="IRNazanin"/>
          <w:color w:val="111111"/>
          <w:sz w:val="28"/>
          <w:sz w:val="28"/>
          <w:szCs w:val="28"/>
          <w:rtl w:val="true"/>
          <w:lang w:bidi="fa-IR"/>
        </w:rPr>
        <w:t>أوضحنا حاله، و الرجل انحرف عن إمامة أبی جعفر بعد خروج زید أخیه، و أسّس المذهب الجارودیة</w:t>
      </w:r>
      <w:r>
        <w:rPr>
          <w:rFonts w:eastAsia="IRNazanin" w:cs="IRNazanin"/>
          <w:color w:val="111111"/>
          <w:sz w:val="28"/>
          <w:szCs w:val="28"/>
          <w:rtl w:val="true"/>
          <w:lang w:bidi="fa-IR"/>
        </w:rPr>
        <w:t>.</w:t>
      </w:r>
    </w:p>
    <w:p>
      <w:pPr>
        <w:pStyle w:val="Heading4"/>
        <w:numPr>
          <w:ilvl w:val="3"/>
          <w:numId w:val="1"/>
        </w:numPr>
        <w:rPr/>
      </w:pPr>
      <w:bookmarkStart w:id="548" w:name="__RefHeading___Toc2760162_1395250215"/>
      <w:bookmarkStart w:id="549" w:name="_Toc185"/>
      <w:bookmarkEnd w:id="548"/>
      <w:r>
        <w:rPr>
          <w:rtl w:val="true"/>
        </w:rPr>
        <w:t xml:space="preserve">ب </w:t>
      </w:r>
      <w:r>
        <w:rPr>
          <w:rtl w:val="true"/>
        </w:rPr>
        <w:t xml:space="preserve">- </w:t>
      </w:r>
      <w:r>
        <w:rPr>
          <w:rtl w:val="true"/>
        </w:rPr>
        <w:t>السلیمانیة</w:t>
      </w:r>
      <w:r>
        <w:rPr>
          <w:rtl w:val="true"/>
        </w:rPr>
        <w:t>:</w:t>
      </w:r>
      <w:bookmarkEnd w:id="549"/>
    </w:p>
    <w:p>
      <w:pPr>
        <w:pStyle w:val="BookText"/>
        <w:rPr/>
      </w:pPr>
      <w:r>
        <w:rPr>
          <w:rFonts w:ascii="IRNazanin" w:hAnsi="IRNazanin" w:eastAsia="IRNazanin"/>
          <w:color w:val="111111"/>
          <w:sz w:val="28"/>
          <w:sz w:val="28"/>
          <w:szCs w:val="28"/>
          <w:rtl w:val="true"/>
          <w:lang w:bidi="fa-IR"/>
        </w:rPr>
        <w:t>و هم أصحاب سلیمان بن جریر،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شوری فی ما بین الخلق، و یصحّ أن تنعقد بعقد رجلین من خیار المسلمین، و أنّها تصحّ فی المفضول مع وجود الأفضل، و قالوا إنّ الامّة أخطأت فی البیعة لهما مع وجود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لا یبلغ درجة الفسق، و ذلک الخطأ خطأ اجتهادی، غیر أنّه طعن فی عثمان للأحداث الّتی أحدثها و کفّره بذلک</w:t>
      </w:r>
      <w:r>
        <w:rPr>
          <w:rFonts w:eastAsia="IRNazanin" w:cs="IRNazanin"/>
          <w:color w:val="111111"/>
          <w:sz w:val="28"/>
          <w:szCs w:val="28"/>
          <w:rtl w:val="true"/>
          <w:lang w:bidi="fa-IR"/>
        </w:rPr>
        <w:t>.</w:t>
      </w:r>
    </w:p>
    <w:p>
      <w:pPr>
        <w:pStyle w:val="Heading4"/>
        <w:numPr>
          <w:ilvl w:val="3"/>
          <w:numId w:val="1"/>
        </w:numPr>
        <w:rPr/>
      </w:pPr>
      <w:bookmarkStart w:id="550" w:name="__RefHeading___Toc2760164_1395250215"/>
      <w:bookmarkStart w:id="551" w:name="_Toc186"/>
      <w:bookmarkEnd w:id="550"/>
      <w:r>
        <w:rPr>
          <w:rtl w:val="true"/>
        </w:rPr>
        <w:t xml:space="preserve">ج </w:t>
      </w:r>
      <w:r>
        <w:rPr>
          <w:rtl w:val="true"/>
        </w:rPr>
        <w:t xml:space="preserve">- </w:t>
      </w:r>
      <w:r>
        <w:rPr>
          <w:rtl w:val="true"/>
        </w:rPr>
        <w:t>الصالحیة و البتریة</w:t>
      </w:r>
      <w:r>
        <w:rPr>
          <w:rtl w:val="true"/>
        </w:rPr>
        <w:t>:</w:t>
      </w:r>
      <w:bookmarkEnd w:id="551"/>
    </w:p>
    <w:p>
      <w:pPr>
        <w:pStyle w:val="BookText"/>
        <w:rPr/>
      </w:pPr>
      <w:r>
        <w:rPr>
          <w:rFonts w:ascii="IRNazanin" w:hAnsi="IRNazanin" w:eastAsia="IRNazanin"/>
          <w:color w:val="111111"/>
          <w:sz w:val="28"/>
          <w:sz w:val="28"/>
          <w:szCs w:val="28"/>
          <w:rtl w:val="true"/>
          <w:lang w:bidi="fa-IR"/>
        </w:rPr>
        <w:t>الصالحیة، أصحاب الحسن بن صالح بن حیّ، و البتریة، أصحاب کثیر، و هما متّفقان فی المذهب و قولهم فی الامامة کقول السلیمانیة، إلاّ أنّهم توقّفوا فی أمر عثمان أهو مؤمن أم کافر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القاهر بن طاهر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الزیدیّة فمعظمها ثلاث فرق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الجارودیّة و السلیمانیة و قد یقال الجریریة أیضا، و البتریة، و هذه الفرق الثلاث یجمعها القول بامامة زید بن علیّ بن الحسین فی أیّام خروجه، و کان ذلک فی زمن هشام بن عبد الملک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النوبختی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أعلام القرن الثالث ذکر فرق الزیدیة فی کلام مبسوط</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2760166_1395250215"/>
      <w:bookmarkStart w:id="553" w:name="_Toc187"/>
      <w:bookmarkEnd w:id="552"/>
      <w:r>
        <w:rPr/>
        <w:t>3</w:t>
      </w:r>
      <w:r>
        <w:rPr>
          <w:rtl w:val="true"/>
        </w:rPr>
        <w:t xml:space="preserve"> - </w:t>
      </w:r>
      <w:r>
        <w:rPr>
          <w:rtl w:val="true"/>
        </w:rPr>
        <w:t>الناووسیة</w:t>
      </w:r>
      <w:bookmarkEnd w:id="55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الذین قالوا إنّ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لم یمت و لا یموت حتّی یظهر و یلی امور الناس، و أنّه هو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زعموا </w:t>
      </w:r>
      <w:bookmarkStart w:id="554" w:name="pg2858_19817"/>
    </w:p>
    <w:p>
      <w:pPr>
        <w:pStyle w:val="BookText"/>
        <w:rPr/>
      </w:pPr>
      <w:bookmarkEnd w:id="554"/>
      <w:r>
        <w:rPr>
          <w:rFonts w:ascii="IRNazanin" w:hAnsi="IRNazanin" w:eastAsia="IRNazanin"/>
          <w:color w:val="111111"/>
          <w:sz w:val="28"/>
          <w:sz w:val="28"/>
          <w:szCs w:val="28"/>
          <w:rtl w:val="true"/>
          <w:lang w:bidi="fa-IR"/>
        </w:rPr>
        <w:t>أنّهم رووا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رأیتم رأسی قد أهوی علیکم من جبل فلا تصدّقوه، فإنّی أنا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من یخبرکم عنّی أنّه غسّلنی و کفّننی فلا تصدّقوه، فإنّی صاحبکم 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الفرقة تسمّی الناووسیة، و سمّیت بذلک لرئیس لهم من أهل البصرة یقال له فلان بن فلان الناووس</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أتباع رجل من أهل البصرة کان ینتسب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هم یسوقون الإمامة إلی جعفر الصادق بنصّ الباقر علیه و أنّه المهدیّ المنتظر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الشهرستانی قریبا منه؛ غیر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أتباع رجل یقال له ناووس</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2760168_1395250215"/>
      <w:bookmarkStart w:id="556" w:name="_Toc188"/>
      <w:bookmarkEnd w:id="555"/>
      <w:r>
        <w:rPr/>
        <w:t>4</w:t>
      </w:r>
      <w:r>
        <w:rPr>
          <w:rtl w:val="true"/>
        </w:rPr>
        <w:t xml:space="preserve"> - </w:t>
      </w:r>
      <w:r>
        <w:rPr>
          <w:rtl w:val="true"/>
        </w:rPr>
        <w:t>الإسماعیلیة</w:t>
      </w:r>
      <w:bookmarkEnd w:id="556"/>
    </w:p>
    <w:p>
      <w:pPr>
        <w:pStyle w:val="BookText"/>
        <w:rPr/>
      </w:pPr>
      <w:r>
        <w:rPr>
          <w:rFonts w:ascii="IRNazanin" w:hAnsi="IRNazanin" w:eastAsia="IRNazanin"/>
          <w:color w:val="111111"/>
          <w:sz w:val="28"/>
          <w:sz w:val="28"/>
          <w:szCs w:val="28"/>
          <w:rtl w:val="true"/>
          <w:lang w:bidi="fa-IR"/>
        </w:rPr>
        <w:t xml:space="preserve">هم طائفة یقولون إنّ الإمام بعد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ابنه إسماعیل، إلاّ أنّهم اختلفوا فی موته فی حال حیاة أبیه،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إلاّ أنّه أظهر موته تقیّة من خلفاء بنی العبّاس،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 صحیح، و النصّ لا یرجع قهقری، و الفائدة فی النصّ بقاء الإمامة فی أولاد المنصوص علیه دون غیرهم، فالإمام بعد إسماعیل هو محمّد بن إسماعیل، و هؤلاء یقال لهم المبارکیة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منهم من وقف علی محمّد بن إسماعیل و قال برجعته بعد غیبته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ساق الإمامة فی المستورین منهم، ثمّ فی الظاهرین القائمین </w:t>
      </w:r>
    </w:p>
    <w:p>
      <w:pPr>
        <w:pStyle w:val="BookText"/>
        <w:rPr/>
      </w:pPr>
      <w:r>
        <w:rPr>
          <w:rFonts w:ascii="IRNazanin" w:hAnsi="IRNazanin" w:eastAsia="IRNazanin"/>
          <w:color w:val="111111"/>
          <w:sz w:val="28"/>
          <w:sz w:val="28"/>
          <w:szCs w:val="28"/>
          <w:rtl w:val="true"/>
          <w:lang w:bidi="fa-IR"/>
        </w:rPr>
        <w:t>من بعدهم و هم الباطنیة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القاهر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الاسماعیلیة ساقوا الإمامة إلی جعفر و زعموا أنّ الإمام بعده إسماعیل و افترق هؤلاء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منتظرة لإسماعیل بن جعفر مع اتّفاق أصحاب التواریخ علی موت إسماعیل فی حیاة أبیه، و 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بعد جعفر، سبطه محمّد بن إسماعیل بن جعفر، حیث إنّ جعفرا نصب ابنه إسماعیل للإمامة بعده، فلمّا مات إسماعیل فی حیاة أبیه علمنا أنّه إنّما نصّب ابنه إسماعیل، للدلالة علی إمامة ابنه محمّد بن اسماعیل و إلی هذا القول مالت الاسماعیلیة من الباطنیة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زعمت أنّ الإمام بعد جعفر بن محمّد، ابنه إسماعیل بن جعفر و أنکرت موت اسماعیل فی حیاة أبیه،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علی جهة التلبیس من أبیه علی الناس، لأنّه خاف فغیّبه عنهم، و زعموا أنّ إسماعیل لا یموت حتّی یملک الأرض و یقوم بأمر الناس، و أنّه هو القائم لانّ أباه أشار الیه بالإمامة بعده، و قلّدهم ذلک له و أخبرهم أنّه صاحبه، و الإمام لا یقول إلاّ الحقّ، فلمّا ظهر موته علمنا أنّه قد صدق و أنّه القائم و أنّه لم یمت و هذه الفرقة هی الاسماعیلیة الخالصة</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نلفت نظر القاریء إلی أنّ الإمام حسب عقیدة الشیعة الإمامیة لم یقل بامامة إسماعیل قطّ، و إنّما الناس کانوا یزعمون ذلک لکبره و ما تسالموا علیه من أنّ الأمر فی الأکبر ما لم یکن به عاهة</w:t>
      </w:r>
      <w:r>
        <w:rPr>
          <w:rFonts w:eastAsia="IRNazanin" w:cs="IRNazanin"/>
          <w:color w:val="111111"/>
          <w:sz w:val="28"/>
          <w:szCs w:val="28"/>
          <w:rtl w:val="true"/>
          <w:lang w:bidi="fa-IR"/>
        </w:rPr>
        <w:t xml:space="preserve">. </w:t>
      </w:r>
      <w:bookmarkStart w:id="557" w:name="pg2858_19819"/>
    </w:p>
    <w:p>
      <w:pPr>
        <w:pStyle w:val="Heading3"/>
        <w:numPr>
          <w:ilvl w:val="2"/>
          <w:numId w:val="1"/>
        </w:numPr>
        <w:rPr/>
      </w:pPr>
      <w:bookmarkStart w:id="558" w:name="__RefHeading___Toc2760170_1395250215"/>
      <w:bookmarkStart w:id="559" w:name="_Toc189"/>
      <w:bookmarkEnd w:id="557"/>
      <w:bookmarkEnd w:id="558"/>
      <w:r>
        <w:rPr/>
        <w:t>5</w:t>
      </w:r>
      <w:r>
        <w:rPr>
          <w:rtl w:val="true"/>
        </w:rPr>
        <w:t xml:space="preserve"> - </w:t>
      </w:r>
      <w:r>
        <w:rPr>
          <w:rtl w:val="true"/>
        </w:rPr>
        <w:t>الفطحیة أو الافطحیة</w:t>
      </w:r>
      <w:bookmarkEnd w:id="559"/>
    </w:p>
    <w:p>
      <w:pPr>
        <w:pStyle w:val="BookText"/>
        <w:rPr/>
      </w:pPr>
      <w:r>
        <w:rPr>
          <w:rFonts w:ascii="IRNazanin" w:hAnsi="IRNazanin" w:eastAsia="IRNazanin"/>
          <w:color w:val="111111"/>
          <w:sz w:val="28"/>
          <w:sz w:val="28"/>
          <w:szCs w:val="28"/>
          <w:rtl w:val="true"/>
          <w:lang w:bidi="fa-IR"/>
        </w:rPr>
        <w:t>و هم الذین یقولون بانتقال الإمامة من الصادق إلی ابنه عبد اللّه الأفطح، و هو أخو إسماعیل من أبیه و أمّه و کان أسنّ أولاد الصّادق، زعموا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فی أکبر اولاد الإمام، و هو ما عاش بعد أبیه إلاّ سبعین یوما و مات و لم یعقب له ولدا ذکرا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سمّاهم عبد القاهر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العمّاریة، و هم منسوبون إلی زعیم منهم یسمّی عمارین، و هم یسوقون الإمامة إلی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زعموا أنّ الإمام بعده ولده عبد اللّه و کان أکبر أولاده و لهذا قیل لأتباعه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الأفطحیة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الفرقة هی القائلة بامامة عبد اللّه بن جعفر، و سمّوا الفطحیّة لأنّ عبد اللّه کان أفطح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إلی هذه الفرقة جلّ مشایخ الشّیعة و فقهائهم و لم یشکّوا فی أنّ الإمامة فی عبد اللّه بن جعفر و فی ولده من بعده، فمات عبد اللّه و لم یخلف ذکرا، فرجع عامّة الفطحیّة عن القول بإمامته سوی قلیل منهم الی القول بإمامة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کان رجع جماعة منهم فی حیاة عبد اللّه إلی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عامّتهم بعد وفاته عن القول به، و بقی بعضهم علی القول بإمامته، ثمّ إمامة موسی بن جعفر من بعده و عاش عبد اللّه بن جعفر بعد أبیه سبعین یوما أو نحوها</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560" w:name="pg2858_19820"/>
    </w:p>
    <w:p>
      <w:pPr>
        <w:pStyle w:val="Heading3"/>
        <w:numPr>
          <w:ilvl w:val="2"/>
          <w:numId w:val="1"/>
        </w:numPr>
        <w:rPr/>
      </w:pPr>
      <w:bookmarkStart w:id="561" w:name="__RefHeading___Toc2760172_1395250215"/>
      <w:bookmarkStart w:id="562" w:name="_Toc190"/>
      <w:bookmarkEnd w:id="560"/>
      <w:bookmarkEnd w:id="561"/>
      <w:r>
        <w:rPr/>
        <w:t>6</w:t>
      </w:r>
      <w:r>
        <w:rPr>
          <w:rtl w:val="true"/>
        </w:rPr>
        <w:t xml:space="preserve"> - </w:t>
      </w:r>
      <w:r>
        <w:rPr>
          <w:rtl w:val="true"/>
        </w:rPr>
        <w:t>الواقفة</w:t>
      </w:r>
      <w:bookmarkEnd w:id="562"/>
    </w:p>
    <w:p>
      <w:pPr>
        <w:pStyle w:val="BookText"/>
        <w:rPr/>
      </w:pPr>
      <w:r>
        <w:rPr>
          <w:rFonts w:ascii="IRNazanin" w:hAnsi="IRNazanin" w:eastAsia="IRNazanin"/>
          <w:color w:val="111111"/>
          <w:sz w:val="28"/>
          <w:sz w:val="28"/>
          <w:szCs w:val="28"/>
          <w:rtl w:val="true"/>
          <w:lang w:bidi="fa-IR"/>
        </w:rPr>
        <w:t xml:space="preserve">و هم الّذین ساقوا الإمامة إلی جعفر بن محمّد، ثمّ زعموا أنّ الإمام بعد جعفر کان ابنه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زعموا أنّ موسی بن جعفر حیّ لم یمت، و أنّه المهدیّ المنتظر، و قالوا إنّه دخل دار الرشید و لم یخرج منها و قد علمنا إمامته و شککنا فی موته فلا نحکم فی موته إلاّ بتعیین، هذا مع أنّ مشهد موسی بن جعفر معروف من بغداد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موسی بن جعفر هو الّذی تولّی أمر الصادق و قام به بعد موت أبیه و رجع إلیه الشیعة و اجتمعت علیه مثل المفضّل بن عمر و زرارة بن أعین و عمّار الساباطی، ثمّ إنّ موسی لمّا خرج و أظهر الإمامة حمله هارون الرشید من المدینة، فحبسه عند عیسی بن جعفر، ثمّ أشخصه إلی بغداد عند السندی بن شاهک، و قیل إنّ یحیی بن خالد بن برمک سمّه فی رطب فقتله، ثمّ اخرج و دفن فی مقابر قریش و اختلفت الشیعة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توقّف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و سیخرج بعد الغیبة و یقال لهم الواقفیة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وجوه أصحاب أبی عبد اللّه ثبتوا علی إمامة موسی بن جعفر، حتّی رجع إلی مقالتهم عامّة من کان قال بامامة عبد اللّه بن جعفر فاجتمعوا جمیعا علی إمامة موسی بن جعفر، ثمّ إنّ جماعة المؤمنین بموسی بن جعفر بعد ما مات موسی فی حبس الرشید صاروا خمس فرق، فمن قال مات و رفعه اللّه إلیه و أنّه یردّه عند قیامه فسمّوا هؤلاء الواقفیة</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هؤلاء لم یشیروا إلی أنّه کیف برزت تلک الفرقة و لکنّ أبا عمرو </w:t>
      </w:r>
    </w:p>
    <w:p>
      <w:pPr>
        <w:pStyle w:val="BookText"/>
        <w:rPr/>
      </w:pPr>
      <w:r>
        <w:rPr>
          <w:rFonts w:ascii="IRNazanin" w:hAnsi="IRNazanin" w:eastAsia="IRNazanin"/>
          <w:color w:val="111111"/>
          <w:sz w:val="28"/>
          <w:sz w:val="28"/>
          <w:szCs w:val="28"/>
          <w:rtl w:val="true"/>
          <w:lang w:bidi="fa-IR"/>
        </w:rPr>
        <w:t>الکشّی صاحب الرجال المعروف قد کشف الستر عن کیفیّة نشوء هذه الفرقة و قال ما هذا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بدء الواقفیّة أنّه کان اجتمع ثلاثون ألف رجلا عند الأشاعثة لزکاة أموالهم و ما کان یجب علیهم فیها، فحملوها إلی وکیلین لموسی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أحدهما حنّان السراج و آخر کان معه و کان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الحبس، فاتّخذا بذلک دورا و عقارا و اشتریا الغلاّت، فلمّا مات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انتهی الخبر إلیهما، أنکرا موته و أذاعا فی الشّیعة أنّه لا یموت، لأنّه القائم، فاعتمدت علیهما طائفة من الشیعة و انتشر قولهما فی الناس حتّی کان عند موتهما أوصیا بدفع المال إلی ورثة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استبان للّشیعة أنّهما إنّما قالا ذلک حرصا علی المال</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إطلاق الوقف ینصرف إلی من وقف علی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ینصرف إلی غیرهم إلاّ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یطلق علی من وقف علی الکاظم من الائمّة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یستفاد من الروایات المرویّة فی رجال الکشّی فی ترجمة یحیی بن أبی القاسم إطلاق الوقف فی حال حیاة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یعلم أنّ الواقفیة صنفان، صنف منهم وقفوا علی الکاظم فی زمانه و اعتقدوا کونه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ماتوا فی زمانه کسماعة، و صنف وقفوا علیه بعد موته و لا یصحّ تضلیل من وقف علی الکاظم فی زمان حیاته لشبهة حصلت له، لأنّه عرف إمام زمانه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هنا کلمة قیّمة للوحید البهبهانی، یرشدنا إلی علّة حصول شبهة الوقف فی بعض الشیعة و هو أنّ الشیعة من فرط حبّهم دولة الائمّة و شدّة تمنّیهم إیّاها و بسبب الشدائد و المحن الّتی کانت علیهم و علی أئمّتهم، کانوا دائما </w:t>
      </w:r>
      <w:bookmarkStart w:id="563" w:name="pg2858_19822"/>
    </w:p>
    <w:p>
      <w:pPr>
        <w:pStyle w:val="BookText"/>
        <w:rPr/>
      </w:pPr>
      <w:bookmarkEnd w:id="563"/>
      <w:r>
        <w:rPr>
          <w:rFonts w:ascii="IRNazanin" w:hAnsi="IRNazanin" w:eastAsia="IRNazanin"/>
          <w:color w:val="111111"/>
          <w:sz w:val="28"/>
          <w:sz w:val="28"/>
          <w:szCs w:val="28"/>
          <w:rtl w:val="true"/>
          <w:lang w:bidi="fa-IR"/>
        </w:rPr>
        <w:t xml:space="preserve">مشتاقین إلی دولة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متوقّعین لوقوعه عن قریب، و لأجل ذلک قیل إنّ الشیعة تربّی بالأمانی، و من ذلک أنّهم کانوا کثیرا ما یسألون عن أئمّتهم عن قائمهم، فلربّما قال واحد منهم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 یجیء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 لخواطرهم، تصوّروا أنّ المراد هو الذی یجیء بعد ذلک الإمام بلا فاصلة و هم من فرط میل قلوبهم و زیادة حرصهم ربّما کانوا لا یتفطّنون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2760174_1395250215"/>
      <w:bookmarkStart w:id="565" w:name="_Toc191"/>
      <w:bookmarkEnd w:id="564"/>
      <w:r>
        <w:rPr/>
        <w:t>7</w:t>
      </w:r>
      <w:r>
        <w:rPr>
          <w:rtl w:val="true"/>
        </w:rPr>
        <w:t xml:space="preserve"> - </w:t>
      </w:r>
      <w:r>
        <w:rPr>
          <w:rtl w:val="true"/>
        </w:rPr>
        <w:t>الخطابیة</w:t>
      </w:r>
      <w:bookmarkEnd w:id="565"/>
    </w:p>
    <w:p>
      <w:pPr>
        <w:pStyle w:val="BookText"/>
        <w:rPr/>
      </w:pPr>
      <w:r>
        <w:rPr>
          <w:rFonts w:ascii="IRNazanin" w:hAnsi="IRNazanin" w:eastAsia="IRNazanin"/>
          <w:color w:val="111111"/>
          <w:sz w:val="28"/>
          <w:sz w:val="28"/>
          <w:szCs w:val="28"/>
          <w:rtl w:val="true"/>
          <w:lang w:bidi="fa-IR"/>
        </w:rPr>
        <w:t xml:space="preserve">و هم فرقة یتظاهرون بالوهیّة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محمّد بن مقلاص أبا زینب الأسدی الکوفی الأجدع، البرار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مرسل، أمر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 و هم أحلّوا المحارم و ترکوا الفرائض، و قد أورد الکشّی فی رجاله روایات کثیرة فی ذمّه و قد قتله عیسی بن موسی صاحب المنصور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ذکر أبو الخطّاب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الخطّاب فانّه خوّفنی قائما و قاعدا و علی فراشی، اللهمّ أذقه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إبراهیم بن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اؤخّر المغرب حتّی تستبین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خطّابیة إنّ جبرائیل أنزلها علی رسوله حین سقط القرص</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أیضا عن یونس بن عبد الرحمن،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إلی أبی الخطّاب بلغنی أنّک تزعم أنّ الزنا رجل، و أنّ الخمر رجل، و أنّ الصلاة رجل، و الصیام رجل، و الفواحش رجل و لیس هو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أصل الحقّ، و فروع الحقّ طاعة اللّه، و عدوّنا أصل الشر، </w:t>
      </w:r>
      <w:bookmarkStart w:id="566" w:name="pg2858_19823"/>
    </w:p>
    <w:p>
      <w:pPr>
        <w:pStyle w:val="BookText"/>
        <w:rPr/>
      </w:pPr>
      <w:bookmarkEnd w:id="566"/>
      <w:r>
        <w:rPr>
          <w:rFonts w:ascii="IRNazanin" w:hAnsi="IRNazanin" w:eastAsia="IRNazanin"/>
          <w:color w:val="111111"/>
          <w:sz w:val="28"/>
          <w:sz w:val="28"/>
          <w:szCs w:val="28"/>
          <w:rtl w:val="true"/>
          <w:lang w:bidi="fa-IR"/>
        </w:rPr>
        <w:t>و فروعهم الفواحش، و کیف یطاع من لا یعرف و کیف یعرف من لا یطاع؟</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الخطابیة لمّا بلغهم أنّ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و برأ منه و من أصحابه تفرّقوا أربع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عزی نفسه إلی أبی عبد اللّه جعفر بن محمد الصادق و لمّا وقف الصادق علی غلوّه الباطل فی حقّه، تبرّأ منه و لعنه و أمر أصحابه بالبراءة منه، و شدّد القول فی ذلک، و بالغ فی التبرّی منه و اللعن علیه فلمّا اعتزل عنه ادّعی الإمامة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قسما من آرائه الفاسدة و الفرق المنتمیة إلیه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2760176_1395250215"/>
      <w:bookmarkStart w:id="568" w:name="_Toc192"/>
      <w:bookmarkEnd w:id="567"/>
      <w:r>
        <w:rPr/>
        <w:t>8</w:t>
      </w:r>
      <w:r>
        <w:rPr>
          <w:rtl w:val="true"/>
        </w:rPr>
        <w:t xml:space="preserve"> - </w:t>
      </w:r>
      <w:r>
        <w:rPr>
          <w:rtl w:val="true"/>
        </w:rPr>
        <w:t>المغیریة</w:t>
      </w:r>
      <w:bookmarkEnd w:id="568"/>
    </w:p>
    <w:p>
      <w:pPr>
        <w:pStyle w:val="BookText"/>
        <w:rPr/>
      </w:pPr>
      <w:r>
        <w:rPr>
          <w:rFonts w:ascii="IRNazanin" w:hAnsi="IRNazanin" w:eastAsia="IRNazanin"/>
          <w:color w:val="111111"/>
          <w:sz w:val="28"/>
          <w:sz w:val="28"/>
          <w:szCs w:val="28"/>
          <w:rtl w:val="true"/>
          <w:lang w:bidi="fa-IR"/>
        </w:rPr>
        <w:t xml:space="preserve">و هم أتباع المغیرة بن سعید العجلی خرج بظاهر الکوفة فی أمارة خالد بن عبد اللّه القسری فظهر به فأحرقه و أحرق أصحابه سنة </w:t>
      </w:r>
      <w:r>
        <w:rPr>
          <w:rFonts w:eastAsia="IRNazanin" w:cs="IRNazanin"/>
          <w:color w:val="111111"/>
          <w:sz w:val="28"/>
          <w:szCs w:val="28"/>
          <w:lang w:bidi="fa-IR"/>
        </w:rPr>
        <w:t>119</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الکشّی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المغیرة بن سعید یکذب علی أبی جعفر فأذاقه اللّه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ابن مسکان عمّن حدثه من أصحابنا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المغیرة بن سعید، إنّه کان یکذب علی أبی فأذاقه اللّه حرّ الحدید، لعن اللّه من قال فینا ما لا نقوله فی أنفسنا و لعن اللّه من أزالنا عن العبودیّة للّه الذی خلقنا و إلیه مآبنا و معادنا و بیده نواصینا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عن یونس بن عبد الرحمن أنّ بعض أصحابنا سأله و أنا حاضر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 أکثر إنکارک لما یرویه أصحابنا، فما الّذی یحملک علی ردّ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الحکم أنّه سمع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 فانّ المغیرة بن سعید لعنه اللّه دسّ فی کتب أصحاب أبی أحادیث لم یحدّث بها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وافیت العراق فوجدت بها قطعة من أصحاب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متضافرین فسمعت منهم و أخذت کتبهم فعرضتها بعد علی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منها أحادیث کثیرة أن یکون أحادیث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کذب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اللّه أبا الخطّاب و کذلک أصحاب أبی الخطّاب یدسّون هذه الأحادیث إلی یومنا هذا فی کتب أصحاب أبی عبد اللّه، فلا تقبلوا علینا خلاف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أیضا عن یونس عن هشام بن الحکم أنّه سمع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المغیرة بن سعید یتعمّد الکذب علی أبی و یأخذ کتب أصحابه، و کان أصحابه المستترون بأصحاب أبی یأخذون الکتب من أصحاب أبی فیدفعونها إلی المغیرة، فکان یدسّ فیها الکفر و الزندقة و یسندها إلی أبی، ثمّ یدفعها إلی أصحابه فیأمرهم أن یبثّوها فی الشیعة، فکلّ ما کان فی کتب أصحاب أبی من الغلوّ فذاک ما دسّه المغیرة بن سعید فی کتبهم</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الأحادیث تعطی بوضوح أنّ الدسّ کان یرجع إلی الغلوّ فی الفضائل و المغالاة، کما یصرّح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یدسّ فیها الکفر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bookmarkStart w:id="569" w:name="pg2858_19825"/>
    </w:p>
    <w:p>
      <w:pPr>
        <w:pStyle w:val="BookText"/>
        <w:rPr/>
      </w:pPr>
      <w:bookmarkEnd w:id="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کان فی کتب أصحاب أبی من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الأحادیث المرویّة حول الفروع و الأحکام محفوظة عن الدسّ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المغیریّة أصحاب المغیرة بن سعید فإنّهم نزلوا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بامامة محمد بن عبد اللّه بن حسن و تولّوه و أثبتوا إمامته، فلمّا قتل صاروا لا إمام لهم و لا وصیّ و لا یثبتون لأحد إمامة بعده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النوبختی یکشف عن وجه عداوته للإمام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الزیدیة و من لفّ لفّهم یعتقدون بإمامة زید بن علیّ بعد الحسین، ثمّ إمامة یحیی بن زید بن علی، و بعده بإمامة عیسی بن زید بن علی، ثمّ بإمامة محمّد بن عبد اللّه بن الحسن الملقّب بالنفس الزکیة المقتول فی المدینة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لانحرافه عن الامام الباقر کان یدسّ فی کتب أصحابه لیشوّه سمعته بادخال الاحادیث الحاکیة عن المغالاة فی الفضائل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760178_1395250215"/>
      <w:bookmarkStart w:id="571" w:name="_Toc193"/>
      <w:bookmarkEnd w:id="570"/>
      <w:r>
        <w:rPr/>
        <w:t>9</w:t>
      </w:r>
      <w:r>
        <w:rPr>
          <w:rtl w:val="true"/>
        </w:rPr>
        <w:t xml:space="preserve"> - </w:t>
      </w:r>
      <w:r>
        <w:rPr>
          <w:rtl w:val="true"/>
        </w:rPr>
        <w:t>الغلاة</w:t>
      </w:r>
      <w:bookmarkEnd w:id="571"/>
    </w:p>
    <w:p>
      <w:pPr>
        <w:pStyle w:val="Heading4"/>
        <w:numPr>
          <w:ilvl w:val="3"/>
          <w:numId w:val="1"/>
        </w:numPr>
        <w:rPr/>
      </w:pPr>
      <w:bookmarkStart w:id="572" w:name="__RefHeading___Toc2760180_1395250215"/>
      <w:bookmarkStart w:id="573" w:name="_Toc194"/>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 xml:space="preserve">و هم الذین غلوا فی حقّ النبی و آله حتّی أخرجوهم من حدود الخلیقة، و الخطّابیة و المغیریة من هذه الصنوف غیر أنّ کثرة ورودهم فی ألسن الأئمّة و فی طیّات الأحادیث صارت سببا لعنوانهم مستقلّین و إن کان الکلّ داخلا تحت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الغلاة صنوف قد عدّهم الشهرستانی أحد عشر صنفا منهم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السبائیة، الکاملیة، العلیائیة، المغیریة، المنصوریة، الخطّابیة، الکیالیة الهشامیة، النعمانیة، الیونسیة، و النصیریة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الاسحاقیة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آراءهم و عقائدهم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الصنوف و ما نسب إلیهم من الآراء السخیفة غیر ثابت جدّا، خصوصا ما زعم من الفرقة السبائیة الّتی أصبحت اسطورة تاریخیة اختلقها بعض المؤرّخین و نقلها الطّبری بلا تحقیق و أخذ عنه الآخرون و هکذا ساق واحد بعد واحد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یتلوه فی البطلان ما نسبه إلی هشام بن حکم من الآراء کالتشبیه و غیره، فإنّ هذه الآراء ممّا یستحیل أن ینتحل بها تلمیذ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تربّی فی أحضانه، و من الممکن جدّا، بل هو الواقع أنّ رمی هشام بهذه الآراء إنما جاء من جانب المخالفین و الحاسدین لفضله و المنکرین لفضل بحثه، فلم یجدوا مخلصا إلاّ تشویه سمعته بنسبة الأقاویل الباطلة إلیه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نسبه إلی محمّد بن نعمان أبی جعفر الأحول الملقّب بمؤمن الطاق و إن لقّبه مخالفوه بشیطان الطاق عصیانا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بِئْسَ الاِسْمُ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لیست أوّل قارورة کسرت فی التاریخ، بل لها نظائر و أماثل کثیرة، فکم من رجال صالحین شوّه التاریخ سمعتهم، و کم من أشخاص طالحین قد وزن لهم التّاریخ بصاع کبیر، و علی أیّ تقدیر فلا نجد لأکثر هذه الفرق بل جمیعها مصداقا فی أدیم الأرض، و لو وجد من الغلاة من الطّراز الّذی ذکره الشهرستانی فی الجوامع الاسلامیة، فإنّما هی فرقة العلیاویة و هم الذین یقولون بربوبیّة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یفسر النصیریة أیضا بهذا المعنی</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74" w:name="pg2858_19827"/>
    </w:p>
    <w:p>
      <w:pPr>
        <w:pStyle w:val="BookText"/>
        <w:rPr/>
      </w:pPr>
      <w:bookmarkEnd w:id="574"/>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فرقة بنبوّة محمّد بن نصیر الفهری النمیری، و ذلک أنّه ادّعی أنّه نبیّ رسول، و أنّ علیّ بن محمّد العسکری أرسله، و کان یقول بالتناسخ و الغلوّ فی أبی الحسن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فیه بالربوبیّة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من القائلین بامامة علیّ بن محمّد فی حیاته قالت بنبوّة رجل یقال له محمّد بن نصیر النمیری، و کان یدّعی أنّه نبی بعثه أبو الحسن العسکری، و کان یقول بالتناسخ و الغلوّ فی أبی الحسن الهادی، و یقول فیه بالربوبیّة و یقول بالاباحة للمحارم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 فلا جدوی فی البحث عن الغلاة علی النّحو الذی ذکره الشهرستانی و غیره فی کتابه، فانّ الرواة الواردین فی أسناد الروایات، منزّهون عن الغلوّ بهذا المعنی الذی یوجب الخروج عن التّوحید و الإسلام، و یلحق الرجل بالکفار و المشرکین، کالقول بالربوبیّة و رسالة غیر نبیّنا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وصف عدّة من الرواة بالغلوّ و المغالاة و وقعوا فی أسناد الروایات، فیجب البحث عن هذا الطراز من الغلوّ لأنّ وضع کتابنا لا یقتضی إلاّ البحث فیما یرجع الی الرواة و الرجال الّذین جاءت أسماؤهم فی أسناد الروایات</w:t>
      </w:r>
      <w:r>
        <w:rPr>
          <w:rFonts w:eastAsia="IRNazanin" w:cs="IRNazanin"/>
          <w:color w:val="111111"/>
          <w:sz w:val="28"/>
          <w:szCs w:val="28"/>
          <w:rtl w:val="true"/>
          <w:lang w:bidi="fa-IR"/>
        </w:rPr>
        <w:t>.</w:t>
      </w:r>
    </w:p>
    <w:p>
      <w:pPr>
        <w:pStyle w:val="Heading4"/>
        <w:numPr>
          <w:ilvl w:val="3"/>
          <w:numId w:val="1"/>
        </w:numPr>
        <w:rPr/>
      </w:pPr>
      <w:bookmarkStart w:id="575" w:name="__RefHeading___Toc2760182_1395250215"/>
      <w:bookmarkStart w:id="576" w:name="_Toc195"/>
      <w:bookmarkEnd w:id="575"/>
      <w:r>
        <w:rPr>
          <w:rtl w:val="true"/>
        </w:rPr>
        <w:t>التفویض و معانیه</w:t>
      </w:r>
      <w:bookmarkEnd w:id="576"/>
    </w:p>
    <w:p>
      <w:pPr>
        <w:pStyle w:val="BookText"/>
        <w:rPr/>
      </w:pPr>
      <w:r>
        <w:rPr>
          <w:rFonts w:ascii="IRNazanin" w:hAnsi="IRNazanin" w:eastAsia="IRNazanin"/>
          <w:color w:val="111111"/>
          <w:sz w:val="28"/>
          <w:sz w:val="28"/>
          <w:szCs w:val="28"/>
          <w:rtl w:val="true"/>
          <w:lang w:bidi="fa-IR"/>
        </w:rPr>
        <w:t>إنّ الفرقة المعروفة بالغلوّ هی فرقة المفوّضة، غیر أنّه یجب تحقیق معناها حتّی یتبیّن الصّحیح عن الزائف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التفویض یفسّر بوجوه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خلقة العالم إلی النّبی 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هم الخالقون و الرازقون و المدبّرون للعالم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غیر خفیّ أنّ التّفویض بهذا المعنی شرک علی وجه، و باطل علی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قالوا بأنّ اللّه سبحانه فوّض أمر الخلق و التدبیر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هو عن کل شیء، فهذا هو الشرک و الکفر، یخالفه العقل و البرهان، و یضادّه صریح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زعموا أنّ النّبی و الائمّة من جملة الأسباب لخلق العالم و تدبیره، و أنّ الفاعل الحقیقی و السبب الواقعی هو اللّه سبحانه، و هو لم یعتزل بعد، و إنّما جعلهم فی مرتبة الأسباب و العلل، فهذا القول و إن کان لا یوجب الشرک، لکنّه غیر صحیح، فانّ النبی 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من أسباب الخلقة، بل هم یستفیدون من تلک الأسباب الطبیعیّة و تتوقّف حیاتهم علی وجود العلل و الأسباب المادّیة، فکیف یکونون فی مرتبة العلل و الأسباب؟ فالنبیّ و الإمام یستنشقان الهواء، و یسدّان جوعهما بالطعام، و یداویان بالادویة إلی غیر ذلک من الامور الّتی یتّصف بها کلّ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للعالم الامکانی ظاهره و باطنه، دنیاه و اخراه مدبرا و مدبّرات یدبّرون الکون بأمره سبحانه کما ینبیء عنه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نحن</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هذا الاعتراف فلیس النّبی و الإمام من أسباب الخلق و التدبیر، و إنّما هم وسائط بین الخالق و الخلق فی إبلاغ الأحکام و إرشاد العباد، و سائر الفیوض المعنویة من الهدایة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الروایات بأنّه لولا الحجّة لساخت الأرض بأهلها، و قد عقد الکلینی فی کتاب الحجة بابا لذلک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فیه روایات تبلغ ثلاث عشرة روایة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هذه الروایات، و لکنّها لا تهدف إلی کون النّبی و الإمام من الأسباب و المدبّرات الّتی نزل به الذکر الحکیم، و نطق به الحدیث الصحیح، و إنّما تهدف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و الإمام غایة لخلق العالم، و لولا تلک الغایة لما خلق اللّه العالم، بل کان خلقه أمرا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العالم خلق لتکوّن الانسان الکامل فیه، و من أوضح مصادیقه هو النّبی و الإمام، و من المعلوم أنّ فقدان الغایة یوجب فقدان ذیها، و لأجل 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الکامل یکون من بسببه الوجود سببیة غائیة، لا منه الوجود سببیة فاعلیة معطیة له فهو سبب غائی لا علة فاعلیة، فاحفظ ذلک فإنّه ینفعک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یعرّف الحلال و الحرام و یدعو الناس إلی سبیل اللّه، </w:t>
      </w:r>
    </w:p>
    <w:p>
      <w:pPr>
        <w:pStyle w:val="BookText"/>
        <w:rPr/>
      </w:pPr>
      <w:r>
        <w:rPr>
          <w:rFonts w:ascii="Amiri" w:hAnsi="Amiri" w:eastAsia="Amiri" w:cs="Amiri"/>
          <w:color w:val="111111"/>
          <w:sz w:val="28"/>
          <w:sz w:val="28"/>
          <w:szCs w:val="28"/>
          <w:rtl w:val="true"/>
          <w:lang w:bidi="ar-SA"/>
        </w:rPr>
        <w:t>و أنّه لولاه لما عرف الحقّ من الباطل، و قد جرت مشیئته الحکیمة علی أن یهدیهم إلی سبل الرشاد بعد خلقهم و لا یترکهم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کلا الوجهین تصریحات فی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 فعن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أتبقی الارض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فعن أبی بصیر،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الأرض بغیر عالم، و لولا ذلک لم یعرف الحقّ من الباطل</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لشیخنا العلاّمة المجلسی کلام فی التفویض ننقله بنصّه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التفویض فیطلق علی معان بعضها منفی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مثبت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فی الخلق و الرزق و التربیة و الاماتة و الاحیاء، فإنّ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خلقهم و فوّض إلیهم أمر الخلق، فهم یخلقون و یرزقون و یمیتون و یحیون، و هذا الکلام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یفعلون جمیع ذلک بقدرتهم و إرادتهم و هم الفاعلون حقیقة، و هذا کفر صریح دلّت علی استحالته الأدلّة العقلیّة و النقلیة و لا یستریب عاقل فی کفر من قال به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یفعل ذلک مقارنا لارادتهم کشقّ القمر و إحیاء الموتی و قلب العصاحیّة و غیر ذلک من المعجزات، فانّ جمیع ذلک إنّما تحصل بقدرته تعالی مقارنا لارادتهم لظهور صدقهم، فلا یأبی العقل عن أن یکون اللّه تعالی خلقهم و أکملهم و ألهمهم ما یصلح فی نظام العالم، ثمّ خلق </w:t>
      </w:r>
    </w:p>
    <w:p>
      <w:pPr>
        <w:pStyle w:val="BookText"/>
        <w:rPr/>
      </w:pPr>
      <w:r>
        <w:rPr>
          <w:rFonts w:ascii="IRNazanin" w:hAnsi="IRNazanin" w:eastAsia="IRNazanin"/>
          <w:color w:val="111111"/>
          <w:sz w:val="28"/>
          <w:sz w:val="28"/>
          <w:szCs w:val="28"/>
          <w:rtl w:val="true"/>
          <w:lang w:bidi="fa-IR"/>
        </w:rPr>
        <w:t>کلّ شیء مقارنا لارادتهم و مشیّتهم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طن کان العقل لا یعارضه کفاحا، لکنّ الأخبار السالفة تمنع من القول به فیما عدا المعجزات ظاهرا بل صراحا، مع أنّ القول به قول بما لا یعلم، إذ لم یرد ذلک فی الأخبار المعتبرة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الأخبار الدالّة علی ذلک کخطبة البیان و أمثالها، فلم یوجد إلاّ فی کتب الغلاة و أشباههم، مع أنّه یحتمل أن یکون المراد کونهم علّة غائیة لا یجاد جمیع المکوّنات، و أنّه تعالی جعلهم مطاعین فی الأرضین و السّماوات، و یطیعهم باذن اللّه تعالی کلّ شیء حتّی الجمادات، و أنّهم إذا شاؤوا أمرا لا یردّ اللّه مشیئتهم و لکنّهم لا یشاؤون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الأخبار فی نزول الملائکة و الروح لکلّ أمر إلیهم، و أنّه لا ینزل ملک من السماء لأمر إلاّ بدأ بهم، فلیس ذلک لمدخلیّتهم فی ذلک و لا الاستشارة بهم، بل له الخلق و الأمر تعالی شأنه، و لیس ذلک إلاّ لتشریفهم إکرامهم و إظهار رفعة مقامهم</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ذکره هو الحقّ، إلاّ أنّ ظواهر الآیات و الروایات فی المعاجز علی خلاف ما اختاره، لظهورها فی کون المعجزات مستندة إلیهم أنفسهم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بِإِذْنِی فَتَنْفُخُ فِیها فَتَکُونُ طَیْراً بِإِذْنِی وَ تُبْرِئُ الْأَکْمَهَ وَ الْأَبْرَصَ بِإِذْنِی وَ إِذْ تُخْرِجُ الْمَوْتی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الخطابات دلیل علی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قائمون بها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مجال آخر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الحلال و الحرام إلیهم، أی فوّض الیهم أن یحلّلوا ما شاؤوا و یحرّموا أیضا ما شاؤوا، و هذا أیضا ضروریّ البطلان، فانّ النبی لیس </w:t>
      </w:r>
    </w:p>
    <w:p>
      <w:pPr>
        <w:pStyle w:val="BookText"/>
        <w:rPr/>
      </w:pPr>
      <w:r>
        <w:rPr>
          <w:rFonts w:ascii="Amiri" w:hAnsi="Amiri" w:eastAsia="Amiri" w:cs="Amiri"/>
          <w:color w:val="111111"/>
          <w:sz w:val="28"/>
          <w:sz w:val="28"/>
          <w:szCs w:val="28"/>
          <w:rtl w:val="true"/>
          <w:lang w:bidi="ar-SA"/>
        </w:rPr>
        <w:t>شارعا للأحکام، بل مبیّن و ناقل له، و لیس شأنه فی المقام إلاّ شأن ناقل الفتیا بالنسبة إلی المقلّدین،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الآیات و الروایات المتضافرة، تفید بوضوح أنّ النّبی لم یکن شارعا بل کان ناقلا و مبیّنا لما اوحی إلیه، فلم یکن له إلاّ تحلیل ما أحلّ أو تحریم ما حرّم اللّه، و قد نقل سیّدنا الاستاذ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قد عدّ إطلاق لفظ الشارع علی النّبی الأکرم من الغلوّ فی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عقد الکلینی فی کتاب الحجّة من اصول الکافی بابا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التفویض الی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یتبادر منه إلی الذهن أنّ النبی قد شرّع بعض الأحکام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بسند صحیح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أدّب نبیّه فأحسن أدبه، فلمّا أکمل له 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 ثمّ فوّض إلیه أمر الدّین و الامّة لیسوس عباده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و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مسدّدا موفّقا مؤیّدا بروح القدس لا یزلّ و لا یخطیء فی شیء ممّا یسوس به الخلق، فتأدّب بآداب اللّه، ثمّ إنّ اللّه عزّ و جلّ فرض الصلاة رکعتین رکعتین، عشر رکعات فأضاف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الرکعتین، رکعتین و إلی المغرب رکعة، فصارت عدیل الفریضة لا یجوز ترکهنّ إلاّ فی سفر، و أفرد الرکعة فی المغرب فترکها قائمة فی السفر و الحضر، فأجاز اللّه عزّ و جلّ له ذلک کلّه، فصارت الفریضة سبع عشرة رکعة، ثمّ سنّ رسول اللّه النوافل أربعا و ثلاثین رکعة مثلی الفریضة، فأجاز اللّه عزّ و جلّ له ذلک، و الفریضة و النافلة </w:t>
      </w:r>
    </w:p>
    <w:p>
      <w:pPr>
        <w:pStyle w:val="BookText"/>
        <w:rPr/>
      </w:pPr>
      <w:r>
        <w:rPr>
          <w:rFonts w:ascii="IRNazanin" w:hAnsi="IRNazanin" w:eastAsia="IRNazanin"/>
          <w:color w:val="111111"/>
          <w:sz w:val="28"/>
          <w:sz w:val="28"/>
          <w:szCs w:val="28"/>
          <w:rtl w:val="true"/>
          <w:lang w:bidi="fa-IR"/>
        </w:rPr>
        <w:t xml:space="preserve">إحدی و خمسون رکعة، منها رکعتان بعد العتمة جالسا تعدّ برکعة مکان الوتر، و فرض اللّه فی السنة صوم شهر رمضان و سنّ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شعبان، و ثلاثة أیام فی کل شهر مثلی الفریضة، فأجاز اللّه عزّ و جلّ له ذلک و حرّم اللّه عزّ و جلّ الخمر بعینها، و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من کلّ شراب فأجاز اللّه له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 الروایات یوجّه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علّم الرسول مصالح الأحکام و مفاسدها، و أوقفه علی ملاکاتها و مناطاتها، و لمّا کانت الأحکام تابعة لمصالح و مفاسد کاملة فی متعلّقاتها، و کان النبیّ بتعلیم منه سبحانه واقفا علی المصالح و المفاسد علی اختلاف درجاتها و مراتبها، کان له أن ینصّ علی أحکامه سبحانه من طریق الوقوف علی عللها و ملاکاتها، و لا یکون الاهتداء إلی أحکامه سبحانه من طریق التعرّف علی عللها بأقصر من الطرق الاخر الّتی یقف بها النبیّ علی حلاله و حرامه، و إلی هذا یشیر الإمام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عقلوا الدین عقل و عایة و رعایة، لا عقل سماع و روایة فان رواة العلم کثیر و رعاته قلیل</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غیر أنّ اهتداءه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الأحکام و تنصیصه بها من هذا الطّریق، قیل جدّا لا تتجاوز عمّا ذکرناه إلاّ بقلیل، و بذلک یعلم حال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الرسول لم یکن فی هاتیک الموارد سوی مجرّد طلب، و قد أنفذ اللّه طلبه، لا أنّه قام بنفسه بتشریع و تقنین، و یشیر إلی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اللّه عزّ و جلّ له ذلک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النّبی کان یمتلک زمام التّشریع و کان قد فوّض إلیه أمر التقنین علی </w:t>
      </w:r>
    </w:p>
    <w:p>
      <w:pPr>
        <w:pStyle w:val="BookText"/>
        <w:rPr/>
      </w:pPr>
      <w:r>
        <w:rPr>
          <w:rFonts w:ascii="IRNazanin" w:hAnsi="IRNazanin" w:eastAsia="IRNazanin"/>
          <w:color w:val="111111"/>
          <w:sz w:val="28"/>
          <w:sz w:val="28"/>
          <w:szCs w:val="28"/>
          <w:rtl w:val="true"/>
          <w:lang w:bidi="fa-IR"/>
        </w:rPr>
        <w:t xml:space="preserve">نحو ما تفیده کلمة التّفویض، لما احتاج إلی إذنه و إجازته المجدّدة، و لما کان للجملة المذکورة أی معنی، فالحاصل أنّ ما صدر من النّبی لم یکن بصورة التشریع القطعی، بل کان دعاء و طلبا من اللّه سبحانه لمّا وقف علی مصالح فی ما دعاه و قد استجاب دعاءه کما یفیده قوله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اللّه عزّ و جلّ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التفویض فی أمر الدّین یحتمل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اللّه تعالی فوّض إلی النّبی و الأئمة عموما أن یحلّوا ما شاؤوا و یحرّموا ما شاؤوا من غیر وحی و إلهام، أو یغیّروا ما اوحی إلیهم بآرائهم، و هذا باطل لا یقول به عاقل، فإنّ النبی کان ینتظر الوحی أیّاما کثیرة لجواب سائل، و لا یجیبه من عنده و قد قال تعالی 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أکمل نبیّه بحیث لم یکن یختار من الامور شیئا إلاّ ما یوافق الحقّ و الصّواب، و لا یخطر بباله ما یخالف مشیئته تعالی فی کلّ باب، فوّض إلیه تعیین بعض الامور کالزیادة فی الصّلاة و تعیین النوافل فی الصلاة و الصوم، و طعمة الجدّ و غیر ذلک ممّا مضی و سیأتی، إظهارا لشرفه و کرامته عنده، و لم یکن أصل التعیین إلاّ بالوحی، و لم یکن الاختیار إلاّ بالالهام، ثمّ کان یؤکّد ما اختاره بالوحی، و لا فساد فی ذلک عقلا، و قد دلّت النصوص المستفیضة علیه ممّا تقدم فی هذا الباب و فی أبواب فضائل نبیّنا من المجلّد السادس</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إنّما نفی المعنی الأوّل، حیث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فوّض اللّه عزّ و جلّ إلی نبیّه أمر دینه، و لم یفوّض إلیه تعدّی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کثیرا من أخبار التفویض فی کتبه و لم یتعرّض لتأویلها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تفویض بیان العلوم و الأحکام، و هذا مما لا شکّ و لا شبهة فیه،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الآیة تفید أنّ من شؤون النّبی مضافا إلی التلاوة هو تبیین ما نزّل إلیه من الآیات الحکیمة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و الأحادیث فی ذلک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لو کنّا نحدثکم برأینا و هوانا، کنّا من الهالکین، و لکنّا نحدّثکم بأحادیث نکنزها عن رسول اللّه کما یکنز هؤلاء ذهبهم و فضّتهم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نفتیهم بآثار من رسول اللّه و اصول علم عندنا نتوارثها کابرا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محمّد بن شریح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نقول بأهوائنا و لا نقول برأینا و لکن نقول ما قال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أجبتک فیه بشیء فهو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نقول برأینا من شیء</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إلی غیر ذلک من الاحادیث المفیدة أنّ أحادیثهم مأخوذة عن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یبیّنون الأحکام حسب اختلاف عقول الناس، و یفتون حسب المصالح، فتارة یبیّنون الأحکام الواقعیّة، و اخری الأحکام الواقعیّة الثانویّة حسب مصالح المکلّفین کما هو معلوم من إفتائهم بالتقیة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تفویض بیان العلوم و الأحکام بما رأوا المصلحة فیها بسبب اختلاف عقولهم، أو بسبب التقیّة فیفتون بعض الناس بالواقع من الأحکام، و بعضهم بالتقیّة، و یبیّنون تفسیر الآیات و تأویلها، و بیان المعارف بحسب ما یحتمل عقل کل سائل، و لهم أن یبیّنوا و لهم أن یسکتوا کما </w:t>
      </w:r>
    </w:p>
    <w:p>
      <w:pPr>
        <w:pStyle w:val="BookText"/>
        <w:rPr/>
      </w:pPr>
      <w:r>
        <w:rPr>
          <w:rFonts w:ascii="IRNazanin" w:hAnsi="IRNazanin" w:eastAsia="IRNazanin"/>
          <w:color w:val="111111"/>
          <w:sz w:val="28"/>
          <w:sz w:val="28"/>
          <w:szCs w:val="28"/>
          <w:rtl w:val="true"/>
          <w:lang w:bidi="fa-IR"/>
        </w:rPr>
        <w:t>ورد فی أخبار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المسألة و لیس علینا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بحسب ما یریهم اللّه من مصالح الوقت کما ورد فی خبر ابن أشیم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محمّد بن سنان فی تأویل قوله تعالی لِتَحْکُمَ بَیْنَ النّاسِ بِما أَراکَ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 هی جاریة فی الأوصیاء</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تخصیصه 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تیسّر هذه التوسعة لسائر الأنبیاء و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کانوا مکلّفین بعدم التقیّة فی بعض الموارد و إن أصابهم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التفویض بهذا المعنی أیضا ثابت حقّ بالأخبار المستفیضة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تفویض سیاسة الناس و تأدیبهم إلیهم، فهم اولوا الأمر وساسة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الزیارة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امراء الناس، فیجب طاعتهم فی کلّ ما یأمرون به و ینهون عنه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و الروایات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 امور الخلق إلیهم من سیاستهم و تأدیبهم و تکمیلهم و تعلیمهم، و أمر الخلق باطاعتهم فیما أحبّوا و کرهوا، و فیما علموا جهة المصلحة فیه و ما لم یعلموا، و هذا حقّ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و غیر ذلک من الآیات و الاخبار، و علیه یحمل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المحلّلون حلاله و المحرّمون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بیانهما علینا و یجب علی الناس الرجوع فیهما إلینا</w:t>
      </w:r>
      <w:r>
        <w:rPr>
          <w:rFonts w:eastAsia="IRNazanin" w:cs="IRNazanin"/>
          <w:color w:val="111111"/>
          <w:sz w:val="28"/>
          <w:szCs w:val="28"/>
          <w:rtl w:val="true"/>
          <w:lang w:bidi="fa-IR"/>
        </w:rPr>
        <w:t xml:space="preserve">». </w:t>
      </w:r>
      <w:bookmarkStart w:id="577" w:name="pg2858_19837"/>
    </w:p>
    <w:p>
      <w:pPr>
        <w:pStyle w:val="BookText"/>
        <w:rPr/>
      </w:pPr>
      <w:bookmarkEnd w:id="577"/>
      <w:r>
        <w:rPr>
          <w:rFonts w:ascii="IRNazanin" w:hAnsi="IRNazanin" w:eastAsia="IRNazanin"/>
          <w:color w:val="111111"/>
          <w:sz w:val="28"/>
          <w:sz w:val="28"/>
          <w:szCs w:val="28"/>
          <w:rtl w:val="true"/>
          <w:lang w:bidi="fa-IR"/>
        </w:rPr>
        <w:t xml:space="preserve">نعم وجوب إطاعة الرّسول و اولی الامر فی طول إطاعته سبحانه فاللّه تعالی مطاع بالذات و الرسول و اولوا الامر مطاعون بالعرض و قد أوضحنا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تفویضان آخران یظهر من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الاختیار فی أن یحکموا بظاهر الشریعة، أو بعلمهم، أو بما یلهمهم اللّه من الوقایع و مخّ الحق فی کلّ واقعة، و هذا أظهر محامل خبر ابن سنان و علیه أیضا دلّت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التفویض فی العطاء، فانّ اللّه تعالی خلق لهم الأرض و ما فیها، و جعل لهم الأنفال و الخمس و الصفایا و غیرها، فلهم أن یعطوا ما شاؤوا و یمنعوا ما شاؤوا، کما مرّ فی خبر الثمالی، و إذا أحطت خبرا بما ذکرنا من معانی التفویض سهل علیک فهم الأخبار الواردة فیه، و عرفت ضعف قول من نفی التفویض مطلقا و لمّا یحط بمعانیه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المعانی المعقولة المتصوّرة من التفویض، و أمّا تفسیر التفویض بما علیه المعتزلة کما عن العلاّمة المامقانی</w:t>
      </w:r>
      <w:r>
        <w:rPr>
          <w:rStyle w:val="FootnoteAnchor"/>
          <w:rtl w:val="true"/>
        </w:rPr>
        <w:footnoteReference w:id="570"/>
      </w:r>
      <w:r>
        <w:rPr>
          <w:rFonts w:ascii="IRNazanin" w:hAnsi="IRNazanin" w:eastAsia="IRNazanin"/>
          <w:color w:val="111111"/>
          <w:sz w:val="28"/>
          <w:sz w:val="28"/>
          <w:szCs w:val="28"/>
          <w:rtl w:val="true"/>
          <w:lang w:bidi="fa-IR"/>
        </w:rPr>
        <w:t>فخارج عن موضوع البحث، فانّ التفویض بذلک المعنی یقابل الجبر</w:t>
      </w:r>
      <w:r>
        <w:rPr>
          <w:rFonts w:eastAsia="IRNazanin" w:cs="IRNazanin"/>
          <w:color w:val="111111"/>
          <w:sz w:val="28"/>
          <w:szCs w:val="28"/>
          <w:rtl w:val="true"/>
          <w:lang w:bidi="fa-IR"/>
        </w:rPr>
        <w:t>.</w:t>
      </w:r>
    </w:p>
    <w:p>
      <w:pPr>
        <w:pStyle w:val="Heading4"/>
        <w:numPr>
          <w:ilvl w:val="3"/>
          <w:numId w:val="1"/>
        </w:numPr>
        <w:rPr/>
      </w:pPr>
      <w:bookmarkStart w:id="578" w:name="__RefHeading___Toc2760184_1395250215"/>
      <w:bookmarkStart w:id="579" w:name="_Toc196"/>
      <w:bookmarkEnd w:id="578"/>
      <w:r>
        <w:rPr>
          <w:rtl w:val="true"/>
        </w:rPr>
        <w:t>فقدان الضابطة الواحدة فی الغلو</w:t>
      </w:r>
      <w:bookmarkEnd w:id="57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 إلی کلمات القدماء یجد أنّهم یرمون کثیرا من الرواة بالغلوّ حسب ما اعتقد به فی حقّ الأئمّة، و إن لم یکن غلوّا فی الواقع، و یعجبنی أن أنقل کلام الوحید البهبهانی فی هذا المقام، و التأمّل فیه یعطی أنّ کثیرا من هذه النسب لم یکن موجبا لضعف الراوی عندنا، و إن کان موجبا للضعف عند الناقل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أنّ الظاهر أنّ کثیرا من القدماء لا سیّما القمیین منهم و الغضائری، کانوا یعتقدون للائمّة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خاصّة من الرفعة و الجلالة، و مرتبة معیّنة من العصمة و الکمال، بحسب اجتهادهم و رأیهم و ما کانوا یجّوزون التعدی عنها، و کانوا یعدّون التعدّی ارتفاعا و غلوّا حسب معتقدهم، حتّی إنّهم جعلوا مثل نفی السهو عنهم غلوّا، بل ربّما جعلوا مطلق التفویض إلیهم، أو التّفویض الّذی اختلف فیه، أو المبالغة فی معجزاتهم و نقل العجائب من خوارق العادات عنهم، أو الاغراق فی شأنهم و إجلالهم و تنزیههم عن کثیر من النقائص، و إظهار کثیر قدرة لهم، و ذکر علمهم بمکنونات السماء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 مورثا للتهمة به، لا سیّما بجهة أنّ الغلاة کانوا مختفین فی الشیعة مخلوطین بهم 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أنّ القدماء کانوا مختلفین فی المسائل الاصولیة أیضا، فربّما کان شیء عند بعضهم فاسدا، أو کفرا، أو غلّوا، أو تفویضا، أو جبرا، أو تشبیها، أو غیر ذلک، و کان عند آخر ممّا یجب اعتقاده أو لا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کان منشأ جرحهم بالامور المذکورة وجدان الروایة الظاهرة فیها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ادّعاء أرباب المذاهب کونهم منهم، أو روایتهم عنه، و ربّما کان المنشأ روایتهم المناکیر عنه، إلی غیر ذلک، فعلی هذا ربّما یحصل التأمّل فی جرحهم بأمثال الامور المذکورة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ینبه بذلک علی ما ذکرنا ملاحظة ما سیذکر فی تراجم کثیرة مثل ترجمة إبراهیم بن هاشم و أحمد بن محمّد بن نوح، و أحمد بن محمد بن أبی نصر، و محمّد بن جعفر بن عوف، و هشام بن الحکم، و الحسین بن شاذویه، و الحسین بن یزید و سهل بن زیاد، و داود بن کثیر، و محمّد بن اورمة، و نصر بن الصباح، و إبراهیم بن عمر، و داود بن القاسم، و محمّد بن عیسی بن عبید، و محمّد بن سنان، و محمّد بن علی الصیرفی، و مفضّل بن عمر، </w:t>
      </w:r>
    </w:p>
    <w:p>
      <w:pPr>
        <w:pStyle w:val="BookText"/>
        <w:rPr/>
      </w:pPr>
      <w:r>
        <w:rPr>
          <w:rFonts w:ascii="IRNazanin" w:hAnsi="IRNazanin" w:eastAsia="IRNazanin"/>
          <w:color w:val="111111"/>
          <w:sz w:val="28"/>
          <w:sz w:val="28"/>
          <w:szCs w:val="28"/>
          <w:rtl w:val="true"/>
          <w:lang w:bidi="fa-IR"/>
        </w:rPr>
        <w:t>و صالح بن عقبة، و معلّی بن خنیس، و جعفر بن محمد بن مالک، و إسحاق بن محمّد البصری، و إسحاق بن الحسن، و جعفر بن عیسی، و یونس بن عبد الرحمن، و عبد الکریم بن عمر،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ابن عیسی و الغضائری ربّما ینسبان الراوی إلی الکذب و وضع الحدیث أیضا، بعد ما نسباه إلی الغلوّ، و کأنّه لروایته ما یدلّ علیه، و لا یخفی ما فیه و ربّما کان غیرهما أیضا کذلک فتأمّل</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علی العالم الباحث، التحقیق فی کثیر من النسب المرمیّ بها الأجلّة، لما عرفت من أنّه لم یکن فی تلک الأزمنة ضابطة واحدة لیتمیّز الغالی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التأمل فی جرحهم بأمثال هذه الامور و من لحظ مواضع قدحهم فی کثیر من المشاهیر کیونس بن عبد الرحمن، و محمّد بن سنان، و المفضّل بن عمر و أمثالهم، عرف الوجه فی ذلک، و کفاک شاهدا إخراج أحمد بن محمّد بن عیسی، أحمد بن محمّد بن خالد البرقی من قم، بل عن المجلسی الأوّل، أنّه أخرج جماعة من قم، بل عن المحقّق الشیخ محمّد ابن صاحب المعالم، أنّ أهل قم کانوا یخرجون الراوی بمجرّد توهّم الریب فیه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کانت هذه حالتهم و ذا دیدنهم فکیف یعوّل علی جرحهم و قدحهم بمجرّده، بل لا بدّ من الترّوی و البحث عن سببه و الحمل علی الصحّة مهما أمکن، کیف لا، و لو کان الاعتقاد بما لیس بضروری البطلان عن اجتهاد، موجبا للقدح فی الرجل، للزم القدح فی کثیر من علمائنا المتقدّمین، لأنّ کلاّ منهم نسب إلیه القول بما ظاهره مستنکر فاسد</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یؤیّد ذلک ما ذکره الوحید البهبانی فی ترجمة أحمد بن محمّد بن نوح السیرافی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حکی فی الخلاصة أنّ الشیخ کان یذهب إلی مذهب الوعیدیة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یکفّرون صاحب الکبیرة و یقولون بتخلیده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و شیخه المفید إلی أنّه تعالی لا یقدر علی عین مقدور العبد کما هو مذهب الجبّائی، و السیّد المرتضی إلی مذهب البهشمیة من أنّ إرادته عرض لا فی محلّ، و الشیخ الجلیل إبراهیم بن نوبخت إلی جواز اللّذة العقلیة علیه سبحانه، و أنّ ماهیته معلومة کوجوده و أنّ ماهیّته الموجود، و المخالفین یخرجون من النار و لا یدخلون الجنّة، و الصدوق و شیخه ابن الولید و الطبرسی إلی جواز السهو علی النّبی، و محمّد بن عبد اللّه الأسدی إلی الجبر و التشبیه، و غیر ذلک ممّا یطول تعداده، و الحکم بعدم عدالة هؤلاء لا یلتزمه أحد یؤمن باللّه، و الذی ظهر لی من کلمات أصحابنا المتقدّمین، و سیرة أساطین المحدّثین، أنّ المخالفة فی غیر الاصول الخمسة لا یوجب الفسق، إلاّ أن یستلزم إنکار ضروری الدین کالتجسیم بالحقیقة لا بالتسمیة، و کذا القول بالرؤیة بالانطباع أو الانعکاس، و أمّا القول بها لا معهما فلا، لأنّه لا یبعد حملها علی إرادة الیقین التامّ، و الانکشاف العلمی، و أمّا تجویز السهو علیه و إدراک اللّذة العقلیة علیه تعالی مع تفسیرها بارادة الکمال من حیث إنّه کمال فلا یوجب فسقا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ابن طاووس و نصیر الدین المحقّق الطوسی و ابن فهد و الشهید الثانی و شیخنا البهائی و جدّی العلامة و غیرهم من الأجلّة إلی التصّوف، و غیر خفیّ أنّ ضرر التصّوف إنّما هو فساد الاعتقاد من القول بالحلول أو الوحدة فی الوجود أو الاتّحاد أو فساد الأعمال المخالفة للشرع الّتی یرتکبها کثیر من المتصّوفة فی مقام الریاضة أو العبادة، و غیر خفیّ علی المطّلعین علی أحوال هؤلاء الأجلّة من کتبهم و غیرهم أنّهم منزّهون من کلتا المفسدتین قطعا، و نسب جدی العالم الربانی و المقدس الصمدانی مولانا محمّد صالح المازندرانی و غیره من الأجلّة إلی القول باشتراک اللّفظ، و فیه أیضا ما أشرنا إلیه و نسب المحمّدون الثلاثة و الطبرسی إلی القول بتجویز السّهو علی </w:t>
      </w:r>
    </w:p>
    <w:p>
      <w:pPr>
        <w:pStyle w:val="BookText"/>
        <w:rPr/>
      </w:pPr>
      <w:r>
        <w:rPr>
          <w:rFonts w:ascii="IRNazanin" w:hAnsi="IRNazanin" w:eastAsia="IRNazanin"/>
          <w:color w:val="111111"/>
          <w:sz w:val="28"/>
          <w:sz w:val="28"/>
          <w:szCs w:val="28"/>
          <w:rtl w:val="true"/>
          <w:lang w:bidi="fa-IR"/>
        </w:rPr>
        <w:t>النبی، و نسب ابن الولید و الصدوق أیضا منکر السهو إلی الغلوّ، و بالجملة أکثر الأجلّة لیسوا بخالصین عن أمثال ما أشرنا إلیه، و من هذا یظهر التأمّل فی ثبوت الغلوّ و فساد المذهب بمجرّد رمی علماء الرجال من دون ظهور الحال</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بعد ما قرأنا ذلک انتقلنا الی ما ذکره العلاّمة الزمخشری فی حقّ نفسه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تعجّبت من هذا الزمان و أهله فما أحد من السن الناس یسلم</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الذی تبیّن لنا من مراجعة هذه الکلم هو أنّ أکثر علماء الرجال، أو من کان ینقل عنه علماء الرجال لم یکن عندهم ضابطة خاصّة لتضعیف الراوی من حیث العقیدة، بل کلّما لم تنطبق عقیدة الراوی عقیدته رماه بالغلوّ و الضعف فی العقیدة، و ربّما یکون نفس الرامی مخطئا فی اعتقاده بحیث لو وقفنا علی عقیدته لحکمنا بخطئه، أو وقف فی کتاب الراوی علی أخبار نقلها هو من غیر اعتقاد بمضمونها فزعم الرامی أنّ المؤلّف معتقد به، إلی غیر ذلک مما یورث سوء الظنّ، مثل ما إذا ادّعی بعض أهل مذاهب الفاسدة أنّ الراوی منهم و لیس هو منهم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 ذلک ما ذکره المحقّق المامقانی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الرمی بما یتضمّن عیبا، فضلا عن فساد العقیدة ممّا لا ینبغی الأخذ به بمجرّده إذ لعلّ الرامی قد اشتبه فی اجتهاده، أو عوّل علی من یراه أهلا فی ذلک و کان مخطئا فی اعتقاده، أو وجد فی کتابه أخبارا تدلّ علی ذلک و هو بریء منه و لا یقول به، أو ادّعی بعض أهل تلک المذاهب الفاسدة أنّه منهم و هو کاذب، أو روی أخبارا ربّما توهم من کان قاصرا أو ناقصا فی الادراک و العلم أنّ ذلک ارتفاع و غلوّ، و لیس کذلک، أو کان جملة من الأخبار یرویها و یحدّث بها و یعترف </w:t>
      </w:r>
      <w:bookmarkStart w:id="580" w:name="pg2858_19842"/>
    </w:p>
    <w:p>
      <w:pPr>
        <w:pStyle w:val="BookText"/>
        <w:rPr/>
      </w:pPr>
      <w:bookmarkEnd w:id="580"/>
      <w:r>
        <w:rPr>
          <w:rFonts w:ascii="IRNazanin" w:hAnsi="IRNazanin" w:eastAsia="IRNazanin"/>
          <w:color w:val="111111"/>
          <w:sz w:val="28"/>
          <w:sz w:val="28"/>
          <w:szCs w:val="28"/>
          <w:rtl w:val="true"/>
          <w:lang w:bidi="fa-IR"/>
        </w:rPr>
        <w:t>بمضامینها و یصدق بها من غیر تحاش بها و اتّقاء من غیره من أهل زمانه، بل یتجاهر بما لا تتحمّلها أغلب العقول فلذا رمی</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أنّ تضعیف الراوی من جانب العقیدة لا یتمّ إلاّ بثبوت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أنّ النظریة ممّا توجب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أنّ الراوی کان معتقدا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لنا باثبات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فلوجود الخلاف فی کثیر من المسائل العقیدیّة حتّی مثل سهو النبی فی جانب التفریط أو نسبة التفویض فی بعض معانیها فی جانب الافراط، فانّ بعض هذه المسائل و إن صارت من عقائد الشیعة الضروریة بحیث یعرفها العالی و الدانی، غیر أنّها لم تکن بهذه المثابة فی العصور الغابرة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فإنّ إثباته فی غایة الاشکال، خصوصا بالنّظر إلی بعض الأعمال الّتی کان یقوم بها بعض الرواة فی حقّ بعض، من الاخراج و التشدید بمجرد النقل عن الضعفاء و إن کان ثقة فی نفسه، أو لبعض الوجوه المحتملة الّتی ذکرها العلاّمة المامقانی، و ما لم یثبت الأمران لا یعتنی بهذه التضعیفات الراجعة إلی جانب العقیدة</w:t>
      </w:r>
      <w:r>
        <w:rPr>
          <w:rFonts w:eastAsia="IRNazanin" w:cs="IRNazanin"/>
          <w:color w:val="111111"/>
          <w:sz w:val="28"/>
          <w:szCs w:val="28"/>
          <w:rtl w:val="true"/>
          <w:lang w:bidi="fa-IR"/>
        </w:rPr>
        <w:t>.</w:t>
      </w:r>
    </w:p>
    <w:p>
      <w:pPr>
        <w:pStyle w:val="Heading3"/>
        <w:numPr>
          <w:ilvl w:val="2"/>
          <w:numId w:val="1"/>
        </w:numPr>
        <w:rPr/>
      </w:pPr>
      <w:bookmarkStart w:id="581" w:name="__RefHeading___Toc2760186_1395250215"/>
      <w:bookmarkStart w:id="582" w:name="_Toc197"/>
      <w:bookmarkEnd w:id="581"/>
      <w:r>
        <w:rPr>
          <w:rtl w:val="true"/>
        </w:rPr>
        <w:t>تضعیف الراوی من حیث العمل</w:t>
      </w:r>
      <w:bookmarkEnd w:id="582"/>
    </w:p>
    <w:p>
      <w:pPr>
        <w:pStyle w:val="BookText"/>
        <w:rPr/>
      </w:pPr>
      <w:r>
        <w:rPr>
          <w:rFonts w:ascii="IRNazanin" w:hAnsi="IRNazanin" w:eastAsia="IRNazanin"/>
          <w:color w:val="111111"/>
          <w:sz w:val="28"/>
          <w:sz w:val="28"/>
          <w:szCs w:val="28"/>
          <w:rtl w:val="true"/>
          <w:lang w:bidi="fa-IR"/>
        </w:rPr>
        <w:t>قد عرفت فی صدر البحث أنّ تضعیف الراوی یرجع إلی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تضعیف فی العقیدة أو تضعیف فی جانب العمل، و قد وقفت علی التضعیف من الجانب الأوّل و حان الوقت أن نبحث فی الضعف من الجانب الثانی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تضعیف الراوی من جانب العمل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یرجع </w:t>
      </w:r>
    </w:p>
    <w:p>
      <w:pPr>
        <w:pStyle w:val="BookText"/>
        <w:rPr/>
      </w:pPr>
      <w:r>
        <w:rPr>
          <w:rFonts w:ascii="IRNazanin" w:hAnsi="IRNazanin" w:eastAsia="IRNazanin"/>
          <w:color w:val="111111"/>
          <w:sz w:val="28"/>
          <w:sz w:val="28"/>
          <w:szCs w:val="28"/>
          <w:rtl w:val="true"/>
          <w:lang w:bidi="fa-IR"/>
        </w:rPr>
        <w:t>إلی عمله غیر المرتبط بنقله و حدیثه، کما إذا ارتکب بعض الکبائر و أصرّ بالصغائر و لم یکن مرتبطا بالحدیث، و اخری یکون مربوطا بالحدیث و یعرف ذلک بملاحظة الکلمات الواردة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و مختلط الحدیث، و لیس بنقیّ الحدیث، یعرف حدیثه و ینکر، غمز علیه فی حدیثه، أو فی بعض حدیثه، و لیس حدیثه بذاک النقی، و هل هذه الألفاظ قادحة فی العدالة أو لا، قال المحقّق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الالفاظ و أمثالها لیست بظاهرة فی القدح فی العدالة لورود هذه الألفاظ فی حقّ أحمد بن محمّد ابن خالد و أحمد بن عمر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حول فرق الشیعة الّتی ربّما یوجب الانتماء إلی بعضها تضعیف الراوی و عدم الاعتماد علی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هناک فوائد رجالیة لا تجتمع تحت عنوان واحد، نبحث عنها فی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2858_19845"/>
      <w:bookmarkStart w:id="584" w:name="pg2858_19845"/>
      <w:bookmarkEnd w:id="584"/>
    </w:p>
    <w:p>
      <w:pPr>
        <w:pStyle w:val="Heading2"/>
        <w:numPr>
          <w:ilvl w:val="1"/>
          <w:numId w:val="1"/>
        </w:numPr>
        <w:rPr/>
      </w:pPr>
      <w:bookmarkStart w:id="585" w:name="pg2858_19845"/>
      <w:bookmarkStart w:id="586" w:name="__RefHeading___Toc2760188_1395250215"/>
      <w:bookmarkStart w:id="587" w:name="_Toc198"/>
      <w:bookmarkEnd w:id="585"/>
      <w:bookmarkEnd w:id="586"/>
      <w:r>
        <w:rPr>
          <w:rtl w:val="true"/>
        </w:rPr>
        <w:t>خاتمة فی فوائد رجالیة</w:t>
      </w:r>
      <w:bookmarkEnd w:id="58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2760190_1395250215"/>
      <w:bookmarkStart w:id="589" w:name="_Toc199"/>
      <w:bookmarkEnd w:id="588"/>
      <w:r>
        <w:rPr>
          <w:rtl w:val="true"/>
        </w:rPr>
        <w:t>اشارة</w:t>
      </w:r>
      <w:bookmarkEnd w:id="58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2858_19847"/>
      <w:bookmarkStart w:id="591" w:name="pg2858_19847"/>
      <w:bookmarkEnd w:id="591"/>
    </w:p>
    <w:p>
      <w:pPr>
        <w:pStyle w:val="BookText"/>
        <w:rPr/>
      </w:pPr>
      <w:bookmarkStart w:id="592" w:name="pg2858_19847"/>
      <w:bookmarkEnd w:id="592"/>
      <w:r>
        <w:rPr>
          <w:rFonts w:ascii="IRNazanin" w:hAnsi="IRNazanin" w:eastAsia="IRNazanin"/>
          <w:color w:val="111111"/>
          <w:sz w:val="28"/>
          <w:sz w:val="28"/>
          <w:szCs w:val="28"/>
          <w:rtl w:val="true"/>
          <w:lang w:bidi="fa-IR"/>
        </w:rPr>
        <w:t>ان هناک فوائد رجالیة متفرّقة لا تدخل تحت ضابطة واحدة و قد ذکرها الرجالیون فی کتبهم و نحن نکتفی بما هو الأهمّ من تلک الفوائد، التی لا غنی للمستنبط عن الاطّلاع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تسهیل الأمر نأتی بکلّ واحدة منها تحت فائدة خاصّة، عسی أن ینتفع بها القاریء الکریم، بفضله و منّه سبحانه</w:t>
      </w:r>
      <w:r>
        <w:rPr>
          <w:rFonts w:eastAsia="IRNazanin" w:cs="IRNazanin"/>
          <w:color w:val="111111"/>
          <w:sz w:val="28"/>
          <w:szCs w:val="28"/>
          <w:rtl w:val="true"/>
          <w:lang w:bidi="fa-IR"/>
        </w:rPr>
        <w:t>.</w:t>
      </w:r>
    </w:p>
    <w:p>
      <w:pPr>
        <w:pStyle w:val="Heading3"/>
        <w:numPr>
          <w:ilvl w:val="2"/>
          <w:numId w:val="1"/>
        </w:numPr>
        <w:rPr/>
      </w:pPr>
      <w:bookmarkStart w:id="593" w:name="__RefHeading___Toc2760192_1395250215"/>
      <w:bookmarkStart w:id="594" w:name="_Toc200"/>
      <w:bookmarkEnd w:id="593"/>
      <w:r>
        <w:rPr>
          <w:rtl w:val="true"/>
        </w:rPr>
        <w:t>الفائدة الأولی</w:t>
      </w:r>
      <w:bookmarkEnd w:id="59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أصحابنا فی کتب الأخبار عن رجال یذکرون تارة کناهم أو ألقابهم، و اخری ما اشتهروا به، و ثالثة أسماءهم غیر المعروفة عند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فیعسر تحصیل أسمائهم و معرفة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الغالب فی کتب الفهرس و الرجال سرد الرواة بأسمائهم المشهورة، و عدم الاعتناء بما وقع فی أسناد الروایات، کما هو الحال فی فهرس النّجاشی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کلّ من له کنیة أو لقب، لا یصحّ التعبیر عنه بکنیته أو لقبه إلاّ إذا کان مشتهرا بواحد منهما بحیث کان عنوانه فی الکنی صحیحا کأبی جمیلة و أبی المغرا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العلاّمة فی خاتمة الخلاصة</w:t>
      </w:r>
      <w:r>
        <w:rPr>
          <w:rStyle w:val="FootnoteAnchor"/>
          <w:rtl w:val="true"/>
        </w:rPr>
        <w:footnoteReference w:id="577"/>
      </w:r>
      <w:r>
        <w:rPr>
          <w:rFonts w:ascii="IRNazanin" w:hAnsi="IRNazanin" w:eastAsia="IRNazanin"/>
          <w:color w:val="111111"/>
          <w:sz w:val="28"/>
          <w:sz w:val="28"/>
          <w:szCs w:val="28"/>
          <w:rtl w:val="true"/>
          <w:lang w:bidi="fa-IR"/>
        </w:rPr>
        <w:t>و ابن داود فی خاتمة القسم الأوّل من الرجال</w:t>
      </w:r>
      <w:r>
        <w:rPr>
          <w:rStyle w:val="FootnoteAnchor"/>
          <w:rtl w:val="true"/>
        </w:rPr>
        <w:footnoteReference w:id="578"/>
      </w:r>
      <w:r>
        <w:rPr>
          <w:rFonts w:ascii="IRNazanin" w:hAnsi="IRNazanin" w:eastAsia="IRNazanin"/>
          <w:color w:val="111111"/>
          <w:sz w:val="28"/>
          <w:sz w:val="28"/>
          <w:szCs w:val="28"/>
          <w:rtl w:val="true"/>
          <w:lang w:bidi="fa-IR"/>
        </w:rPr>
        <w:t xml:space="preserve">أکثر </w:t>
      </w:r>
    </w:p>
    <w:p>
      <w:pPr>
        <w:pStyle w:val="BookText"/>
        <w:rPr/>
      </w:pPr>
      <w:r>
        <w:rPr>
          <w:rFonts w:ascii="IRNazanin" w:hAnsi="IRNazanin" w:eastAsia="IRNazanin"/>
          <w:color w:val="111111"/>
          <w:sz w:val="28"/>
          <w:sz w:val="28"/>
          <w:szCs w:val="28"/>
          <w:rtl w:val="true"/>
          <w:lang w:bidi="fa-IR"/>
        </w:rPr>
        <w:t>المشهورین بالکنی، فذکر أسماءهم لیعلم المراد بهم إذا وردوا فی الأخبار</w:t>
      </w:r>
      <w:r>
        <w:rPr>
          <w:rStyle w:val="FootnoteAnchor"/>
          <w:rtl w:val="true"/>
        </w:rPr>
        <w:footnoteReference w:id="579"/>
      </w:r>
      <w:r>
        <w:rPr>
          <w:rFonts w:ascii="IRNazanin" w:hAnsi="IRNazanin" w:eastAsia="IRNazanin"/>
          <w:color w:val="111111"/>
          <w:sz w:val="28"/>
          <w:sz w:val="28"/>
          <w:szCs w:val="28"/>
          <w:rtl w:val="true"/>
          <w:lang w:bidi="fa-IR"/>
        </w:rPr>
        <w:t>و نحن نأتی بالأهمّ منهم مع ذکر أشخاص اخر لم یذکروا فی الکتابین مرتّبین علی حروف التهجی، مبتدئین بالکنی فالألقاب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أحمد الأزدی هو محمّد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الانصاری، اسمه خالد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أیّوب الخراز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 قبل الالف و المعجمة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ابراهیم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عثمان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الحضرمی، اسمه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ذلک من کتاب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البلاد، اسمه یحیی بن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روی الشیخ و غیره فی کثیر من الأخبار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بأبی جعفر هنا هو أحمد بن محمّد بن عیسی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الأحول، هو محمّد بن النعمان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الزیّات، اسمه محمّد بن الحسین بن أبی الخطّاب الهمدانی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الرواسی، اسمه محمّد بن الحسن بن أبی سارة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جمیلة هو المفضّل بن صالح السکونی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الجوزاء، هو منبّه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الجیش، اسمه مظفّر بن محمّد بن أحمد البلخی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حمران، اسمه موسی بن إبراهیم المروزی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حمزة الثمالی، اسمه ثابت بن أبی صفیّة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حنیفة سائق الحاج، اسمه سعید بن بیان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 القمّاط، اسمه یزید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خدیجة، هو سالم بن مکرم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اسمه محمّد بن مقلاص، یکّنی أیضا أبو إسماعیل و أبو الظبیان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المسترقّ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المنشد، اسمه سلیمان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 المسترق لأنّه کان یسترقّ الناس بشعر السید الحمیری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الربیع الشامی، اسمه خلید بن أوفی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القمّاط، هو خالد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سمینة، اسمه محمّد بن علیّ بن إبراهیم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الصباح الکنانی، اسمه إبراهیم بن نعیم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اسمه محمّد بن عیسی بن عبد اللّه بن سعد بن مالک، شیخ القمیین، من أصحاب الرضا و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القمی، اسمه أحمد بن إدریس، من مشایخ أبی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عبیدة الحذّاء اسمه زیاد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غالب الزراری، اسمه أحمد بن محمّد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 الحنّاط اسمه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معاویة بن عمّار</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المغرا، اسمه حمید بن المثنّی</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ولاّد الحناط، اسمه حفص بن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هاشم الجعفری، اسمه داود بن القاسم بن إسحاق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همّام، اسمه إسماعیل بن همّام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حمدون الکاتب، هو أحمد بن إبراهیم بن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عقدة، اسمه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البزوفری، اسمه الحسین بن علیّ بن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البقباق، اسمه الفضل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الحجّال، اسمه عبد اللّه بن محمّد الأسدی</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الخشّاب، اسمه الحسن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سجّادة، اسمه الحسن بن أبی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السمکة، اسمه أحمد بن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الشاذانی هو محمّد بن أحمد بن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الصفوانی، اسمه محمّد بن أحمد بن عبد اللّه بن قضاعة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الطاطری، اسمه علیّ بن الحسن بن محمّد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علاّن، اسمه علیّ بن محمّد بن إبراهیم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القلانسی أبو جعفر، هو محمّد بن أحمد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النهدی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القلانسی أبو عبد اللّه، هو الحسین بن مختار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النوفلی، اسمه الحسین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السکونی</w:t>
      </w:r>
      <w:r>
        <w:rPr>
          <w:rFonts w:eastAsia="IRNazanin" w:cs="IRNazanin"/>
          <w:color w:val="111111"/>
          <w:sz w:val="28"/>
          <w:szCs w:val="28"/>
          <w:rtl w:val="true"/>
          <w:lang w:bidi="fa-IR"/>
        </w:rPr>
        <w:t xml:space="preserve">. </w:t>
      </w:r>
      <w:bookmarkStart w:id="595" w:name="pg2858_19852"/>
    </w:p>
    <w:p>
      <w:pPr>
        <w:pStyle w:val="BookText"/>
        <w:rPr/>
      </w:pPr>
      <w:bookmarkEnd w:id="595"/>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الوشّاء، اسمه الحسن بن علیّ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النهدی، اسمه محمّد بن أحمد بن خاقان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زیاد الأزدی هو محمّد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زیاد البزاز، متّحد مع ما قبله</w:t>
      </w:r>
      <w:r>
        <w:rPr>
          <w:rFonts w:eastAsia="IRNazanin" w:cs="IRNazanin"/>
          <w:color w:val="111111"/>
          <w:sz w:val="28"/>
          <w:szCs w:val="28"/>
          <w:rtl w:val="true"/>
          <w:lang w:bidi="fa-IR"/>
        </w:rPr>
        <w:t>.</w:t>
      </w:r>
    </w:p>
    <w:p>
      <w:pPr>
        <w:pStyle w:val="Heading3"/>
        <w:numPr>
          <w:ilvl w:val="2"/>
          <w:numId w:val="1"/>
        </w:numPr>
        <w:rPr/>
      </w:pPr>
      <w:bookmarkStart w:id="596" w:name="__RefHeading___Toc2760194_1395250215"/>
      <w:bookmarkStart w:id="597" w:name="_Toc201"/>
      <w:bookmarkEnd w:id="596"/>
      <w:r>
        <w:rPr>
          <w:rtl w:val="true"/>
        </w:rPr>
        <w:t>الفائدة الثانیة</w:t>
      </w:r>
      <w:bookmarkEnd w:id="597"/>
    </w:p>
    <w:p>
      <w:pPr>
        <w:pStyle w:val="BookText"/>
        <w:rPr/>
      </w:pPr>
      <w:r>
        <w:rPr>
          <w:rFonts w:ascii="IRNazanin" w:hAnsi="IRNazanin" w:eastAsia="IRNazanin"/>
          <w:color w:val="111111"/>
          <w:sz w:val="28"/>
          <w:sz w:val="28"/>
          <w:szCs w:val="28"/>
          <w:rtl w:val="true"/>
          <w:lang w:bidi="fa-IR"/>
        </w:rPr>
        <w:t xml:space="preserve">توجد فی کثیر من طرق الکافی لا سیّما فی أوائلها،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مطلق، مع ذکر بعضهم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الأوّل من کتاب العقل و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منهم محمّد بن یحیی العطار، عن أحمد بن محمّد، عن الحسن بن محبوب</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فی الحدیث الثانی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علم ما کان و علم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عن محمّد بن سنان، عن یونس بن یعقوب، عن الحارث بن المغیرة، و عدّة من أصحابنا، منهم عبد الأعلی، و أبو عبیدة، و عبد اللّه بن بشر الخثعمی، سمعوا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فوقع البحث عند المحدّثین و الرجالیّین قدیما و حدیثا فی تعیین المراد منهم، کما بحثوا فی أنّه هل یجب معرفة أسمائهم و تمییز ما ابهم منهم لأجل الحکم بصحّة الحدیث أو عدم صحّته أو لا یجب ذلک، و أنّ الطریق المذکور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مرسلا أو ضعیفا من هذه الجهة؟ حتّی إنّ بعضهم أفرد رسالة مستقلّة حول المذکورین بهذا العنوان، کما حکی فی المستدرک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نحن نذکر ملخّص ما قیل فی هذا المضمار لما فیه من الفوائد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عند ترجمة أبی جعفر محمّد بن یعقوب الکلینی هذه العبارة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کتابی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موسی الکمیذانی و داود بن کورة، و أحمد بن إدریس، و علیّ بن إبراهیم بن هاشم</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نقله العلاّمة فی الخلاصة عن النّجاشی</w:t>
      </w:r>
      <w:r>
        <w:rPr>
          <w:rStyle w:val="FootnoteAnchor"/>
          <w:rtl w:val="true"/>
        </w:rPr>
        <w:footnoteReference w:id="593"/>
      </w:r>
      <w:r>
        <w:rPr>
          <w:rFonts w:ascii="IRNazanin" w:hAnsi="IRNazanin" w:eastAsia="IRNazanin"/>
          <w:color w:val="111111"/>
          <w:sz w:val="28"/>
          <w:sz w:val="28"/>
          <w:szCs w:val="28"/>
          <w:rtl w:val="true"/>
          <w:lang w:bidi="fa-IR"/>
        </w:rPr>
        <w:t>و زاد علیه أنّ الکلینی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ذکرته فی کتابی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 علیّ بن محمد بن عبد اللّه بن اذینة، و أحمد بن عبد اللّه بن امیّة</w:t>
      </w:r>
      <w:r>
        <w:rPr>
          <w:rStyle w:val="FootnoteAnchor"/>
          <w:rtl w:val="true"/>
        </w:rPr>
        <w:footnoteReference w:id="594"/>
      </w:r>
      <w:r>
        <w:rPr>
          <w:rFonts w:ascii="IRNazanin" w:hAnsi="IRNazanin" w:eastAsia="IRNazanin"/>
          <w:color w:val="111111"/>
          <w:sz w:val="28"/>
          <w:sz w:val="28"/>
          <w:szCs w:val="28"/>
          <w:rtl w:val="true"/>
          <w:lang w:bidi="fa-IR"/>
        </w:rPr>
        <w:t>و علیّ بن الحسن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ذکرته فی کتابی المشار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w:t>
      </w:r>
      <w:r>
        <w:rPr>
          <w:rStyle w:val="FootnoteAnchor"/>
          <w:rtl w:val="true"/>
        </w:rPr>
        <w:footnoteReference w:id="596"/>
      </w:r>
      <w:r>
        <w:rPr>
          <w:rFonts w:ascii="IRNazanin" w:hAnsi="IRNazanin" w:eastAsia="IRNazanin"/>
          <w:color w:val="111111"/>
          <w:sz w:val="28"/>
          <w:sz w:val="28"/>
          <w:szCs w:val="28"/>
          <w:rtl w:val="true"/>
          <w:lang w:bidi="fa-IR"/>
        </w:rPr>
        <w:t>، و محمّد بن أبی عبد اللّه و محمّد بن الحسن، و محمّد بن عقیل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تبیّن من أسامی الرواة المذکورین بعنوان العدّة، و لکنّه لم یتبیّن کثیر منهم،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أبی 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بن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أبان بن عثمان،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جعفر بن محمّد، عن ابن الفضّال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سعد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استوفی المحدّث المتتبّع النوری فی خاتمة مستدرکه و العلامة الکلباسی فی سماء المقال البحث عن أکثر العدد المذکورة فی الکافی مع ذکر مواضیعها، فلیراجع</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الشیخ حسن بن زین الدین صاحب المنتقی ادّعی فی کتابه بعد حکایة کلام النّجاشی و العلاّمة، أنّ محمّد بن یحیی العطّار أحد العدّة مطلقا، و استنتج أنّ الطریق صحیح من جهة العدّة مطلقا، لأنّ الرجل کان شیخ أصحابه فی زمانه و کان ثقة عینا کثیر الحدیث</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یستفاد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أبی جعفر الکلینی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أنّ محمّد بن یحیی أحد العدّة مطلقا، و هو کاف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هذا البیان فی أوّل حدیث ذکره فی الکتاب</w:t>
      </w:r>
      <w:r>
        <w:rPr>
          <w:rStyle w:val="FootnoteAnchor"/>
          <w:rtl w:val="true"/>
        </w:rPr>
        <w:footnoteReference w:id="599"/>
      </w:r>
      <w:r>
        <w:rPr>
          <w:rFonts w:ascii="IRNazanin" w:hAnsi="IRNazanin" w:eastAsia="IRNazanin"/>
          <w:color w:val="111111"/>
          <w:sz w:val="28"/>
          <w:sz w:val="28"/>
          <w:szCs w:val="28"/>
          <w:rtl w:val="true"/>
          <w:lang w:bidi="fa-IR"/>
        </w:rPr>
        <w:t>، و ظاهره أنّه أحال الباقی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عدم الفرق بین کون روایة العدّة عن أحمد بن محمّد بن عیسی و أحمد بن محمّد بن خالد، و إن کان البیان إنّما وقع فی محلّ الروایة عن ابن عیسی، فإنّه روی عن العدّة عن ابن خالد بعد البیان بجملة یسیرة من الأخبار</w:t>
      </w:r>
      <w:r>
        <w:rPr>
          <w:rStyle w:val="FootnoteAnchor"/>
          <w:rtl w:val="true"/>
        </w:rPr>
        <w:footnoteReference w:id="600"/>
      </w:r>
      <w:r>
        <w:rPr>
          <w:rFonts w:ascii="IRNazanin" w:hAnsi="IRNazanin" w:eastAsia="IRNazanin"/>
          <w:color w:val="111111"/>
          <w:sz w:val="28"/>
          <w:sz w:val="28"/>
          <w:szCs w:val="28"/>
          <w:rtl w:val="true"/>
          <w:lang w:bidi="fa-IR"/>
        </w:rPr>
        <w:t>، و یبعد أن لا یکون محمّد بن یحیی فی العدّة عن ابن خالد و لا یتعرّض مع ذلک للبیان فی أوّل روایته عنه، کما بیّن فی أوّل روایته عن ابن عیسی</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بعد تصریح الکلینی علی ما نقل عنه العلاّمة، بأسماء العدّة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یذکر فیه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الکلباسی أنّ الکلام المزبور أشبه شیء بالاجتهاد فی مقابلة النصّ</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استظهار ما ذکره صاحب المنتقی، ممّا حکاه المحدّث النوری عند نقل کلام العلاّمة فی العدّة عن البرقی بأنّه یوجد فی بعض نسخ الکافی فی الباب التاسع من کتاب العتق هذا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علیّ بن إبراهیم، و محمّد بن جعفر، و محمّد بن یحیی، و علیّ بن محمد بن عبد اللّه القمی و أحمد بن عبد اللّه و علیّ بن الحسین جمیعا عن أحمد بن محمّد ابن خالد عن عثمان بن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ورود هؤلاء فی طریق هذه الروایة لا یدلّ علی أنّ المراد من العدّة عن البرقی فی جمیع الموارد هم المذکورون هنا، بل یدلّ علی أنّ الوارد فی طریق هذه الروایة، غیر الذین اشتهروا بعنوان العدّة عن البرقی فیما حکاه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لذکر أسامی أفراد العدّة فی هذا الطریق هو التنبیه علی أنّ المراد من العدّة هنا، غیر المراد من العدّة فی الروایات الاخر عن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التستری و أجاد فی إفادته بأنّ المنقول لا ینبغی أن یعتمد علیه، لأنّه نقل عن نسخة مختلطة الحواشی بالمتن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ما نقله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فی أکثر نسخ الکافی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الذی یسهّل الخطب هو أنّ المذکورین بعنوان العدّة فی طرق الکلینی هم مشایخ إجازته إلی کتب رواة کابن البرقی، و سهل بن زیاد، و ابن عیسی، و البزنطی، و سعد بن عبد اللّه و غیرهم من أصحاب المصنّفات و الکتب</w:t>
      </w:r>
      <w:r>
        <w:rPr>
          <w:rStyle w:val="FootnoteAnchor"/>
          <w:rtl w:val="true"/>
        </w:rPr>
        <w:footnoteReference w:id="604"/>
      </w:r>
      <w:r>
        <w:rPr>
          <w:rFonts w:ascii="IRNazanin" w:hAnsi="IRNazanin" w:eastAsia="IRNazanin"/>
          <w:color w:val="111111"/>
          <w:sz w:val="28"/>
          <w:sz w:val="28"/>
          <w:szCs w:val="28"/>
          <w:rtl w:val="true"/>
          <w:lang w:bidi="fa-IR"/>
        </w:rPr>
        <w:t>، کما صرّح بذلک العلاّمة النوری فی خاتمة کتاب المستدرک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أکثر هذه الکتب و المؤلّفات معلومة الانتساب إلی مؤلّفیها، و قد رام الکلینی من ذکر العدّة إکثار الطّریق إلی الکتب المذکورة فقط و قد عرفت </w:t>
      </w:r>
    </w:p>
    <w:p>
      <w:pPr>
        <w:pStyle w:val="BookText"/>
        <w:rPr/>
      </w:pPr>
      <w:r>
        <w:rPr>
          <w:rFonts w:ascii="IRNazanin" w:hAnsi="IRNazanin" w:eastAsia="IRNazanin"/>
          <w:color w:val="111111"/>
          <w:sz w:val="28"/>
          <w:sz w:val="28"/>
          <w:szCs w:val="28"/>
          <w:rtl w:val="true"/>
          <w:lang w:bidi="fa-IR"/>
        </w:rPr>
        <w:t xml:space="preserve">المختار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شیخوخة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إثبات وثاقة المجیر بالنسبة إلی کتاب مشهور، فلا یهمّنا التعرّض لتشخیص هؤلاء العدد و تمییز ما ابهم منهم و جرحهم أو تعدیلهم، و إن کان أکثر المذکورین منهم من أجلاّء الأصحاب و أعاظم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أنّه ربما یروی الکلینی معبّرا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کتاب العقل و الجهل، 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من أصحابنا، عن أحمد بن محمّد بن عیسی</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أو یروی معبّرا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باب زکاة مال الغائب 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واحد من أصحابنا، عن سهل بن زیاد، عن علیّ بن مهزیار</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 یظهر من العلاّمة الکلباسی فی کلا التعبیرین، و من المحقّق التستری فی التعبیر الأوّل أنّه علی منوال العدّة، فلا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للعلامة بحر العلوم اشعار فی ضبط العدة 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أحمد بن عیسی بالعدد خمسة أشخاص بهم تمّ السند</w:t>
      </w:r>
    </w:p>
    <w:p>
      <w:pPr>
        <w:pStyle w:val="BookText"/>
        <w:rPr/>
      </w:pPr>
      <w:r>
        <w:rPr>
          <w:rFonts w:ascii="IRNazanin" w:hAnsi="IRNazanin" w:eastAsia="IRNazanin"/>
          <w:color w:val="111111"/>
          <w:sz w:val="28"/>
          <w:sz w:val="28"/>
          <w:szCs w:val="28"/>
          <w:rtl w:val="true"/>
          <w:lang w:bidi="fa-IR"/>
        </w:rPr>
        <w:t>علیّ العلی و العطار ثمّ ابن ادریس و هم أخیار</w:t>
      </w:r>
    </w:p>
    <w:p>
      <w:pPr>
        <w:pStyle w:val="BookText"/>
        <w:rPr/>
      </w:pPr>
      <w:r>
        <w:rPr>
          <w:rFonts w:ascii="IRNazanin" w:hAnsi="IRNazanin" w:eastAsia="IRNazanin"/>
          <w:color w:val="111111"/>
          <w:sz w:val="28"/>
          <w:sz w:val="28"/>
          <w:szCs w:val="28"/>
          <w:rtl w:val="true"/>
          <w:lang w:bidi="fa-IR"/>
        </w:rPr>
        <w:t>ثمّ ابن کورة، کذا ابن موسی فهؤلاء عدّة ابن عیسی</w:t>
      </w:r>
    </w:p>
    <w:p>
      <w:pPr>
        <w:pStyle w:val="BookText"/>
        <w:rPr/>
      </w:pPr>
      <w:r>
        <w:rPr>
          <w:rFonts w:ascii="IRNazanin" w:hAnsi="IRNazanin" w:eastAsia="IRNazanin"/>
          <w:color w:val="111111"/>
          <w:sz w:val="28"/>
          <w:sz w:val="28"/>
          <w:szCs w:val="28"/>
          <w:rtl w:val="true"/>
          <w:lang w:bidi="fa-IR"/>
        </w:rPr>
        <w:t>و إنّ عدّة الّتی عن سهل من کان الأمر فیه غیر سله</w:t>
      </w:r>
    </w:p>
    <w:p>
      <w:pPr>
        <w:pStyle w:val="BookText"/>
        <w:rPr/>
      </w:pPr>
      <w:r>
        <w:rPr>
          <w:rFonts w:ascii="IRNazanin" w:hAnsi="IRNazanin" w:eastAsia="IRNazanin"/>
          <w:color w:val="111111"/>
          <w:sz w:val="28"/>
          <w:sz w:val="28"/>
          <w:szCs w:val="28"/>
          <w:rtl w:val="true"/>
          <w:lang w:bidi="fa-IR"/>
        </w:rPr>
        <w:t>ابن عقیل و ابن عون الأسدی کذا علیّ بعده محمّد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عدة البرقی و هو أحمد</w:t>
      </w:r>
      <w:r>
        <w:rPr>
          <w:rStyle w:val="FootnoteAnchor"/>
          <w:rtl w:val="true"/>
        </w:rPr>
        <w:footnoteReference w:id="609"/>
      </w:r>
      <w:r>
        <w:rPr>
          <w:rFonts w:ascii="IRNazanin" w:hAnsi="IRNazanin" w:eastAsia="IRNazanin"/>
          <w:color w:val="111111"/>
          <w:sz w:val="28"/>
          <w:sz w:val="28"/>
          <w:szCs w:val="28"/>
          <w:rtl w:val="true"/>
          <w:lang w:bidi="fa-IR"/>
        </w:rPr>
        <w:t xml:space="preserve">علیّ بن الحسن و أحمد </w:t>
      </w:r>
      <w:bookmarkStart w:id="598" w:name="pg2858_19858"/>
    </w:p>
    <w:p>
      <w:pPr>
        <w:pStyle w:val="BookText"/>
        <w:rPr/>
      </w:pPr>
      <w:bookmarkEnd w:id="598"/>
      <w:r>
        <w:rPr>
          <w:rFonts w:ascii="IRNazanin" w:hAnsi="IRNazanin" w:eastAsia="IRNazanin"/>
          <w:color w:val="111111"/>
          <w:sz w:val="28"/>
          <w:sz w:val="28"/>
          <w:szCs w:val="28"/>
          <w:rtl w:val="true"/>
          <w:lang w:bidi="fa-IR"/>
        </w:rPr>
        <w:t>و بعد ذین ابن اذینة علیّ و ابن لابراهیم و اسمه علیّ</w:t>
      </w:r>
    </w:p>
    <w:p>
      <w:pPr>
        <w:pStyle w:val="BookText"/>
        <w:rPr/>
      </w:pPr>
      <w:r>
        <w:rPr>
          <w:rFonts w:ascii="IRNazanin" w:hAnsi="IRNazanin" w:eastAsia="IRNazanin"/>
          <w:color w:val="111111"/>
          <w:sz w:val="28"/>
          <w:sz w:val="28"/>
          <w:szCs w:val="28"/>
          <w:rtl w:val="true"/>
          <w:lang w:bidi="fa-IR"/>
        </w:rPr>
        <w:t>هذا تمام الکلام فی عدّة الکلینی</w:t>
      </w:r>
      <w:r>
        <w:rPr>
          <w:rFonts w:eastAsia="IRNazanin" w:cs="IRNazanin"/>
          <w:color w:val="111111"/>
          <w:sz w:val="28"/>
          <w:szCs w:val="28"/>
          <w:rtl w:val="true"/>
          <w:lang w:bidi="fa-IR"/>
        </w:rPr>
        <w:t>.</w:t>
      </w:r>
    </w:p>
    <w:p>
      <w:pPr>
        <w:pStyle w:val="Heading3"/>
        <w:numPr>
          <w:ilvl w:val="2"/>
          <w:numId w:val="1"/>
        </w:numPr>
        <w:rPr/>
      </w:pPr>
      <w:bookmarkStart w:id="599" w:name="__RefHeading___Toc2760196_1395250215"/>
      <w:bookmarkStart w:id="600" w:name="_Toc202"/>
      <w:bookmarkEnd w:id="599"/>
      <w:r>
        <w:rPr>
          <w:rtl w:val="true"/>
        </w:rPr>
        <w:t>الفائدة الثالثة</w:t>
      </w:r>
      <w:bookmarkEnd w:id="600"/>
    </w:p>
    <w:p>
      <w:pPr>
        <w:pStyle w:val="BookText"/>
        <w:rPr/>
      </w:pPr>
      <w:r>
        <w:rPr>
          <w:rFonts w:ascii="IRNazanin" w:hAnsi="IRNazanin" w:eastAsia="IRNazanin"/>
          <w:color w:val="111111"/>
          <w:sz w:val="28"/>
          <w:sz w:val="28"/>
          <w:szCs w:val="28"/>
          <w:rtl w:val="true"/>
          <w:lang w:bidi="fa-IR"/>
        </w:rPr>
        <w:t>قد یحذف الکلینی صدر السند فی خبر مبتنیا علی الخبر الّذی قبله و هذا ما یعبّر عنه فی کلام أهل الدرایة بالتعلیق فمثلا یقول فی الخبر الأوّل من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عن ابن أبی عمیر، عن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الثانی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عمیر، عن الحسن بن عطیة، عن عمر بن یزید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او یقول فی الخبر الأوّل من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أبیه، عن أبن أبی عمیر، عن أبی عبد اللّه صاحب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الثانی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عمیر، عن ابن رئاب، عن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الثالث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عمیر، عن حفص بن البختری،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یقول فی الخبر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بن عیسی و أحمد بن محمّد بن خالد، و علیّ بن ابراهیم عن أبیه، و سهل بن زیاد جمیعا عن ابن محبوب عن علیّ بن رئاب عن أبی عبیدة الحذّاء،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الخبر الثانی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محبوب، عن مالک بن عطّیة، عن سعید الأعرج،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الخبر </w:t>
      </w:r>
    </w:p>
    <w:p>
      <w:pPr>
        <w:pStyle w:val="BookText"/>
        <w:rPr/>
      </w:pPr>
      <w:r>
        <w:rPr>
          <w:rFonts w:ascii="IRNazanin" w:hAnsi="IRNazanin" w:eastAsia="IRNazanin"/>
          <w:color w:val="111111"/>
          <w:sz w:val="28"/>
          <w:sz w:val="28"/>
          <w:szCs w:val="28"/>
          <w:rtl w:val="true"/>
          <w:lang w:bidi="fa-IR"/>
        </w:rPr>
        <w:t>الثالث منه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محبوب، عن أبی جعفر محمّد بن النعمان الأحول صاحب الطاق، عن سلام بن المستنیر،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أمثال هذه الأخبار مسندة لا مرسلة کما صرّح به جماعة کالمجلسی الأوّل و السید الجزائری و صاحب المعالم</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الأخیر فی المنتقی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أنّه اتّفق لبعض الأصحاب توهّم الانقطاع فی جملة من أسانید الکافی لغفلتهم عن ملاحظة بنائه لکثیر منها علی طرق سابقة و هی طریقة معروفة بین القدماء، و العجب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غفل عن مراعاتها فأورد الاسناد من الکافی بصورته و وصله بطرقه عن الکلینی من غیر ذکر للواسطة المتروکة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الاسناد فی روایة الشیخ له منقطعا و لکن مراجعة الکافی تفید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التوهّم الذی أشرنا إلیه فقد الممارسة المطلعة علی التزام تلک الطریقة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فی تهذیبه، حیث نقل روایة عن الکلینی و ادّعی أنّها مرسلة مع أنّه من باب التعلیق</w:t>
      </w:r>
      <w:r>
        <w:rPr>
          <w:rStyle w:val="FootnoteAnchor"/>
          <w:rtl w:val="true"/>
        </w:rPr>
        <w:footnoteReference w:id="615"/>
      </w:r>
      <w:r>
        <w:rPr>
          <w:rFonts w:ascii="IRNazanin" w:hAnsi="IRNazanin" w:eastAsia="IRNazanin"/>
          <w:color w:val="111111"/>
          <w:sz w:val="28"/>
          <w:sz w:val="28"/>
          <w:szCs w:val="28"/>
          <w:rtl w:val="true"/>
          <w:lang w:bidi="fa-IR"/>
        </w:rPr>
        <w:t xml:space="preserve">، و الروایة موجودة فی باب الزیادات فی الزّکاة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مرسلا عن یونس بن عبد الرحمن، عن علیّ بن أبی حمزة، عن ابی بصیر،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 و الروایة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منع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لکنّها مبتنیة </w:t>
      </w:r>
      <w:bookmarkStart w:id="601" w:name="pg2858_19860"/>
    </w:p>
    <w:p>
      <w:pPr>
        <w:pStyle w:val="BookText"/>
        <w:rPr/>
      </w:pPr>
      <w:bookmarkEnd w:id="601"/>
      <w:r>
        <w:rPr>
          <w:rFonts w:ascii="IRNazanin" w:hAnsi="IRNazanin" w:eastAsia="IRNazanin"/>
          <w:color w:val="111111"/>
          <w:sz w:val="28"/>
          <w:sz w:val="28"/>
          <w:szCs w:val="28"/>
          <w:rtl w:val="true"/>
          <w:lang w:bidi="fa-IR"/>
        </w:rPr>
        <w:t>علی الروایة الّتی نقلها قبلها 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عن أبیه، عن إسماعیل بن مرار، عن یونس، عن ابن مسکان یرفعه عن رجل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رواه الشیخ عن الکلینی عن یونس لیس مرسلا، کما أنّ المحدث الحرّ العاملی التفت إلی التّعلیق و أتی بتمام السند،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علیّ، عن أبیه، عن إسماعیل بن مرار، عن یونس، عن علیّ بن أبی حمزة، عن أبی بصیر،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بعض أنّ حذف الکلینی صدر السند لعلّه لنقله عن الأصل المروی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الحذف للنقل عن أصل من لم یلقه، بعید عن دأب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یفعلون ذلک مع ذکر طرقهم إلی الاصل بعنوان المشیخة، کما فعل ذلک الصّدوق و الشیخ فی الفقیه و التهذیبین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760198_1395250215"/>
      <w:bookmarkStart w:id="603" w:name="_Toc203"/>
      <w:bookmarkEnd w:id="602"/>
      <w:r>
        <w:rPr>
          <w:rtl w:val="true"/>
        </w:rPr>
        <w:t>الفائدة الرابعة</w:t>
      </w:r>
      <w:bookmarkEnd w:id="60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قد صدّر الکلینی جملة من الأسانید بعلیّ بن محمّد و قد اضطربوا فی تعیینه، منهم من جزم بکونه علیّ بن محمّد بن إبراهیم علان، و منهم من اختار کونه علیّ بن محمّد بن اذینة، و منهم من رجّح أنّ المراد علیّ بن محمّد بن بندار، و منهم من توقّف و لم یعیّن أحدهم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المولی صالح المازندرانی فی شرحه علی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مصنّف هذا الکتاب کثیرا عن علیّ بن محمّد و هو علیّ بن محمد بن ابراهیم الکلینی المعروف بعلاّن</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العلاّمة المجلسی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منه علیّ بن محمّد بن عبد اللّه بن اذینة الّذی ذکره العلاّمة فی العدّة الّتی تروی عن البرقی</w:t>
      </w:r>
      <w:r>
        <w:rPr>
          <w:rStyle w:val="FootnoteAnchor"/>
          <w:rtl w:val="true"/>
        </w:rPr>
        <w:footnoteReference w:id="621"/>
      </w:r>
      <w:r>
        <w:rPr>
          <w:rFonts w:ascii="IRNazanin" w:hAnsi="IRNazanin" w:eastAsia="IRNazanin"/>
          <w:color w:val="111111"/>
          <w:sz w:val="28"/>
          <w:sz w:val="28"/>
          <w:szCs w:val="28"/>
          <w:rtl w:val="true"/>
          <w:lang w:bidi="fa-IR"/>
        </w:rPr>
        <w:t xml:space="preserve">و 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تعیین علیّ بن محمّد المصدّر فی أوائل السند من بین الثلاثة المذکورة مشکل</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العلامة المامقانی إلی أنّ علیّ بن محمّد هذا مردّد بین ثلاثة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 اللّه بن اذینة، و علاّن، و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و کلّ منهم 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فحمله علی أحدهم دون الآخرین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الصالح لم یذکر دلیله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تعیّن إرادة علاّن دون صاحبیه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لأنّه کلّما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و قد فسّر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ماجیلویه غیر معلوم، بل الظاهر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لإبنته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متّحد مع ماجیلویه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محمد بن عبد اللّه المعروف أبوه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هو </w:t>
      </w:r>
    </w:p>
    <w:p>
      <w:pPr>
        <w:pStyle w:val="BookText"/>
        <w:rPr/>
      </w:pPr>
      <w:r>
        <w:rPr>
          <w:rFonts w:ascii="IRNazanin" w:hAnsi="IRNazanin" w:eastAsia="IRNazanin"/>
          <w:color w:val="111111"/>
          <w:sz w:val="28"/>
          <w:sz w:val="28"/>
          <w:szCs w:val="28"/>
          <w:rtl w:val="true"/>
          <w:lang w:bidi="fa-IR"/>
        </w:rPr>
        <w:t>ابن بنت البرقی، کما صرح النجاشی فی کتابه</w:t>
      </w:r>
      <w:r>
        <w:rPr>
          <w:rStyle w:val="FootnoteAnchor"/>
          <w:rtl w:val="true"/>
        </w:rPr>
        <w:footnoteReference w:id="625"/>
      </w:r>
      <w:r>
        <w:rPr>
          <w:rFonts w:ascii="IRNazanin" w:hAnsi="IRNazanin" w:eastAsia="IRNazanin"/>
          <w:color w:val="111111"/>
          <w:sz w:val="28"/>
          <w:sz w:val="28"/>
          <w:szCs w:val="28"/>
          <w:rtl w:val="true"/>
          <w:lang w:bidi="fa-IR"/>
        </w:rPr>
        <w:t xml:space="preserve">أمّا علیّ بن محمّد بن عبد اللّه ابن اذینة فهو مذکور فقط فی عدّة الکلینی عن البرقی و لیس له عین و لا أثر فی موضع آخر و من هنا استظهر المحقّق التستری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راجع إلی البرقی فهو متّحد مع ماجیلویه المذکور الّذی تأدّب علی البرقی و أخذ عنه العلم و الأدب و روی بواسطته کتب الحسین بن سعید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أیضا أنّ علیّ بن محمد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متّحد مع علی ابن محمّد بن بندار الّذی یروی عنه الکلینی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فلو صحّ ما استظهره المحقّق التستری یرجع التردید إلی اثنین و هما علاّن و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تعیّن إرادة علاّن دون ماجیلویه، لیس بتامّ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قد وقع فی الکافی روایة علیّ بن محمد عن علی بن الحسن</w:t>
      </w:r>
      <w:r>
        <w:rPr>
          <w:rStyle w:val="FootnoteAnchor"/>
          <w:rtl w:val="true"/>
        </w:rPr>
        <w:footnoteReference w:id="626"/>
      </w:r>
      <w:r>
        <w:rPr>
          <w:rFonts w:ascii="IRNazanin" w:hAnsi="IRNazanin" w:eastAsia="IRNazanin"/>
          <w:color w:val="111111"/>
          <w:sz w:val="28"/>
          <w:sz w:val="28"/>
          <w:szCs w:val="28"/>
          <w:rtl w:val="true"/>
          <w:lang w:bidi="fa-IR"/>
        </w:rPr>
        <w:t>و عن ابن جمهور</w:t>
      </w:r>
      <w:r>
        <w:rPr>
          <w:rStyle w:val="FootnoteAnchor"/>
          <w:rtl w:val="true"/>
        </w:rPr>
        <w:footnoteReference w:id="627"/>
      </w:r>
      <w:r>
        <w:rPr>
          <w:rFonts w:ascii="IRNazanin" w:hAnsi="IRNazanin" w:eastAsia="IRNazanin"/>
          <w:color w:val="111111"/>
          <w:sz w:val="28"/>
          <w:sz w:val="28"/>
          <w:szCs w:val="28"/>
          <w:rtl w:val="true"/>
          <w:lang w:bidi="fa-IR"/>
        </w:rPr>
        <w:t>و عن الفضل بن محمّد</w:t>
      </w:r>
      <w:r>
        <w:rPr>
          <w:rStyle w:val="FootnoteAnchor"/>
          <w:rtl w:val="true"/>
        </w:rPr>
        <w:footnoteReference w:id="628"/>
      </w:r>
      <w:r>
        <w:rPr>
          <w:rFonts w:ascii="IRNazanin" w:hAnsi="IRNazanin" w:eastAsia="IRNazanin"/>
          <w:color w:val="111111"/>
          <w:sz w:val="28"/>
          <w:sz w:val="28"/>
          <w:szCs w:val="28"/>
          <w:rtl w:val="true"/>
          <w:lang w:bidi="fa-IR"/>
        </w:rPr>
        <w:t>و عن محمّد بن موسی</w:t>
      </w:r>
      <w:r>
        <w:rPr>
          <w:rStyle w:val="FootnoteAnchor"/>
          <w:rtl w:val="true"/>
        </w:rPr>
        <w:footnoteReference w:id="629"/>
      </w:r>
      <w:r>
        <w:rPr>
          <w:rFonts w:ascii="IRNazanin" w:hAnsi="IRNazanin" w:eastAsia="IRNazanin"/>
          <w:color w:val="111111"/>
          <w:sz w:val="28"/>
          <w:sz w:val="28"/>
          <w:szCs w:val="28"/>
          <w:rtl w:val="true"/>
          <w:lang w:bidi="fa-IR"/>
        </w:rPr>
        <w:t xml:space="preserve">و غیرهم من الرجال، و إن کانت روایة علیّ بن محمد عن سهل کثیرة جدّا و علی سبیل المثال نذکر أنّه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کتاب الطهارة إلی آخر الزکاة أکثر من مائة مورد، روی الکلینی فی سبعین موردا منها عن علیّ بن محمد، عن سهل، و فی سائرها عن رجال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 کلام المحقّق المذکور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ظفره فی الکافی </w:t>
      </w:r>
    </w:p>
    <w:p>
      <w:pPr>
        <w:pStyle w:val="BookText"/>
        <w:rPr/>
      </w:pPr>
      <w:r>
        <w:rPr>
          <w:rFonts w:ascii="IRNazanin" w:hAnsi="IRNazanin" w:eastAsia="IRNazanin"/>
          <w:color w:val="111111"/>
          <w:sz w:val="28"/>
          <w:sz w:val="28"/>
          <w:szCs w:val="28"/>
          <w:rtl w:val="true"/>
          <w:lang w:bidi="fa-IR"/>
        </w:rPr>
        <w:t>و فی غیره علی روایة محمّد بن یعقوب الکلینی عن علاّن غریب جدّا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المراد من علیّ بن محمد المذکور فی أوائل أسناد الکافی هو ابن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من مشایخ الکلینی و قد أکثر الروایة عنه فی الکافی فی جمیع أجزائه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قد یقال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أنّه علی بن محمّد بن بندار الّذی روی عنه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فی أبواب الأطعمة ثلاثة و ثلاثین موردا</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یتعیّن أنّ المراد بعلیّ بن محمّد فی سائر الموارد هو علیّ بن محمّد بن بندار</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ما فی هذا القول من النظر، لأنّ موارد روایة علیّ بن محمد عن سهل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لدخوله فی العدّة الراوین عن سهل،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عجیب ما وقع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محمد بن بندار غیر علیّ بن محمد بن عبد اللّه</w:t>
      </w:r>
      <w:r>
        <w:rPr>
          <w:rStyle w:val="FootnoteAnchor"/>
          <w:rtl w:val="true"/>
        </w:rPr>
        <w:footnoteReference w:id="633"/>
      </w:r>
      <w:r>
        <w:rPr>
          <w:rFonts w:ascii="Amiri" w:hAnsi="Amiri" w:eastAsia="Amiri" w:cs="Amiri"/>
          <w:color w:val="111111"/>
          <w:sz w:val="28"/>
          <w:sz w:val="28"/>
          <w:szCs w:val="28"/>
          <w:rtl w:val="true"/>
          <w:lang w:bidi="ar-SA"/>
        </w:rPr>
        <w:t>، مع أنّهما متّحدان جزما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ظهر لنا بعد النظر فی عبائر المحقّقین أنّ علیّ بن محمّد المصدّر فی أوائل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لیس مجهولا قطعا، بل هو إمّا علیّ بن محمّد </w:t>
      </w:r>
      <w:bookmarkStart w:id="604" w:name="pg2858_19864"/>
    </w:p>
    <w:p>
      <w:pPr>
        <w:pStyle w:val="BookText"/>
        <w:rPr/>
      </w:pPr>
      <w:bookmarkEnd w:id="604"/>
      <w:r>
        <w:rPr>
          <w:rFonts w:ascii="IRNazanin" w:hAnsi="IRNazanin" w:eastAsia="IRNazanin"/>
          <w:color w:val="111111"/>
          <w:sz w:val="28"/>
          <w:sz w:val="28"/>
          <w:szCs w:val="28"/>
          <w:rtl w:val="true"/>
          <w:lang w:bidi="fa-IR"/>
        </w:rPr>
        <w:t>بن إبراهیم المعروف بعلاّن، و إمّا علیّ بن محمّد بن بندار المعروف أبوه بماجیلویه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ادّعاه صاحب التنقیح کان أقرب إلی الصّواب ممّا ذکر فی القاموس و المعجم</w:t>
      </w:r>
      <w:r>
        <w:rPr>
          <w:rFonts w:eastAsia="IRNazanin" w:cs="IRNazanin"/>
          <w:color w:val="111111"/>
          <w:sz w:val="28"/>
          <w:szCs w:val="28"/>
          <w:rtl w:val="true"/>
          <w:lang w:bidi="fa-IR"/>
        </w:rPr>
        <w:t>.</w:t>
      </w:r>
    </w:p>
    <w:p>
      <w:pPr>
        <w:pStyle w:val="Heading3"/>
        <w:numPr>
          <w:ilvl w:val="2"/>
          <w:numId w:val="1"/>
        </w:numPr>
        <w:rPr/>
      </w:pPr>
      <w:bookmarkStart w:id="605" w:name="__RefHeading___Toc2760200_1395250215"/>
      <w:bookmarkStart w:id="606" w:name="_Toc204"/>
      <w:bookmarkEnd w:id="605"/>
      <w:r>
        <w:rPr>
          <w:rtl w:val="true"/>
        </w:rPr>
        <w:t>الفائدة الخامسة</w:t>
      </w:r>
      <w:bookmarkEnd w:id="606"/>
    </w:p>
    <w:p>
      <w:pPr>
        <w:pStyle w:val="BookText"/>
        <w:rPr/>
      </w:pPr>
      <w:r>
        <w:rPr>
          <w:rFonts w:ascii="IRNazanin" w:hAnsi="IRNazanin" w:eastAsia="IRNazanin"/>
          <w:color w:val="111111"/>
          <w:sz w:val="28"/>
          <w:sz w:val="28"/>
          <w:szCs w:val="28"/>
          <w:rtl w:val="true"/>
          <w:lang w:bidi="fa-IR"/>
        </w:rPr>
        <w:t xml:space="preserve">نقل عن الاسترآبادی و حجة الإسلام الشفتی و المحقّق الکاظمی أنّ محمّد بن الحسن الّذی یروی عنه الکلینی هو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هذا القول العلاّمة الکلباسی و المحقّق التستری</w:t>
      </w:r>
      <w:r>
        <w:rPr>
          <w:rStyle w:val="FootnoteAnchor"/>
          <w:rtl w:val="true"/>
        </w:rPr>
        <w:footnoteReference w:id="634"/>
      </w:r>
      <w:r>
        <w:rPr>
          <w:rFonts w:ascii="IRNazanin" w:hAnsi="IRNazanin" w:eastAsia="IRNazanin"/>
          <w:color w:val="111111"/>
          <w:sz w:val="28"/>
          <w:sz w:val="28"/>
          <w:szCs w:val="28"/>
          <w:rtl w:val="true"/>
          <w:lang w:bidi="fa-IR"/>
        </w:rPr>
        <w:t>، أمّا المحدّث النوری فهو بعد ما نقل الوجوه المؤیّدة لکون محمّد بن الحسن هو الصّفار، زیّفها و استدلّ علی خلافه بوجوه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بعض من کانوا فی طبقة مشایخ الکلینی و شارکوا الصفّار فی الاسم، مثل محمد بن الحسن بن علیّ المحاربی، و محمّد بن الحسن القمّی، و محمّد بن الحسن بن بندار و محمّد بن الحسن البرنانی</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احتمال کون محمّد بن الحسن هذا هو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فبعید غایته، لأنّه من مشایخ الصّدوق و قد توفّی عام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أی بعد أربعة عشر عاما من موت الکلینی</w:t>
      </w:r>
      <w:r>
        <w:rPr>
          <w:rFonts w:eastAsia="IRNazanin" w:cs="IRNazanin"/>
          <w:color w:val="111111"/>
          <w:sz w:val="28"/>
          <w:szCs w:val="28"/>
          <w:rtl w:val="true"/>
          <w:lang w:bidi="fa-IR"/>
        </w:rPr>
        <w:t>.</w:t>
      </w:r>
    </w:p>
    <w:p>
      <w:pPr>
        <w:pStyle w:val="Heading3"/>
        <w:numPr>
          <w:ilvl w:val="2"/>
          <w:numId w:val="1"/>
        </w:numPr>
        <w:rPr/>
      </w:pPr>
      <w:bookmarkStart w:id="607" w:name="__RefHeading___Toc2760202_1395250215"/>
      <w:bookmarkStart w:id="608" w:name="_Toc205"/>
      <w:bookmarkEnd w:id="607"/>
      <w:r>
        <w:rPr>
          <w:rtl w:val="true"/>
        </w:rPr>
        <w:t>الفائدة السادسة</w:t>
      </w:r>
      <w:bookmarkEnd w:id="608"/>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الثانیة عشر من مقدّمة کتابه المنتقی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أوائل أسانید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الفضل بن </w:t>
      </w:r>
    </w:p>
    <w:p>
      <w:pPr>
        <w:pStyle w:val="BookText"/>
        <w:rPr/>
      </w:pPr>
      <w:r>
        <w:rPr>
          <w:rFonts w:ascii="IRNazanin" w:hAnsi="IRNazanin" w:eastAsia="IRNazanin"/>
          <w:color w:val="111111"/>
          <w:sz w:val="28"/>
          <w:sz w:val="28"/>
          <w:szCs w:val="28"/>
          <w:rtl w:val="true"/>
          <w:lang w:bidi="fa-IR"/>
        </w:rPr>
        <w:t xml:space="preserve">شاذان، و أمر محمد بن إسماعیل هذا ملتبس، لأنّ الاسم مشترک فی الظاهر بین سبعة رجال و هم محمّد بن إسماعیل بن بزیع الثقة الجلیل، و محمّد بن إسماعیل البرمکی، و محمّد بن إسماعیل الزعفرانی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وثّقهما النجاشی</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إسماعیل الکنانی، و محمّد بن إسماعیل الجعفری، و محمّد بن إسماعیل الصیمری القمی، و محمّد بن إسماعیل البلخی، و کلّهم مجهولو الحال</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استدل علی نفی کون محمّد بن إسماعیل المذکور أحد السبعة المذکورین 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کونه غیرهم، بل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الکشّی ذکر فی ترجمة فضل بن شاذان حکایة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محمّد بن إسماعیل البندقی النیسابوری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التزام صاحب الاسم المبحوث عنه، للروایة عن الفضل بن شاذان من الدلالة علی الاختصاص به و نقل الحکایة عن الرجل المذکور یؤذن بنحو ذلک فیقرب کونه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حال هذا الرجل مجهول أیضا إذ لم یعلم له ذکر إلاّ بما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هذا التعیین کثیر فائدة و لعلّ فی إکثار الکلینی من الروایة عنه شهادة بحسن حاله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احتمله صاحب المعالم هو ما قوّاه الکلباسی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کثیر من الاعلام، خلافا لشیخنا البهائی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 کون الرجل هو البرمکی الثقة، و خلافا لابن داود فانه قال</w:t>
      </w:r>
      <w:r>
        <w:rPr>
          <w:rFonts w:eastAsia="IRNazanin" w:cs="IRNazanin"/>
          <w:color w:val="111111"/>
          <w:sz w:val="28"/>
          <w:szCs w:val="28"/>
          <w:rtl w:val="true"/>
          <w:lang w:bidi="fa-IR"/>
        </w:rPr>
        <w:t xml:space="preserve">: </w:t>
      </w:r>
      <w:bookmarkStart w:id="609" w:name="pg2858_19866"/>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وردت روایة عن محمّد بن یعقوب عن محمّد بن إسماعیل ففی صحّتها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لقائه له إشکالا فتقف الروایة بجهالة الواسطة بینهما و إن کانا مرضیّین معظّمین</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هذا الکلام أنّه ابن بزیع، کما قال صاحب المنتقی و ناقش فیه بأنّ الکلینی أجلّ من أن ینسب إلیه هذا التدلیس الفاحش</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سلّمنا کون الرجل هو محمّد بن إسماعیل النیسابوری فهل یحکم بصحّة حدیثه لکونه ثقة أو یحکم بجسنه أو ضعفه لکونه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یقوی فی خاطری إدخال الحدیث المشتمل علیه فی قسم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الکلباسی أنّه الثقة الإمامی الجلیل و العالم النبیل و استشهد لقوله تارة باکثار الکلینی فی الکافی من الروایة عنه، حتّی قیل إنّه روی عنه ما یزید علی خمسمائة حدیث، و اخری باستظهار کون الرجل من مشایخ إجازة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حدیثه صحیحا، کما جری علیه المحقّق الداماد و الفاضل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مقابله جماعة من الأعاظم کالمجلسی الثانی و صاحب المدارک و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الفریق أیضا دلائل و شواهد عدیدة، ذکرها العلاّمة الکلباسی فی المقصد الثالث من کتابه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760204_1395250215"/>
      <w:bookmarkStart w:id="611" w:name="_Toc206"/>
      <w:bookmarkEnd w:id="610"/>
      <w:r>
        <w:rPr>
          <w:rtl w:val="true"/>
        </w:rPr>
        <w:t>الفائدة السابعة</w:t>
      </w:r>
      <w:bookmarkEnd w:id="61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العلاّمة فی الفائدة التاسعة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 فی رجاله أنّه قد یغلط جماعة فی الاسناد من إبراهیم بن هاشم إلی حمّاد بن عیسی، فیتوهّمونه حمّاد بن عثمان و هو غلط فإنّ إبراهیم بن هاشم لم یلق حمّاد بن عثمان، بل حمّاد بن عیسی</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الأول توفّی سنة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النّجاشی</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صاحب المنتقی کلام العلاّمة عن الخلاصة و أضاف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علی هذا غیر العلاّمة أیضا من أصحاب الرجال و الاعتبار شاهد به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تفطّن به السید بحر العلوم</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ممّا ذکره الصّدوق فی مشیخة الفقیه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فیه من وصیّة أمیر المؤمنین لابنه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إبراهیم بن هاشم، عن أبیه، عن حمّاد بن عیسی عمّن ذکره،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یغلط أکثر الناس فی هذا الاسناد فیجعلون مکان حمّاد بن عیسی،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بن هاشم لم یلق حمّاد بن عثمان و إنّما لقی حمّاد بن عیسی و روی عنه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کلام الصدوق أنّه اطّلع من الخارج علی عدم اللقاء</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 فلا جدوی لما صنعه بعض کالمحدّث المتتبع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إمکان اللّقاء، لأنّ المدّعی عدم اللقاء، لا عدم إمکانه رأسا</w:t>
      </w:r>
      <w:r>
        <w:rPr>
          <w:rStyle w:val="FootnoteAnchor"/>
          <w:rtl w:val="true"/>
        </w:rPr>
        <w:footnoteReference w:id="649"/>
      </w:r>
      <w:r>
        <w:rPr>
          <w:rFonts w:ascii="IRNazanin" w:hAnsi="IRNazanin" w:eastAsia="IRNazanin"/>
          <w:color w:val="111111"/>
          <w:sz w:val="28"/>
          <w:sz w:val="28"/>
          <w:szCs w:val="28"/>
          <w:rtl w:val="true"/>
          <w:lang w:bidi="fa-IR"/>
        </w:rPr>
        <w:t xml:space="preserve">و أمّا ما یوجد فی قلیل من الروایات من روایة إبراهیم بن هاشم عن حمّاد بن عثمان فلا یضرّ أیضا، لأنّ ظاهر مقالة الصدوق و تابعیه حصول التغلیط فی تعیین المطلق فی المقیّد المخصوص أو تبدیل المقیّد بالمقیّد و حینئذ إن ثبت عدم اللقاء یحکم إمّا </w:t>
      </w:r>
      <w:bookmarkStart w:id="612" w:name="pg2858_19868"/>
    </w:p>
    <w:p>
      <w:pPr>
        <w:pStyle w:val="BookText"/>
        <w:rPr/>
      </w:pPr>
      <w:bookmarkEnd w:id="612"/>
      <w:r>
        <w:rPr>
          <w:rFonts w:ascii="IRNazanin" w:hAnsi="IRNazanin" w:eastAsia="IRNazanin"/>
          <w:color w:val="111111"/>
          <w:sz w:val="28"/>
          <w:sz w:val="28"/>
          <w:szCs w:val="28"/>
          <w:rtl w:val="true"/>
          <w:lang w:bidi="fa-IR"/>
        </w:rPr>
        <w:t>بارسال الحدیث أو بتصحیفه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 من موارد الخلاف لم یتحقّق إلاّ نادرا فی الغایة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الشواهد الّتی ذکروها هی الروایة الخامسة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تحنیط المیّت و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حمّاد بن عثمان، عن حریز، عن زرارة و محمّد بن مسلم، قالا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قال صاحب المنتقی بعد نقل هذا الحدیث و تقویة کلام العلاّمة فی الخلاصة،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هذا الغلط فی إسناد هذا الخبر علی ما وجدته فی نسختین عندی الآن للکافی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وجه الغلط فی خصوص هذا السند بأنّ حماد بن عثمان لا تعهد له روایة عن حریز، بل المعروف المتکرّر روایة حمّاد بن عیسی عنه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ذکرنا أنّه إذا وجد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حمّاد بن عیسی لا حمّاد بن عثمان، حتّی یحکم بارسال السند أو تصحیفه بناء علی عدم لقاء إبراهیم لابن عثمان</w:t>
      </w:r>
      <w:r>
        <w:rPr>
          <w:rFonts w:eastAsia="IRNazanin" w:cs="IRNazanin"/>
          <w:color w:val="111111"/>
          <w:sz w:val="28"/>
          <w:szCs w:val="28"/>
          <w:rtl w:val="true"/>
          <w:lang w:bidi="fa-IR"/>
        </w:rPr>
        <w:t>.</w:t>
      </w:r>
    </w:p>
    <w:p>
      <w:pPr>
        <w:pStyle w:val="Heading3"/>
        <w:numPr>
          <w:ilvl w:val="2"/>
          <w:numId w:val="1"/>
        </w:numPr>
        <w:rPr/>
      </w:pPr>
      <w:bookmarkStart w:id="613" w:name="__RefHeading___Toc2760206_1395250215"/>
      <w:bookmarkStart w:id="614" w:name="_Toc207"/>
      <w:bookmarkEnd w:id="613"/>
      <w:r>
        <w:rPr>
          <w:rtl w:val="true"/>
        </w:rPr>
        <w:t>الفائدة الثامنة</w:t>
      </w:r>
      <w:bookmarkEnd w:id="6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داود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وردت روایة یروی فیها موسی بن القاسم عن حمّاد، فلا تتوهّمها مرسلة لکون حمّاد من رجال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حمّادا إمّا ابن عثمان و قد بقی إلی زمن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الصادق و الکاظم 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ابن عیسی فقد لقی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إلی زمن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مات غریقا </w:t>
      </w:r>
      <w:bookmarkStart w:id="615" w:name="pg2858_19869"/>
    </w:p>
    <w:p>
      <w:pPr>
        <w:pStyle w:val="BookText"/>
        <w:rPr/>
      </w:pPr>
      <w:bookmarkEnd w:id="615"/>
      <w:r>
        <w:rPr>
          <w:rFonts w:ascii="IRNazanin" w:hAnsi="IRNazanin" w:eastAsia="IRNazanin"/>
          <w:color w:val="111111"/>
          <w:sz w:val="28"/>
          <w:sz w:val="28"/>
          <w:szCs w:val="28"/>
          <w:rtl w:val="true"/>
          <w:lang w:bidi="fa-IR"/>
        </w:rPr>
        <w:t>بالجحفة عن نیّف و تسعین سنة حیث أراد الغسل للاحرام</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760208_1395250215"/>
      <w:bookmarkStart w:id="617" w:name="_Toc208"/>
      <w:bookmarkEnd w:id="616"/>
      <w:r>
        <w:rPr>
          <w:rtl w:val="true"/>
        </w:rPr>
        <w:t>الفائدة التاسعة</w:t>
      </w:r>
      <w:bookmarkEnd w:id="617"/>
    </w:p>
    <w:p>
      <w:pPr>
        <w:pStyle w:val="BookText"/>
        <w:rPr/>
      </w:pPr>
      <w:r>
        <w:rPr>
          <w:rFonts w:ascii="IRNazanin" w:hAnsi="IRNazanin" w:eastAsia="IRNazanin"/>
          <w:color w:val="111111"/>
          <w:sz w:val="28"/>
          <w:sz w:val="28"/>
          <w:szCs w:val="28"/>
          <w:rtl w:val="true"/>
          <w:lang w:bidi="fa-IR"/>
        </w:rPr>
        <w:t>إنّ کلاّ من الشیخ أبی جعفر محمّد بن الحسن الطوسی و الشیخ الصدوق أبی جعفر محمّد بن بابویه روی عن رجال لم یلقهم، لکنّه بینه و بینهم رجال، فمنهم المستقیمون مذهبا، فذاک السند صحیح، و منهم الموثّقون مع فساد مذهبهم، فذاک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المجروحون فذاک السند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سرد ابن داود أسامی هؤلاء فی التنبیه التاسع من رجاله فلیرجع من أراد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حقیقة المقال عند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شیخوخة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ضعف المشایخ لا یضرّ بصحّة الروایة إذا کان الکتاب المنقول عنه من الکتب المشهورة</w:t>
      </w:r>
      <w:r>
        <w:rPr>
          <w:rFonts w:eastAsia="IRNazanin" w:cs="IRNazanin"/>
          <w:color w:val="111111"/>
          <w:sz w:val="28"/>
          <w:szCs w:val="28"/>
          <w:rtl w:val="true"/>
          <w:lang w:bidi="fa-IR"/>
        </w:rPr>
        <w:t>.</w:t>
      </w:r>
    </w:p>
    <w:p>
      <w:pPr>
        <w:pStyle w:val="Heading3"/>
        <w:numPr>
          <w:ilvl w:val="2"/>
          <w:numId w:val="1"/>
        </w:numPr>
        <w:rPr/>
      </w:pPr>
      <w:bookmarkStart w:id="618" w:name="__RefHeading___Toc2760210_1395250215"/>
      <w:bookmarkStart w:id="619" w:name="_Toc209"/>
      <w:bookmarkEnd w:id="618"/>
      <w:r>
        <w:rPr>
          <w:rtl w:val="true"/>
        </w:rPr>
        <w:t>الفائدة العاشرة</w:t>
      </w:r>
      <w:bookmarkEnd w:id="619"/>
    </w:p>
    <w:p>
      <w:pPr>
        <w:pStyle w:val="BookText"/>
        <w:rPr/>
      </w:pPr>
      <w:r>
        <w:rPr>
          <w:rFonts w:ascii="IRNazanin" w:hAnsi="IRNazanin" w:eastAsia="IRNazanin"/>
          <w:color w:val="111111"/>
          <w:sz w:val="28"/>
          <w:sz w:val="28"/>
          <w:szCs w:val="28"/>
          <w:rtl w:val="true"/>
          <w:lang w:bidi="fa-IR"/>
        </w:rPr>
        <w:t xml:space="preserve">وقع فی أسناد کثیر من الروایات تبلغ ألفین و مائتین و خمسة و سبعین موردا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فاختلف فی تعیین المراد منه، کما اختلف فی تحقیق عدد من یطلق علیه هذه 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بعضهم إلی إطلاقها علی اثنین، و بعض آخر علی ثلاثة، و جمع کثیر علی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یظهر من بعضهم أکثر من هذا العدد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التستری فی رسالته الموسومة بالدر النظیر فی المکنیّن بأبی بصیر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الکنیة جعلوها مشترکة بین عدّة ذکر القدماء بعضهم، و بعضهم الآخر المتأخرون، یصل جمعهم إلی ثمانیة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المشهور کما ذکرنا اشتراکها بین أربعة رجال، کما ذهب إلیه ابن داود و التفرشی و العلاّمة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بصیر مشترک بین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البختری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أبی القاسم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الحارث البتری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الأسدی</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هؤلاء الأربعة لیسوا کلّهم ثقات،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بعضهم أنّ أبا بصیر مشترک بین الثقة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تسقط هذه الروایات الکثیرة عن الحجّیة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الحق کما صرّح به المحقّق التستری فی قاموسه و فی رسالته المذکورة آنفا و العلاّمة النحریر الخوانساری فی تألیفه المنیف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عدیمة النظیر فی أحوال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آخر من المحقّقین أنّ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القاسم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أحد فقهاء الطّبقة الاولی من أصحاب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هذا لقلنا بأنّه مردد بین شخصین ثقتین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لیث،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بصیر عند ما اطلق فالمراد به هو یحیی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الاغماض فالأمر یتردّد بینه و بین لیث بن البختری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غیرهما فلیس بمعروف بهذه 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یوجد مورد یطلق فیه أبو بصیر و یراد به غیر هذین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خلاصة القول فی المکنّین بأبی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إلی بعض التفاصیل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محمّد الأسدی المذکور فی الکتب الرجالیة هو الّذی یعبر عنه فی الأسانید بالحجّال، و عبد اللّه الحجّال، و عبد اللّه بن محمّد الحجّال، و أبی محمّد الحجّال، و عبد اللّه المزخرف، و المزخرف</w:t>
      </w:r>
      <w:r>
        <w:rPr>
          <w:rStyle w:val="FootnoteAnchor"/>
          <w:rtl w:val="true"/>
        </w:rPr>
        <w:footnoteReference w:id="660"/>
      </w:r>
      <w:r>
        <w:rPr>
          <w:rFonts w:ascii="IRNazanin" w:hAnsi="IRNazanin" w:eastAsia="IRNazanin"/>
          <w:color w:val="111111"/>
          <w:sz w:val="28"/>
          <w:sz w:val="28"/>
          <w:szCs w:val="28"/>
          <w:rtl w:val="true"/>
          <w:lang w:bidi="fa-IR"/>
        </w:rPr>
        <w:t xml:space="preserve">و هو من أصحاب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،فلا اشتراک بینه و بین لیث بن البختری، و یحیی بن أبی القاسم من حیث الطّبقة، مع أنّ کنیته أبو محمّد و لم یذکره أحد من الرجالیین بعنوان أبی بصیر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عبد اللّه بن محمّد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ذکر فی الکتب الرجالیة إلاّ ما عنونه الکشّی فی رجاله و اعتمد علیه الشیخ الطوسی و من تبعه فإنّه بعد ما ذکر أبا بصیر لیث بن البختری المرادی، و نقل الروایات الواردة فیه</w:t>
      </w:r>
      <w:r>
        <w:rPr>
          <w:rStyle w:val="FootnoteAnchor"/>
          <w:rtl w:val="true"/>
        </w:rPr>
        <w:footnoteReference w:id="662"/>
      </w:r>
      <w:r>
        <w:rPr>
          <w:rFonts w:ascii="IRNazanin" w:hAnsi="IRNazanin" w:eastAsia="IRNazanin"/>
          <w:color w:val="111111"/>
          <w:sz w:val="28"/>
          <w:sz w:val="28"/>
          <w:szCs w:val="28"/>
          <w:rtl w:val="true"/>
          <w:lang w:bidi="fa-IR"/>
        </w:rPr>
        <w:t>، أتی بهذا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أبی بصیر عبد اللّه بن محمّد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ذیله روایة واحدة لیس فی سندها و لا فی متنها أیّة دلالة علی المعنون</w:t>
      </w:r>
      <w:r>
        <w:rPr>
          <w:rStyle w:val="FootnoteAnchor"/>
          <w:rtl w:val="true"/>
        </w:rPr>
        <w:footnoteReference w:id="663"/>
      </w:r>
      <w:r>
        <w:rPr>
          <w:rFonts w:ascii="IRNazanin" w:hAnsi="IRNazanin" w:eastAsia="IRNazanin"/>
          <w:color w:val="111111"/>
          <w:sz w:val="28"/>
          <w:sz w:val="28"/>
          <w:szCs w:val="28"/>
          <w:rtl w:val="true"/>
          <w:lang w:bidi="fa-IR"/>
        </w:rPr>
        <w:t xml:space="preserve">لأنّ أبا بصیر المذکور فیها مطلق و الراوی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رواة یحیی بن أبی القاسم</w:t>
      </w:r>
      <w:r>
        <w:rPr>
          <w:rStyle w:val="FootnoteAnchor"/>
          <w:rtl w:val="true"/>
        </w:rPr>
        <w:footnoteReference w:id="664"/>
      </w:r>
      <w:r>
        <w:rPr>
          <w:rFonts w:ascii="IRNazanin" w:hAnsi="IRNazanin" w:eastAsia="IRNazanin"/>
          <w:color w:val="111111"/>
          <w:sz w:val="28"/>
          <w:sz w:val="28"/>
          <w:szCs w:val="28"/>
          <w:rtl w:val="true"/>
          <w:lang w:bidi="fa-IR"/>
        </w:rPr>
        <w:t>و من ممیّزات مرویّاته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منقولة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أنّ الإمام خاطب أبا بصیر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أبا محمّد کنیة یحیی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نسأل الکشّی من أین وقف علی أنّ أبا بصیر هذا لیس یحیی بن أبی القاسم، بل هو عبد اللّه بن محمّد الأسدی الّذی یشترک مع یحیی فی الطبقة و الراوی، و فی کونه مکنّی بأبی بصیر و أبی محمّد، و لم یتفطّن أحد غیره بوجود هذا الرجل فی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الکلباسی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أجاد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ظنّی أنّ إیراده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فی هذا المقام ممّا لا وجه له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و جزم المحقّق التستری أنّ الرجل المذکور لیس له وجود أصلا و أنّ منشأ ذکره فی الکتب الرجالیة المتأخرة تصحیف العنوان المذکور فی الکشّی و اعتماد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ذکره فی رجاله، کذکره فی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اتبّاع من تأخّر عن الشیخ کابن داود، لحسن ظنّهم به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أغمضنا عن هذا و فرضنا وجود هذا الرجل المکنّی بأبی بصیر، فلا أقلّ من عدم اشتهاره بهذه الکنیة بحیث لو اطلقت احتمل انصرافها إلیه کانصرافها إلی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یدلّنا علی ذلک ما أجاب به علیّ بن الحسن بن فضّال حینما سئل عن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یحیی بن أبی القاسم، کان یکنّی أبا محمّد و کان مولی لبنی أسد و کان مکفوفا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لو کان رجل آخر مشتهرا بأبی بصیر و مشترکا مع یحیی فی کنیته الاخری، و فی کونه أسدیّا، و فی کونه 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الواجب علی ابن فضّال أن ینبّه علیه و لم ینبّه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الحارث، بتریّ یکنّی أبا بصیر</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و مستنده بعض نسخ الکشّی حیث جاء فیه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صاحب 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بصیر یوسف بن الحارث بتری</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فتبعهما العلاّمة و ابن داود فی رجالهما و ذکرا الرجل بعنوان أبی بصیر یوسف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ابن داود اشتراک أبی بصیر بینه و بین عبد اللّه المتقدّم و لیث و یحیی الآتیان،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یظهر من القهبائی فی مجمعه أنّ الموجود فی النسخ المصحّحة من الکشّی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بن یوسف بن الحارث 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إمّا استعجل فی قراءته و إمّا أخذه من نسخة اخری و ذکره بالعنوان المذکور و مال جمع من المتأخّرین إلی هذا القول،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کون الرجل مکنّی بکنیة لا یستلزم اشتهاره بتلک الکنیة و انصرافها عند الاطلاق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هذا أنّ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صحّة نسخة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الکنیة باسم الرجل و لم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الشیخ أیضا لم یرد اشتهاره بهذه الکنیة، لکّن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علیه الأمر و أفتی بالاشتراک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 هو أنّ الرجل المذکور لم یکن ثقة قطعا،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الکشّی 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بتریّا و البتریة هم الّذین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البتریّة صفّ واحد ما بین المشرق إلی المغرب ما أعزّ اللّه بهم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البتریّة هم أصحاب کثیر النوا، و الحسن بن صالح بن حیّ، و سالم بن أبی حفصة، و الحکم بن عتیبة، و سلمة بن کهیل و أبی المقدام ثابت </w:t>
      </w:r>
    </w:p>
    <w:p>
      <w:p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دعوا إلی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خلطوها بولایة أبی بکر و عمر و یثبتون لهما إمامتهما، و ینتقصون عثمان و طلحة و الزبیر، و یرون الخروج مع بطون ولد علیّ بن أبی طالب، یذهبون فی ذلک إلی الامر بالمعروف و النهی عن المنکر، و یثبتون لکلّ من خرج من ولد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الامامة</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الکلام فی کونه أبا بصیر یوسف ابن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نصر بن یوسف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یوجد رجل مسمّی بیوسف بن الحارث فی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أحمد بن یحیی، و لکنّه لا دلیل علی تکنیته بأبی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أشار المحقّق التستری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 ابن الولید من روایات محمّد ابن أحمد بن یحیی ما رواه عن یوسف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کونه یوسف بن الحارث الکمیدانی، و إنّما ننکر وجود أبی بصیر مسمّی بیوسف ابن الحارث، لعدم شاهد له من خبر أو رجال معتبر</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مطاوی کلمات أئمّة الرجال و علماء الحدیث أنّ لیثا بن البختری</w:t>
      </w:r>
      <w:r>
        <w:rPr>
          <w:rStyle w:val="FootnoteAnchor"/>
          <w:rtl w:val="true"/>
        </w:rPr>
        <w:footnoteReference w:id="674"/>
      </w:r>
      <w:r>
        <w:rPr>
          <w:rFonts w:ascii="IRNazanin" w:hAnsi="IRNazanin" w:eastAsia="IRNazanin"/>
          <w:color w:val="111111"/>
          <w:sz w:val="28"/>
          <w:sz w:val="28"/>
          <w:szCs w:val="28"/>
          <w:rtl w:val="true"/>
          <w:lang w:bidi="fa-IR"/>
        </w:rPr>
        <w:t xml:space="preserve">المرادی کان من أصحاب الباقر و الصادق 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البرقی فی أصحاب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المفید و النجاشی من أصحاب الباقر 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فی فهرسه من رواة الصادق 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رجاله من أصحاب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ادّعاء إطباق الکلّ علی أنّ الرجل کان یکنّی بأبی بصیر و أنّه کان مشهورا بهذه الکنیة کما صرّح بها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النجاشی حکی فی رجاله عن بعض کونه مکنّی بأبی بصیر الأصغر</w:t>
      </w:r>
      <w:r>
        <w:rPr>
          <w:rStyle w:val="FootnoteAnchor"/>
          <w:rtl w:val="true"/>
        </w:rPr>
        <w:footnoteReference w:id="675"/>
      </w:r>
      <w:r>
        <w:rPr>
          <w:rFonts w:ascii="IRNazanin" w:hAnsi="IRNazanin" w:eastAsia="IRNazanin"/>
          <w:color w:val="111111"/>
          <w:sz w:val="28"/>
          <w:sz w:val="28"/>
          <w:szCs w:val="28"/>
          <w:rtl w:val="true"/>
          <w:lang w:bidi="fa-IR"/>
        </w:rPr>
        <w:t xml:space="preserve">و لکنّه لا یقاوم ما علیه سائر </w:t>
      </w:r>
    </w:p>
    <w:p>
      <w:pPr>
        <w:pStyle w:val="BookText"/>
        <w:rPr/>
      </w:pPr>
      <w:r>
        <w:rPr>
          <w:rFonts w:ascii="IRNazanin" w:hAnsi="IRNazanin" w:eastAsia="IRNazanin"/>
          <w:color w:val="111111"/>
          <w:sz w:val="28"/>
          <w:sz w:val="28"/>
          <w:szCs w:val="28"/>
          <w:rtl w:val="true"/>
          <w:lang w:bidi="fa-IR"/>
        </w:rPr>
        <w:t>مهرة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الرجل مشهورا بأبی بصیر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تکنیته بأبی محمّد و أبی یحیی و کذا مکفوفیّته کما ادّعاه بعض، کالمولی محمد تقی المجلسی</w:t>
      </w:r>
      <w:r>
        <w:rPr>
          <w:rStyle w:val="FootnoteAnchor"/>
          <w:rtl w:val="true"/>
        </w:rPr>
        <w:footnoteReference w:id="676"/>
      </w:r>
      <w:r>
        <w:rPr>
          <w:rFonts w:ascii="IRNazanin" w:hAnsi="IRNazanin" w:eastAsia="IRNazanin"/>
          <w:color w:val="111111"/>
          <w:sz w:val="28"/>
          <w:sz w:val="28"/>
          <w:szCs w:val="28"/>
          <w:rtl w:val="true"/>
          <w:lang w:bidi="fa-IR"/>
        </w:rPr>
        <w:t>، فلا دلیل علیه و لعلّه ناش من خلط العبائر الواردة فیه و فی عدیله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وثاقته، فلا تردید فیها و إن لم یصرّح بها فی کتب القدماء</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جملة من الروایات الصحیحة الواردة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الکشّی بسند 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بالجنّة، برید بن معاویة العجلی و أبا بصیر لیث ابن البختری المرادی و محمّد بن مسلم و زرارة، أربعة نجباء، امناء اللّه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هؤلاء انقطعت آثار النبوّة و اندرست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أیضا فی ترجمة زرارة بن أعین بسند صحیح عن سلیمان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أحیی ذکرنا و أحادیث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زرارة و أبو بصیر لیث المرادی و محمّد ابن مسلم و 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هؤلاء ما کان أحد یستنبط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حفّاظ الدین و امناء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اللّه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السابقون إلینا فی الدنیا و السابقون إلینا فی الاخرة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هذین الخبرین علی أنّ لیثا کان فی مستوی عال من الوثاقة غیر خفیّ، و لذا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المدح المستفاد من هذه النصوص ممّا لا یتصوّر </w:t>
      </w:r>
    </w:p>
    <w:p>
      <w:pPr>
        <w:pStyle w:val="BookText"/>
        <w:rPr/>
      </w:pPr>
      <w:r>
        <w:rPr>
          <w:rFonts w:ascii="IRNazanin" w:hAnsi="IRNazanin" w:eastAsia="IRNazanin"/>
          <w:color w:val="111111"/>
          <w:sz w:val="28"/>
          <w:sz w:val="28"/>
          <w:szCs w:val="28"/>
          <w:rtl w:val="true"/>
          <w:lang w:bidi="fa-IR"/>
        </w:rPr>
        <w:t>فوقه مدح و لا یعقل أعلی منه ثناء</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اعتضادها بمقالة غیر واحد من الأصحاب فی شأنه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توثیق ابن الغضائری المعروف بکثرة التضعیف لحدیثه و إن طعن فی دینه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الروایات الواردة فی قدحه، فلا تعارض ما دلّت علی مدحه قطعا لأنّها إمّا مرسلة أو موثّقة مع احتمال صدورها عن تقیّة کما صدرت فی حقّ سائر الأجلاّء کزرارة و هشام بن الحکم، فقد روی الکشّی عن عبد اللّه بن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منّی علی والدک السلام، و قل له إنّی إنّما أعیبک دفاعا منّی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و العدوّ یسارعون إلی کلّ من قرّبناه و حمدنا مکانه لادخال الأذی فی من نحبّه و نقرّبه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أعیبک لأنّک رجل اشتهرت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نقطع بوثاقة لیث بن البختری المرادی المکنّی بأبی بصیر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یحیی بن أبی القاسم الأسدی کان من أصحاب و رواة الائمة الثلاثة الباقر و الصادق 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مکفوفا ضریر البصر قد رأی الدنیا مرّة أو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خمسین و مائة فلم یدرک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مکنّی بأبی بصیر و أبی محمّد و کان اسم أبیه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محمّد بن مسعود العیّاشی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یحیی بن أبی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کان </w:t>
      </w:r>
    </w:p>
    <w:p>
      <w:pPr>
        <w:pStyle w:val="BookText"/>
        <w:rPr/>
      </w:pPr>
      <w:r>
        <w:rPr>
          <w:rFonts w:ascii="IRNazanin" w:hAnsi="IRNazanin" w:eastAsia="IRNazanin"/>
          <w:color w:val="111111"/>
          <w:sz w:val="28"/>
          <w:sz w:val="28"/>
          <w:szCs w:val="28"/>
          <w:rtl w:val="true"/>
          <w:lang w:bidi="fa-IR"/>
        </w:rPr>
        <w:t>یکنّی أبا محمّد و کان مولی لبنی أسد و کان مکفوفا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لکنّ النجاشی ذکره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أبو بصیر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یحیی بن أبی القاسم و اسم أبی القاسم إسحاق</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و کلامه صریح فی اختیاره القول الأوّل و تمریض القول الثانی و هو و إن کان خبیرا بالأنساب و متضلّعا فی علم الرجال</w:t>
      </w:r>
      <w:r>
        <w:rPr>
          <w:rStyle w:val="FootnoteAnchor"/>
          <w:rtl w:val="true"/>
        </w:rPr>
        <w:footnoteReference w:id="686"/>
      </w:r>
      <w:r>
        <w:rPr>
          <w:rFonts w:ascii="IRNazanin" w:hAnsi="IRNazanin" w:eastAsia="IRNazanin"/>
          <w:color w:val="111111"/>
          <w:sz w:val="28"/>
          <w:sz w:val="28"/>
          <w:szCs w:val="28"/>
          <w:rtl w:val="true"/>
          <w:lang w:bidi="fa-IR"/>
        </w:rPr>
        <w:t>، لکن مع کثرة الأقوال و الأخبار الدالّة علی کونه یحیی بن أبی القاسم لا مجال لما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وثاقته و جلالة قدره فلا ریب فیهما لما صرّح به علماء الرجال کالنّجاشی و الکشّی و الشیخ فی عدّته و ابن الغضائری و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بسند صحیح عن شعیب العقرقوفی ابن اخت أبی بصیر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فمن نسأل؟ قال علیک بالأسدی، یعنی أبا بصیر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أیضا فی أخبار عدیدة أنّ الامامین الباقر 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یخاطبانه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تعظیما له، کما أنّ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وثاقته و فقاهته أظهر من أن یتردّد فیه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نسبة الوقف إلیه، فوهم ناش من زعم اتّحاد أبی بصیر هذا مع یحیی ابن القاسم الحذّاء الواقفی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أنّه مات سنة خمسین و مائة و الوقف حدث بعد شهادة مولانا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الحذّاء المذکور بقی إلی زمن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نسبة الغلوّ فیه، فلم یقله أحد و أنکره ابن فضّال، </w:t>
      </w:r>
    </w:p>
    <w:p>
      <w:pPr>
        <w:pStyle w:val="BookText"/>
        <w:rPr/>
      </w:pPr>
      <w:r>
        <w:rPr>
          <w:rFonts w:ascii="IRNazanin" w:hAnsi="IRNazanin" w:eastAsia="IRNazanin"/>
          <w:color w:val="111111"/>
          <w:sz w:val="28"/>
          <w:sz w:val="28"/>
          <w:szCs w:val="28"/>
          <w:rtl w:val="true"/>
          <w:lang w:bidi="fa-IR"/>
        </w:rPr>
        <w:t>کما أنّه نسبه إلی التّخلیط و لم یبیّن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نأخذ بما أطبق علیه الجلّ بل الکلّ و لا نبالی بهذا القول المجمل من ابن فضّال الفطحی و لا نرفع الید عن الأدلّة القویّة الدالّة علی جلالته باخبار آحاد غیر قطعیّة السند و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الأصحاب فی تمییز روایات کلّ من المرادی و الأسدی عن الآخر قرائن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کلاّ منهما ثقة جلیل، فلا فائدة مهمّة فی التمییز إلاّ عند تعارض روایاتهما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المشهور ترجیح المرادی علی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خیرة بعض آخر کالسید الداماد و المحقّق الخوانساری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نذکر ما ذکره الرجالیون تتمیما للفائدة و استیفاءا للبحث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حمزة روی عن الأسدیّ کثیرا و کان قائده</w:t>
      </w:r>
      <w:r>
        <w:rPr>
          <w:rStyle w:val="FootnoteAnchor"/>
          <w:rtl w:val="true"/>
        </w:rPr>
        <w:footnoteReference w:id="688"/>
      </w:r>
      <w:r>
        <w:rPr>
          <w:rFonts w:ascii="IRNazanin" w:hAnsi="IRNazanin" w:eastAsia="IRNazanin"/>
          <w:color w:val="111111"/>
          <w:sz w:val="28"/>
          <w:sz w:val="28"/>
          <w:szCs w:val="28"/>
          <w:rtl w:val="true"/>
          <w:lang w:bidi="fa-IR"/>
        </w:rPr>
        <w:t>و الظاهر أنّه لم یرو عن المرادی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روایة شعیب العقرقوفی و عبد اللّه بن وضاح و الحسین بن أبی العلاء و جعفر بن عثمان قرینة علی کون المراد من أبی بصیر هو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الراوی عن أبی بصیر عبد اللّه بن مسکان أو أبا جمیلة مفضّل بن صالح أو أبان بن عثمان فالمراد به اللّیث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التستری بعد ذکر ممیّزات الأسدی و تزییف بعضها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یحیی و لیث فی عصر واحد فأیّ مانع من أن یروی کلّ من روی عن أحدهما عن الآخر؟ حتّی إنّ البطائنی الذی اتّفقوا علی أنّه من رواة یحیی و قائد یحیی یجوز أن یروی عن لیث و إن لم نقف علیه محقّقا</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منه ما أفاده العلاّمة الکلباسی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عن ممیّزات کلّ من الأسدی و المرادی عن الآخر</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سیوافیک ما یدلّ </w:t>
      </w:r>
    </w:p>
    <w:p>
      <w:pPr>
        <w:pStyle w:val="BookText"/>
        <w:rPr/>
      </w:pPr>
      <w:r>
        <w:rPr>
          <w:rFonts w:ascii="IRNazanin" w:hAnsi="IRNazanin" w:eastAsia="IRNazanin"/>
          <w:color w:val="111111"/>
          <w:sz w:val="28"/>
          <w:sz w:val="28"/>
          <w:szCs w:val="28"/>
          <w:rtl w:val="true"/>
          <w:lang w:bidi="fa-IR"/>
        </w:rPr>
        <w:t>علی أنّ أبا بصیر بقول مطلق، هو یحیی بن أبی القاسم، لیس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المحقّق التستری و العلاّمة الخوانساری أفرد رسالة فی تحقیق حال المکنیّن بأبی بصیر و المراد من هذه الکنیة حیثما اطلقت، و ذهب کلاهما إلی أنّ المراد منه یحیی بن أبی القاسم الأسدی و أقاما دلائل و شواهد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نأتی بما هو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بصیر لا یطلق إلاّ علی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لیث فإمّا یعبّر عنه بالاسم و هو الغالب، و اما بالکنیة مع التقیید بالمرادی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یحیی، فلم نقف فی الکتب الأربعة و غیرها علی التعبیر عنه بالإسم إلاّ فی سبعة مواضع بلفظ یحیی، و تقیید کنیته بالاسدی أو المکفوف أو المکنّی بأبی محمّد یسیر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 بالکنیة المجرّدة کثیر و هو دلیل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 فی المشیخة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فیه عن أبی بصیر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 أبی بصیر</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فیه عن عبد الکریم بن عقبة فقد رویته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المرادی، عن عبد الکریم ابن عتبة الهاشمی</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فالصدوق لم یعبّر عن یحیی بغیر کنیة مجرّدة</w:t>
      </w:r>
      <w:r>
        <w:rPr>
          <w:rStyle w:val="FootnoteAnchor"/>
          <w:rtl w:val="true"/>
        </w:rPr>
        <w:footnoteReference w:id="693"/>
      </w:r>
      <w:r>
        <w:rPr>
          <w:rFonts w:ascii="IRNazanin" w:hAnsi="IRNazanin" w:eastAsia="IRNazanin"/>
          <w:color w:val="111111"/>
          <w:sz w:val="28"/>
          <w:sz w:val="28"/>
          <w:szCs w:val="28"/>
          <w:rtl w:val="true"/>
          <w:lang w:bidi="fa-IR"/>
        </w:rPr>
        <w:t>و لم یعبّر عن لیث بغیر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قد روی فی الفقیه فی مواضع مختلفة عن لیث، مصرّحا تارة </w:t>
      </w:r>
      <w:bookmarkStart w:id="620" w:name="pg2858_19880"/>
    </w:p>
    <w:p>
      <w:pPr>
        <w:pStyle w:val="BookText"/>
        <w:rPr/>
      </w:pPr>
      <w:bookmarkEnd w:id="620"/>
      <w:r>
        <w:rPr>
          <w:rFonts w:ascii="IRNazanin" w:hAnsi="IRNazanin" w:eastAsia="IRNazanin"/>
          <w:color w:val="111111"/>
          <w:sz w:val="28"/>
          <w:sz w:val="28"/>
          <w:szCs w:val="28"/>
          <w:rtl w:val="true"/>
          <w:lang w:bidi="fa-IR"/>
        </w:rPr>
        <w:t>باسمه و اخری بکنیته مقیّدا بالمرادی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العیّاشی فی سؤاله عن ابن فضّال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الانصراف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أبی بصیر الأسدی، و لأجابه ابن فضّال أنّ أبا بصیر یطلق علی شخصین، أحدهما یحیی و الآخر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یجبه کذلک کما مرّ، بل یمکن أن نقول إنّ سؤال العیّاشی دالّ علی أنّ یحیی کان فی الاشتهار بالکنیة بمثابة حتّی کأنّ الکنیة اسمه و لا یعلم اسمه کلّ أحد، بل أوحدیّ مثل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 لم یذکر التکنیة بأبی بصیر لغیر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ترجمة لیث أنّ بعضهم عرّفه بأبی بصیر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أنّ أبا بصیر المذکور فی أسانید الأخبار إمّا یحیی جزما و إمّا مردّد بین یحیی و لیث، و حیث إنّ کلا الرجلین فی ذروة من الجلالة و الوثاقة، فلا یوجب الاشتراک جهالة أو ضعفا فی السند</w:t>
      </w:r>
      <w:r>
        <w:rPr>
          <w:rFonts w:eastAsia="IRNazanin" w:cs="IRNazanin"/>
          <w:color w:val="111111"/>
          <w:sz w:val="28"/>
          <w:szCs w:val="28"/>
          <w:rtl w:val="true"/>
          <w:lang w:bidi="fa-IR"/>
        </w:rPr>
        <w:t>.</w:t>
      </w:r>
    </w:p>
    <w:p>
      <w:pPr>
        <w:pStyle w:val="Heading3"/>
        <w:numPr>
          <w:ilvl w:val="2"/>
          <w:numId w:val="1"/>
        </w:numPr>
        <w:rPr/>
      </w:pPr>
      <w:bookmarkStart w:id="621" w:name="__RefHeading___Toc2760212_1395250215"/>
      <w:bookmarkStart w:id="622" w:name="_Toc210"/>
      <w:bookmarkEnd w:id="621"/>
      <w:r>
        <w:rPr>
          <w:rtl w:val="true"/>
        </w:rPr>
        <w:t>الفائدة الحادیة عشر</w:t>
      </w:r>
      <w:bookmarkEnd w:id="62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المنتقی</w:t>
      </w:r>
      <w:r>
        <w:rPr>
          <w:rStyle w:val="FootnoteAnchor"/>
          <w:rtl w:val="true"/>
        </w:rPr>
        <w:footnoteReference w:id="6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یری فی بعض الأحادیث عدم التّصریح باسم الإمام الّذی یروی عنه الحدیث، بل یشار إلیه 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جمع من الأصحاب أنّ مثله قطع، ینافی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علی إطلاقه بصحیح، إذ القرائن فی أکثر تلک المواضع تشهد بعود الضّمیر 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لأنّ کثیرا من قدماء رواة حدیثنا و مصنّفی کتبه کانوا یروون عن الائمّة مشافهة و یوردون ما یروونه فی کتبهم جملة، و إن کانت الأحکام الّتی فی </w:t>
      </w:r>
      <w:bookmarkStart w:id="623" w:name="pg2858_19881"/>
    </w:p>
    <w:p>
      <w:pPr>
        <w:pStyle w:val="BookText"/>
        <w:rPr/>
      </w:pPr>
      <w:bookmarkEnd w:id="623"/>
      <w:r>
        <w:rPr>
          <w:rFonts w:ascii="IRNazanin" w:hAnsi="IRNazanin" w:eastAsia="IRNazanin"/>
          <w:color w:val="111111"/>
          <w:sz w:val="28"/>
          <w:sz w:val="28"/>
          <w:szCs w:val="28"/>
          <w:rtl w:val="true"/>
          <w:lang w:bidi="fa-IR"/>
        </w:rPr>
        <w:t>الروایات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أحدهم فی أوّل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الإمام الّذی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یکتفی فی الباقی بالضمیر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رعایة البلاغة تقتضی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أن نقلت تلک الأخبار إلی کتاب آخر صار لها ما صار فی إطلاق الاسماء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الممارسة تطلع علی أنّه لا فرق فی التعبیر بین الظاهر و الضمیر</w:t>
      </w:r>
      <w:r>
        <w:rPr>
          <w:rFonts w:eastAsia="IRNazanin" w:cs="IRNazanin"/>
          <w:color w:val="111111"/>
          <w:sz w:val="28"/>
          <w:szCs w:val="28"/>
          <w:rtl w:val="true"/>
          <w:lang w:bidi="fa-IR"/>
        </w:rPr>
        <w:t>».</w:t>
      </w:r>
    </w:p>
    <w:p>
      <w:pPr>
        <w:pStyle w:val="Heading3"/>
        <w:numPr>
          <w:ilvl w:val="2"/>
          <w:numId w:val="1"/>
        </w:numPr>
        <w:rPr/>
      </w:pPr>
      <w:bookmarkStart w:id="624" w:name="__RefHeading___Toc2760214_1395250215"/>
      <w:bookmarkStart w:id="625" w:name="_Toc211"/>
      <w:bookmarkEnd w:id="624"/>
      <w:r>
        <w:rPr>
          <w:rtl w:val="true"/>
        </w:rPr>
        <w:t>الفائدة الثانیة عشر</w:t>
      </w:r>
      <w:bookmarkEnd w:id="625"/>
    </w:p>
    <w:p>
      <w:pPr>
        <w:pStyle w:val="BookText"/>
        <w:rPr/>
      </w:pPr>
      <w:r>
        <w:rPr>
          <w:rFonts w:ascii="IRNazanin" w:hAnsi="IRNazanin" w:eastAsia="IRNazanin"/>
          <w:color w:val="111111"/>
          <w:sz w:val="28"/>
          <w:sz w:val="28"/>
          <w:szCs w:val="28"/>
          <w:rtl w:val="true"/>
          <w:lang w:bidi="fa-IR"/>
        </w:rPr>
        <w:t>قال المحقّق المتقدّم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فی کثیر من الأسانید أسماء مطلقة مع اشتراکها بین الثقة و غیرها و هو مناف للصحة فی 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أنّ مصنّفی کتب أخبارنا القدیمة کانوا یوردون فیها الأخبار المتعدّدة فی المعانی المختلفة من طریق واحد، فیذکرون السند فی أوّل حدیث مفصّلا ثمّ یجملون فی الباقی اعتمادا علی التفصیل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طرء علی تلک الأخبار، التحویل إلی کتاب آخر یخالف فی الترتیب الکتاب الأوّل، تقطّعت تلک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اختلاف مضامینها، و إذا بعد العهد وقع الالتباس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الطریق إلی معرفة المراد فیه تتبّع الأسانید فی تضاعیف أبواب المجامیع الروائیة و مراجعة کتب الرجال المتضمّنة لذکر الطرق کالفهرس و کتاب النّجاشی و تعاهد ما ذکره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الطرق إلی روایة ما أورده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للتضّلع من معرفة الطبقات فی ذلک أثر عظیم</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یذکر المراد من عدّة من الأسماء المطلقة کحمّاد، و عبّاس، و علاء، و محمّد، و ابن مسکان، و ابن سنان و عبد الرحمن، فمن أراد الوقوف، فعلیه </w:t>
      </w:r>
      <w:bookmarkStart w:id="626" w:name="pg2858_19882"/>
    </w:p>
    <w:p>
      <w:pPr>
        <w:pStyle w:val="BookText"/>
        <w:rPr/>
      </w:pPr>
      <w:bookmarkEnd w:id="626"/>
      <w:r>
        <w:rPr>
          <w:rFonts w:ascii="IRNazanin" w:hAnsi="IRNazanin" w:eastAsia="IRNazanin"/>
          <w:color w:val="111111"/>
          <w:sz w:val="28"/>
          <w:sz w:val="28"/>
          <w:szCs w:val="28"/>
          <w:rtl w:val="true"/>
          <w:lang w:bidi="fa-IR"/>
        </w:rPr>
        <w:t>بالمراجعة إلیه</w:t>
      </w:r>
      <w:r>
        <w:rPr>
          <w:rFonts w:eastAsia="IRNazanin" w:cs="IRNazanin"/>
          <w:color w:val="111111"/>
          <w:sz w:val="28"/>
          <w:szCs w:val="28"/>
          <w:rtl w:val="true"/>
          <w:lang w:bidi="fa-IR"/>
        </w:rPr>
        <w:t>.</w:t>
      </w:r>
    </w:p>
    <w:p>
      <w:pPr>
        <w:pStyle w:val="Heading3"/>
        <w:numPr>
          <w:ilvl w:val="2"/>
          <w:numId w:val="1"/>
        </w:numPr>
        <w:rPr/>
      </w:pPr>
      <w:bookmarkStart w:id="627" w:name="__RefHeading___Toc2760216_1395250215"/>
      <w:bookmarkStart w:id="628" w:name="_Toc212"/>
      <w:bookmarkEnd w:id="627"/>
      <w:r>
        <w:rPr>
          <w:rtl w:val="true"/>
        </w:rPr>
        <w:t>الفائدة الثالثة عشر</w:t>
      </w:r>
      <w:bookmarkEnd w:id="628"/>
    </w:p>
    <w:p>
      <w:pPr>
        <w:pStyle w:val="Heading4"/>
        <w:numPr>
          <w:ilvl w:val="3"/>
          <w:numId w:val="1"/>
        </w:numPr>
        <w:rPr/>
      </w:pPr>
      <w:bookmarkStart w:id="629" w:name="__RefHeading___Toc2760218_1395250215"/>
      <w:bookmarkStart w:id="630" w:name="_Toc213"/>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إنّ من المصطلحات الرائجة فی ألسن ائمّة الرجال و التراجم و المحدّثین و الفقهاء ألفاظ 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الأصل، التصنیف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یظهر من بعضهم أنّ کون الرجل ذا أصل أو ذا کتاب و تصنیف من أسباب الحسن و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علینا أن نعرف المراد من هذه الألفاظ و الفرق بینها أوّلا، و المعرفة الاجمالیّة بالاصول المدوّنة للاصحاب فی عهد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وجه العنایة بهذه الاصول و مدی دلالتها علی وثاقة المؤلّف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مقامات</w:t>
      </w:r>
      <w:r>
        <w:rPr>
          <w:rFonts w:eastAsia="IRNazanin" w:cs="IRNazanin"/>
          <w:color w:val="111111"/>
          <w:sz w:val="28"/>
          <w:szCs w:val="28"/>
          <w:rtl w:val="true"/>
          <w:lang w:bidi="fa-IR"/>
        </w:rPr>
        <w:t>:</w:t>
      </w:r>
    </w:p>
    <w:p>
      <w:pPr>
        <w:pStyle w:val="Heading4"/>
        <w:numPr>
          <w:ilvl w:val="3"/>
          <w:numId w:val="1"/>
        </w:numPr>
        <w:rPr/>
      </w:pPr>
      <w:bookmarkStart w:id="631" w:name="__RefHeading___Toc2760220_1395250215"/>
      <w:bookmarkStart w:id="632" w:name="_Toc214"/>
      <w:bookmarkEnd w:id="631"/>
      <w:r>
        <w:rPr>
          <w:rtl w:val="true"/>
        </w:rPr>
        <w:t>الاول</w:t>
      </w:r>
      <w:r>
        <w:rPr>
          <w:rtl w:val="true"/>
        </w:rPr>
        <w:t xml:space="preserve">: </w:t>
      </w:r>
      <w:r>
        <w:rPr>
          <w:rtl w:val="true"/>
        </w:rPr>
        <w:t>فی الالفاظ الاربعة</w:t>
      </w:r>
      <w:bookmarkEnd w:id="632"/>
    </w:p>
    <w:p>
      <w:pPr>
        <w:pStyle w:val="Heading5"/>
        <w:numPr>
          <w:ilvl w:val="4"/>
          <w:numId w:val="1"/>
        </w:numPr>
        <w:rPr/>
      </w:pPr>
      <w:bookmarkStart w:id="633" w:name="__RefHeading___Toc2760222_1395250215"/>
      <w:bookmarkStart w:id="634" w:name="_Toc215"/>
      <w:bookmarkEnd w:id="633"/>
      <w:r>
        <w:rPr/>
        <w:t>1</w:t>
      </w:r>
      <w:r>
        <w:rPr>
          <w:rtl w:val="true"/>
        </w:rPr>
        <w:t xml:space="preserve"> - </w:t>
      </w:r>
      <w:r>
        <w:rPr>
          <w:rtl w:val="true"/>
        </w:rPr>
        <w:t>الکتاب</w:t>
      </w:r>
      <w:bookmarkEnd w:id="634"/>
    </w:p>
    <w:p>
      <w:pPr>
        <w:pStyle w:val="BookText"/>
        <w:rPr/>
      </w:pPr>
      <w:r>
        <w:rPr>
          <w:rFonts w:ascii="IRNazanin" w:hAnsi="IRNazanin" w:eastAsia="IRNazanin"/>
          <w:color w:val="111111"/>
          <w:sz w:val="28"/>
          <w:sz w:val="28"/>
          <w:szCs w:val="28"/>
          <w:rtl w:val="true"/>
          <w:lang w:bidi="fa-IR"/>
        </w:rPr>
        <w:t xml:space="preserve">إنّ الکتاب مستعمل فی کلمات العلماء بمعناه المتعارف و هو أعمّ من الأصل و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من التصنیف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تقابل بینه 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یطلق علی کل منهما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یقول الشیخ فی رجاله فی ترجمة أحمد 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حمید بن زیاد کتاب الملاحم و کتاب الدلالة و غیر ذلک من الاصول</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أسباط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أصل</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و مثله ما قاله النجاشی </w:t>
      </w:r>
      <w:bookmarkStart w:id="635" w:name="pg2858_19883"/>
    </w:p>
    <w:p>
      <w:pPr>
        <w:pStyle w:val="BookText"/>
        <w:rPr/>
      </w:pPr>
      <w:bookmarkEnd w:id="635"/>
      <w:r>
        <w:rPr>
          <w:rFonts w:ascii="IRNazanin" w:hAnsi="IRNazanin" w:eastAsia="IRNazanin"/>
          <w:color w:val="111111"/>
          <w:sz w:val="28"/>
          <w:sz w:val="28"/>
          <w:szCs w:val="28"/>
          <w:rtl w:val="true"/>
          <w:lang w:bidi="fa-IR"/>
        </w:rPr>
        <w:t>فی ترجمة الحسن بن 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أصل</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أنّ کثیرا ممّا أسماه الطوسی أصلا، سمّاه النجاشی کتابا، و بالعکس یعبّر هو کثیرا عمّا سمّاه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الکتاب و قلیلا ما یتّفق عکس ذلک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2760224_1395250215"/>
      <w:bookmarkStart w:id="637" w:name="_Toc216"/>
      <w:bookmarkEnd w:id="636"/>
      <w:r>
        <w:rPr/>
        <w:t>2</w:t>
      </w:r>
      <w:r>
        <w:rPr>
          <w:rtl w:val="true"/>
        </w:rPr>
        <w:t xml:space="preserve"> - </w:t>
      </w:r>
      <w:r>
        <w:rPr>
          <w:rtl w:val="true"/>
        </w:rPr>
        <w:t>الاصل</w:t>
      </w:r>
      <w:bookmarkEnd w:id="637"/>
    </w:p>
    <w:p>
      <w:pPr>
        <w:pStyle w:val="BookText"/>
        <w:rPr/>
      </w:pPr>
      <w:r>
        <w:rPr>
          <w:rFonts w:ascii="IRNazanin" w:hAnsi="IRNazanin" w:eastAsia="IRNazanin"/>
          <w:color w:val="111111"/>
          <w:sz w:val="28"/>
          <w:sz w:val="28"/>
          <w:szCs w:val="28"/>
          <w:rtl w:val="true"/>
          <w:lang w:bidi="fa-IR"/>
        </w:rPr>
        <w:t xml:space="preserve">عرّف الأصل بأنّه الکتاب الّذی یمتاز عن غیره بأن جمع فیه مصنّفه الأحادیث الّتی رواها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الراوی عنه</w:t>
      </w:r>
      <w:r>
        <w:rPr>
          <w:rStyle w:val="FootnoteAnchor"/>
          <w:rtl w:val="true"/>
        </w:rPr>
        <w:footnoteReference w:id="701"/>
      </w:r>
      <w:r>
        <w:rPr>
          <w:rFonts w:ascii="IRNazanin" w:hAnsi="IRNazanin" w:eastAsia="IRNazanin"/>
          <w:color w:val="111111"/>
          <w:sz w:val="28"/>
          <w:sz w:val="28"/>
          <w:szCs w:val="28"/>
          <w:rtl w:val="true"/>
          <w:lang w:bidi="fa-IR"/>
        </w:rPr>
        <w:t>و بیّن العلاّمة الطهرانی سبب هذه التسمیة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کتاب الحدیث إن کان جمیع أحادیثه سماعا من مؤلّفه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سماعا منه عمّن سمع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فوجود تلک الاحادیث فی عالم الکتابة من صنع مؤلّفها وجود أصلی بدوی ارتجالی غیر متفرّع من 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أصل کلّ کتاب هو المکتوب الأوّلی منه الذی کتبه المؤلّف فیطلق علیه النسخة الأصلیة أو الأصل لذلک</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ما کان مبوّبا و مفصّلا و الاصول مجمع أخبار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 کثیرا من الاصول مبوّبة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2760226_1395250215"/>
      <w:bookmarkStart w:id="639" w:name="_Toc217"/>
      <w:bookmarkEnd w:id="638"/>
      <w:r>
        <w:rPr/>
        <w:t>3</w:t>
      </w:r>
      <w:r>
        <w:rPr>
          <w:rtl w:val="true"/>
        </w:rPr>
        <w:t xml:space="preserve"> - </w:t>
      </w:r>
      <w:r>
        <w:rPr>
          <w:rtl w:val="true"/>
        </w:rPr>
        <w:t xml:space="preserve">التصنیف </w:t>
      </w:r>
      <w:r>
        <w:rPr>
          <w:rtl w:val="true"/>
        </w:rPr>
        <w:t>(</w:t>
      </w:r>
      <w:r>
        <w:rPr>
          <w:rtl w:val="true"/>
        </w:rPr>
        <w:t>المصنّف</w:t>
      </w:r>
      <w:r>
        <w:rPr>
          <w:rtl w:val="true"/>
        </w:rPr>
        <w:t>)</w:t>
      </w:r>
      <w:bookmarkEnd w:id="63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 الشیخ فی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التصنیف مقابل </w:t>
      </w:r>
    </w:p>
    <w:p>
      <w:pPr>
        <w:pStyle w:val="BookText"/>
        <w:rPr/>
      </w:pPr>
      <w:r>
        <w:rPr>
          <w:rFonts w:ascii="IRNazanin" w:hAnsi="IRNazanin" w:eastAsia="IRNazanin"/>
          <w:color w:val="111111"/>
          <w:sz w:val="28"/>
          <w:sz w:val="28"/>
          <w:szCs w:val="28"/>
          <w:rtl w:val="true"/>
          <w:lang w:bidi="fa-IR"/>
        </w:rPr>
        <w:t>للأصل، حیث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بن الحسین بن عبید اللّه الغضائری عمل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ذکر فیه المصنّفات و الآخر ذکر فیه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أنّه نفسه جمع بینهما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عن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المصنّفین من له أصل فیحتاج إلی أن یعاد ذکره فی کلّ واحد من الکتابین</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هارون بن موسی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جمیع الاصول و المصنّفات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کما أنّه قال فی حیدر بن محمّد بن نعیم السمرقندی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جمیع مصنّفات الشیعة و اصولهم</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جزم المحقّق التستری أنّ بین الأصل و التصنیف تقابلا، و أنّ الکتاب 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أراد أن یقول فی تعریف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الکتاب الذی کان جمیع أحادیثه أو أکثرها منقولا عن کتاب آخر سابق وجوده علیه أو کان فیه کلام المؤلّف کثیرا بحیث یخرجه عن إطلاق القول بأنّه کتاب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ربّما کان بعض الروایات و قلیلها، یصل معنعنا و لا یؤخذ من أصل أو کتاب سابق علیه و لکنّه لا یوجب ذکره فی عداد الاصول قطعا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الوحید البهبهانی فیظهر منه أنّ المصنّف أعمّ من الأصل و النوادر لأنّه </w:t>
      </w:r>
      <w:bookmarkStart w:id="640" w:name="pg2858_19885"/>
    </w:p>
    <w:p>
      <w:pPr>
        <w:pStyle w:val="BookText"/>
        <w:rPr/>
      </w:pPr>
      <w:bookmarkEnd w:id="640"/>
      <w:r>
        <w:rPr>
          <w:rFonts w:ascii="IRNazanin" w:hAnsi="IRNazanin" w:eastAsia="IRNazanin"/>
          <w:color w:val="111111"/>
          <w:sz w:val="28"/>
          <w:sz w:val="28"/>
          <w:szCs w:val="28"/>
          <w:rtl w:val="true"/>
          <w:lang w:bidi="fa-IR"/>
        </w:rPr>
        <w:t>یطلق علیهما، کما فی ترجمة أحمد بن میثم فی فهرس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منها کتاب الدلائل، کتاب المتعة، کتاب النوادر، کتاب الملاحم و</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و لا یبعد صحّة هذا القول، کما یظهر من عبائر الأجلاّء کالمحقّق و الشهید الثانی و شیخنا البهائی عند ذکر الاصول الأربعمائة و سیوافیک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یقوی فی النظر أنّ الکتاب و المصنّف مصطلحان مترادفان و المراد منهما کل ما دوّنه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الأصل قسم خاصّ من الکتاب أو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قبال التصنیف لا یدلّ علی کونهما متقابلین، بل الغرض منه بیان اختصاص بعض مصنّفات الرجل بکونه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ذکر الأصل فی قبال الکتاب لا یدلّ علی التقابل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هذا الاختصاص بالذکر هو العنایة بشأن الاصول</w:t>
      </w:r>
      <w:r>
        <w:rPr>
          <w:rFonts w:eastAsia="IRNazanin" w:cs="IRNazanin"/>
          <w:color w:val="111111"/>
          <w:sz w:val="28"/>
          <w:szCs w:val="28"/>
          <w:rtl w:val="true"/>
          <w:lang w:bidi="fa-IR"/>
        </w:rPr>
        <w:t>.</w:t>
      </w:r>
    </w:p>
    <w:p>
      <w:pPr>
        <w:pStyle w:val="Heading5"/>
        <w:numPr>
          <w:ilvl w:val="4"/>
          <w:numId w:val="1"/>
        </w:numPr>
        <w:rPr/>
      </w:pPr>
      <w:bookmarkStart w:id="641" w:name="__RefHeading___Toc2760228_1395250215"/>
      <w:bookmarkStart w:id="642" w:name="_Toc218"/>
      <w:bookmarkEnd w:id="641"/>
      <w:r>
        <w:rPr/>
        <w:t>4</w:t>
      </w:r>
      <w:r>
        <w:rPr>
          <w:rtl w:val="true"/>
        </w:rPr>
        <w:t xml:space="preserve"> - </w:t>
      </w:r>
      <w:r>
        <w:rPr>
          <w:rtl w:val="true"/>
        </w:rPr>
        <w:t>النوادر</w:t>
      </w:r>
      <w:bookmarkEnd w:id="642"/>
    </w:p>
    <w:p>
      <w:pPr>
        <w:pStyle w:val="BookText"/>
        <w:rPr/>
      </w:pPr>
      <w:r>
        <w:rPr>
          <w:rFonts w:ascii="IRNazanin" w:hAnsi="IRNazanin" w:eastAsia="IRNazanin"/>
          <w:color w:val="111111"/>
          <w:sz w:val="28"/>
          <w:sz w:val="28"/>
          <w:szCs w:val="28"/>
          <w:rtl w:val="true"/>
          <w:lang w:bidi="fa-IR"/>
        </w:rPr>
        <w:t xml:space="preserve">ذکر النجاشی عند عدّ کتب کثیر من الأصحاب أنّ لهم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عبید اللّه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صحیحة الحدیث،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المؤمن، و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المزار و</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الحسین اللؤلؤی، کوفیّ ثقة کثیر الروایة، له کتاب مجموع، نوادر</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عبید اللّه بن إبراهیم الغضائری،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 التمویه و الغمّة، کتاب التسلیم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النوادر فی الفقه، کتاب مناسک الحج</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و یقول فی ترجمة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ثلاثین کتابا کما ذکر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منها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البشارات، نوادر</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التأمّل فی الموارد الّتی ذکرها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تبلغ خمسین و مائة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یرشدنا إلی أنّ النوادر اسم للکتب المدوّنة الّتی لیس لمطالبها موضوع معیّن أو لیست لروایاتها شهرة متحقّقة، سواء کانت الأحادیث الواردة فیها عن إمام واحد أو أکثر، أو کان موضوع الکتاب واحدا مع تفرّق مضامین روایاته بحیث لا یمکن تبویبها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هذا اشیر فی الموسوعة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النوادر عنوان عام لنوع من مؤلّفات الأصحاب فی القرون الأربعة الاولی کان یجمع فیها الأحادیث غیر المشهورة أو الّتی تشتمل علی أحکام غیر متداولة أو استثنائیة أو مستدرکة لغیرها</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سرد عددا من أسامی هذه الکتب یقرب من مائتی کتاب و ذکر أنّه استخرجها من کتب الکشّی و النّجاشی و الطوسی، مصنّفی الاصول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وجه تسمیة بعض الأبواب الموجودة فی الجوامع الحدیثیة بعنوان النوادر، کنوادر الصلاة، و نوادر الزکاة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الأحادیث المذکورة </w:t>
      </w:r>
    </w:p>
    <w:p>
      <w:pPr>
        <w:pStyle w:val="BookText"/>
        <w:rPr/>
      </w:pPr>
      <w:r>
        <w:rPr>
          <w:rFonts w:ascii="IRNazanin" w:hAnsi="IRNazanin" w:eastAsia="IRNazanin"/>
          <w:color w:val="111111"/>
          <w:sz w:val="28"/>
          <w:sz w:val="28"/>
          <w:szCs w:val="28"/>
          <w:rtl w:val="true"/>
          <w:lang w:bidi="fa-IR"/>
        </w:rPr>
        <w:t>فی هذه الأبواب إمّا مستدرکة و إمّا شاذّة غیر معمول بها عند الأصحاب</w:t>
      </w:r>
      <w:r>
        <w:rPr>
          <w:rStyle w:val="FootnoteAnchor"/>
          <w:rtl w:val="true"/>
        </w:rPr>
        <w:footnoteReference w:id="715"/>
      </w:r>
      <w:r>
        <w:rPr>
          <w:rFonts w:ascii="IRNazanin" w:hAnsi="IRNazanin" w:eastAsia="IRNazanin"/>
          <w:color w:val="111111"/>
          <w:sz w:val="28"/>
          <w:sz w:val="28"/>
          <w:szCs w:val="28"/>
          <w:rtl w:val="true"/>
          <w:lang w:bidi="fa-IR"/>
        </w:rPr>
        <w:t>، و إمّا غیر قابل لذکر العنوان لها بسبب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فی فوائده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النوادر فالظّاهر أنّه ما اجتمع فیه أحادیث لا تضبط فی باب، لقلّته بأن یکون واحدا أو متعدّدا لکن یکون قلیلا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یطلق النادر علی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الشاذّ ما رواه الراوی الثقة مخالفا لما رواه الأکثر و هو مقابل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 أنّ النادر ما قلّ روایته و ندر العمل به، و ادّعی أنّه الظاهر من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تأمل</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من الکتب المشهورة فی هذا المضمار نوادر محمّد بن أحمد بن یحیی المشهور بدبّة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لمحمّد بن أحمد بن یحیی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حسن کبیر یعرفه القمیّون بدبّة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شبیب فامی کان بقم له دبّة ذات بیوت، یعطی منها ما یطلب منه من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فشبّهوا هذا الکتاب بذلک</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النسبة بین الأصل و النوادر، فقال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أنّ النوادر غیر الأصل و ربّما یعدّ من الاصول، کما یظهر فی أحمد بن الحسن بن سعید و أحمد بن سلمة و حریز بن عبد اللّه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فقد قال الشیخ فی الفهرس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الحسین بن سعید، له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عدّه من جملة الاصول</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 قال فی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حریز بن عبد اللّه السجستانی، له کتب، منها کتاب الصّلاة، کتاب </w:t>
      </w:r>
      <w:bookmarkStart w:id="643" w:name="pg2858_19888"/>
    </w:p>
    <w:p>
      <w:pPr>
        <w:pStyle w:val="BookText"/>
        <w:rPr/>
      </w:pPr>
      <w:bookmarkEnd w:id="643"/>
      <w:r>
        <w:rPr>
          <w:rFonts w:ascii="IRNazanin" w:hAnsi="IRNazanin" w:eastAsia="IRNazanin"/>
          <w:color w:val="111111"/>
          <w:sz w:val="28"/>
          <w:sz w:val="28"/>
          <w:szCs w:val="28"/>
          <w:rtl w:val="true"/>
          <w:lang w:bidi="fa-IR"/>
        </w:rPr>
        <w:t>النوادر، تعدّ کلّها فی الاصول</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النجاشی قال فی مروک بن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 القمّیون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نوادره أصل</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یبعد صحّة القول بأنّ النسبة بین الأصل و النوادر هو العموم و 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جواز أن یکون المؤلّف أصلا من جهة و نوادر من جهة اخری</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استیفاء البحث و الرأی الجازم متوقّف علی التتبّع التامّ فی کتب الفهرس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أنّه قد یقع النوادر و الأصل مقابلین للکتاب، کما فی ترجمة معاویة بن الحکیم و عبّاس بن معروف</w:t>
      </w:r>
      <w:r>
        <w:rPr>
          <w:rStyle w:val="FootnoteAnchor"/>
          <w:rtl w:val="true"/>
        </w:rPr>
        <w:footnoteReference w:id="723"/>
      </w:r>
      <w:r>
        <w:rPr>
          <w:rFonts w:ascii="IRNazanin" w:hAnsi="IRNazanin" w:eastAsia="IRNazanin"/>
          <w:color w:val="111111"/>
          <w:sz w:val="28"/>
          <w:sz w:val="28"/>
          <w:szCs w:val="28"/>
          <w:rtl w:val="true"/>
          <w:lang w:bidi="fa-IR"/>
        </w:rPr>
        <w:t xml:space="preserve">، و 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بیان الفرق بین الکتاب الّذی لیس بأصل أو لیس من النوادر و بین ما هو أصل أو من النوادر، و هذا لا یدلّ علی التقابل بینه و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القول أنّ الکتاب أعمّ من الأصل و النوادر، و کذا التصنیف أعمّ منهما علی ما اخترنا و النسبة بین الأصل و النوادر التباین ظاهرا و إن لم یکن احتمال نسبة العموم و الخصوص من وجه بینهما ببعید</w:t>
      </w:r>
      <w:r>
        <w:rPr>
          <w:rFonts w:eastAsia="IRNazanin" w:cs="IRNazanin"/>
          <w:color w:val="111111"/>
          <w:sz w:val="28"/>
          <w:szCs w:val="28"/>
          <w:rtl w:val="true"/>
          <w:lang w:bidi="fa-IR"/>
        </w:rPr>
        <w:t>.</w:t>
      </w:r>
    </w:p>
    <w:p>
      <w:pPr>
        <w:pStyle w:val="Heading4"/>
        <w:numPr>
          <w:ilvl w:val="3"/>
          <w:numId w:val="1"/>
        </w:numPr>
        <w:rPr/>
      </w:pPr>
      <w:bookmarkStart w:id="644" w:name="__RefHeading___Toc2760230_1395250215"/>
      <w:bookmarkStart w:id="645" w:name="_Toc219"/>
      <w:bookmarkEnd w:id="644"/>
      <w:r>
        <w:rPr>
          <w:rtl w:val="true"/>
        </w:rPr>
        <w:t>الثانی</w:t>
      </w:r>
      <w:r>
        <w:rPr>
          <w:rtl w:val="true"/>
        </w:rPr>
        <w:t xml:space="preserve">: </w:t>
      </w:r>
      <w:r>
        <w:rPr>
          <w:rtl w:val="true"/>
        </w:rPr>
        <w:t xml:space="preserve">فی الاصول المدوّنة فی عصر ائمتنا </w:t>
      </w:r>
      <w:r>
        <w:rPr>
          <w:rtl w:val="true"/>
        </w:rPr>
        <w:t>(</w:t>
      </w:r>
      <w:r>
        <w:rPr>
          <w:rtl w:val="true"/>
        </w:rPr>
        <w:t>علیهم السلام</w:t>
      </w:r>
      <w:r>
        <w:rPr>
          <w:rtl w:val="true"/>
        </w:rPr>
        <w:t>)</w:t>
      </w:r>
      <w:bookmarkEnd w:id="64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جمع من أعاظم المحدّثین و المؤرّخین أنّ أصحاب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صنّفوا اصولا و أدرجوا فیها ما سمعوا عن کلّ من موالیهم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 یعرض لهم نسیان و خلط، أو یقع فیه دسّ و تصحیف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هو السیّد رضی الدین علیّ بن طاوس ینقل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أدعیة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ذکر الدعاء المعروف بالجوشن عن أبی الوضّاح محمد بن عبد اللّه بن زید النهشلی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جماعة من خاصّة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بیته و شیعته یحضرون مجلسه و معهم فی أکمامهم ألواح آبنوس لطاف و أمیال فاذا نطق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أو أفتی فی نازلة أثبت القوم ما سمعوا منه فی ذلک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بلغنا عن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دأب أصحاب الاصول أنّهم إذا سمعوا عن أحد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بادروا إلی إثباته فی اصولهم لئلاّ یعرض لهم نسیان لبعضه أو کلّه بتمادی الأیّام</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 ما أفاده السیّد الداماد فی رواشحه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المؤسف جدّا أنّه لم یتعیّن لنا عدّة أصحاب الاصول لا تحقیقا و لا تقریبا و لم یتعیّن فی کتبنا الرجالیة و الفهارس تاریخ تألیف هذه الاصول بعینه و لا تواریخ وفیات مصنّفیها</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الشیخ الطوسی فی أوّل فهرسه أنّ عدم ضبط عدد تصانیف الأصحاب و اصولهم نشأ من کثرة انتشار الأصحاب فی البلدان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یستفاد من بعض الأعلام کالمحقّق الحلّی و أمین الاسلام الطّبرسی </w:t>
      </w:r>
    </w:p>
    <w:p>
      <w:pPr>
        <w:pStyle w:val="BookText"/>
        <w:rPr/>
      </w:pPr>
      <w:r>
        <w:rPr>
          <w:rFonts w:ascii="IRNazanin" w:hAnsi="IRNazanin" w:eastAsia="IRNazanin"/>
          <w:color w:val="111111"/>
          <w:sz w:val="28"/>
          <w:sz w:val="28"/>
          <w:szCs w:val="28"/>
          <w:rtl w:val="true"/>
          <w:lang w:bidi="fa-IR"/>
        </w:rPr>
        <w:t xml:space="preserve">و الشّهید الأوّل و الشیخ حسین بن عبد الصمد العاملی و السید الداماد و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الاصول المذکورة و کذا مؤلّفیها لم تکن أقلّ من أربعمائة و أنّ أکثرها کانت من صنع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ناهیک بعض عبائرهم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المحقّق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من أجوبة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مصنّف سمّوها اصولا</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مشهوری أهل العلم أربعة آلاف إنسان و صنّف من جواباته فی المسائل أربعمائة کتاب تسمّی الاصول، رواها أصحابه و أصحاب ابنه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الثانی فی شرح الدرایة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 أمر المتقدّمین علی أربعمائة مصنّف لأربعمائة مصنّف سمّوها اصولا فکان علیها اعتمادهم</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الحسین بن عبد الصمد فی درایته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کتبت من أجوبة مسائل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أربعمائة مصنّف لأربعمائة مصنّف تسمّی الاصول فی أنواع العلوم</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المحقّق الداماد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أنّ الاصول أربعمائة مصنّف لأربعمائة مصنّف من رجال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فی مجالس السماع و الروایة عنه و رجاله زهاء أربعة آلاف </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کتبهم و مصنّفاتهم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استقرّ الأمر علی اعتبارها و التّعویل علیها و تسمیتها بالاصول هذه الأربعمائة</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 الظّاهر من عبارة الطبرسی أنّ مؤلّفی الاصول تلامذة الإمام الصادق و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غیره أنّهم من تلامذة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الحصر لأجل کون الغالب من تلامذة الوالد دون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من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تختصّ بأصحابهما بل یعمّ غیرهما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صنّف الإمامیّة من عهد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 أبی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کتاب تسمّی الاصول 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و لکنّه لم یرد أنّ تألیف هذه الاصول کان فی جمیع تلک المدّة بل أخبر بأنّها ألّفت بین هذین العصرین، بمعنی أنّه لم یؤلّف شیء من هذه الأصول قبل أیّام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بعد عصر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لم یرد حصر جمیع مصنّفات الأصحاب فی هذه الکتب الموسومة بالاصول، کیف و هو أعلم بکتبهم و بأحوال المصنّفین منهم کفضل بن شاذان و ابن أبی عمیر الذین صنّفوا و أکثروا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الطهرانی اعتمادا علی ما مرّ،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یسعنا </w:t>
      </w:r>
      <w:bookmarkStart w:id="646" w:name="pg2858_19892"/>
    </w:p>
    <w:p>
      <w:pPr>
        <w:pStyle w:val="BookText"/>
        <w:rPr/>
      </w:pPr>
      <w:bookmarkEnd w:id="646"/>
      <w:r>
        <w:rPr>
          <w:rFonts w:ascii="IRNazanin" w:hAnsi="IRNazanin" w:eastAsia="IRNazanin"/>
          <w:color w:val="111111"/>
          <w:sz w:val="28"/>
          <w:sz w:val="28"/>
          <w:szCs w:val="28"/>
          <w:rtl w:val="true"/>
          <w:lang w:bidi="fa-IR"/>
        </w:rPr>
        <w:t xml:space="preserve">دعوی العلم الاجمالی بأنّ تاریخ تألیف جلّ هذه الاصول إلاّ أقلّ قلیل منها کان فی عصر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عصر ضعف الدولتین و هو من أواخر ملک بنی أمیّة إلی أوائل أیّام هارون الرشید، أی من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هلاک حجّاج بن یوسف إلی عام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ولی فیه هارون الرشید</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لم یکن للاصول ترتیب خاصّ، لأنّ جلّها من إملاءات المجالس و أجوبة المسائل النازلة المختلفة، عمد أصحاب الجوامع إلی نقل روایاتها مرتّبة مبوّبة منقّحة تسهیلا للتناول و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قلّت الرغبات فی استنساخ أعیانها فقلّت نسخها و ضاعت النسخ القدیمة تدریجا و تلفت کثیر منها فی حوادث تاریخیّة کإحراق ما کان منها موجودا فی مکتبة سابور بکرخ عند ورود طغرل بیک إلی بغداد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قسم من تلک الاصول باقیا بالصورة الأوّلیة إلی عهد ابن إدریس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استخرج من جملة منها ما جعله 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حصلت جملة منها عند السید رضی الدّین ابن طاوس کما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تدرّج التلف و قلّت النسخ إلی حدّ لم یبق منها إلا 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 علیها استاذنا السیّد محمّد الحجّة الکوه 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بطبعها</w:t>
      </w:r>
      <w:r>
        <w:rPr>
          <w:rFonts w:eastAsia="IRNazanin" w:cs="IRNazanin"/>
          <w:color w:val="111111"/>
          <w:sz w:val="28"/>
          <w:szCs w:val="28"/>
          <w:rtl w:val="true"/>
          <w:lang w:bidi="fa-IR"/>
        </w:rPr>
        <w:t>.</w:t>
      </w:r>
    </w:p>
    <w:p>
      <w:pPr>
        <w:pStyle w:val="Heading4"/>
        <w:numPr>
          <w:ilvl w:val="3"/>
          <w:numId w:val="1"/>
        </w:numPr>
        <w:rPr/>
      </w:pPr>
      <w:bookmarkStart w:id="647" w:name="__RefHeading___Toc2760232_1395250215"/>
      <w:bookmarkStart w:id="648" w:name="_Toc220"/>
      <w:bookmarkEnd w:id="647"/>
      <w:r>
        <w:rPr>
          <w:rtl w:val="true"/>
        </w:rPr>
        <w:t>الثالث</w:t>
      </w:r>
      <w:r>
        <w:rPr>
          <w:rtl w:val="true"/>
        </w:rPr>
        <w:t xml:space="preserve">: </w:t>
      </w:r>
      <w:r>
        <w:rPr>
          <w:rtl w:val="true"/>
        </w:rPr>
        <w:t>وجه العنایة بالاصول و مدی دلالتها علی الوثاقة</w:t>
      </w:r>
      <w:bookmarkEnd w:id="64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الواضح أنّ احتمال الخطأ و الغلط و السهو و النسیان و غیرها فی الأصل المسموع شفاها عن الإمام أو عمّن سمع منه أقلّ منها فی الکتاب المنقول عن کتاب آخر، لتطرّق احتمالات زائدة فی النقل عن الکتاب فالاطمئنان بصدور عین الألفاظ المندرجة فی الاصول أکثر و الوثوق به آکد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کان الأخذ من الاصول المصحّحة المعتمدة أحد أرکان تصحیح الروایة، کما قال المحقّق الداماد</w:t>
      </w:r>
      <w:r>
        <w:rPr>
          <w:rStyle w:val="FootnoteAnchor"/>
          <w:rtl w:val="true"/>
        </w:rPr>
        <w:footnoteReference w:id="738"/>
      </w:r>
      <w:r>
        <w:rPr>
          <w:rFonts w:ascii="IRNazanin" w:hAnsi="IRNazanin" w:eastAsia="IRNazanin"/>
          <w:color w:val="111111"/>
          <w:sz w:val="28"/>
          <w:sz w:val="28"/>
          <w:szCs w:val="28"/>
          <w:rtl w:val="true"/>
          <w:lang w:bidi="fa-IR"/>
        </w:rPr>
        <w:t xml:space="preserve">و صرّح به المحقّق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بعض ما یوجب الوثوق بالحدیث و الرکون إلیه، منها وجوده فی کثیر من الاصول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تکرّره فی أصل أو أصلین منها فصاعدا بطرق مختلفة و أسانید عدیدة معتبرة و منها وجوده فی أصل معروف الانتساب إلی أحد الجماعة الّذین أجمعوا علی تصدیقهم أو علی تصحیح ما یصحّ عنهم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هذه المیزة ترشّحت إلی الاصول من قبل المثابرة الأکیدة علی کیفیّة تألیفها و التحفّظ علی ما لا یتحفّظ علیه غیرهم من المؤلّفین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الأربعمائة ممّا أجمع الأصحاب علی صحّتها و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التقی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الشیخ فی دیباجة الاستبصار أنّ هذه الأخبار المستودعة فی هذه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علیها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أنّهم أخذوها من الاصول الأربعمائة الّتی أجمع الأصحاب علی صحّتها و علی العمل بها</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الشیخ أیضا فی مبحث التعادل و الترجیح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السامع مقدّم علی روایة المستجیز، إلاّ أن یروی المستجیز أصلا معروفا أو مصنّفا مشهورا</w:t>
      </w:r>
      <w:r>
        <w:rPr>
          <w:rStyle w:val="FootnoteAnchor"/>
          <w:rtl w:val="true"/>
        </w:rPr>
        <w:footnoteReference w:id="741"/>
      </w:r>
      <w:r>
        <w:rPr>
          <w:rFonts w:ascii="IRNazanin" w:hAnsi="IRNazanin" w:eastAsia="IRNazanin"/>
          <w:color w:val="111111"/>
          <w:sz w:val="28"/>
          <w:sz w:val="28"/>
          <w:szCs w:val="28"/>
          <w:rtl w:val="true"/>
          <w:lang w:bidi="fa-IR"/>
        </w:rPr>
        <w:t xml:space="preserve">، و دلالة هذه العبارة علی شدّة الاهتمام بالاصول المدوّنة من قبل أصحاب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دلالة کون الرجل ذا تصنیف أو ذا أصل علی وثاقته و مدحه فغیر </w:t>
      </w:r>
      <w:bookmarkStart w:id="649" w:name="pg2858_19894"/>
    </w:p>
    <w:p>
      <w:pPr>
        <w:pStyle w:val="BookText"/>
        <w:rPr/>
      </w:pPr>
      <w:bookmarkEnd w:id="649"/>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کثیرا من مصنّفی الاصول مالوا إلی المذاهب الفاسدة کالواقفیة و الفطحیّة، و إن کانت کتبهم 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مصطلح الصحیح عند القدماء غیره عند المتأخّرین، و لا یستتبع صحّة حدیث رجل عند القدماء وثاقته عندهم، کما ذکر فی کتب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فی فوائده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أنّه عند خالی، بل و جدّی أیضا، علی ما هو ببالی أنّ کون الرجل ذا أصل من أسباب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فیه تأمّل لأنّ کثیرا من مصنّفی أصحابنا و أصحاب الاصول کانوا ینتحلون المذاهب الفاسدة و إن کانت کتبهم معتمدة و أضعف من ذلک کون الرجل ذا کتاب من أسباب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أنّ کون الرجل صاحب أصل یفید حسنا لا الحسن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کونه کثیر التّصنیف و کذا جیّد التصنیف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کونه ذا کتاب أیضا یشیر إلی حسن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مرادهم ممّا ذکروا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المحقّق الطهرانی فی ذریعته من أنّ قول أئمّة الرجال فی ترجمة أحدهم أنّ له أصلا یعدّ من ألفاظ المدح</w:t>
      </w:r>
      <w:r>
        <w:rPr>
          <w:rStyle w:val="FootnoteAnchor"/>
          <w:rtl w:val="true"/>
        </w:rPr>
        <w:footnoteReference w:id="743"/>
      </w:r>
      <w:r>
        <w:rPr>
          <w:rFonts w:ascii="IRNazanin" w:hAnsi="IRNazanin" w:eastAsia="IRNazanin"/>
          <w:color w:val="111111"/>
          <w:sz w:val="28"/>
          <w:sz w:val="28"/>
          <w:szCs w:val="28"/>
          <w:rtl w:val="true"/>
          <w:lang w:bidi="fa-IR"/>
        </w:rPr>
        <w:t>، یجب حمله علی ما أفاده الوحید بمعنی أنّه یکشف عن وجود مزایا شخصیّة فیه من الضبط و الحفظ و التحرّز عن بواعث النسیان و الاشتباه و التحفّظ عن موجبات الغلط و السهو، لا بمعنی وثاقته و عدالته و صحّة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معرفة الأصل و التّصنیف و النوادر</w:t>
      </w:r>
      <w:r>
        <w:rPr>
          <w:rFonts w:eastAsia="IRNazanin" w:cs="IRNazanin"/>
          <w:color w:val="111111"/>
          <w:sz w:val="28"/>
          <w:szCs w:val="28"/>
          <w:rtl w:val="true"/>
          <w:lang w:bidi="fa-IR"/>
        </w:rPr>
        <w:t>.</w:t>
      </w:r>
    </w:p>
    <w:p>
      <w:pPr>
        <w:pStyle w:val="Heading3"/>
        <w:numPr>
          <w:ilvl w:val="2"/>
          <w:numId w:val="1"/>
        </w:numPr>
        <w:rPr/>
      </w:pPr>
      <w:bookmarkStart w:id="650" w:name="__RefHeading___Toc2760234_1395250215"/>
      <w:bookmarkStart w:id="651" w:name="_Toc221"/>
      <w:bookmarkEnd w:id="650"/>
      <w:r>
        <w:rPr>
          <w:rtl w:val="true"/>
        </w:rPr>
        <w:t>الفائدة الرابعة عشر</w:t>
      </w:r>
      <w:bookmarkEnd w:id="651"/>
    </w:p>
    <w:p>
      <w:pPr>
        <w:pStyle w:val="Heading4"/>
        <w:numPr>
          <w:ilvl w:val="3"/>
          <w:numId w:val="1"/>
        </w:numPr>
        <w:rPr/>
      </w:pPr>
      <w:bookmarkStart w:id="652" w:name="__RefHeading___Toc2760236_1395250215"/>
      <w:bookmarkStart w:id="653" w:name="_Toc222"/>
      <w:bookmarkEnd w:id="652"/>
      <w:r>
        <w:rPr>
          <w:rtl w:val="true"/>
        </w:rPr>
        <w:t>اشارة</w:t>
      </w:r>
      <w:bookmarkEnd w:id="65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وقفت علی دلائل الحاجة إلی علم الرجال فی التمسک بالروایات المرویة عن النبی و عترته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کتب أصحابنا </w:t>
      </w:r>
    </w:p>
    <w:p>
      <w:pPr>
        <w:pStyle w:val="BookText"/>
        <w:rPr/>
      </w:pPr>
      <w:r>
        <w:rPr>
          <w:rFonts w:ascii="IRNazanin" w:hAnsi="IRNazanin" w:eastAsia="IRNazanin"/>
          <w:color w:val="111111"/>
          <w:sz w:val="28"/>
          <w:sz w:val="28"/>
          <w:szCs w:val="28"/>
          <w:rtl w:val="true"/>
          <w:lang w:bidi="fa-IR"/>
        </w:rPr>
        <w:t>الامامیة و عرفت المصادر الّتی یجب الرجوع إلیها فی تمییز الثقات عن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یرویه أهل السنّة عن النبی الأکرم أو الصحابة و التابعین لهم باحسان فالحاجة إلی علم الرجال فیه أشدّ و ألزم و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الغایات السیاسیّة غلبت علی الأهداف الدینیّة فمنعت الخلفاء من کتابة حدیث الرسول و تدوینه بعد لحوقه بالرفیق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هذا النهی قرابة قرن من الزمن إلی أن آل الأمر إلی الخلیفة الأموی عمر بن عبد 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بضرورة کتابة الحدیث، فکتب إلی أبی بکر بن حزم فی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کان من حدیث رسول اللّه فاکتبه فانّی خفت دروس العلم و ذهاب العلماء و لا تقبل إلاّ أحادیث النّبی، و لتفشوا العلم، و لتجلسوا حتّی یعلم من لا یعلم فإنّ العلم لا یهلک حتی یکون سرّا</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هذا الاصرار المؤکّد من الخلیفة لم تکتب إلاّ صحائف غیر منتظمة و لا مرتّبة، إلی أن زالت دولة الامویین، و قامت دولة العبّاسیین، و أخذ أبو جعفر المنصور بمقالید الحکم، فقام المحدّثون فی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بتدوین الحدیث</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للحیلولة من کتابة الحدیث آثار سلبیّة جدّا، لأنّ الفراغ الّذی خلفه المنع أوجد أرضیّة مناسبة لظهور الدجّالین و الأبالسة من الأحبار و الرّهبان من کهنة الیهود و النصاری، فافتعلوا أحادیث کثیرة نسبوها إلی الأنبیاء عامّة، و إلی لسان النّبی الأکرم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هی المرویّات الموسومة بالاسرائیلیّات و المسیحیّات بل المجوسیّات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شغلت بال المحدّثین قرونا و أجیالا، و هی مبثوثة فی کتب التفسیر و الحدیث و التاریخ، بل هی حلقات بلاء </w:t>
      </w:r>
    </w:p>
    <w:p>
      <w:pPr>
        <w:pStyle w:val="BookText"/>
        <w:rPr/>
      </w:pPr>
      <w:r>
        <w:rPr>
          <w:rFonts w:ascii="IRNazanin" w:hAnsi="IRNazanin" w:eastAsia="IRNazanin"/>
          <w:color w:val="111111"/>
          <w:sz w:val="28"/>
          <w:sz w:val="28"/>
          <w:szCs w:val="28"/>
          <w:rtl w:val="true"/>
          <w:lang w:bidi="fa-IR"/>
        </w:rPr>
        <w:t>حاقت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من اللّه سبحانه أن یقیّض امّة ساعیة فی هذا المجال لافراز هذه المرویّات عن النصوص الصحیحة الاسلامیة، و قد بحثنا عن الآثار السلبیة لمنع تدوین الحدیث فی أبحاثنا حول الملل و النحل</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الحدیث و الکذب علی النّبی الأعظم و علی الثقات من صحابته و التابعین لهم باحسان کان شعار الصالحین و عمل الزاهدین، یتقرّبون به إلی اللّه سبحانه، و لا یرون الوضع و الاختلاق منافیا للزهد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لأهداف دینیّة من دعم مبدأ أو تعظیم إمام أو تأیید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الخطیب عن الرجالی المعروف یحیی بن سعید القطّان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الصّالحین فی شیء أکذب منهم فی الحدیث</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السیوطی عنه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الکذب فی أحد أکثر منه فیمن ینسب إلی الخیر و الزهد</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أراد أن یقف علی کیفیّة عمل الوضّاعین و مقاصدهم و نماذج من الأحادیث الموضوعة فلیرجع إلی الکتابین التالیین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اجزاء، للشیخ أبی الفرج عبد الرحمن بن علی المعروف بابن الجوزی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فیه المؤلّف الأحادیث الموضوعة، و أراد الاستقصاء و لم یوفّق له، لأنّه عمل کبیر لا یقوم به إلاّ اللّجان التحقیقیة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اللئالی المصنوعة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الکتب المؤلّفة فی هذا المضمار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السلطة الامویة کانت تدعم وضع الحدیث بشدّة و حماس لما فی تلک الأحادیث المزورة من تحکیم عرش الخلافة و ثباته، خصوصا إذا کان الوضع فی مجال المناقب و الفضائل للخلفاء و بالأخصّ للامویین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هند آکلة الأکباد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عمّاله فی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تجیزوا لأحد من شیعة علیّ و 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انظروا من قبلکم من شیعة عثمان و محبّیه و أهل ولایته، و الّذین یروون فضائله و مناقبه فأدنوا مجالسهم و قرّبوهم و أکرموهم و اکتبوا إلیّ بکلّ ما یروی کلّ رجل منهم، و اسمه و اسم أبیه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لهذا المنشور أثر بارز فی إکثار الفضائل لعثمان، و خلقها له، لما کان یبعثه معاویة إلیهم من الصّلات و الکساء و الحباء و یفیضه فی العرب منهم و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ذلک فی کلّ مصر و تنافسوا فی المنازل و الدنیا، فلیس یجیء أحد مردود من الناس، عاملا من عمّال معاویة و یروی فی عثمان فضیلة أو منقبة إلاّ کتب اسمه، و قرّبه و 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معاویة إلی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الحدیث فی عثمان قد کثر و فشا فی کلّ مصر و فی کلّ وجه و ناحیة، فإذا جاءکم کتابی هذا فادعوا الناس إلی الروایة فی فضائل الصّحابة و الخلفاء الأوّلین و لا تترکوا خبرا یرویه أحد من المسلمین فی أبی تراب إلاّ و تأتونی بمناقض له فی الصّحابة، فإنّ هذا احبّ إلیّ و أقرّ لعینی، و أدحض لحجّة أبی تراب و شیعته و أشدّ إلیهم من مناقب عثمان و فضله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قرء هذا المنشور علی النّاس، فرویت أخبار کثیرة فی مناقب الصّحابة مفتعلة لا حقیقة لها، وجدّ الناس فی روایة ما یجری هذا المجری حتّی أشادوا بذکر ذلک علی المنابر، و القی إلی معلّمی الکتاتیب فعلّموا صبیانهم و غلمانهم من ذلک الکثیر الواسع حتّی رووه و تعلّموه کما یتعلّمون القرآن و حتّی علّموه بناتهم و نساءهم و خدمهم و حشمهم فلبثوا بذلک ما شاء </w:t>
      </w:r>
      <w:bookmarkStart w:id="654" w:name="pg2858_19898"/>
    </w:p>
    <w:p>
      <w:pPr>
        <w:pStyle w:val="BookText"/>
        <w:rPr/>
      </w:pPr>
      <w:bookmarkEnd w:id="654"/>
      <w:r>
        <w:rPr>
          <w:rFonts w:ascii="Amiri" w:hAnsi="Amiri" w:eastAsia="Amiri" w:cs="Amiri"/>
          <w:color w:val="111111"/>
          <w:sz w:val="28"/>
          <w:sz w:val="28"/>
          <w:szCs w:val="28"/>
          <w:rtl w:val="true"/>
          <w:lang w:bidi="ar-SA"/>
        </w:rPr>
        <w:t>اللّه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یعرب عن أنّ الأهواء الشخصیّة، و الأغراض المذهبیة، کان لها أثر بعید فی وضع الحدیث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یؤیّد کلّ فریق رأیه و یحقّ ما یراه حقا</w:t>
      </w:r>
      <w:r>
        <w:rPr>
          <w:rFonts w:eastAsia="IRNazanin" w:cs="IRNazanin"/>
          <w:color w:val="111111"/>
          <w:sz w:val="28"/>
          <w:szCs w:val="28"/>
          <w:rtl w:val="true"/>
          <w:lang w:bidi="fa-IR"/>
        </w:rPr>
        <w:t>.</w:t>
      </w:r>
    </w:p>
    <w:p>
      <w:pPr>
        <w:pStyle w:val="Heading4"/>
        <w:numPr>
          <w:ilvl w:val="3"/>
          <w:numId w:val="1"/>
        </w:numPr>
        <w:rPr/>
      </w:pPr>
      <w:bookmarkStart w:id="655" w:name="__RefHeading___Toc2760238_1395250215"/>
      <w:bookmarkStart w:id="656" w:name="_Toc223"/>
      <w:bookmarkEnd w:id="655"/>
      <w:r>
        <w:rPr>
          <w:rtl w:val="true"/>
        </w:rPr>
        <w:t>علم الرجال و الاحادیث غیر الفقهیة</w:t>
      </w:r>
      <w:bookmarkEnd w:id="656"/>
    </w:p>
    <w:p>
      <w:pPr>
        <w:pStyle w:val="BookText"/>
        <w:rPr/>
      </w:pPr>
      <w:r>
        <w:rPr>
          <w:rFonts w:ascii="IRNazanin" w:hAnsi="IRNazanin" w:eastAsia="IRNazanin"/>
          <w:color w:val="111111"/>
          <w:sz w:val="28"/>
          <w:sz w:val="28"/>
          <w:szCs w:val="28"/>
          <w:rtl w:val="true"/>
          <w:lang w:bidi="fa-IR"/>
        </w:rPr>
        <w:t>إنّ الرجوع إلی علم الرجال لا یختصّ بمورد الروایات الفقهیة فکما أنّ الفقیه لا منتدح له عن الرجوع إلی ذلک العلم لیمیّز الصحیح عن الساقط، فهکذا المحدّث و المؤرّخ الاسلامیان یجب علیهما الرجوع إلی علم الرجال فی القضایا التاریخیّة و الحوادث المؤلمة أو المسرّة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ید الجعل و الوضع قد لعبت تحت الستار فی مجال التاریخ و المناقب أکثر منها فی مجال الروایات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حسن الحظّ أنّ قسما کبیرا من التواریخ المؤلّفة فی العصور الاولی مسندة لا مرسلة، کتاریخ الطبری لابن جریر و تفسیره، فقد ذکر أسناد ما یرویه فی کلا المجالین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یقدر الانسان علی تمییز الصّحیح عن الزائف، و مثله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الکتب المؤلّفة فی تلک العصور مسندة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إیقاف القاریء علی عدّة من الکتب الرجالیّة لأهل السنّة نأتی بأسماء المهمّ منها و لا غنی للباحث عن الرجوع إلی تلک الکتب الثمینة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عام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الکتاب فی تسعة أجزاء یحتوی علی ترجمة ما یقرب من عشرین ألف شخص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المحدّثین عیال الآن فی الرجال و غیرها من فنون الحدیث علی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و الذهبی، و العراقی، و ابن حجر</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و 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التآلیف الکثیرة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هذا الکتاب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فی أسماء الرجال</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تألیف الحافظ أبی محمّد عبد الغنی بن عبد الواحد بن سرور المقدّسی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هذّبه الحافظ جمال الدین یوسف بن الزکی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ابن حجر بتلخیص التهذیب 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فیه علی الجرح و التعدیل و حذف ما طال به الکتاب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فی حیدر آباد کن من بلاد الهند عام </w:t>
      </w:r>
      <w:r>
        <w:rPr>
          <w:rFonts w:eastAsia="IRNazanin" w:cs="IRNazanin"/>
          <w:color w:val="111111"/>
          <w:sz w:val="28"/>
          <w:szCs w:val="28"/>
          <w:lang w:bidi="fa-IR"/>
        </w:rPr>
        <w:t>1325</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بن حجر العسقلانی و هو اختصار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 قد ذکر فی مقدّمة الکتاب کیفیّة العمل الّذی قام به فی طریق اختصاره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الکتاب فی سبعة أجزاء فی حیدر آباد دکن من بلاد الهند و اعید طبعه کسابقه فی بیروت بالافست</w:t>
      </w:r>
      <w:r>
        <w:rPr>
          <w:rFonts w:eastAsia="IRNazanin" w:cs="IRNazanin"/>
          <w:color w:val="111111"/>
          <w:sz w:val="28"/>
          <w:szCs w:val="28"/>
          <w:rtl w:val="true"/>
          <w:lang w:bidi="fa-IR"/>
        </w:rPr>
        <w:t xml:space="preserve">. </w:t>
      </w:r>
      <w:bookmarkStart w:id="657" w:name="pg2858_19900"/>
    </w:p>
    <w:p>
      <w:pPr>
        <w:pStyle w:val="BookText"/>
        <w:rPr/>
      </w:pPr>
      <w:bookmarkEnd w:id="657"/>
      <w:r>
        <w:rPr>
          <w:rFonts w:ascii="IRNazanin" w:hAnsi="IRNazanin" w:eastAsia="IRNazanin"/>
          <w:color w:val="111111"/>
          <w:sz w:val="28"/>
          <w:sz w:val="28"/>
          <w:szCs w:val="28"/>
          <w:rtl w:val="true"/>
          <w:lang w:bidi="fa-IR"/>
        </w:rPr>
        <w:t>و هذه الکتب الأربعة هی مصادر علم الرجال عند أهل السنّة، فیجب علی کلّ عالم اسلامی الالمام بها و الاستعانة بها فی تمییز الأحادیث و المرویّات المزوّرة و المختلفة فی طول الأجیال الماضیة، عن الصحاح الثابتة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760240_1395250215"/>
      <w:bookmarkStart w:id="659" w:name="_Toc224"/>
      <w:bookmarkEnd w:id="658"/>
      <w:r>
        <w:rPr>
          <w:rtl w:val="true"/>
        </w:rPr>
        <w:t>الکتب المؤلفة فی حیاة الصحابة</w:t>
      </w:r>
      <w:bookmarkEnd w:id="659"/>
    </w:p>
    <w:p>
      <w:pPr>
        <w:pStyle w:val="BookText"/>
        <w:rPr/>
      </w:pPr>
      <w:r>
        <w:rPr>
          <w:rFonts w:ascii="IRNazanin" w:hAnsi="IRNazanin" w:eastAsia="IRNazanin"/>
          <w:color w:val="111111"/>
          <w:sz w:val="28"/>
          <w:sz w:val="28"/>
          <w:szCs w:val="28"/>
          <w:rtl w:val="true"/>
          <w:lang w:bidi="fa-IR"/>
        </w:rPr>
        <w:t xml:space="preserve">قد قام عدّة من المتضلّعین فی التاریخ و الحدیث بتألیف کتب حافلة بترجمة صحابة النبی 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فی أسماء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 عمر یوسف ابن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عام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أبی الحسن علیّ بن محمّد بن عبد الکریم الجزری المعروف بابن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فیه سبعة آلاف و خمسمائة 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أحمد بن علی بن حجر العسقلانی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قمنا بتألیف کتاب حول صحابة النّبی الّذین شایعوا علیّا فی حیاة النبی و بعد رحلته إلی أن لفظوا آخر نفس من حیاتهم فبلغ عددهم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طبع منه جزءان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نهایة البحث عن القواعد الکلیّة فی علم الرجال، و قد قرّبت للقاریء الکریم البعید، و لخّصت له الأبحاث المسهبة بشکل یسهل تناولها، أشکره سبحانه علی هذه النعمة، و أرجو منه تعالی أن یکون ما قدّمته من المحاضرات خطوة مؤثّرة لتطوّر الدراسات العالیة فی الحوزات العلمیة المقدّسة حتّی یتخرّج </w:t>
      </w:r>
    </w:p>
    <w:p>
      <w:pPr>
        <w:pStyle w:val="BookText"/>
        <w:rPr/>
      </w:pPr>
      <w:r>
        <w:rPr>
          <w:rFonts w:ascii="IRNazanin" w:hAnsi="IRNazanin" w:eastAsia="IRNazanin"/>
          <w:color w:val="111111"/>
          <w:sz w:val="28"/>
          <w:sz w:val="28"/>
          <w:szCs w:val="28"/>
          <w:rtl w:val="true"/>
          <w:lang w:bidi="fa-IR"/>
        </w:rPr>
        <w:t>فی ظلّ هذه الأبحاث ثلّة متخصّصة فی علمی الرجال و الدرایة، کما نرجو مثله فی سائر العلوم و الفنون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الکلام إلی هنا صبیحة یوم الجمعة رابع شوّال المکرم من شهور عام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بیمناه جعفر السبحانی ابن الفقیه الشیخ محمد حسین غفر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2858_19903"/>
      <w:bookmarkStart w:id="661" w:name="pg2858_19903"/>
      <w:bookmarkEnd w:id="661"/>
    </w:p>
    <w:p>
      <w:pPr>
        <w:pStyle w:val="Heading2"/>
        <w:numPr>
          <w:ilvl w:val="1"/>
          <w:numId w:val="1"/>
        </w:numPr>
        <w:rPr/>
      </w:pPr>
      <w:bookmarkStart w:id="662" w:name="pg2858_19903"/>
      <w:bookmarkStart w:id="663" w:name="__RefHeading___Toc2760242_1395250215"/>
      <w:bookmarkStart w:id="664" w:name="_Toc225"/>
      <w:bookmarkEnd w:id="662"/>
      <w:bookmarkEnd w:id="663"/>
      <w:r>
        <w:rPr>
          <w:rtl w:val="true"/>
        </w:rPr>
        <w:t>الفهرس</w:t>
      </w:r>
      <w:bookmarkEnd w:id="664"/>
    </w:p>
    <w:p>
      <w:pPr>
        <w:pStyle w:val="BookText"/>
        <w:rPr/>
      </w:pPr>
      <w:r>
        <w:rPr>
          <w:rFonts w:ascii="IRNazanin" w:hAnsi="IRNazanin" w:eastAsia="IRNazanin"/>
          <w:color w:val="111111"/>
          <w:sz w:val="28"/>
          <w:sz w:val="28"/>
          <w:szCs w:val="28"/>
          <w:rtl w:val="true"/>
          <w:lang w:bidi="fa-IR"/>
        </w:rPr>
        <w:t xml:space="preserve">تصدیر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ما هو علم الرجال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 هو موضوع علم الرجال؟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 هو مسائله؟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علم التراجم و تمایزه عن علم الرجال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الفرق بین علم الرجال و الدرایة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مدار البحث فی هذه المحاضرات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أدلة مثبتی الحاجة إلی علم الرجال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الحاجة إلی علم الرجال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قول الثقة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صفات الرّاوی فی الأخبار العلاجیة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الوضّاعین و المدلّسین فی الرواة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العاصی فی أسانید الروایات </w:t>
      </w:r>
      <w:r>
        <w:rPr>
          <w:rFonts w:eastAsia="IRNazanin" w:cs="IRNazanin"/>
          <w:color w:val="111111"/>
          <w:sz w:val="28"/>
          <w:szCs w:val="28"/>
          <w:lang w:bidi="fa-IR"/>
        </w:rPr>
        <w:t>28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العلماء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أدلة نفاة الحاجة إلی 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إلی علم الرجال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حجة النافین للحاجة إلی علم الرجال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قطعیة روایات الکتب الأربعة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المشهور جابر لضعف السند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طریق إلی إثبات العدالة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معنی العدالة و الفسق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تفضیح الناس فی هذا العلم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الرجالی و شرائط الشهادة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التوثیق الإجمالی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المشایخ الثلاثة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المصادر الأولیة لعلم الرجال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الاصول الرجالیة الثمانیة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کیفیة تهذیب رجال الکشی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النجاشی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الشیخ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أبی غالب الزراری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مشیخة الصدوق </w:t>
      </w:r>
      <w:r>
        <w:rPr>
          <w:rFonts w:eastAsia="IRNazanin" w:cs="IRNazanin"/>
          <w:color w:val="111111"/>
          <w:sz w:val="28"/>
          <w:szCs w:val="28"/>
          <w:lang w:bidi="fa-IR"/>
        </w:rPr>
        <w:t>73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مشیخة الشیخ الطوسی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و الإستبصار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توالی التألیف فی علم الرجال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الفرق بین الرجال و الفهرس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الغضائری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ابن الغضائری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وقوف العلماء علی کتاب الضعفاء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تألیف نفس الغضائری أو تألیف ابنه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رابع کتبه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و قیمته العلمیة عند العلماء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النظریة الأولی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تحلیل هذه النظریة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النظریة الثانیة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النظریة الثالثة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النظریة الرابعة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إجابة المحقق التستری عن هذه النظریة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النظریة الخامسة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المصادر الثانویة لعلم الرجال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الرجالیة الأربعة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الأصول الرجالیة الأربعة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الشیخ منتجب الدین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فی فهرس کتب الشیعة و أسماء المصنفین </w:t>
      </w:r>
      <w:r>
        <w:rPr>
          <w:rFonts w:eastAsia="IRNazanin" w:cs="IRNazanin"/>
          <w:color w:val="111111"/>
          <w:sz w:val="28"/>
          <w:szCs w:val="28"/>
          <w:lang w:bidi="fa-IR"/>
        </w:rPr>
        <w:t>113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ممیزات رجال ابن داوود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تلامیذه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تآلیفه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علم الرجال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الفروق بین رجالی العلامة و ابن داوود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المجهول فی مصطلح العلامة و ابن داوود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الجوامع الرجالیة فی العصور المتأخرة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المقال فی أحوال الرجال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الجوامع الرجالیة الدارجة علی منهج القدماء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الآمال فی شرح زبدة المقال فی 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فی معرفة 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تطور فی تألیف الجوامع الرجالیة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بروز نمط خاصّ فی تألیف الرجال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143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الأسانید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التوثیقات الخاصة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أحد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أحد أعلام المتقدمین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أحد أعلام المتأخرین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من قبل الأقدمین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المدح الکاشف عن حسن الظاهر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المستنبط علی جمع القرائن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بحث إستطرادی و هو هل یکفی تزکیة العدل الواحد؟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التوثیقات العامة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الإجماع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لتحقیق الحال یجب البحث عن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الأصل فی ذلک؟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إصطلاح جدید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عددهم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نظمه السید بحر العلوم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تلقی الأصحاب هذا الإجماع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حجیة ذاک الإجماع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مشایخ الثقات </w:t>
      </w:r>
      <w:r>
        <w:rPr>
          <w:rFonts w:eastAsia="IRNazanin" w:cs="IRNazanin"/>
          <w:color w:val="111111"/>
          <w:sz w:val="28"/>
          <w:szCs w:val="28"/>
          <w:lang w:bidi="fa-IR"/>
        </w:rPr>
        <w:t>202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نقض القاعدة بالنقل عن الضعاف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یحیی بیّاع السابری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عمرو بن أبی نصر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محاولة للإجابة عن النقوض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العصابة المشهورة بأنهم لا یروون إلاّ عن الثقات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القمی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فضّال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میمون الزعفرانی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الطاطری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النجاشی صاحب الفهرس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مشایخ النجاشی کما استخرجهم النوری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یروی عنه محمد بن أحمد بن یحیی بلا واسطة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طبقته فی الحدیث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نظرنا فی الموضوع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وقع فی إسناد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فی إسناد تفسیر القمی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القمی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طبقته فی الرجال </w:t>
      </w:r>
      <w:r>
        <w:rPr>
          <w:rFonts w:eastAsia="IRNazanin" w:cs="IRNazanin"/>
          <w:color w:val="111111"/>
          <w:sz w:val="28"/>
          <w:szCs w:val="28"/>
          <w:lang w:bidi="fa-IR"/>
        </w:rPr>
        <w:t>311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للتفسیر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الراوی للتفسیر أو من أملی علیه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لیس للقمی وحده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 الشیخ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نظرنا فی الموضوع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شیخوخة الإجازة دلیل الوثاقة عند المستجیز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توضیحه مع تحقیقه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الوکالة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تخریج الثقة عن شخص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دراسة حول الکتب الأربعة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تقییم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الصحیح عند القدماء و المتأخرین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المدائح الواردة حول الکافی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المدائح الواردة فی حق المؤلف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المؤلف فی عصر الغیبة الصغری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تقییم العرض علی وکیل الناحیة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تقییم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تقییم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تصحیح أسانید الشیخ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فی فرق الشیعة الواردة فی الکتب </w:t>
      </w:r>
      <w:r>
        <w:rPr>
          <w:rFonts w:eastAsia="IRNazanin" w:cs="IRNazanin"/>
          <w:color w:val="111111"/>
          <w:sz w:val="28"/>
          <w:szCs w:val="28"/>
          <w:lang w:bidi="fa-IR"/>
        </w:rPr>
        <w:t>401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الکیسانیة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الجارودیة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السلیمانیة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الصالحیة و البتریة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الناووسیة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الفطحیة أو الأفطحیة </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الخطابیة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المغیریة </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التفویض و معانیه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فقدان الضابطة الواحدة فی الغلو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تضعیف الراوی من حیث العمل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خاتمة فی فوائد رجالیة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الفائدة الأولی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lang w:bidi="ar-SA"/>
        </w:rPr>
        <w:t>458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الفائدة الحادیة عشر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الفائدة الثانیة عشر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الفائدة الثالثة عشر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الألفاظ الأربعة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المدوّنة فی عصر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العنایة بالأصول و مدی دلالتها علی الوثاقة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الفائدة الرابعة عشر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علم الرجال و الأحادیث غیر الفقهیة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الکتب المؤلفة فی حیاة الصحابة </w:t>
      </w:r>
      <w:r>
        <w:rPr>
          <w:rFonts w:eastAsia="IRNazanin" w:cs="IRNazanin"/>
          <w:color w:val="111111"/>
          <w:sz w:val="28"/>
          <w:szCs w:val="28"/>
          <w:lang w:bidi="fa-IR"/>
        </w:rPr>
        <w:t>492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الفرق بین المهمل و المجهول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تقبل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التاسع من أبواب صفات القاضی الحدیث الاول،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المغیرة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الطوسی،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التردید بین الاربعة و الثلاثة، انما هو لاجل التردید فی أن الاستبصار کتاب مستقل أو هو جزء من کتاب التهذیب، و قد نقل شیخنا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شیخه شیخ الشریعة الاصفهانی، أنه کان یذهب الی أن الاستبصار ذیل لکتاب التهذیب و لیس کتابا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الظاهر من العدة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کتابان مستقلان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فی السّنة الصفحة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الشیخ فی الرجال، فی الصفحة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الصفحة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ترجمة الشیخ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حمدون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الرجال، الصفحة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النجاشی فی رجاله، تحت الرقم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الشیخ فی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فی الرجال فی الصفحة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الصفحة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الشیخ فی رجاله، الصفحة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الرجال، الصفحة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قال فی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ترجمته فی الصفحة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الفهرس فی الصفحة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الطوسی، الصفحة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الثانیة الصفحة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فی رجاله تحت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الفهرس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فی الرجال فی الصفحة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الصفحة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الکتاب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الجزء الاول، المقدمة الثانیة،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الجزء الاول، المقدمة الثانیة،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الاصول الرجالیة أربعة أو خمسة بزیادة رجال البرقی، لکن عدها ثمانیة بلحاظ أن الجمیع من تراث القدماء، و ان کان بینها تفاوت فی الوزن و القیمة، فلاحظ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رتب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علی حروف التهجی، و الکتاب غیر مطبوع بعد، و النسخة الموجودة بخط المؤلف عند المحقق التستری دام ظله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مرویة فی کشف الریبة و نقلها فی الوسائل فی کتاب التجارة،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سلیمان بن خالد، الرقم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ترجمة سلامة بن محمد، الرقم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فی نفس الکتاب تجد مدی اطلاعه علی احوال الرجال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رجاله بالرقم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عمران بن موسی، أبو الحسن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ألحقنا بالشیوخ فی زمانه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الفرق بین الاصل و التصنیف فی الابحاث الاتیة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آل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النسخة المطبوعة مع شرح العلامة الابطحی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آل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آل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آل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أضاف أن أصل رجال الکشی کان علی الطبقات و الظاهر أنه یکفی فی هذا النوع من التألیف ذکر الاشخاص علی ترتیب الطبقات و ان لم یکن علی طبقات أصحابهم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الموجود من الکشی هو النمط الاول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دیباجة فهرس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الذریعة الی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نظام الدین الساوجی نزیل الری و تلمیذ الشیخ البهائی، توفی بعد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بقلیل، و فرغ من تألیف نظام الاقوال فی سنة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 هو بعد مخطوط لم یطبع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طبعة النجف، و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لبنان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دیباجة فهرس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فهرس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الظاهر من مقدّمة الفهرس للشیخ تعمّد الورثة لاهلاک جمیع آثاره بشهادة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فی آخر رجال الخاقانی، و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 فی مقدمة منهج المقال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أحمد بن هلیل الکرخی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رجال السید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هلیک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تصحیف فیه، و الصحیح هو أحمد بن هلال الکرخی العبرتائی، للشواهد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الحسین بن أحمد المالکی فی سند الخبر الذی هو راو عن احمد بن هلال الکرخی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محمد بن سنان فیه، الذی یروی عنه أحمد بن هلال الکرخی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علی بن همام ینقل بعض القضایا المرتبطة بأحمد بن هلال الکرخی کما فی غیبة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یذکر تاریخ وفاة أحمد هذا کما نقل عنه السید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الی ذلک أنا لم نعثر علی ترجمة لأحمد بن هلیل، أو هلیک أو ملیک فی کتب الرجال المعروفة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أمالی الطوسی طبعة النجف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نقلا عن تصحیح الاعتقاد، باب معنی الغلو و التفویض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الصفحة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الفهرس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 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امورا و اخترنا منها أمرین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 منّا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المقدّمات طبعة النجف، و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لکنّ التحقیق انه کان حیّا الی عام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مقال المحقق السید موسی الزنجانی المنشور فی مجموعة حول ذکری العلامة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عند الناس بامام زادة یحیی و ربما یحتمل تعدد الرجلین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الوقوف علی وصف هذا التاریخ و ما کتبه فی طبقات الإمامیة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توفی ابن أبی طی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أسماه المؤلف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المقالة الفاطمیة فی نقض الرسالة العثمانیة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اختصارا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عثمانیة جاحظ المطبوع حدیثا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ریاض العلماء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ذکر شطرا منها السید الامین فی أعیان الشیعة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نقلا عن روضات الجنات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العلامة غنی عن الاطراء، و ترجمته تستدعی تألیف رسالة مفردة، و قد کفانا، ما ذکره أصحاب المعاجم و التراجم فی حیاته و فضله و آثاره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تلخیص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الرسالة، الصفحة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 منّا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الإمام عند ما یجری القلم علی هذه الصحائف حیّا مرزقا فوافاه الأجل لیلة التاسعة و العشرین من شهر شوال المکرم من شهور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فسلام اللّه علیه یوم ولد و یوم مات و یوم یبعث حیّا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حجیة قول اللغوی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مضافا الی ما ورد فی باب القضاء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اولیاء العقد،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الاذان و الاقامة،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الاذان و الاقامة،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التفصیل فلیرجع الی مقباس الهدایة فی علم الدرایة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بذلک العبارة المقدمة التی نقلناها آنفا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فی أصحابنا قارئا فقیها نحویا لغویا راویة و کان حسن العمل، کثیر العبادة و الزهد، روی عن أبی عبد اللّه و أبی الحسن علیهما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المراد من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العبارة الثانی التی نقلناها عن رجاله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أحد هذین، و یحتمل کونها بمعناها فیزداد العدد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الجدیر بالذکر أنّ تغایر حمّادین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الأوّلین 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استظهر جمع من أئمة الرجال اتّحادهما و لعله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طبعة النجف الرقم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الفائدة السابعة الصفحة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برید بن معاویة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محمد بن مسلم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المرادی و هو لیث بن البختری، و قد خالف فیه مختار الکشی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بن یسار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مسکان و عبد اللّه بن بکیر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و حماد بن عیسی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المغیرة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أبی نصر البزنطی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القولان فی عبارة الکشی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نقلا عن فرج المهموم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سیوافیک حق القول فی تفسیر کلام العدة، و تقف علی أن کلام العدة غیر مستنبط من کلام الکشی، و انما ذکرناه فی المقام تبعا للمحدث النوری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أحوال الإمام الباقر، الصفحة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الإمام الصادق علیهما السلام،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خاتمة القسم الاول، الفصل الاول،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و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دانشگاه تهران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الطلاق،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بتحریر و تلخیص و اضافات منا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ادغمنا الوجه الثانی و الثالث من الاحتمال الثانی فبحثنا عنهما بصفقة واحدة، لان وثاقة هؤلاء لیست موردا للشک و التردید و انما المهم اثبات وثاقة مشائخهم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الثالثة، الصفحة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جعل الفیض کونها کنایة عن الاجماع علی عدالتهم و صدقهم فی عرض ذلک الاحتمال، و الظاهر أنه فی طوله، لان تصدیق حکایتهم فی الموارد المجردة عن القرائن غیر منفک عن التصدیق بعدالتهم فلاحظ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مولانا التستری عام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 یظهر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استاذه أن المؤلف کان حیا عام وفاته و توفی بعده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القسم الأول، الفصل الأول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و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الثالثة، الصفحة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التکملة للمحقق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المحشاة بحاشیة الشیخ خلیل بن الغازی القزوینی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ان العلامة المحقق الکلباسی لم یستشهد بهذا النص الوارد فی کلام الشیخ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المقام بحثنا عن الاحتمالین الثانی و الثالث من المعنی الثانی بصفقة واحدة کما 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عمیر زیاد بن عیسی أبو أحمد الازدی، بغدادی الاصل و المقام، لقی ابا الحسن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منه احادیث، و روی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کوفی ثقة ثقة عین روی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توکل للرضا و ابی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عمرو بن ابی نصر لقی الرضا و ابا جعفر علیهما السلام،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هذا التفصیل، کلام معترض واقع بین الوجه الثانی و الوجه الثالث للمحدّث النوری، و سیوافیک ثالث الوجوه من أدلّته بعد هذا التفصیل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حدود الزنا، و ایضا فی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عمران 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یعقوب بسنده عن ابی بصیر عن عمران بن میثم او صالح بن میثم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للشیخ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الآبی هو حسن بن أبی طالب المعروف بالآبی تارة، و ابن الزینب اخری، من أجلاّء تلامیذ المحقق و قد فرغ من شرح کتاب استاذه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له آراء خاصّة فی الفقه،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تجوز الزیادة فی النکاح علی الأربع دائما کان العقد أو انقطاعا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بالمضائقة فی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یصح الاداء مع وجود القضاء فی الذّمة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قد طبع هذا الکتاب فی مجلّد کبیر، و هو حسب تجزئة المؤلف فی ثلاثة اجزاء، و فرغ المؤلف عنه عام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و قد علّق علیه الوحید البهبهانی بعض التعالیق، و طبعا معا فی مجلد کبیر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المکتبة الإسلامیة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طبعة عبد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الخامسة، الصفحة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مشایخ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فی خصوص ابن أبی عمیر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الجنائز،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الثالثة،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بیع الثمار،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ذکره فی عمل الاصحاب بما رواه حفص بن غیاث و نوح بن دراج و السکونی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الاصول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فی الوقوف علی روایته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مشایخ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القائمة المخصوصة لمشایخه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الجنائز، باب النوادر،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دلائل الطرفین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قد بسط المحقّق الکلباسی الکلام فیه فی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الحج باب ضروب الحج، و کتاب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جماعة المدرسین بقم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لیس لابن ابی عمیر روایة عن علی بن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هذه الروایة، و هذه قرینة علی ان علی بن حدید معاصره، لا المروی عنه فقد روی الحسین عنهما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تفصیل طبقات الرواة لمعجم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سیوافیک بیانه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نحوه فی القسم الثانی المختص بالضعفاء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المیاه، باب البئر تقع فیه الفأرة، 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بیع الذهب بالفضة نسیئة، الحدیث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فی سند المروی فی رجال الکشی ضعف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ترجمة یونس بن عبد الرحمن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الصلاة فی مسجد الکوفة و مسجد السهلة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سیوافیک ان مضمون کلام صاحب کامل الزیارات لا یفید الا وثاقة مشایخه الذین یروی عنهم بلا واسطة، فلا دلالة لوقوعه فی اسناد کامل الزیارات علی وثاقة من لا یروی عنه بلا واسطة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وَ النّاسِ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القرآن،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الدیات،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تحریم الدماء و الاموال،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معانی الاخبار للصدوق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السفر،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معانی الاخبار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رقم الترجمة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الشیخ رقم الترجمة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رقم الترجمة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القسم الثانی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النوادر رقم الحدیث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طبعة الاعلمی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ضروب الحج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الجسم و الصورة،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طبعة الاعلمی بیروت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الحجریة القدیمة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 لا یخفی أنّ سؤال الحکم الشرعی عن أبی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یعرب عن اعتقاده بإمامته و کونه کأبیه إماما و قدوة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الزی و التجمل، باب النوادر،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المواریث باب میراث الولد،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مستدرک الوسائل 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میراث الابوین،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ابو العباس الطیالسی و قد یکنی بابی محمد فلا تغفل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لاحظ ما ورد حول قتله من الروایات فی تنقیح المقال الجزء الثالث،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الحج، باب بدء البیت و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التدبیر، الحدیث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الاطعمة باب الشواء و الکباب،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الاطعمة باب القرع،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الطبعة الحجریة،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ابن مهزیار فی أیام إمامة الإمام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الکلینی مکاتبته عنه فی الحج لاحظ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بلا عنوان بعد باب الحج عن المخالف، و قد تقلد الإمام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بعد وفاة أبیه عام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علی ذلک یکون موت ابن مهزیار حوالی تلک السنة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سقوط الواسطة بین احمد بن محمد بن عیسی، و عبد الرحمن بن سالم و هو احمد بن محمد بن ابی نصر، کما فی الاستبصار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بذلک السندان السابقان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الاوقات التی یکره فیها الباه،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مشایخ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النجاشی فی فهرسه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منه فی حق سهل بن زیاد الآدمی، و ان ابن عیسی اخرجه من قم و کان یشهد علیه بالغلو و الکذب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الباب الثانی،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الرد الی الکتاب و السنة،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الاعتراف بالذنوب،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ذکراه فی القسم الثانی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علی الشلمغانی المعروف بابن ابی العزاقر و قد خرج التوقیع بلعنه علی ید الشیخ ابی القاسم الحسین بن روح فی ذی الحجة من شهور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الشیخ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العاشرة، الصفحة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ضبطه فی الایضاح علی ما نقله قاموس الرجال و الفقحة من النبت الزهرة، کما ضبطه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رجال ابن داود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قفة العلم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فی السفینة، الحدیث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العاشرة، الصفحة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الشیخ الانصاری عند البحث عن الولایة،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 طبعة تبریز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محمد بن همام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غالب الزراری هو مؤلف رسالة ابی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النجاشی عنهما مع الواسطة کیف و قد تولد النجاشی عام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ابن نوح من مشایخ النجاشی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فی ترجمة جعفر بن مالک حیث تعجب النجاشی من نقل أبی علی ابن همام و ابی غالب الزراری عنه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افراد الضمیر فی الکل، لأن البحث فی النجاشی لا فی کل عالم رجالی، اللهم الا ان یرید المحدث النوری بهذه العبارة ان هذا المسلک لا یختص بالنجاشی، بل یعم کل من یعبر بهذه الالفاظ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فیه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الحسن بن محمد بن یحیی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الولید القمی، جلیل القدر، عارف بالرجال، موثوق به، له کتب راجع فهرس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 فی فهرسه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احمد بن ولید ابو جعفر شیخ القمیین و فقیههم و متقدمهم و وجههم و یقال انه نزیل قم و ما کان</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الجماعة استثناها ابن الولید عن مشایخ مؤلف نوادر الحکمة و معناه ان غیر هؤلاء الواردین فی ذلک الکتاب ممن روی عنهم بلا واسطة محکوم بالصحة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ما أثبتناه من الریب بمعنی الشک، أی ما الذی أوجد الشک فی حقه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تکلمة الوحید البهبهانی و غیره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طبعة النجف، و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الاخبار المنثورة ذیل الحدیث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طبع طهران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احمد بن یحیی الأشعری القمی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یوصف به الناس من جمیل وفقه فهو فوقه، و له کتب حسان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الشیخ فی رجاله انه مات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قال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مات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کون التسع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کامل الزیارة بقلم العلامة محمد علی الغروی الاردوبادی، فقد حقق احوال المترجم و نقل عبائر العلماء فی حقه، و 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ابیه و اخیه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مراده سعد بن عبد اللّه الاشعری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یرو هو عن سعد الا حدیثین کما فی فهرس النجاشی فی ترجمة سعد الرقم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او اربعة احادیث کما فی ترجمة نفسه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یتوهم ان المراد منه هو عمر بن سعد الوقاص و لیس بصحیح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و هو من مشایخ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Ẓ</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الفائدة السادسة،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الثالثة،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الکلینی، الرقم </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ترجمته، الرقم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من لم یرو عنهم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و الجزء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طبعة ایران 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اصحاب الهادی حرف المیم،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الذریعة و لم نجده فی رجال الکشی المطبوع بالعراق مثل ما فی المتن، و لم یعنونه مستقلا و انما جاء اسمه فی ترجمة ابی عبد اللّه بن خالد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یلق البرقی ابا بصیر بل بینهما قاسم بن حمزة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تلخیص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علی الحجر تارة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مع تفسیر الإمام العسکری، و طبع اخیرا علی الحروف فی جزءین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اصحاب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اصحاب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الروایات الدالة علی رجوعه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الطبعة الاخیرة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الطبعة الاخیرة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ایران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 للشیخ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یوجد فی مکتبة السید میر حامد حسین، راجع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الوجه الاول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الوجه التاسع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کما 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مصفّی المقال للعلامة الشیخ آغا بزرگ الطهرانی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خلید بن اوفی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الوجادة نقل الحدیث بمجرّد وجوده فی کتاب من دون أن یکون له طریق الی نفس الکتاب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حکی جماعة من شیوخ القمیین عن ابن الولید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طعن علیه بالغلو، فکل ما کان فی کتبه مما وجد فی کتب الحسین بن سعید و غیره فقل به و ما تفرد به فلا تعتمده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فی باب من لم یرو عن الائمة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طبعة تبریز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الرابعة، الصفحة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 للمحدث البحرانی الطبعة القدیمة غیر المرقمة فی احوال شیخنا الکلینی و ذکر بعد هذا عدد سائر الکتب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ذکره من الأرقام ینقص عند الجمع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فلاحظ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الرابعة،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کما 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الباری فی شرح احادیث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الفصل العاشر فی عد احادیث الجامع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العبارة المذکورة فی المحجة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منقولاته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الجملة الاخیرة فیها اثر، نعم توجد فی النسخة المکتوبة المصححة بقلم المحدث النوری فی حاشیتها العبارة الاخیرة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لنفس الشیخ ابی القاسم الحسین بن روح، راجع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باب صوم التطوع و ثوابه، ذیل الحدیث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الاخبار المنثورة، ذیل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الرابعة من الخاتمة،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ان اهل الذکر الذین امر اللّه الخلق بسؤالهم هم الائمة علیهم السلام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التوقیعات، و اکمال الدین و اتمام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الصفحة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مشرق الشمسین للشیخ البهائی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فی العبارة حزازة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باب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الاخبار المنثورة،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الصفحة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حماد بن عیسی للصادق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اعمل به و قرّره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کتابه علی الصادق علیه السلام فصححه الإمام و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 لاحظ مقدمة الحدائق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الخلاف للمحقق 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المشیخة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الثانی من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الرابعة من خاتمته، الصفحة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نقله العلامة المامقانی فی خاتمة التنقیح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الفائدة السادسة، الصفحة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الرابعة من الخاتمة،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فی توضیحه ما ذکره المؤلف فی الفائدة الرابعة من خاتمة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ذکرناه ملخص ما اورده المحقق البروجردی فی تصدیره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تألیف الحافظ 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المحجلین هو المشرقون و المضیئون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فیما نقلناه حول الزیدیة الی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الشیعة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هذه الروایات و اضرابهما الی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المغیرة بن سعید فی نفر و ذکر الخبر عن مقتلهم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تفسیر احواله الی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عبد اللّه بن سباء للعلامة العسکری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هشام بن حکم للعلامة الشیخ نعمة، فقد ألف کتابا فی ترجمة هشام بن حکم و نزه ساحته عن تلک المغالاة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المامقانی عن بعض معاصریه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الصفحة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الروایات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قد ذکر بعض الاجلّة موارد اخر من هذا القبیل</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رواه فی الاختصاص عن عبد اللّه 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بآخر رجال الخاقانی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للمامقانی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البهبهانی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الاولی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الجدیر بالذکر ان هذا الباب غیر باب الکنی الذی یعنون فیه الرجل بالکنیة و یذکر حاله کما ذکر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اضاف ان المتأخرین خلطوا بین الامرین و لم یفرقوا بین البابین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المذکور فی 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ابن داود ذکره بعنوان ابراهیم بن زیاد نقلا عن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الاول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ذیل الفائدة السادسة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سائق الحاج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فی فهرسه بالرقم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 ابن داود فی رجاله بالرقم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فی الفصل الخامس من خاتمة رجاله بان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هفوات قلمه الشریف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فخلط عند ذکر ابی الخطاب فی خاتمة خلاصته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الخطاب، ملعون یقال له مقلاص و محمد بن ابی زینب الرواسی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ابی 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الخطأ ما لا یخفی عصمنا اللّه من الزلل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من القسم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الخلاصة فلیس بصحیح قطعا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یعبر عنه بأبی محمد الحجال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خاتمة القسم الاول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خاتمة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 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سهو</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الکمنذانی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الکمیذانی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الی قریة من قری قم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وقوع التحریف فیهما و اصلهما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عبد اللّه ابن ابنته و احمد بن عبد اللّه ابن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محمد بن خالد البرقی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المحدث النوری ایضا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 مع 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السعد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سماء المقال بعد نقل العدة الثانیة عن الخلاصة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استظهر جدنا السید انه علی بن الحسین السعد آبادی، نظرا الی ما ذکره الشیخ فی رجاله من ان علی بن الحسین السعد آبادی روی عنه الکلینی و الزراری، و کان معلمه، و انه روی عن احمد بن محمد بن خالد، علی ما یظهر مما ذکره فی 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بعد ذکر اسامی کتب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بهذه الکتب کلها و بجمیع روایاته عدة من اصحابنا منهم الشیخ المفید و الغضائری و احمد بن عبدون و غیرهم عن احمد بن سلیمان الزراری،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مؤدبی علی بن الحسین السعد آبادی ابو الحسن القمی، قال حدثنا احمد بن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یشهد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استظهار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الاسانید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کما فی 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بن ابراهیم المعروف بعلان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بذلک ایضا المحقق التستری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اول حدیث من کتاب العقل و الجهل، 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منهم محمد بن یحیی العطار، عن احمد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أحمد بن محمد بن خالد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العتق، باب المملوک بین شرکاء،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النجاشی، فی ترجمة أحمد بن محمّد بن عیسی عن استاذه أبی العباس أحمد بن علی بن نوح السیرافی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بکتب احمد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بن داود عن محمد بن یعقوب، عن علی بن ابراهیم و محمّد بن یحیی و علی بن موسی بن جعفر و داود بن کورة و احمد بن ادریس، عن أحمد بن محمّد بن عیسی بکتبه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المذکورون بعنوان العدة عن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تصریح بانهم کانوا طرق الکلینی الی کتب ابن عیسی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الکلینی فی اکثر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الشکر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الحب فی اللّه و البغض فی اللّه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للمولی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من الخاتمة فصل الکنی،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بهذا التحریف 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الرقمین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فی کتاب الاطعمة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علی تسعة و عشرین موردا روی فیها عن علی بن محمد بن بندار، عشرون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بندار عن احمد بن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سبعة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بندار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واحد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بندار عن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واحد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بندار عن 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احمد بن محمد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ابی عبد اللّه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روی فی ابواب الاطعمة فی موارد تسعة عن علی بن محمد بدون قید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نقل فی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الجید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ما ورد محمد بن الحسن بعد الکلینی، فهو الصفار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العلامة الکلباسی عد ستة عشر رجلا باسم محمد بن اسماعیل و تعجب من صاحب المعالم انه ذکر ان المشترکین سبعة رجال، کما ان المحقق الداماد انهاهم الی اثنی عشر رجلا و ادعی الشیخ البهائی انهم ثلاثة عشر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الرابعة الصفحة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التکفین و التحنیط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مشیخة الفقیه،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المحقق الکلباسی عن جده السید و عن المحدث النوری موارد عدیدة من روایة ابراهیم عن ابن عثمان و اجاب عن اکثرها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داود، القسم الاول، باب الکنی،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هذا ایضا من العلامة الکلباسی فی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بعد استظهار انصراف ابی بصیر الی یحیی،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تنزلنا عن انصرافها فهی مترددة بینه و بین لیث کما صرح به بعض المحققین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رجال اختیار معرفة الرجال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الجدیر بالذکر ان اکثر الروایات الواردة فیها لیست فی شأن لیث، بل هی مرتبطة بیحیی بن أبی القاسم الاسدی منها الروایة 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ترجمة عبد اللّه بن وضاح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ابا بصیر یحیی بن القاسم کثیرا و عرف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لیس لهذا الرجل ذکر فی رجال البرقی و لم یذکره العقیقی و ابن عقدة و ابن الغضائری الذین صنفوا فی الرجال و اخذ عنهم من جاء بعدهم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استظهارات لطیفة فی تصحیح العنوان المذکور فی الکشی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اصحاب الباقر، باب الیاء،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هذه النسخة المطبوعة مطابق لما ذکره القهبائی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الرجال،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البختری بفتح الباء و التاء و سکون الخاء المعجمة و کسر الراء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وثق ابن الغضائری حدیثه، و الکشی انما روی فیه اخبارا مختلفة و الشیخ و النجاشی اهملاه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الحق ترجیح اخبار مدحه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ایضا فی ترجمة عبد اللّه بن وضاح انه صاحب أبا بصیر یحیی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حال النجاشی انه اضبط الجماعة و اعرفهم بحال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اختص به النجاشی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المشیخة،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السند فی الفقیه بابی بصیر ما یقرب من ثمانین موردا و المراد به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 لیث المرادی 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لیث المرادی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الفائدة الثامنة بتصرّف یسیر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بمثله فی احمد بن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احمد بن الحسین بن مفلس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محمد بن عباس بن عیسی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یونس بن علی بن العطار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من الذین ذکرهم المحقق التستری فی مقدمة القاموس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نقل عن الفهرس فی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ادعی صاحب الذریعة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للوحید البهبهانی،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رجال الخاقانی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الصفحة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قریب مما افاده الوحید فی فوائده الرجالیة،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فی ذیل رجال الخاقانی، فراجع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ترجمة الحسن بن سعید الاهوازی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شارک اخاه فی تألیف الکتب الثلاثین المصنفة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کونها من الاصول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لمزید الاطلاع انظر الارقام التالیة فی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غرض الشیخ الطوسی عن تبدیل عنوان النوادر فی کتابه التهذیب بابواب الزیادات للارشاد الی انها مستدرکة لا شاذة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النجاشی ترجمه بعنوان أحمد بن الحسن بن سعید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ادعی فی الذریعة ان من تتبع الموارد یستنتج ان النوادر لیس اصلا مرویا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معاویة بن حکیم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و کتاب الحیض و کتاب الفرائض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النجاشی،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عباس بن معروف ان له کتاب الاداب و له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الطبع الحجری، 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الراشحة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الذریعة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قم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مطابق لما فی الثانی و لعل فی المطبوع سقطا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لابن شهر آشوب،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للمجلسی الاول کلام فی هذا المجال لا بأس بذکره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ظهر لنا من التتبع ان کتب جماعة اجمع الاصحاب علی تصحیح ما یصح عنهم أو من کان مثلهم کالحسین بن سعید کانت من الاصول و ان لم یذکروها بخصوصها، لاغناء نقل الاجماع او ما یقاربه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تتبعنا ان مع کتبهم تصیر الاصول اربعمأة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الجماعة الذین ذکرهم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لهم اصلا یقرب من مأتی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مشرق الشمسین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نقلا عن الذهبی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ابحاث فی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فی الاحادیث الموضوعة،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فی خاتمة الکتاب فی ضمن فوائد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نقله عن کتاب الاحداث لابی الحسن علی بن محمد بن ابی سیف المدائنی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حول هذا الکتاب من التلخیص و الاختصار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96382</Words>
  <Characters>383157</Characters>
  <CharactersWithSpaces>477058</CharactersWithSpaces>
  <Paragraphs>2927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2026-08-17T16:52:21Z</dcterms:created>
  <dc:creator>ghaemiyeh.com</dc:creator>
  <dc:description/>
  <dc:language>en-US</dc:language>
  <cp:lastModifiedBy/>
  <dcterms:modified xsi:type="dcterms:W3CDTF">2026-08-17T20:22:35Z</dcterms:modified>
  <cp:revision>1</cp:revision>
  <dc:subject/>
  <dc:title>کلیات فی علم الرجال</dc:title>
</cp:coreProperties>
</file>

<file path=docProps/custom.xml><?xml version="1.0" encoding="utf-8"?>
<Properties xmlns="http://schemas.openxmlformats.org/officeDocument/2006/custom-properties" xmlns:vt="http://schemas.openxmlformats.org/officeDocument/2006/docPropsVTypes"/>
</file>