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رسائل ثلاث العداله التوبه قاعده لاضرر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5841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25843_3804643083">
            <w:r>
              <w:rPr>
                <w:webHidden/>
                <w:rStyle w:val="IndexLink"/>
                <w:rtl w:val="true"/>
              </w:rPr>
              <w:t>[</w:t>
            </w:r>
            <w:r>
              <w:rPr>
                <w:rStyle w:val="IndexLink"/>
                <w:rtl w:val="true"/>
              </w:rPr>
              <w:t>رسالة العدالة</w:t>
            </w:r>
            <w:r>
              <w:rPr>
                <w:rStyle w:val="IndexLink"/>
                <w:rtl w:val="true"/>
              </w:rPr>
              <w:t>]</w:t>
              <w:tab/>
            </w:r>
            <w:r>
              <w:rPr>
                <w:rStyle w:val="IndexLink"/>
              </w:rPr>
              <w:t>6</w:t>
            </w:r>
          </w:hyperlink>
        </w:p>
        <w:p>
          <w:pPr>
            <w:pStyle w:val="Contents3"/>
            <w:tabs>
              <w:tab w:val="clear" w:pos="8459"/>
              <w:tab w:val="right" w:pos="9026" w:leader="dot"/>
            </w:tabs>
            <w:rPr/>
          </w:pPr>
          <w:hyperlink w:anchor="__RefHeading___Toc2825845_3804643083">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825847_3804643083">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825849_3804643083">
            <w:r>
              <w:rPr>
                <w:webHidden/>
                <w:rStyle w:val="IndexLink"/>
                <w:rtl w:val="true"/>
              </w:rPr>
              <w:t>و یقع الکلام فی العدالة فی مقامین</w:t>
            </w:r>
            <w:r>
              <w:rPr>
                <w:rStyle w:val="IndexLink"/>
                <w:rtl w:val="true"/>
              </w:rPr>
              <w:t>:</w:t>
              <w:tab/>
            </w:r>
            <w:r>
              <w:rPr>
                <w:rStyle w:val="IndexLink"/>
              </w:rPr>
              <w:t>7</w:t>
            </w:r>
          </w:hyperlink>
        </w:p>
        <w:p>
          <w:pPr>
            <w:pStyle w:val="Contents4"/>
            <w:tabs>
              <w:tab w:val="clear" w:pos="8176"/>
              <w:tab w:val="right" w:pos="9026" w:leader="dot"/>
            </w:tabs>
            <w:rPr/>
          </w:pPr>
          <w:hyperlink w:anchor="__RefHeading___Toc2825851_3804643083">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2825853_3804643083">
            <w:r>
              <w:rPr>
                <w:webHidden/>
                <w:rStyle w:val="IndexLink"/>
                <w:rtl w:val="true"/>
              </w:rPr>
              <w:t>أما المقام الأول</w:t>
            </w:r>
            <w:r>
              <w:rPr>
                <w:rStyle w:val="IndexLink"/>
                <w:rtl w:val="true"/>
              </w:rPr>
              <w:t>: [</w:t>
            </w:r>
            <w:r>
              <w:rPr>
                <w:rStyle w:val="IndexLink"/>
                <w:rtl w:val="true"/>
              </w:rPr>
              <w:t>فی ماهیتها و حقیقتها</w:t>
            </w:r>
            <w:r>
              <w:rPr>
                <w:rStyle w:val="IndexLink"/>
                <w:rtl w:val="true"/>
              </w:rPr>
              <w:t>]</w:t>
              <w:tab/>
            </w:r>
            <w:r>
              <w:rPr>
                <w:rStyle w:val="IndexLink"/>
              </w:rPr>
              <w:t>7</w:t>
            </w:r>
          </w:hyperlink>
        </w:p>
        <w:p>
          <w:pPr>
            <w:pStyle w:val="Contents5"/>
            <w:tabs>
              <w:tab w:val="clear" w:pos="7892"/>
              <w:tab w:val="right" w:pos="9026" w:leader="dot"/>
            </w:tabs>
            <w:rPr/>
          </w:pPr>
          <w:hyperlink w:anchor="__RefHeading___Toc2825855_3804643083">
            <w:r>
              <w:rPr>
                <w:webHidden/>
                <w:rStyle w:val="IndexLink"/>
                <w:rtl w:val="true"/>
              </w:rPr>
              <w:t>اشارة</w:t>
            </w:r>
            <w:r>
              <w:rPr>
                <w:rStyle w:val="IndexLink"/>
                <w:rtl w:val="true"/>
              </w:rPr>
              <w:tab/>
            </w:r>
            <w:r>
              <w:rPr>
                <w:rStyle w:val="IndexLink"/>
              </w:rPr>
              <w:t>7</w:t>
            </w:r>
          </w:hyperlink>
        </w:p>
        <w:p>
          <w:pPr>
            <w:pStyle w:val="Contents5"/>
            <w:tabs>
              <w:tab w:val="clear" w:pos="7892"/>
              <w:tab w:val="right" w:pos="9026" w:leader="dot"/>
            </w:tabs>
            <w:rPr/>
          </w:pPr>
          <w:hyperlink w:anchor="__RefHeading___Toc2825857_3804643083">
            <w:r>
              <w:rPr>
                <w:webHidden/>
                <w:rStyle w:val="IndexLink"/>
                <w:rtl w:val="true"/>
              </w:rPr>
              <w:t>أما الجهة الأولی</w:t>
            </w:r>
            <w:r>
              <w:rPr>
                <w:rStyle w:val="IndexLink"/>
                <w:rtl w:val="true"/>
              </w:rPr>
              <w:t>: [</w:t>
            </w:r>
            <w:r>
              <w:rPr>
                <w:rStyle w:val="IndexLink"/>
                <w:rtl w:val="true"/>
              </w:rPr>
              <w:t>فی النظر فی کلام أهل اللغة فی معناها</w:t>
            </w:r>
            <w:r>
              <w:rPr>
                <w:rStyle w:val="IndexLink"/>
                <w:rtl w:val="true"/>
              </w:rPr>
              <w:t>]</w:t>
              <w:tab/>
            </w:r>
            <w:r>
              <w:rPr>
                <w:rStyle w:val="IndexLink"/>
              </w:rPr>
              <w:t>8</w:t>
            </w:r>
          </w:hyperlink>
        </w:p>
        <w:p>
          <w:pPr>
            <w:pStyle w:val="Contents5"/>
            <w:tabs>
              <w:tab w:val="clear" w:pos="7892"/>
              <w:tab w:val="right" w:pos="9026" w:leader="dot"/>
            </w:tabs>
            <w:rPr/>
          </w:pPr>
          <w:hyperlink w:anchor="__RefHeading___Toc2825859_3804643083">
            <w:r>
              <w:rPr>
                <w:webHidden/>
                <w:rStyle w:val="IndexLink"/>
                <w:rtl w:val="true"/>
              </w:rPr>
              <w:t>و أما الجهة الثانیة</w:t>
            </w:r>
            <w:r>
              <w:rPr>
                <w:rStyle w:val="IndexLink"/>
                <w:rtl w:val="true"/>
              </w:rPr>
              <w:t>: [</w:t>
            </w:r>
            <w:r>
              <w:rPr>
                <w:rStyle w:val="IndexLink"/>
                <w:rtl w:val="true"/>
              </w:rPr>
              <w:t>فی نقل کلام بعض الأصحاب فی تعریفها</w:t>
            </w:r>
            <w:r>
              <w:rPr>
                <w:rStyle w:val="IndexLink"/>
                <w:rtl w:val="true"/>
              </w:rPr>
              <w:t>]</w:t>
              <w:tab/>
            </w:r>
            <w:r>
              <w:rPr>
                <w:rStyle w:val="IndexLink"/>
              </w:rPr>
              <w:t>9</w:t>
            </w:r>
          </w:hyperlink>
        </w:p>
        <w:p>
          <w:pPr>
            <w:pStyle w:val="Contents6"/>
            <w:tabs>
              <w:tab w:val="clear" w:pos="7609"/>
              <w:tab w:val="right" w:pos="9026" w:leader="dot"/>
            </w:tabs>
            <w:rPr/>
          </w:pPr>
          <w:hyperlink w:anchor="__RefHeading___Toc2825861_3804643083">
            <w:r>
              <w:rPr>
                <w:webHidden/>
                <w:rStyle w:val="IndexLink"/>
                <w:rtl w:val="true"/>
              </w:rPr>
              <w:t>اشارة</w:t>
            </w:r>
            <w:r>
              <w:rPr>
                <w:rStyle w:val="IndexLink"/>
                <w:rtl w:val="true"/>
              </w:rPr>
              <w:tab/>
            </w:r>
            <w:r>
              <w:rPr>
                <w:rStyle w:val="IndexLink"/>
              </w:rPr>
              <w:t>9</w:t>
            </w:r>
          </w:hyperlink>
        </w:p>
        <w:p>
          <w:pPr>
            <w:pStyle w:val="Contents6"/>
            <w:tabs>
              <w:tab w:val="clear" w:pos="7609"/>
              <w:tab w:val="right" w:pos="9026" w:leader="dot"/>
            </w:tabs>
            <w:rPr/>
          </w:pPr>
          <w:hyperlink w:anchor="__RefHeading___Toc2825863_3804643083">
            <w:r>
              <w:rPr>
                <w:webHidden/>
                <w:rStyle w:val="IndexLink"/>
                <w:rtl w:val="true"/>
              </w:rPr>
              <w:t>الأول</w:t>
            </w:r>
            <w:r>
              <w:rPr>
                <w:rStyle w:val="IndexLink"/>
                <w:rtl w:val="true"/>
              </w:rPr>
              <w:t xml:space="preserve">: </w:t>
            </w:r>
            <w:r>
              <w:rPr>
                <w:rStyle w:val="IndexLink"/>
                <w:rtl w:val="true"/>
              </w:rPr>
              <w:t>ان العدالة عبارة عن الإسلام مع عدم ظهور الفسق،</w:t>
            </w:r>
            <w:r>
              <w:rPr>
                <w:rStyle w:val="IndexLink"/>
                <w:rtl w:val="true"/>
              </w:rPr>
              <w:tab/>
            </w:r>
            <w:r>
              <w:rPr>
                <w:rStyle w:val="IndexLink"/>
              </w:rPr>
              <w:t>9</w:t>
            </w:r>
          </w:hyperlink>
        </w:p>
        <w:p>
          <w:pPr>
            <w:pStyle w:val="Contents6"/>
            <w:tabs>
              <w:tab w:val="clear" w:pos="7609"/>
              <w:tab w:val="right" w:pos="9026" w:leader="dot"/>
            </w:tabs>
            <w:rPr/>
          </w:pPr>
          <w:hyperlink w:anchor="__RefHeading___Toc2825865_3804643083">
            <w:r>
              <w:rPr>
                <w:webHidden/>
                <w:rStyle w:val="IndexLink"/>
                <w:rtl w:val="true"/>
              </w:rPr>
              <w:t>الثانی</w:t>
            </w:r>
            <w:r>
              <w:rPr>
                <w:rStyle w:val="IndexLink"/>
                <w:rtl w:val="true"/>
              </w:rPr>
              <w:t xml:space="preserve">: </w:t>
            </w:r>
            <w:r>
              <w:rPr>
                <w:rStyle w:val="IndexLink"/>
                <w:rtl w:val="true"/>
              </w:rPr>
              <w:t>انها عبارة عن حسن الظاهر،</w:t>
            </w:r>
            <w:r>
              <w:rPr>
                <w:rStyle w:val="IndexLink"/>
                <w:rtl w:val="true"/>
              </w:rPr>
              <w:tab/>
            </w:r>
            <w:r>
              <w:rPr>
                <w:rStyle w:val="IndexLink"/>
              </w:rPr>
              <w:t>11</w:t>
            </w:r>
          </w:hyperlink>
        </w:p>
        <w:p>
          <w:pPr>
            <w:pStyle w:val="Contents6"/>
            <w:tabs>
              <w:tab w:val="clear" w:pos="7609"/>
              <w:tab w:val="right" w:pos="9026" w:leader="dot"/>
            </w:tabs>
            <w:rPr/>
          </w:pPr>
          <w:hyperlink w:anchor="__RefHeading___Toc2825867_3804643083">
            <w:r>
              <w:rPr>
                <w:webHidden/>
                <w:rStyle w:val="IndexLink"/>
                <w:rtl w:val="true"/>
              </w:rPr>
              <w:t>الثالث</w:t>
            </w:r>
            <w:r>
              <w:rPr>
                <w:rStyle w:val="IndexLink"/>
                <w:rtl w:val="true"/>
              </w:rPr>
              <w:t xml:space="preserve">: </w:t>
            </w:r>
            <w:r>
              <w:rPr>
                <w:rStyle w:val="IndexLink"/>
                <w:rtl w:val="true"/>
              </w:rPr>
              <w:t>انها ملکة نفسانیة</w:t>
            </w:r>
            <w:r>
              <w:rPr>
                <w:rStyle w:val="IndexLink"/>
                <w:rtl w:val="true"/>
              </w:rPr>
              <w:tab/>
            </w:r>
            <w:r>
              <w:rPr>
                <w:rStyle w:val="IndexLink"/>
              </w:rPr>
              <w:t>12</w:t>
            </w:r>
          </w:hyperlink>
        </w:p>
        <w:p>
          <w:pPr>
            <w:pStyle w:val="Contents6"/>
            <w:tabs>
              <w:tab w:val="clear" w:pos="7609"/>
              <w:tab w:val="right" w:pos="9026" w:leader="dot"/>
            </w:tabs>
            <w:rPr/>
          </w:pPr>
          <w:hyperlink w:anchor="__RefHeading___Toc2825869_3804643083">
            <w:r>
              <w:rPr>
                <w:webHidden/>
                <w:rStyle w:val="IndexLink"/>
                <w:rtl w:val="true"/>
              </w:rPr>
              <w:t>الرابع</w:t>
            </w:r>
            <w:r>
              <w:rPr>
                <w:rStyle w:val="IndexLink"/>
                <w:rtl w:val="true"/>
              </w:rPr>
              <w:t xml:space="preserve">: </w:t>
            </w:r>
            <w:r>
              <w:rPr>
                <w:rStyle w:val="IndexLink"/>
                <w:rtl w:val="true"/>
              </w:rPr>
              <w:t>انها ترک المعاصی منتسبا الی الملکة النفسانیة</w:t>
            </w:r>
            <w:r>
              <w:rPr>
                <w:rStyle w:val="IndexLink"/>
                <w:rtl w:val="true"/>
              </w:rPr>
              <w:t>.</w:t>
              <w:tab/>
            </w:r>
            <w:r>
              <w:rPr>
                <w:rStyle w:val="IndexLink"/>
              </w:rPr>
              <w:t>12</w:t>
            </w:r>
          </w:hyperlink>
        </w:p>
        <w:p>
          <w:pPr>
            <w:pStyle w:val="Contents5"/>
            <w:tabs>
              <w:tab w:val="clear" w:pos="7892"/>
              <w:tab w:val="right" w:pos="9026" w:leader="dot"/>
            </w:tabs>
            <w:rPr/>
          </w:pPr>
          <w:hyperlink w:anchor="__RefHeading___Toc2825871_3804643083">
            <w:r>
              <w:rPr>
                <w:webHidden/>
                <w:rStyle w:val="IndexLink"/>
                <w:rtl w:val="true"/>
              </w:rPr>
              <w:t>و أما الجهة الثالثة</w:t>
            </w:r>
            <w:r>
              <w:rPr>
                <w:rStyle w:val="IndexLink"/>
                <w:rtl w:val="true"/>
              </w:rPr>
              <w:t>: [</w:t>
            </w:r>
            <w:r>
              <w:rPr>
                <w:rStyle w:val="IndexLink"/>
                <w:rtl w:val="true"/>
              </w:rPr>
              <w:t>فی مختارنا فی معناها</w:t>
            </w:r>
            <w:r>
              <w:rPr>
                <w:rStyle w:val="IndexLink"/>
                <w:rtl w:val="true"/>
              </w:rPr>
              <w:t>.]</w:t>
              <w:tab/>
            </w:r>
            <w:r>
              <w:rPr>
                <w:rStyle w:val="IndexLink"/>
              </w:rPr>
              <w:t>12</w:t>
            </w:r>
          </w:hyperlink>
        </w:p>
        <w:p>
          <w:pPr>
            <w:pStyle w:val="Contents6"/>
            <w:tabs>
              <w:tab w:val="clear" w:pos="7609"/>
              <w:tab w:val="right" w:pos="9026" w:leader="dot"/>
            </w:tabs>
            <w:rPr/>
          </w:pPr>
          <w:hyperlink w:anchor="__RefHeading___Toc2825873_3804643083">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2825875_3804643083">
            <w:r>
              <w:rPr>
                <w:webHidden/>
                <w:rStyle w:val="IndexLink"/>
                <w:rtl w:val="true"/>
              </w:rPr>
              <w:t>أدلة القائلین باعتبار الملکة فی العدالة</w:t>
            </w:r>
            <w:r>
              <w:rPr>
                <w:rStyle w:val="IndexLink"/>
                <w:rtl w:val="true"/>
              </w:rPr>
              <w:t>:</w:t>
              <w:tab/>
            </w:r>
            <w:r>
              <w:rPr>
                <w:rStyle w:val="IndexLink"/>
              </w:rPr>
              <w:t>16</w:t>
            </w:r>
          </w:hyperlink>
        </w:p>
        <w:p>
          <w:pPr>
            <w:pStyle w:val="Contents6"/>
            <w:tabs>
              <w:tab w:val="clear" w:pos="7609"/>
              <w:tab w:val="right" w:pos="9026" w:leader="dot"/>
            </w:tabs>
            <w:rPr/>
          </w:pPr>
          <w:hyperlink w:anchor="__RefHeading___Toc2825877_3804643083">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2825879_3804643083">
            <w:r>
              <w:rPr>
                <w:webHidden/>
                <w:rStyle w:val="IndexLink"/>
                <w:rtl w:val="true"/>
              </w:rPr>
              <w:t>الأول</w:t>
            </w:r>
            <w:r>
              <w:rPr>
                <w:rStyle w:val="IndexLink"/>
                <w:rtl w:val="true"/>
              </w:rPr>
              <w:t xml:space="preserve">: </w:t>
            </w:r>
            <w:r>
              <w:rPr>
                <w:rStyle w:val="IndexLink"/>
                <w:rtl w:val="true"/>
              </w:rPr>
              <w:t>الأصل</w:t>
            </w:r>
            <w:r>
              <w:rPr>
                <w:rStyle w:val="IndexLink"/>
                <w:rtl w:val="true"/>
              </w:rPr>
              <w:tab/>
            </w:r>
            <w:r>
              <w:rPr>
                <w:rStyle w:val="IndexLink"/>
              </w:rPr>
              <w:t>16</w:t>
            </w:r>
          </w:hyperlink>
        </w:p>
        <w:p>
          <w:pPr>
            <w:pStyle w:val="Contents6"/>
            <w:tabs>
              <w:tab w:val="clear" w:pos="7609"/>
              <w:tab w:val="right" w:pos="9026" w:leader="dot"/>
            </w:tabs>
            <w:rPr/>
          </w:pPr>
          <w:hyperlink w:anchor="__RefHeading___Toc2825881_3804643083">
            <w:r>
              <w:rPr>
                <w:webHidden/>
                <w:rStyle w:val="IndexLink"/>
                <w:rtl w:val="true"/>
              </w:rPr>
              <w:t>الثانی</w:t>
            </w:r>
            <w:r>
              <w:rPr>
                <w:rStyle w:val="IndexLink"/>
                <w:rtl w:val="true"/>
              </w:rPr>
              <w:t xml:space="preserve">: </w:t>
            </w:r>
            <w:r>
              <w:rPr>
                <w:rStyle w:val="IndexLink"/>
                <w:rtl w:val="true"/>
              </w:rPr>
              <w:t>ما أفاده الشیخ الأعظم قدس سره</w:t>
            </w:r>
            <w:r>
              <w:rPr>
                <w:rStyle w:val="IndexLink"/>
                <w:rtl w:val="true"/>
              </w:rPr>
              <w:t xml:space="preserve">- </w:t>
            </w:r>
            <w:r>
              <w:rPr>
                <w:rStyle w:val="IndexLink"/>
                <w:rtl w:val="true"/>
              </w:rPr>
              <w:t>فی رسالة العدالة</w:t>
            </w:r>
            <w:r>
              <w:rPr>
                <w:rStyle w:val="IndexLink"/>
                <w:rtl w:val="true"/>
              </w:rPr>
              <w:t xml:space="preserve">- </w:t>
            </w:r>
            <w:r>
              <w:rPr>
                <w:rStyle w:val="IndexLink"/>
                <w:rtl w:val="true"/>
              </w:rPr>
              <w:t>و هو ان الوثوق بدین امام الجماعة معتبر</w:t>
            </w:r>
            <w:r>
              <w:rPr>
                <w:rStyle w:val="IndexLink"/>
                <w:rtl w:val="true"/>
              </w:rPr>
              <w:tab/>
            </w:r>
            <w:r>
              <w:rPr>
                <w:rStyle w:val="IndexLink"/>
              </w:rPr>
              <w:t>17</w:t>
            </w:r>
          </w:hyperlink>
        </w:p>
        <w:p>
          <w:pPr>
            <w:pStyle w:val="Contents6"/>
            <w:tabs>
              <w:tab w:val="clear" w:pos="7609"/>
              <w:tab w:val="right" w:pos="9026" w:leader="dot"/>
            </w:tabs>
            <w:rPr/>
          </w:pPr>
          <w:hyperlink w:anchor="__RefHeading___Toc2825883_3804643083">
            <w:r>
              <w:rPr>
                <w:webHidden/>
                <w:rStyle w:val="IndexLink"/>
                <w:rtl w:val="true"/>
              </w:rPr>
              <w:t>الثالث</w:t>
            </w:r>
            <w:r>
              <w:rPr>
                <w:rStyle w:val="IndexLink"/>
                <w:rtl w:val="true"/>
              </w:rPr>
              <w:t xml:space="preserve">: </w:t>
            </w:r>
            <w:r>
              <w:rPr>
                <w:rStyle w:val="IndexLink"/>
                <w:rtl w:val="true"/>
              </w:rPr>
              <w:t>ما عنه أیضا</w:t>
            </w:r>
            <w:r>
              <w:rPr>
                <w:rStyle w:val="IndexLink"/>
                <w:rtl w:val="true"/>
              </w:rPr>
              <w:t xml:space="preserve">- </w:t>
            </w:r>
            <w:r>
              <w:rPr>
                <w:rStyle w:val="IndexLink"/>
                <w:rtl w:val="true"/>
              </w:rPr>
              <w:t>فی رسالة العدالة</w:t>
            </w:r>
            <w:r>
              <w:rPr>
                <w:rStyle w:val="IndexLink"/>
                <w:rtl w:val="true"/>
              </w:rPr>
              <w:t xml:space="preserve">- </w:t>
            </w:r>
            <w:r>
              <w:rPr>
                <w:rStyle w:val="IndexLink"/>
                <w:rtl w:val="true"/>
              </w:rPr>
              <w:t>بأنه قد اعتبر فی الشاهد حسب دلالة النصوص المأمونیة</w:t>
            </w:r>
            <w:r>
              <w:rPr>
                <w:rStyle w:val="IndexLink"/>
                <w:rtl w:val="true"/>
              </w:rPr>
              <w:tab/>
            </w:r>
            <w:r>
              <w:rPr>
                <w:rStyle w:val="IndexLink"/>
              </w:rPr>
              <w:t>18</w:t>
            </w:r>
          </w:hyperlink>
        </w:p>
        <w:p>
          <w:pPr>
            <w:pStyle w:val="Contents6"/>
            <w:tabs>
              <w:tab w:val="clear" w:pos="7609"/>
              <w:tab w:val="right" w:pos="9026" w:leader="dot"/>
            </w:tabs>
            <w:rPr/>
          </w:pPr>
          <w:hyperlink w:anchor="__RefHeading___Toc2825885_3804643083">
            <w:r>
              <w:rPr>
                <w:webHidden/>
                <w:rStyle w:val="IndexLink"/>
                <w:rtl w:val="true"/>
              </w:rPr>
              <w:t>الرابع</w:t>
            </w:r>
            <w:r>
              <w:rPr>
                <w:rStyle w:val="IndexLink"/>
                <w:rtl w:val="true"/>
              </w:rPr>
              <w:t xml:space="preserve">: </w:t>
            </w:r>
            <w:r>
              <w:rPr>
                <w:rStyle w:val="IndexLink"/>
                <w:rtl w:val="true"/>
              </w:rPr>
              <w:t>ما رواه عبد اللّه بن أبی یعفور</w:t>
            </w:r>
            <w:r>
              <w:rPr>
                <w:rStyle w:val="IndexLink"/>
                <w:rtl w:val="true"/>
              </w:rPr>
              <w:tab/>
            </w:r>
            <w:r>
              <w:rPr>
                <w:rStyle w:val="IndexLink"/>
              </w:rPr>
              <w:t>21</w:t>
            </w:r>
          </w:hyperlink>
        </w:p>
        <w:p>
          <w:pPr>
            <w:pStyle w:val="Contents6"/>
            <w:tabs>
              <w:tab w:val="clear" w:pos="7609"/>
              <w:tab w:val="right" w:pos="9026" w:leader="dot"/>
            </w:tabs>
            <w:rPr/>
          </w:pPr>
          <w:hyperlink w:anchor="__RefHeading___Toc2825887_3804643083">
            <w:r>
              <w:rPr>
                <w:webHidden/>
                <w:rStyle w:val="IndexLink"/>
                <w:rtl w:val="true"/>
              </w:rPr>
              <w:t>اشتراط عدم ارتکاب الصغائر فی العدالة</w:t>
            </w:r>
            <w:r>
              <w:rPr>
                <w:rStyle w:val="IndexLink"/>
                <w:rtl w:val="true"/>
              </w:rPr>
              <w:t>:</w:t>
              <w:tab/>
            </w:r>
            <w:r>
              <w:rPr>
                <w:rStyle w:val="IndexLink"/>
              </w:rPr>
              <w:t>24</w:t>
            </w:r>
          </w:hyperlink>
        </w:p>
        <w:p>
          <w:pPr>
            <w:pStyle w:val="Contents6"/>
            <w:tabs>
              <w:tab w:val="clear" w:pos="7609"/>
              <w:tab w:val="right" w:pos="9026" w:leader="dot"/>
            </w:tabs>
            <w:rPr/>
          </w:pPr>
          <w:hyperlink w:anchor="__RefHeading___Toc2825889_3804643083">
            <w:r>
              <w:rPr>
                <w:webHidden/>
                <w:rStyle w:val="IndexLink"/>
                <w:rtl w:val="true"/>
              </w:rPr>
              <w:t>اشتراط عدم الاصرار علی الصغائر فی العدالة</w:t>
            </w:r>
            <w:r>
              <w:rPr>
                <w:rStyle w:val="IndexLink"/>
                <w:rtl w:val="true"/>
              </w:rPr>
              <w:t>:</w:t>
              <w:tab/>
            </w:r>
            <w:r>
              <w:rPr>
                <w:rStyle w:val="IndexLink"/>
              </w:rPr>
              <w:t>27</w:t>
            </w:r>
          </w:hyperlink>
        </w:p>
        <w:p>
          <w:pPr>
            <w:pStyle w:val="Contents6"/>
            <w:tabs>
              <w:tab w:val="clear" w:pos="7609"/>
              <w:tab w:val="right" w:pos="9026" w:leader="dot"/>
            </w:tabs>
            <w:rPr/>
          </w:pPr>
          <w:hyperlink w:anchor="__RefHeading___Toc2825891_3804643083">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2825893_3804643083">
            <w:r>
              <w:rPr>
                <w:webHidden/>
                <w:rStyle w:val="IndexLink"/>
                <w:rtl w:val="true"/>
              </w:rPr>
              <w:t>حقیقة الاصرار</w:t>
            </w:r>
            <w:r>
              <w:rPr>
                <w:rStyle w:val="IndexLink"/>
                <w:rtl w:val="true"/>
              </w:rPr>
              <w:t>:</w:t>
              <w:tab/>
            </w:r>
            <w:r>
              <w:rPr>
                <w:rStyle w:val="IndexLink"/>
              </w:rPr>
              <w:t>29</w:t>
            </w:r>
          </w:hyperlink>
        </w:p>
        <w:p>
          <w:pPr>
            <w:pStyle w:val="Contents6"/>
            <w:tabs>
              <w:tab w:val="clear" w:pos="7609"/>
              <w:tab w:val="right" w:pos="9026" w:leader="dot"/>
            </w:tabs>
            <w:rPr/>
          </w:pPr>
          <w:hyperlink w:anchor="__RefHeading___Toc2825895_3804643083">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2825897_3804643083">
            <w:r>
              <w:rPr>
                <w:webHidden/>
                <w:rStyle w:val="IndexLink"/>
                <w:rtl w:val="true"/>
              </w:rPr>
              <w:t>امّا الجهة الأولی</w:t>
            </w:r>
            <w:r>
              <w:rPr>
                <w:rStyle w:val="IndexLink"/>
                <w:rtl w:val="true"/>
              </w:rPr>
              <w:t>: [</w:t>
            </w:r>
            <w:r>
              <w:rPr>
                <w:rStyle w:val="IndexLink"/>
                <w:rtl w:val="true"/>
              </w:rPr>
              <w:t>بالنظر الی الروایات</w:t>
            </w:r>
            <w:r>
              <w:rPr>
                <w:rStyle w:val="IndexLink"/>
                <w:rtl w:val="true"/>
              </w:rPr>
              <w:t>]</w:t>
              <w:tab/>
            </w:r>
            <w:r>
              <w:rPr>
                <w:rStyle w:val="IndexLink"/>
              </w:rPr>
              <w:t>29</w:t>
            </w:r>
          </w:hyperlink>
        </w:p>
        <w:p>
          <w:pPr>
            <w:pStyle w:val="Contents6"/>
            <w:tabs>
              <w:tab w:val="clear" w:pos="7609"/>
              <w:tab w:val="right" w:pos="9026" w:leader="dot"/>
            </w:tabs>
            <w:rPr/>
          </w:pPr>
          <w:hyperlink w:anchor="__RefHeading___Toc2825899_3804643083">
            <w:r>
              <w:rPr>
                <w:webHidden/>
                <w:rStyle w:val="IndexLink"/>
                <w:rtl w:val="true"/>
              </w:rPr>
              <w:t>فتصل النوبة الی الجهة الثانیة</w:t>
            </w:r>
            <w:r>
              <w:rPr>
                <w:rStyle w:val="IndexLink"/>
                <w:rtl w:val="true"/>
              </w:rPr>
              <w:t xml:space="preserve">: </w:t>
            </w:r>
            <w:r>
              <w:rPr>
                <w:rStyle w:val="IndexLink"/>
                <w:rtl w:val="true"/>
              </w:rPr>
              <w:t>و هی النظر الی کلام أهل اللغة و العرف،</w:t>
            </w:r>
            <w:r>
              <w:rPr>
                <w:rStyle w:val="IndexLink"/>
                <w:rtl w:val="true"/>
              </w:rPr>
              <w:tab/>
            </w:r>
            <w:r>
              <w:rPr>
                <w:rStyle w:val="IndexLink"/>
              </w:rPr>
              <w:t>31</w:t>
            </w:r>
          </w:hyperlink>
        </w:p>
        <w:p>
          <w:pPr>
            <w:pStyle w:val="Contents6"/>
            <w:tabs>
              <w:tab w:val="clear" w:pos="7609"/>
              <w:tab w:val="right" w:pos="9026" w:leader="dot"/>
            </w:tabs>
            <w:rPr/>
          </w:pPr>
          <w:hyperlink w:anchor="__RefHeading___Toc2825901_3804643083">
            <w:r>
              <w:rPr>
                <w:webHidden/>
                <w:rStyle w:val="IndexLink"/>
                <w:rtl w:val="true"/>
              </w:rPr>
              <w:t>المعصیة الکبیرة</w:t>
            </w:r>
            <w:r>
              <w:rPr>
                <w:rStyle w:val="IndexLink"/>
                <w:rtl w:val="true"/>
              </w:rPr>
              <w:t>:</w:t>
              <w:tab/>
            </w:r>
            <w:r>
              <w:rPr>
                <w:rStyle w:val="IndexLink"/>
              </w:rPr>
              <w:t>32</w:t>
            </w:r>
          </w:hyperlink>
        </w:p>
        <w:p>
          <w:pPr>
            <w:pStyle w:val="Contents6"/>
            <w:tabs>
              <w:tab w:val="clear" w:pos="7609"/>
              <w:tab w:val="right" w:pos="9026" w:leader="dot"/>
            </w:tabs>
            <w:rPr/>
          </w:pPr>
          <w:hyperlink w:anchor="__RefHeading___Toc2825903_3804643083">
            <w:r>
              <w:rPr>
                <w:webHidden/>
                <w:rStyle w:val="IndexLink"/>
                <w:rtl w:val="true"/>
              </w:rPr>
              <w:t>اشتراط عدم صدور منافیات المروة فی العدالة</w:t>
            </w:r>
            <w:r>
              <w:rPr>
                <w:rStyle w:val="IndexLink"/>
                <w:rtl w:val="true"/>
              </w:rPr>
              <w:tab/>
            </w:r>
            <w:r>
              <w:rPr>
                <w:rStyle w:val="IndexLink"/>
              </w:rPr>
              <w:t>39</w:t>
            </w:r>
          </w:hyperlink>
        </w:p>
        <w:p>
          <w:pPr>
            <w:pStyle w:val="Contents4"/>
            <w:tabs>
              <w:tab w:val="clear" w:pos="8176"/>
              <w:tab w:val="right" w:pos="9026" w:leader="dot"/>
            </w:tabs>
            <w:rPr/>
          </w:pPr>
          <w:hyperlink w:anchor="__RefHeading___Toc2825905_3804643083">
            <w:r>
              <w:rPr>
                <w:webHidden/>
                <w:rStyle w:val="IndexLink"/>
                <w:rtl w:val="true"/>
              </w:rPr>
              <w:t xml:space="preserve">و یقع الکلام فی المقام الثانی </w:t>
            </w:r>
            <w:r>
              <w:rPr>
                <w:rStyle w:val="IndexLink"/>
                <w:rtl w:val="true"/>
              </w:rPr>
              <w:t>[</w:t>
            </w:r>
            <w:r>
              <w:rPr>
                <w:rStyle w:val="IndexLink"/>
                <w:rtl w:val="true"/>
              </w:rPr>
              <w:t>أی فی الکاشف عنها</w:t>
            </w:r>
            <w:r>
              <w:rPr>
                <w:rStyle w:val="IndexLink"/>
                <w:rtl w:val="true"/>
              </w:rPr>
              <w:t>]</w:t>
              <w:tab/>
            </w:r>
            <w:r>
              <w:rPr>
                <w:rStyle w:val="IndexLink"/>
              </w:rPr>
              <w:t>45</w:t>
            </w:r>
          </w:hyperlink>
        </w:p>
        <w:p>
          <w:pPr>
            <w:pStyle w:val="Contents5"/>
            <w:tabs>
              <w:tab w:val="clear" w:pos="7892"/>
              <w:tab w:val="right" w:pos="9026" w:leader="dot"/>
            </w:tabs>
            <w:rPr/>
          </w:pPr>
          <w:hyperlink w:anchor="__RefHeading___Toc2825907_3804643083">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2825909_3804643083">
            <w:r>
              <w:rPr>
                <w:webHidden/>
                <w:rStyle w:val="IndexLink"/>
                <w:rtl w:val="true"/>
              </w:rPr>
              <w:t>الأول</w:t>
            </w:r>
            <w:r>
              <w:rPr>
                <w:rStyle w:val="IndexLink"/>
                <w:rtl w:val="true"/>
              </w:rPr>
              <w:t xml:space="preserve">: </w:t>
            </w:r>
            <w:r>
              <w:rPr>
                <w:rStyle w:val="IndexLink"/>
                <w:rtl w:val="true"/>
              </w:rPr>
              <w:t>القطع وجدانا من أی طریق حصل،</w:t>
            </w:r>
            <w:r>
              <w:rPr>
                <w:rStyle w:val="IndexLink"/>
                <w:rtl w:val="true"/>
              </w:rPr>
              <w:tab/>
            </w:r>
            <w:r>
              <w:rPr>
                <w:rStyle w:val="IndexLink"/>
              </w:rPr>
              <w:t>45</w:t>
            </w:r>
          </w:hyperlink>
        </w:p>
        <w:p>
          <w:pPr>
            <w:pStyle w:val="Contents5"/>
            <w:tabs>
              <w:tab w:val="clear" w:pos="7892"/>
              <w:tab w:val="right" w:pos="9026" w:leader="dot"/>
            </w:tabs>
            <w:rPr/>
          </w:pPr>
          <w:hyperlink w:anchor="__RefHeading___Toc2825911_3804643083">
            <w:r>
              <w:rPr>
                <w:webHidden/>
                <w:rStyle w:val="IndexLink"/>
                <w:rtl w:val="true"/>
              </w:rPr>
              <w:t>الثانی</w:t>
            </w:r>
            <w:r>
              <w:rPr>
                <w:rStyle w:val="IndexLink"/>
                <w:rtl w:val="true"/>
              </w:rPr>
              <w:t xml:space="preserve">: </w:t>
            </w:r>
            <w:r>
              <w:rPr>
                <w:rStyle w:val="IndexLink"/>
                <w:rtl w:val="true"/>
              </w:rPr>
              <w:t>شهادة عدلین</w:t>
            </w:r>
            <w:r>
              <w:rPr>
                <w:rStyle w:val="IndexLink"/>
                <w:rtl w:val="true"/>
              </w:rPr>
              <w:tab/>
            </w:r>
            <w:r>
              <w:rPr>
                <w:rStyle w:val="IndexLink"/>
              </w:rPr>
              <w:t>45</w:t>
            </w:r>
          </w:hyperlink>
        </w:p>
        <w:p>
          <w:pPr>
            <w:pStyle w:val="Contents5"/>
            <w:tabs>
              <w:tab w:val="clear" w:pos="7892"/>
              <w:tab w:val="right" w:pos="9026" w:leader="dot"/>
            </w:tabs>
            <w:rPr/>
          </w:pPr>
          <w:hyperlink w:anchor="__RefHeading___Toc2825913_3804643083">
            <w:r>
              <w:rPr>
                <w:webHidden/>
                <w:rStyle w:val="IndexLink"/>
                <w:rtl w:val="true"/>
              </w:rPr>
              <w:t>الثالث</w:t>
            </w:r>
            <w:r>
              <w:rPr>
                <w:rStyle w:val="IndexLink"/>
                <w:rtl w:val="true"/>
              </w:rPr>
              <w:t xml:space="preserve">: </w:t>
            </w:r>
            <w:r>
              <w:rPr>
                <w:rStyle w:val="IndexLink"/>
                <w:rtl w:val="true"/>
              </w:rPr>
              <w:t>شهادة عدل واحد</w:t>
            </w:r>
            <w:r>
              <w:rPr>
                <w:rStyle w:val="IndexLink"/>
                <w:rtl w:val="true"/>
              </w:rPr>
              <w:tab/>
            </w:r>
            <w:r>
              <w:rPr>
                <w:rStyle w:val="IndexLink"/>
              </w:rPr>
              <w:t>45</w:t>
            </w:r>
          </w:hyperlink>
        </w:p>
        <w:p>
          <w:pPr>
            <w:pStyle w:val="Contents5"/>
            <w:tabs>
              <w:tab w:val="clear" w:pos="7892"/>
              <w:tab w:val="right" w:pos="9026" w:leader="dot"/>
            </w:tabs>
            <w:rPr/>
          </w:pPr>
          <w:hyperlink w:anchor="__RefHeading___Toc2825915_3804643083">
            <w:r>
              <w:rPr>
                <w:webHidden/>
                <w:rStyle w:val="IndexLink"/>
                <w:rtl w:val="true"/>
              </w:rPr>
              <w:t>الرابع</w:t>
            </w:r>
            <w:r>
              <w:rPr>
                <w:rStyle w:val="IndexLink"/>
                <w:rtl w:val="true"/>
              </w:rPr>
              <w:t xml:space="preserve">: </w:t>
            </w:r>
            <w:r>
              <w:rPr>
                <w:rStyle w:val="IndexLink"/>
                <w:rtl w:val="true"/>
              </w:rPr>
              <w:t>الوثوق و الاطمینان،</w:t>
            </w:r>
            <w:r>
              <w:rPr>
                <w:rStyle w:val="IndexLink"/>
                <w:rtl w:val="true"/>
              </w:rPr>
              <w:tab/>
            </w:r>
            <w:r>
              <w:rPr>
                <w:rStyle w:val="IndexLink"/>
              </w:rPr>
              <w:t>46</w:t>
            </w:r>
          </w:hyperlink>
        </w:p>
        <w:p>
          <w:pPr>
            <w:pStyle w:val="Contents5"/>
            <w:tabs>
              <w:tab w:val="clear" w:pos="7892"/>
              <w:tab w:val="right" w:pos="9026" w:leader="dot"/>
            </w:tabs>
            <w:rPr/>
          </w:pPr>
          <w:hyperlink w:anchor="__RefHeading___Toc2825917_3804643083">
            <w:r>
              <w:rPr>
                <w:webHidden/>
                <w:rStyle w:val="IndexLink"/>
                <w:rtl w:val="true"/>
              </w:rPr>
              <w:t>الخامس</w:t>
            </w:r>
            <w:r>
              <w:rPr>
                <w:rStyle w:val="IndexLink"/>
                <w:rtl w:val="true"/>
              </w:rPr>
              <w:t xml:space="preserve">: </w:t>
            </w:r>
            <w:r>
              <w:rPr>
                <w:rStyle w:val="IndexLink"/>
                <w:rtl w:val="true"/>
              </w:rPr>
              <w:t>حسن الظاهر</w:t>
            </w:r>
            <w:r>
              <w:rPr>
                <w:rStyle w:val="IndexLink"/>
                <w:rtl w:val="true"/>
              </w:rPr>
              <w:tab/>
            </w:r>
            <w:r>
              <w:rPr>
                <w:rStyle w:val="IndexLink"/>
              </w:rPr>
              <w:t>48</w:t>
            </w:r>
          </w:hyperlink>
        </w:p>
        <w:p>
          <w:pPr>
            <w:pStyle w:val="Contents2"/>
            <w:tabs>
              <w:tab w:val="clear" w:pos="8743"/>
              <w:tab w:val="right" w:pos="9026" w:leader="dot"/>
            </w:tabs>
            <w:rPr/>
          </w:pPr>
          <w:hyperlink w:anchor="__RefHeading___Toc2825919_3804643083">
            <w:r>
              <w:rPr>
                <w:webHidden/>
                <w:rStyle w:val="IndexLink"/>
                <w:rtl w:val="true"/>
              </w:rPr>
              <w:t>رسالة فی التوبة</w:t>
            </w:r>
            <w:r>
              <w:rPr>
                <w:rStyle w:val="IndexLink"/>
                <w:rtl w:val="true"/>
              </w:rPr>
              <w:tab/>
            </w:r>
            <w:r>
              <w:rPr>
                <w:rStyle w:val="IndexLink"/>
              </w:rPr>
              <w:t>55</w:t>
            </w:r>
          </w:hyperlink>
        </w:p>
        <w:p>
          <w:pPr>
            <w:pStyle w:val="Contents3"/>
            <w:tabs>
              <w:tab w:val="clear" w:pos="8459"/>
              <w:tab w:val="right" w:pos="9026" w:leader="dot"/>
            </w:tabs>
            <w:rPr/>
          </w:pPr>
          <w:hyperlink w:anchor="__RefHeading___Toc2825921_3804643083">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825923_3804643083">
            <w:r>
              <w:rPr>
                <w:webHidden/>
                <w:rStyle w:val="IndexLink"/>
                <w:rtl w:val="true"/>
              </w:rPr>
              <w:t>الجهة الأولی</w:t>
            </w:r>
            <w:r>
              <w:rPr>
                <w:rStyle w:val="IndexLink"/>
                <w:rtl w:val="true"/>
              </w:rPr>
              <w:t xml:space="preserve">: </w:t>
            </w:r>
            <w:r>
              <w:rPr>
                <w:rStyle w:val="IndexLink"/>
                <w:rtl w:val="true"/>
              </w:rPr>
              <w:t>هل التوبة واجبة أم لا؟</w:t>
            </w:r>
            <w:r>
              <w:rPr>
                <w:rStyle w:val="IndexLink"/>
                <w:rtl w:val="true"/>
              </w:rPr>
              <w:tab/>
            </w:r>
            <w:r>
              <w:rPr>
                <w:rStyle w:val="IndexLink"/>
              </w:rPr>
              <w:t>56</w:t>
            </w:r>
          </w:hyperlink>
        </w:p>
        <w:p>
          <w:pPr>
            <w:pStyle w:val="Contents4"/>
            <w:tabs>
              <w:tab w:val="clear" w:pos="8176"/>
              <w:tab w:val="right" w:pos="9026" w:leader="dot"/>
            </w:tabs>
            <w:rPr/>
          </w:pPr>
          <w:hyperlink w:anchor="__RefHeading___Toc2825925_380464308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825927_3804643083">
            <w:r>
              <w:rPr>
                <w:webHidden/>
                <w:rStyle w:val="IndexLink"/>
                <w:rtl w:val="true"/>
              </w:rPr>
              <w:t>و استدل علی الوجوب بالأدلة الأربعة</w:t>
            </w:r>
            <w:r>
              <w:rPr>
                <w:rStyle w:val="IndexLink"/>
                <w:rtl w:val="true"/>
              </w:rPr>
              <w:t>:</w:t>
              <w:tab/>
            </w:r>
            <w:r>
              <w:rPr>
                <w:rStyle w:val="IndexLink"/>
              </w:rPr>
              <w:t>56</w:t>
            </w:r>
          </w:hyperlink>
        </w:p>
        <w:p>
          <w:pPr>
            <w:pStyle w:val="Contents5"/>
            <w:tabs>
              <w:tab w:val="clear" w:pos="7892"/>
              <w:tab w:val="right" w:pos="9026" w:leader="dot"/>
            </w:tabs>
            <w:rPr/>
          </w:pPr>
          <w:hyperlink w:anchor="__RefHeading___Toc2825929_3804643083">
            <w:r>
              <w:rPr>
                <w:webHidden/>
                <w:rStyle w:val="IndexLink"/>
                <w:rtl w:val="true"/>
              </w:rPr>
              <w:t>أما الکتاب،</w:t>
            </w:r>
            <w:r>
              <w:rPr>
                <w:rStyle w:val="IndexLink"/>
                <w:rtl w:val="true"/>
              </w:rPr>
              <w:tab/>
            </w:r>
            <w:r>
              <w:rPr>
                <w:rStyle w:val="IndexLink"/>
              </w:rPr>
              <w:t>56</w:t>
            </w:r>
          </w:hyperlink>
        </w:p>
        <w:p>
          <w:pPr>
            <w:pStyle w:val="Contents5"/>
            <w:tabs>
              <w:tab w:val="clear" w:pos="7892"/>
              <w:tab w:val="right" w:pos="9026" w:leader="dot"/>
            </w:tabs>
            <w:rPr/>
          </w:pPr>
          <w:hyperlink w:anchor="__RefHeading___Toc2825931_3804643083">
            <w:r>
              <w:rPr>
                <w:webHidden/>
                <w:rStyle w:val="IndexLink"/>
                <w:rtl w:val="true"/>
              </w:rPr>
              <w:t>و أما السنّة</w:t>
            </w:r>
            <w:r>
              <w:rPr>
                <w:rStyle w:val="IndexLink"/>
                <w:rtl w:val="true"/>
              </w:rPr>
              <w:t>:</w:t>
              <w:tab/>
            </w:r>
            <w:r>
              <w:rPr>
                <w:rStyle w:val="IndexLink"/>
              </w:rPr>
              <w:t>57</w:t>
            </w:r>
          </w:hyperlink>
        </w:p>
        <w:p>
          <w:pPr>
            <w:pStyle w:val="Contents5"/>
            <w:tabs>
              <w:tab w:val="clear" w:pos="7892"/>
              <w:tab w:val="right" w:pos="9026" w:leader="dot"/>
            </w:tabs>
            <w:rPr/>
          </w:pPr>
          <w:hyperlink w:anchor="__RefHeading___Toc2825933_3804643083">
            <w:r>
              <w:rPr>
                <w:webHidden/>
                <w:rStyle w:val="IndexLink"/>
                <w:rtl w:val="true"/>
              </w:rPr>
              <w:t>و أما الاجماع</w:t>
            </w:r>
            <w:r>
              <w:rPr>
                <w:rStyle w:val="IndexLink"/>
                <w:rtl w:val="true"/>
              </w:rPr>
              <w:t>:</w:t>
              <w:tab/>
            </w:r>
            <w:r>
              <w:rPr>
                <w:rStyle w:val="IndexLink"/>
              </w:rPr>
              <w:t>62</w:t>
            </w:r>
          </w:hyperlink>
        </w:p>
        <w:p>
          <w:pPr>
            <w:pStyle w:val="Contents5"/>
            <w:tabs>
              <w:tab w:val="clear" w:pos="7892"/>
              <w:tab w:val="right" w:pos="9026" w:leader="dot"/>
            </w:tabs>
            <w:rPr/>
          </w:pPr>
          <w:hyperlink w:anchor="__RefHeading___Toc2825935_3804643083">
            <w:r>
              <w:rPr>
                <w:webHidden/>
                <w:rStyle w:val="IndexLink"/>
                <w:rtl w:val="true"/>
              </w:rPr>
              <w:t>و أما العقل</w:t>
            </w:r>
            <w:r>
              <w:rPr>
                <w:rStyle w:val="IndexLink"/>
                <w:rtl w:val="true"/>
              </w:rPr>
              <w:t xml:space="preserve">: </w:t>
            </w:r>
            <w:r>
              <w:rPr>
                <w:rStyle w:val="IndexLink"/>
                <w:rtl w:val="true"/>
              </w:rPr>
              <w:t>فیقرب بثلاثة وجوه</w:t>
            </w:r>
            <w:r>
              <w:rPr>
                <w:rStyle w:val="IndexLink"/>
                <w:rtl w:val="true"/>
              </w:rPr>
              <w:t>:</w:t>
              <w:tab/>
            </w:r>
            <w:r>
              <w:rPr>
                <w:rStyle w:val="IndexLink"/>
              </w:rPr>
              <w:t>63</w:t>
            </w:r>
          </w:hyperlink>
        </w:p>
        <w:p>
          <w:pPr>
            <w:pStyle w:val="Contents6"/>
            <w:tabs>
              <w:tab w:val="clear" w:pos="7609"/>
              <w:tab w:val="right" w:pos="9026" w:leader="dot"/>
            </w:tabs>
            <w:rPr/>
          </w:pPr>
          <w:hyperlink w:anchor="__RefHeading___Toc2825937_3804643083">
            <w:r>
              <w:rPr>
                <w:webHidden/>
                <w:rStyle w:val="IndexLink"/>
                <w:rtl w:val="true"/>
              </w:rPr>
              <w:t>الأول</w:t>
            </w:r>
            <w:r>
              <w:rPr>
                <w:rStyle w:val="IndexLink"/>
                <w:rtl w:val="true"/>
              </w:rPr>
              <w:t xml:space="preserve">- </w:t>
            </w:r>
            <w:r>
              <w:rPr>
                <w:rStyle w:val="IndexLink"/>
                <w:rtl w:val="true"/>
              </w:rPr>
              <w:t>ان فی عدم التوبة یکون الضرر محتملا،</w:t>
            </w:r>
            <w:r>
              <w:rPr>
                <w:rStyle w:val="IndexLink"/>
                <w:rtl w:val="true"/>
              </w:rPr>
              <w:tab/>
            </w:r>
            <w:r>
              <w:rPr>
                <w:rStyle w:val="IndexLink"/>
              </w:rPr>
              <w:t>63</w:t>
            </w:r>
          </w:hyperlink>
        </w:p>
        <w:p>
          <w:pPr>
            <w:pStyle w:val="Contents6"/>
            <w:tabs>
              <w:tab w:val="clear" w:pos="7609"/>
              <w:tab w:val="right" w:pos="9026" w:leader="dot"/>
            </w:tabs>
            <w:rPr/>
          </w:pPr>
          <w:hyperlink w:anchor="__RefHeading___Toc2825939_3804643083">
            <w:r>
              <w:rPr>
                <w:webHidden/>
                <w:rStyle w:val="IndexLink"/>
                <w:rtl w:val="true"/>
              </w:rPr>
              <w:t>الثانی</w:t>
            </w:r>
            <w:r>
              <w:rPr>
                <w:rStyle w:val="IndexLink"/>
                <w:rtl w:val="true"/>
              </w:rPr>
              <w:t xml:space="preserve">- </w:t>
            </w:r>
            <w:r>
              <w:rPr>
                <w:rStyle w:val="IndexLink"/>
                <w:rtl w:val="true"/>
              </w:rPr>
              <w:t>ان الندامة علی ارتکاب فعل القبیح و ترک المحرم مما یحسنه العقل</w:t>
            </w:r>
            <w:r>
              <w:rPr>
                <w:rStyle w:val="IndexLink"/>
                <w:rtl w:val="true"/>
              </w:rPr>
              <w:tab/>
            </w:r>
            <w:r>
              <w:rPr>
                <w:rStyle w:val="IndexLink"/>
              </w:rPr>
              <w:t>63</w:t>
            </w:r>
          </w:hyperlink>
        </w:p>
        <w:p>
          <w:pPr>
            <w:pStyle w:val="Contents6"/>
            <w:tabs>
              <w:tab w:val="clear" w:pos="7609"/>
              <w:tab w:val="right" w:pos="9026" w:leader="dot"/>
            </w:tabs>
            <w:rPr/>
          </w:pPr>
          <w:hyperlink w:anchor="__RefHeading___Toc2825941_3804643083">
            <w:r>
              <w:rPr>
                <w:webHidden/>
                <w:rStyle w:val="IndexLink"/>
                <w:rtl w:val="true"/>
              </w:rPr>
              <w:t>الثالث</w:t>
            </w:r>
            <w:r>
              <w:rPr>
                <w:rStyle w:val="IndexLink"/>
                <w:rtl w:val="true"/>
              </w:rPr>
              <w:t xml:space="preserve">- </w:t>
            </w:r>
            <w:r>
              <w:rPr>
                <w:rStyle w:val="IndexLink"/>
                <w:rtl w:val="true"/>
              </w:rPr>
              <w:t>ان العقل یحکم بوجوب کسب السعادة</w:t>
            </w:r>
            <w:r>
              <w:rPr>
                <w:rStyle w:val="IndexLink"/>
                <w:rtl w:val="true"/>
              </w:rPr>
              <w:tab/>
            </w:r>
            <w:r>
              <w:rPr>
                <w:rStyle w:val="IndexLink"/>
              </w:rPr>
              <w:t>63</w:t>
            </w:r>
          </w:hyperlink>
        </w:p>
        <w:p>
          <w:pPr>
            <w:pStyle w:val="Contents3"/>
            <w:tabs>
              <w:tab w:val="clear" w:pos="8459"/>
              <w:tab w:val="right" w:pos="9026" w:leader="dot"/>
            </w:tabs>
            <w:rPr/>
          </w:pPr>
          <w:hyperlink w:anchor="__RefHeading___Toc2825943_3804643083">
            <w:r>
              <w:rPr>
                <w:webHidden/>
                <w:rStyle w:val="IndexLink"/>
                <w:rtl w:val="true"/>
              </w:rPr>
              <w:t>الجهة الثانیة</w:t>
            </w:r>
            <w:r>
              <w:rPr>
                <w:rStyle w:val="IndexLink"/>
                <w:rtl w:val="true"/>
              </w:rPr>
              <w:t xml:space="preserve">: </w:t>
            </w:r>
            <w:r>
              <w:rPr>
                <w:rStyle w:val="IndexLink"/>
                <w:rtl w:val="true"/>
              </w:rPr>
              <w:t>فیما یتحقق به التوبة</w:t>
            </w:r>
            <w:r>
              <w:rPr>
                <w:rStyle w:val="IndexLink"/>
                <w:rtl w:val="true"/>
              </w:rPr>
              <w:t>:</w:t>
              <w:tab/>
            </w:r>
            <w:r>
              <w:rPr>
                <w:rStyle w:val="IndexLink"/>
              </w:rPr>
              <w:t>64</w:t>
            </w:r>
          </w:hyperlink>
        </w:p>
        <w:p>
          <w:pPr>
            <w:pStyle w:val="Contents3"/>
            <w:tabs>
              <w:tab w:val="clear" w:pos="8459"/>
              <w:tab w:val="right" w:pos="9026" w:leader="dot"/>
            </w:tabs>
            <w:rPr/>
          </w:pPr>
          <w:hyperlink w:anchor="__RefHeading___Toc2825945_3804643083">
            <w:r>
              <w:rPr>
                <w:webHidden/>
                <w:rStyle w:val="IndexLink"/>
                <w:rtl w:val="true"/>
              </w:rPr>
              <w:t>الجهة الثالثة</w:t>
            </w:r>
            <w:r>
              <w:rPr>
                <w:rStyle w:val="IndexLink"/>
                <w:rtl w:val="true"/>
              </w:rPr>
              <w:t xml:space="preserve">: </w:t>
            </w:r>
            <w:r>
              <w:rPr>
                <w:rStyle w:val="IndexLink"/>
                <w:rtl w:val="true"/>
              </w:rPr>
              <w:t>هل یعتبر فیها الاستغفار باللسان أم لا؟</w:t>
            </w:r>
            <w:r>
              <w:rPr>
                <w:rStyle w:val="IndexLink"/>
                <w:rtl w:val="true"/>
              </w:rPr>
              <w:tab/>
            </w:r>
            <w:r>
              <w:rPr>
                <w:rStyle w:val="IndexLink"/>
              </w:rPr>
              <w:t>66</w:t>
            </w:r>
          </w:hyperlink>
        </w:p>
        <w:p>
          <w:pPr>
            <w:pStyle w:val="Contents3"/>
            <w:tabs>
              <w:tab w:val="clear" w:pos="8459"/>
              <w:tab w:val="right" w:pos="9026" w:leader="dot"/>
            </w:tabs>
            <w:rPr/>
          </w:pPr>
          <w:hyperlink w:anchor="__RefHeading___Toc2825947_3804643083">
            <w:r>
              <w:rPr>
                <w:webHidden/>
                <w:rStyle w:val="IndexLink"/>
                <w:rtl w:val="true"/>
              </w:rPr>
              <w:t>الجهة الرابعة</w:t>
            </w:r>
            <w:r>
              <w:rPr>
                <w:rStyle w:val="IndexLink"/>
                <w:rtl w:val="true"/>
              </w:rPr>
              <w:t xml:space="preserve">: </w:t>
            </w:r>
            <w:r>
              <w:rPr>
                <w:rStyle w:val="IndexLink"/>
                <w:rtl w:val="true"/>
              </w:rPr>
              <w:t>فی انه هل مجرد التلفظ بهذه الصیغة یکون مؤثّرا بدون أن یکون نادما قلبا أم لا؟</w:t>
            </w:r>
            <w:r>
              <w:rPr>
                <w:rStyle w:val="IndexLink"/>
                <w:rtl w:val="true"/>
              </w:rPr>
              <w:tab/>
            </w:r>
            <w:r>
              <w:rPr>
                <w:rStyle w:val="IndexLink"/>
              </w:rPr>
              <w:t>68</w:t>
            </w:r>
          </w:hyperlink>
        </w:p>
        <w:p>
          <w:pPr>
            <w:pStyle w:val="Contents3"/>
            <w:tabs>
              <w:tab w:val="clear" w:pos="8459"/>
              <w:tab w:val="right" w:pos="9026" w:leader="dot"/>
            </w:tabs>
            <w:rPr/>
          </w:pPr>
          <w:hyperlink w:anchor="__RefHeading___Toc2825949_3804643083">
            <w:r>
              <w:rPr>
                <w:webHidden/>
                <w:rStyle w:val="IndexLink"/>
                <w:rtl w:val="true"/>
              </w:rPr>
              <w:t>الجهة الخامسة</w:t>
            </w:r>
            <w:r>
              <w:rPr>
                <w:rStyle w:val="IndexLink"/>
                <w:rtl w:val="true"/>
              </w:rPr>
              <w:t xml:space="preserve">: </w:t>
            </w:r>
            <w:r>
              <w:rPr>
                <w:rStyle w:val="IndexLink"/>
                <w:rtl w:val="true"/>
              </w:rPr>
              <w:t>هل یشترط فیها العزم علی ترک العود أم لا؟</w:t>
            </w:r>
            <w:r>
              <w:rPr>
                <w:rStyle w:val="IndexLink"/>
                <w:rtl w:val="true"/>
              </w:rPr>
              <w:tab/>
            </w:r>
            <w:r>
              <w:rPr>
                <w:rStyle w:val="IndexLink"/>
              </w:rPr>
              <w:t>68</w:t>
            </w:r>
          </w:hyperlink>
        </w:p>
        <w:p>
          <w:pPr>
            <w:pStyle w:val="Contents3"/>
            <w:tabs>
              <w:tab w:val="clear" w:pos="8459"/>
              <w:tab w:val="right" w:pos="9026" w:leader="dot"/>
            </w:tabs>
            <w:rPr/>
          </w:pPr>
          <w:hyperlink w:anchor="__RefHeading___Toc2825951_3804643083">
            <w:r>
              <w:rPr>
                <w:webHidden/>
                <w:rStyle w:val="IndexLink"/>
                <w:rtl w:val="true"/>
              </w:rPr>
              <w:t>الجهة السادسة</w:t>
            </w:r>
            <w:r>
              <w:rPr>
                <w:rStyle w:val="IndexLink"/>
                <w:rtl w:val="true"/>
              </w:rPr>
              <w:t xml:space="preserve">: </w:t>
            </w:r>
            <w:r>
              <w:rPr>
                <w:rStyle w:val="IndexLink"/>
                <w:rtl w:val="true"/>
              </w:rPr>
              <w:t>هل وجوب التوبة</w:t>
            </w:r>
            <w:r>
              <w:rPr>
                <w:rStyle w:val="IndexLink"/>
                <w:rtl w:val="true"/>
              </w:rPr>
              <w:t xml:space="preserve">- </w:t>
            </w:r>
            <w:r>
              <w:rPr>
                <w:rStyle w:val="IndexLink"/>
                <w:rtl w:val="true"/>
              </w:rPr>
              <w:t>علی القول به</w:t>
            </w:r>
            <w:r>
              <w:rPr>
                <w:rStyle w:val="IndexLink"/>
                <w:rtl w:val="true"/>
              </w:rPr>
              <w:t xml:space="preserve">- </w:t>
            </w:r>
            <w:r>
              <w:rPr>
                <w:rStyle w:val="IndexLink"/>
                <w:rtl w:val="true"/>
              </w:rPr>
              <w:t>فوری أم لا؟</w:t>
            </w:r>
            <w:r>
              <w:rPr>
                <w:rStyle w:val="IndexLink"/>
                <w:rtl w:val="true"/>
              </w:rPr>
              <w:tab/>
            </w:r>
            <w:r>
              <w:rPr>
                <w:rStyle w:val="IndexLink"/>
              </w:rPr>
              <w:t>70</w:t>
            </w:r>
          </w:hyperlink>
        </w:p>
        <w:p>
          <w:pPr>
            <w:pStyle w:val="Contents3"/>
            <w:tabs>
              <w:tab w:val="clear" w:pos="8459"/>
              <w:tab w:val="right" w:pos="9026" w:leader="dot"/>
            </w:tabs>
            <w:rPr/>
          </w:pPr>
          <w:hyperlink w:anchor="__RefHeading___Toc2825953_3804643083">
            <w:r>
              <w:rPr>
                <w:webHidden/>
                <w:rStyle w:val="IndexLink"/>
                <w:rtl w:val="true"/>
              </w:rPr>
              <w:t>الجهة السابعة</w:t>
            </w:r>
            <w:r>
              <w:rPr>
                <w:rStyle w:val="IndexLink"/>
                <w:rtl w:val="true"/>
              </w:rPr>
              <w:t xml:space="preserve">: </w:t>
            </w:r>
            <w:r>
              <w:rPr>
                <w:rStyle w:val="IndexLink"/>
                <w:rtl w:val="true"/>
              </w:rPr>
              <w:t>هل التوبة تختص بالکبائر أم یعم الصغائر؟</w:t>
            </w:r>
            <w:r>
              <w:rPr>
                <w:rStyle w:val="IndexLink"/>
                <w:rtl w:val="true"/>
              </w:rPr>
              <w:tab/>
            </w:r>
            <w:r>
              <w:rPr>
                <w:rStyle w:val="IndexLink"/>
              </w:rPr>
              <w:t>71</w:t>
            </w:r>
          </w:hyperlink>
        </w:p>
        <w:p>
          <w:pPr>
            <w:pStyle w:val="Contents3"/>
            <w:tabs>
              <w:tab w:val="clear" w:pos="8459"/>
              <w:tab w:val="right" w:pos="9026" w:leader="dot"/>
            </w:tabs>
            <w:rPr/>
          </w:pPr>
          <w:hyperlink w:anchor="__RefHeading___Toc2825955_3804643083">
            <w:r>
              <w:rPr>
                <w:webHidden/>
                <w:rStyle w:val="IndexLink"/>
                <w:rtl w:val="true"/>
              </w:rPr>
              <w:t>الجهة الثامنة</w:t>
            </w:r>
            <w:r>
              <w:rPr>
                <w:rStyle w:val="IndexLink"/>
                <w:rtl w:val="true"/>
              </w:rPr>
              <w:t xml:space="preserve">: </w:t>
            </w:r>
            <w:r>
              <w:rPr>
                <w:rStyle w:val="IndexLink"/>
                <w:rtl w:val="true"/>
              </w:rPr>
              <w:t>هل یجوز التبعیض فی التوبة، بأن یتوب من بعض الذنوب دون بعض أم لا؟</w:t>
            </w:r>
            <w:r>
              <w:rPr>
                <w:rStyle w:val="IndexLink"/>
                <w:rtl w:val="true"/>
              </w:rPr>
              <w:tab/>
            </w:r>
            <w:r>
              <w:rPr>
                <w:rStyle w:val="IndexLink"/>
              </w:rPr>
              <w:t>72</w:t>
            </w:r>
          </w:hyperlink>
        </w:p>
        <w:p>
          <w:pPr>
            <w:pStyle w:val="Contents3"/>
            <w:tabs>
              <w:tab w:val="clear" w:pos="8459"/>
              <w:tab w:val="right" w:pos="9026" w:leader="dot"/>
            </w:tabs>
            <w:rPr/>
          </w:pPr>
          <w:hyperlink w:anchor="__RefHeading___Toc2825957_3804643083">
            <w:r>
              <w:rPr>
                <w:webHidden/>
                <w:rStyle w:val="IndexLink"/>
                <w:rtl w:val="true"/>
              </w:rPr>
              <w:t>الجهة التاسعة</w:t>
            </w:r>
            <w:r>
              <w:rPr>
                <w:rStyle w:val="IndexLink"/>
                <w:rtl w:val="true"/>
              </w:rPr>
              <w:t xml:space="preserve">: </w:t>
            </w:r>
            <w:r>
              <w:rPr>
                <w:rStyle w:val="IndexLink"/>
                <w:rtl w:val="true"/>
              </w:rPr>
              <w:t>اذا تذکر التائب المعصیة لا تجب علیه التوبة ثانیا و ثالثا و هکذا،</w:t>
            </w:r>
            <w:r>
              <w:rPr>
                <w:rStyle w:val="IndexLink"/>
                <w:rtl w:val="true"/>
              </w:rPr>
              <w:tab/>
            </w:r>
            <w:r>
              <w:rPr>
                <w:rStyle w:val="IndexLink"/>
              </w:rPr>
              <w:t>72</w:t>
            </w:r>
          </w:hyperlink>
        </w:p>
        <w:p>
          <w:pPr>
            <w:pStyle w:val="Contents3"/>
            <w:tabs>
              <w:tab w:val="clear" w:pos="8459"/>
              <w:tab w:val="right" w:pos="9026" w:leader="dot"/>
            </w:tabs>
            <w:rPr/>
          </w:pPr>
          <w:hyperlink w:anchor="__RefHeading___Toc2825959_3804643083">
            <w:r>
              <w:rPr>
                <w:webHidden/>
                <w:rStyle w:val="IndexLink"/>
                <w:rtl w:val="true"/>
              </w:rPr>
              <w:t>الجهة العاشرة</w:t>
            </w:r>
            <w:r>
              <w:rPr>
                <w:rStyle w:val="IndexLink"/>
                <w:rtl w:val="true"/>
              </w:rPr>
              <w:t xml:space="preserve">: </w:t>
            </w:r>
            <w:r>
              <w:rPr>
                <w:rStyle w:val="IndexLink"/>
                <w:rtl w:val="true"/>
              </w:rPr>
              <w:t>هل یلزم أن تکون التوبة تفصیلا،</w:t>
            </w:r>
            <w:r>
              <w:rPr>
                <w:rStyle w:val="IndexLink"/>
                <w:rtl w:val="true"/>
              </w:rPr>
              <w:tab/>
            </w:r>
            <w:r>
              <w:rPr>
                <w:rStyle w:val="IndexLink"/>
              </w:rPr>
              <w:t>73</w:t>
            </w:r>
          </w:hyperlink>
        </w:p>
        <w:p>
          <w:pPr>
            <w:pStyle w:val="Contents3"/>
            <w:tabs>
              <w:tab w:val="clear" w:pos="8459"/>
              <w:tab w:val="right" w:pos="9026" w:leader="dot"/>
            </w:tabs>
            <w:rPr/>
          </w:pPr>
          <w:hyperlink w:anchor="__RefHeading___Toc2825961_3804643083">
            <w:r>
              <w:rPr>
                <w:webHidden/>
                <w:rStyle w:val="IndexLink"/>
                <w:rtl w:val="true"/>
              </w:rPr>
              <w:t>الجهة الحادی عشرة</w:t>
            </w:r>
            <w:r>
              <w:rPr>
                <w:rStyle w:val="IndexLink"/>
                <w:rtl w:val="true"/>
              </w:rPr>
              <w:t>: [</w:t>
            </w:r>
            <w:r>
              <w:rPr>
                <w:rStyle w:val="IndexLink"/>
                <w:rtl w:val="true"/>
              </w:rPr>
              <w:t>فی أقسام التوبة</w:t>
            </w:r>
            <w:r>
              <w:rPr>
                <w:rStyle w:val="IndexLink"/>
                <w:rtl w:val="true"/>
              </w:rPr>
              <w:t>]</w:t>
              <w:tab/>
            </w:r>
            <w:r>
              <w:rPr>
                <w:rStyle w:val="IndexLink"/>
              </w:rPr>
              <w:t>73</w:t>
            </w:r>
          </w:hyperlink>
        </w:p>
        <w:p>
          <w:pPr>
            <w:pStyle w:val="Contents2"/>
            <w:tabs>
              <w:tab w:val="clear" w:pos="8743"/>
              <w:tab w:val="right" w:pos="9026" w:leader="dot"/>
            </w:tabs>
            <w:rPr/>
          </w:pPr>
          <w:hyperlink w:anchor="__RefHeading___Toc2825963_3804643083">
            <w:r>
              <w:rPr>
                <w:webHidden/>
                <w:rStyle w:val="IndexLink"/>
                <w:rtl w:val="true"/>
              </w:rPr>
              <w:t>رسالة فی القاعدة المعروفة ب</w:t>
            </w:r>
            <w:r>
              <w:rPr>
                <w:rStyle w:val="IndexLink"/>
                <w:rtl w:val="true"/>
              </w:rPr>
              <w:t>: (</w:t>
            </w:r>
            <w:r>
              <w:rPr>
                <w:rStyle w:val="IndexLink"/>
                <w:rtl w:val="true"/>
              </w:rPr>
              <w:t>لا ضرر و لا ضرار</w:t>
            </w:r>
            <w:r>
              <w:rPr>
                <w:rStyle w:val="IndexLink"/>
                <w:rtl w:val="true"/>
              </w:rPr>
              <w:tab/>
            </w:r>
            <w:r>
              <w:rPr>
                <w:rStyle w:val="IndexLink"/>
              </w:rPr>
              <w:t>74</w:t>
            </w:r>
          </w:hyperlink>
        </w:p>
        <w:p>
          <w:pPr>
            <w:pStyle w:val="Contents3"/>
            <w:tabs>
              <w:tab w:val="clear" w:pos="8459"/>
              <w:tab w:val="right" w:pos="9026" w:leader="dot"/>
            </w:tabs>
            <w:rPr/>
          </w:pPr>
          <w:hyperlink w:anchor="__RefHeading___Toc2825965_380464308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825967_3804643083">
            <w:r>
              <w:rPr>
                <w:webHidden/>
                <w:rStyle w:val="IndexLink"/>
                <w:rtl w:val="true"/>
              </w:rPr>
              <w:t>و ینبغی أن یقع الکلام فیها من جهات، و ان لم یعنون بعضها فی ما رأینا من کتب الأصحاب</w:t>
            </w:r>
            <w:r>
              <w:rPr>
                <w:rStyle w:val="IndexLink"/>
                <w:rtl w:val="true"/>
              </w:rPr>
              <w:t>.</w:t>
              <w:tab/>
            </w:r>
            <w:r>
              <w:rPr>
                <w:rStyle w:val="IndexLink"/>
              </w:rPr>
              <w:t>75</w:t>
            </w:r>
          </w:hyperlink>
        </w:p>
        <w:p>
          <w:pPr>
            <w:pStyle w:val="Contents4"/>
            <w:tabs>
              <w:tab w:val="clear" w:pos="8176"/>
              <w:tab w:val="right" w:pos="9026" w:leader="dot"/>
            </w:tabs>
            <w:rPr/>
          </w:pPr>
          <w:hyperlink w:anchor="__RefHeading___Toc2825969_3804643083">
            <w:r>
              <w:rPr>
                <w:webHidden/>
                <w:rStyle w:val="IndexLink"/>
                <w:rtl w:val="true"/>
              </w:rPr>
              <w:t>الجهة الأولی</w:t>
            </w:r>
            <w:r>
              <w:rPr>
                <w:rStyle w:val="IndexLink"/>
                <w:rtl w:val="true"/>
              </w:rPr>
              <w:t xml:space="preserve">: </w:t>
            </w:r>
            <w:r>
              <w:rPr>
                <w:rStyle w:val="IndexLink"/>
                <w:rtl w:val="true"/>
              </w:rPr>
              <w:t>فی تحقیق معنی الضرر و الضرار</w:t>
            </w:r>
            <w:r>
              <w:rPr>
                <w:rStyle w:val="IndexLink"/>
                <w:rtl w:val="true"/>
              </w:rPr>
              <w:t>.</w:t>
              <w:tab/>
            </w:r>
            <w:r>
              <w:rPr>
                <w:rStyle w:val="IndexLink"/>
              </w:rPr>
              <w:t>75</w:t>
            </w:r>
          </w:hyperlink>
        </w:p>
        <w:p>
          <w:pPr>
            <w:pStyle w:val="Contents5"/>
            <w:tabs>
              <w:tab w:val="clear" w:pos="7892"/>
              <w:tab w:val="right" w:pos="9026" w:leader="dot"/>
            </w:tabs>
            <w:rPr/>
          </w:pPr>
          <w:hyperlink w:anchor="__RefHeading___Toc2825971_3804643083">
            <w:r>
              <w:rPr>
                <w:webHidden/>
                <w:rStyle w:val="IndexLink"/>
                <w:rtl w:val="true"/>
              </w:rPr>
              <w:t>أما الضرر</w:t>
            </w:r>
            <w:r>
              <w:rPr>
                <w:rStyle w:val="IndexLink"/>
                <w:rtl w:val="true"/>
              </w:rPr>
              <w:t>:</w:t>
              <w:tab/>
            </w:r>
            <w:r>
              <w:rPr>
                <w:rStyle w:val="IndexLink"/>
              </w:rPr>
              <w:t>75</w:t>
            </w:r>
          </w:hyperlink>
        </w:p>
        <w:p>
          <w:pPr>
            <w:pStyle w:val="Contents5"/>
            <w:tabs>
              <w:tab w:val="clear" w:pos="7892"/>
              <w:tab w:val="right" w:pos="9026" w:leader="dot"/>
            </w:tabs>
            <w:rPr/>
          </w:pPr>
          <w:hyperlink w:anchor="__RefHeading___Toc2825973_3804643083">
            <w:r>
              <w:rPr>
                <w:webHidden/>
                <w:rStyle w:val="IndexLink"/>
                <w:rtl w:val="true"/>
              </w:rPr>
              <w:t>و أما الضرار</w:t>
            </w:r>
            <w:r>
              <w:rPr>
                <w:rStyle w:val="IndexLink"/>
                <w:rtl w:val="true"/>
              </w:rPr>
              <w:t>:</w:t>
              <w:tab/>
            </w:r>
            <w:r>
              <w:rPr>
                <w:rStyle w:val="IndexLink"/>
              </w:rPr>
              <w:t>76</w:t>
            </w:r>
          </w:hyperlink>
        </w:p>
        <w:p>
          <w:pPr>
            <w:pStyle w:val="Contents4"/>
            <w:tabs>
              <w:tab w:val="clear" w:pos="8176"/>
              <w:tab w:val="right" w:pos="9026" w:leader="dot"/>
            </w:tabs>
            <w:rPr/>
          </w:pPr>
          <w:hyperlink w:anchor="__RefHeading___Toc2825975_3804643083">
            <w:r>
              <w:rPr>
                <w:webHidden/>
                <w:rStyle w:val="IndexLink"/>
                <w:rtl w:val="true"/>
              </w:rPr>
              <w:t>الجهة الثانیة</w:t>
            </w:r>
            <w:r>
              <w:rPr>
                <w:rStyle w:val="IndexLink"/>
                <w:rtl w:val="true"/>
              </w:rPr>
              <w:t xml:space="preserve">: </w:t>
            </w:r>
            <w:r>
              <w:rPr>
                <w:rStyle w:val="IndexLink"/>
                <w:rtl w:val="true"/>
              </w:rPr>
              <w:t>فی أنه هل الاضرار بالغیر حرام تکلیفا أم لا؟</w:t>
            </w:r>
            <w:r>
              <w:rPr>
                <w:rStyle w:val="IndexLink"/>
                <w:rtl w:val="true"/>
              </w:rPr>
              <w:tab/>
            </w:r>
            <w:r>
              <w:rPr>
                <w:rStyle w:val="IndexLink"/>
              </w:rPr>
              <w:t>77</w:t>
            </w:r>
          </w:hyperlink>
        </w:p>
        <w:p>
          <w:pPr>
            <w:pStyle w:val="Contents5"/>
            <w:tabs>
              <w:tab w:val="clear" w:pos="7892"/>
              <w:tab w:val="right" w:pos="9026" w:leader="dot"/>
            </w:tabs>
            <w:rPr/>
          </w:pPr>
          <w:hyperlink w:anchor="__RefHeading___Toc2825977_3804643083">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2825979_3804643083">
            <w:r>
              <w:rPr>
                <w:webHidden/>
                <w:rStyle w:val="IndexLink"/>
                <w:rtl w:val="true"/>
              </w:rPr>
              <w:t>فما یمکن أن یستدلّ بها للحرمة أمور</w:t>
            </w:r>
            <w:r>
              <w:rPr>
                <w:rStyle w:val="IndexLink"/>
                <w:rtl w:val="true"/>
              </w:rPr>
              <w:t>:</w:t>
              <w:tab/>
            </w:r>
            <w:r>
              <w:rPr>
                <w:rStyle w:val="IndexLink"/>
              </w:rPr>
              <w:t>77</w:t>
            </w:r>
          </w:hyperlink>
        </w:p>
        <w:p>
          <w:pPr>
            <w:pStyle w:val="Contents6"/>
            <w:tabs>
              <w:tab w:val="clear" w:pos="7609"/>
              <w:tab w:val="right" w:pos="9026" w:leader="dot"/>
            </w:tabs>
            <w:rPr/>
          </w:pPr>
          <w:hyperlink w:anchor="__RefHeading___Toc2825981_3804643083">
            <w:r>
              <w:rPr>
                <w:webHidden/>
                <w:rStyle w:val="IndexLink"/>
                <w:rtl w:val="true"/>
              </w:rPr>
              <w:t>الأول</w:t>
            </w:r>
            <w:r>
              <w:rPr>
                <w:rStyle w:val="IndexLink"/>
                <w:rtl w:val="true"/>
              </w:rPr>
              <w:t xml:space="preserve">: </w:t>
            </w:r>
            <w:r>
              <w:rPr>
                <w:rStyle w:val="IndexLink"/>
                <w:rtl w:val="true"/>
              </w:rPr>
              <w:t>الآیات</w:t>
            </w:r>
            <w:r>
              <w:rPr>
                <w:rStyle w:val="IndexLink"/>
                <w:rtl w:val="true"/>
              </w:rPr>
              <w:t>.</w:t>
              <w:tab/>
            </w:r>
            <w:r>
              <w:rPr>
                <w:rStyle w:val="IndexLink"/>
              </w:rPr>
              <w:t>77</w:t>
            </w:r>
          </w:hyperlink>
        </w:p>
        <w:p>
          <w:pPr>
            <w:pStyle w:val="Contents6"/>
            <w:tabs>
              <w:tab w:val="clear" w:pos="7609"/>
              <w:tab w:val="right" w:pos="9026" w:leader="dot"/>
            </w:tabs>
            <w:rPr/>
          </w:pPr>
          <w:hyperlink w:anchor="__RefHeading___Toc2825983_3804643083">
            <w:r>
              <w:rPr>
                <w:webHidden/>
                <w:rStyle w:val="IndexLink"/>
                <w:rtl w:val="true"/>
              </w:rPr>
              <w:t>الثانی</w:t>
            </w:r>
            <w:r>
              <w:rPr>
                <w:rStyle w:val="IndexLink"/>
                <w:rtl w:val="true"/>
              </w:rPr>
              <w:t xml:space="preserve">: </w:t>
            </w:r>
            <w:r>
              <w:rPr>
                <w:rStyle w:val="IndexLink"/>
                <w:rtl w:val="true"/>
              </w:rPr>
              <w:t>الروایات</w:t>
            </w:r>
            <w:r>
              <w:rPr>
                <w:rStyle w:val="IndexLink"/>
                <w:rtl w:val="true"/>
              </w:rPr>
              <w:t>:</w:t>
              <w:tab/>
            </w:r>
            <w:r>
              <w:rPr>
                <w:rStyle w:val="IndexLink"/>
              </w:rPr>
              <w:t>80</w:t>
            </w:r>
          </w:hyperlink>
        </w:p>
        <w:p>
          <w:pPr>
            <w:pStyle w:val="Contents6"/>
            <w:tabs>
              <w:tab w:val="clear" w:pos="7609"/>
              <w:tab w:val="right" w:pos="9026" w:leader="dot"/>
            </w:tabs>
            <w:rPr/>
          </w:pPr>
          <w:hyperlink w:anchor="__RefHeading___Toc2825985_3804643083">
            <w:r>
              <w:rPr>
                <w:webHidden/>
                <w:rStyle w:val="IndexLink"/>
                <w:rtl w:val="true"/>
              </w:rPr>
              <w:t>الثالث</w:t>
            </w:r>
            <w:r>
              <w:rPr>
                <w:rStyle w:val="IndexLink"/>
                <w:rtl w:val="true"/>
              </w:rPr>
              <w:t xml:space="preserve">: </w:t>
            </w:r>
            <w:r>
              <w:rPr>
                <w:rStyle w:val="IndexLink"/>
                <w:rtl w:val="true"/>
              </w:rPr>
              <w:t>ممّا یمکن أن یستدلّ به الاجماع</w:t>
            </w:r>
            <w:r>
              <w:rPr>
                <w:rStyle w:val="IndexLink"/>
                <w:rtl w:val="true"/>
              </w:rPr>
              <w:t>.</w:t>
              <w:tab/>
            </w:r>
            <w:r>
              <w:rPr>
                <w:rStyle w:val="IndexLink"/>
              </w:rPr>
              <w:t>84</w:t>
            </w:r>
          </w:hyperlink>
        </w:p>
        <w:p>
          <w:pPr>
            <w:pStyle w:val="Contents6"/>
            <w:tabs>
              <w:tab w:val="clear" w:pos="7609"/>
              <w:tab w:val="right" w:pos="9026" w:leader="dot"/>
            </w:tabs>
            <w:rPr/>
          </w:pPr>
          <w:hyperlink w:anchor="__RefHeading___Toc2825987_3804643083">
            <w:r>
              <w:rPr>
                <w:webHidden/>
                <w:rStyle w:val="IndexLink"/>
                <w:rtl w:val="true"/>
              </w:rPr>
              <w:t>الرابع</w:t>
            </w:r>
            <w:r>
              <w:rPr>
                <w:rStyle w:val="IndexLink"/>
                <w:rtl w:val="true"/>
              </w:rPr>
              <w:t xml:space="preserve">: </w:t>
            </w:r>
            <w:r>
              <w:rPr>
                <w:rStyle w:val="IndexLink"/>
                <w:rtl w:val="true"/>
              </w:rPr>
              <w:t>العقل</w:t>
            </w:r>
            <w:r>
              <w:rPr>
                <w:rStyle w:val="IndexLink"/>
                <w:rtl w:val="true"/>
              </w:rPr>
              <w:t>.</w:t>
              <w:tab/>
            </w:r>
            <w:r>
              <w:rPr>
                <w:rStyle w:val="IndexLink"/>
              </w:rPr>
              <w:t>84</w:t>
            </w:r>
          </w:hyperlink>
        </w:p>
        <w:p>
          <w:pPr>
            <w:pStyle w:val="Contents4"/>
            <w:tabs>
              <w:tab w:val="clear" w:pos="8176"/>
              <w:tab w:val="right" w:pos="9026" w:leader="dot"/>
            </w:tabs>
            <w:rPr/>
          </w:pPr>
          <w:hyperlink w:anchor="__RefHeading___Toc2825989_3804643083">
            <w:r>
              <w:rPr>
                <w:webHidden/>
                <w:rStyle w:val="IndexLink"/>
                <w:rtl w:val="true"/>
              </w:rPr>
              <w:t>الجهة الثالثة</w:t>
            </w:r>
            <w:r>
              <w:rPr>
                <w:rStyle w:val="IndexLink"/>
                <w:rtl w:val="true"/>
              </w:rPr>
              <w:t xml:space="preserve">: </w:t>
            </w:r>
            <w:r>
              <w:rPr>
                <w:rStyle w:val="IndexLink"/>
                <w:rtl w:val="true"/>
              </w:rPr>
              <w:t>فی الفحص عن الأحادیث التی وقعت فیها لفظة</w:t>
            </w:r>
            <w:r>
              <w:rPr>
                <w:rStyle w:val="IndexLink"/>
                <w:rtl w:val="true"/>
              </w:rPr>
              <w:t>: (</w:t>
            </w:r>
            <w:r>
              <w:rPr>
                <w:rStyle w:val="IndexLink"/>
                <w:rtl w:val="true"/>
              </w:rPr>
              <w:t>لا ضرر و لا ضرار</w:t>
            </w:r>
            <w:r>
              <w:rPr>
                <w:rStyle w:val="IndexLink"/>
                <w:rtl w:val="true"/>
              </w:rPr>
              <w:t xml:space="preserve">) </w:t>
            </w:r>
            <w:r>
              <w:rPr>
                <w:rStyle w:val="IndexLink"/>
                <w:rtl w:val="true"/>
              </w:rPr>
              <w:t>متنا و سندا و دلالة</w:t>
            </w:r>
            <w:r>
              <w:rPr>
                <w:rStyle w:val="IndexLink"/>
                <w:rtl w:val="true"/>
              </w:rPr>
              <w:t>:</w:t>
              <w:tab/>
            </w:r>
            <w:r>
              <w:rPr>
                <w:rStyle w:val="IndexLink"/>
              </w:rPr>
              <w:t>85</w:t>
            </w:r>
          </w:hyperlink>
        </w:p>
        <w:p>
          <w:pPr>
            <w:pStyle w:val="Contents4"/>
            <w:tabs>
              <w:tab w:val="clear" w:pos="8176"/>
              <w:tab w:val="right" w:pos="9026" w:leader="dot"/>
            </w:tabs>
            <w:rPr/>
          </w:pPr>
          <w:hyperlink w:anchor="__RefHeading___Toc2825991_3804643083">
            <w:r>
              <w:rPr>
                <w:webHidden/>
                <w:rStyle w:val="IndexLink"/>
                <w:rtl w:val="true"/>
              </w:rPr>
              <w:t>الجهة الرابعة من الکلام فی فقه الحدیث و الأقوال فیه متفاوتة و الآراء مختلفة</w:t>
            </w:r>
            <w:r>
              <w:rPr>
                <w:rStyle w:val="IndexLink"/>
                <w:rtl w:val="true"/>
              </w:rPr>
              <w:t>:</w:t>
              <w:tab/>
            </w:r>
            <w:r>
              <w:rPr>
                <w:rStyle w:val="IndexLink"/>
              </w:rPr>
              <w:t>93</w:t>
            </w:r>
          </w:hyperlink>
        </w:p>
        <w:p>
          <w:pPr>
            <w:pStyle w:val="Contents5"/>
            <w:tabs>
              <w:tab w:val="clear" w:pos="7892"/>
              <w:tab w:val="right" w:pos="9026" w:leader="dot"/>
            </w:tabs>
            <w:rPr/>
          </w:pPr>
          <w:hyperlink w:anchor="__RefHeading___Toc2825993_3804643083">
            <w:r>
              <w:rPr>
                <w:webHidden/>
                <w:rStyle w:val="IndexLink"/>
                <w:rtl w:val="true"/>
              </w:rPr>
              <w:t>الأول</w:t>
            </w:r>
            <w:r>
              <w:rPr>
                <w:rStyle w:val="IndexLink"/>
                <w:rtl w:val="true"/>
              </w:rPr>
              <w:t xml:space="preserve">: </w:t>
            </w:r>
            <w:r>
              <w:rPr>
                <w:rStyle w:val="IndexLink"/>
                <w:rtl w:val="true"/>
              </w:rPr>
              <w:t>ما أفاده الشیخ الأعظم الأنصاری قدس سره و اختاره الأستاذ دام ظلّه</w:t>
            </w:r>
            <w:r>
              <w:rPr>
                <w:rStyle w:val="IndexLink"/>
                <w:rtl w:val="true"/>
              </w:rPr>
              <w:t>:</w:t>
              <w:tab/>
            </w:r>
            <w:r>
              <w:rPr>
                <w:rStyle w:val="IndexLink"/>
              </w:rPr>
              <w:t>93</w:t>
            </w:r>
          </w:hyperlink>
        </w:p>
        <w:p>
          <w:pPr>
            <w:pStyle w:val="Contents5"/>
            <w:tabs>
              <w:tab w:val="clear" w:pos="7892"/>
              <w:tab w:val="right" w:pos="9026" w:leader="dot"/>
            </w:tabs>
            <w:rPr/>
          </w:pPr>
          <w:hyperlink w:anchor="__RefHeading___Toc2825995_3804643083">
            <w:r>
              <w:rPr>
                <w:webHidden/>
                <w:rStyle w:val="IndexLink"/>
                <w:rtl w:val="true"/>
              </w:rPr>
              <w:t>الثانی</w:t>
            </w:r>
            <w:r>
              <w:rPr>
                <w:rStyle w:val="IndexLink"/>
                <w:rtl w:val="true"/>
              </w:rPr>
              <w:t xml:space="preserve">: </w:t>
            </w:r>
            <w:r>
              <w:rPr>
                <w:rStyle w:val="IndexLink"/>
                <w:rtl w:val="true"/>
              </w:rPr>
              <w:t>ما اختاره صاحب الکفایة و هو انه نفی للحکم بلسان نفی الموضوع</w:t>
            </w:r>
            <w:r>
              <w:rPr>
                <w:rStyle w:val="IndexLink"/>
                <w:rtl w:val="true"/>
              </w:rPr>
              <w:tab/>
            </w:r>
            <w:r>
              <w:rPr>
                <w:rStyle w:val="IndexLink"/>
              </w:rPr>
              <w:t>95</w:t>
            </w:r>
          </w:hyperlink>
        </w:p>
        <w:p>
          <w:pPr>
            <w:pStyle w:val="Contents5"/>
            <w:tabs>
              <w:tab w:val="clear" w:pos="7892"/>
              <w:tab w:val="right" w:pos="9026" w:leader="dot"/>
            </w:tabs>
            <w:rPr/>
          </w:pPr>
          <w:hyperlink w:anchor="__RefHeading___Toc2825997_3804643083">
            <w:r>
              <w:rPr>
                <w:webHidden/>
                <w:rStyle w:val="IndexLink"/>
                <w:rtl w:val="true"/>
              </w:rPr>
              <w:t>الثالث</w:t>
            </w:r>
            <w:r>
              <w:rPr>
                <w:rStyle w:val="IndexLink"/>
                <w:rtl w:val="true"/>
              </w:rPr>
              <w:t xml:space="preserve">: </w:t>
            </w:r>
            <w:r>
              <w:rPr>
                <w:rStyle w:val="IndexLink"/>
                <w:rtl w:val="true"/>
              </w:rPr>
              <w:t>أن یکون المراد من الضرر غیر المتدارک منه</w:t>
            </w:r>
            <w:r>
              <w:rPr>
                <w:rStyle w:val="IndexLink"/>
                <w:rtl w:val="true"/>
              </w:rPr>
              <w:tab/>
            </w:r>
            <w:r>
              <w:rPr>
                <w:rStyle w:val="IndexLink"/>
              </w:rPr>
              <w:t>98</w:t>
            </w:r>
          </w:hyperlink>
        </w:p>
        <w:p>
          <w:pPr>
            <w:pStyle w:val="Contents5"/>
            <w:tabs>
              <w:tab w:val="clear" w:pos="7892"/>
              <w:tab w:val="right" w:pos="9026" w:leader="dot"/>
            </w:tabs>
            <w:rPr/>
          </w:pPr>
          <w:hyperlink w:anchor="__RefHeading___Toc2825999_3804643083">
            <w:r>
              <w:rPr>
                <w:webHidden/>
                <w:rStyle w:val="IndexLink"/>
                <w:rtl w:val="true"/>
              </w:rPr>
              <w:t>الرابع</w:t>
            </w:r>
            <w:r>
              <w:rPr>
                <w:rStyle w:val="IndexLink"/>
                <w:rtl w:val="true"/>
              </w:rPr>
              <w:t xml:space="preserve">: </w:t>
            </w:r>
            <w:r>
              <w:rPr>
                <w:rStyle w:val="IndexLink"/>
                <w:rtl w:val="true"/>
              </w:rPr>
              <w:t>ما ذکره بعض المعاصرین</w:t>
            </w:r>
            <w:r>
              <w:rPr>
                <w:rStyle w:val="IndexLink"/>
                <w:rtl w:val="true"/>
              </w:rPr>
              <w:tab/>
            </w:r>
            <w:r>
              <w:rPr>
                <w:rStyle w:val="IndexLink"/>
              </w:rPr>
              <w:t>101</w:t>
            </w:r>
          </w:hyperlink>
        </w:p>
        <w:p>
          <w:pPr>
            <w:pStyle w:val="Contents5"/>
            <w:tabs>
              <w:tab w:val="clear" w:pos="7892"/>
              <w:tab w:val="right" w:pos="9026" w:leader="dot"/>
            </w:tabs>
            <w:rPr/>
          </w:pPr>
          <w:hyperlink w:anchor="__RefHeading___Toc2826001_3804643083">
            <w:r>
              <w:rPr>
                <w:webHidden/>
                <w:rStyle w:val="IndexLink"/>
                <w:rtl w:val="true"/>
              </w:rPr>
              <w:t>الخامس</w:t>
            </w:r>
            <w:r>
              <w:rPr>
                <w:rStyle w:val="IndexLink"/>
                <w:rtl w:val="true"/>
              </w:rPr>
              <w:t xml:space="preserve">: </w:t>
            </w:r>
            <w:r>
              <w:rPr>
                <w:rStyle w:val="IndexLink"/>
                <w:rtl w:val="true"/>
              </w:rPr>
              <w:t>ما أصرّ علیه و اختاره الشیخ الشریعة الاصبهانی قدس سرّه</w:t>
            </w:r>
            <w:r>
              <w:rPr>
                <w:rStyle w:val="IndexLink"/>
                <w:rtl w:val="true"/>
              </w:rPr>
              <w:tab/>
            </w:r>
            <w:r>
              <w:rPr>
                <w:rStyle w:val="IndexLink"/>
              </w:rPr>
              <w:t>104</w:t>
            </w:r>
          </w:hyperlink>
        </w:p>
        <w:p>
          <w:pPr>
            <w:pStyle w:val="Contents3"/>
            <w:tabs>
              <w:tab w:val="clear" w:pos="8459"/>
              <w:tab w:val="right" w:pos="9026" w:leader="dot"/>
            </w:tabs>
            <w:rPr/>
          </w:pPr>
          <w:hyperlink w:anchor="__RefHeading___Toc2826003_3804643083">
            <w:r>
              <w:rPr>
                <w:webHidden/>
                <w:rStyle w:val="IndexLink"/>
                <w:rtl w:val="true"/>
              </w:rPr>
              <w:t>تنبیهات</w:t>
            </w:r>
            <w:r>
              <w:rPr>
                <w:rStyle w:val="IndexLink"/>
                <w:rtl w:val="true"/>
              </w:rPr>
              <w:tab/>
            </w:r>
            <w:r>
              <w:rPr>
                <w:rStyle w:val="IndexLink"/>
              </w:rPr>
              <w:t>110</w:t>
            </w:r>
          </w:hyperlink>
        </w:p>
        <w:p>
          <w:pPr>
            <w:pStyle w:val="Contents4"/>
            <w:tabs>
              <w:tab w:val="clear" w:pos="8176"/>
              <w:tab w:val="right" w:pos="9026" w:leader="dot"/>
            </w:tabs>
            <w:rPr/>
          </w:pPr>
          <w:hyperlink w:anchor="__RefHeading___Toc2826005_3804643083">
            <w:r>
              <w:rPr>
                <w:webHidden/>
                <w:rStyle w:val="IndexLink"/>
                <w:rtl w:val="true"/>
              </w:rPr>
              <w:t>التنبیه الأول</w:t>
            </w:r>
            <w:r>
              <w:rPr>
                <w:rStyle w:val="IndexLink"/>
                <w:rtl w:val="true"/>
              </w:rPr>
              <w:t xml:space="preserve">: </w:t>
            </w:r>
            <w:r>
              <w:rPr>
                <w:rStyle w:val="IndexLink"/>
                <w:rtl w:val="true"/>
              </w:rPr>
              <w:t>أفاد سیدنا الأستاذ دام ظله علی ما التقریر</w:t>
            </w:r>
            <w:r>
              <w:rPr>
                <w:rStyle w:val="IndexLink"/>
                <w:rtl w:val="true"/>
              </w:rPr>
              <w:t>:</w:t>
              <w:tab/>
            </w:r>
            <w:r>
              <w:rPr>
                <w:rStyle w:val="IndexLink"/>
              </w:rPr>
              <w:t>110</w:t>
            </w:r>
          </w:hyperlink>
        </w:p>
        <w:p>
          <w:pPr>
            <w:pStyle w:val="Contents4"/>
            <w:tabs>
              <w:tab w:val="clear" w:pos="8176"/>
              <w:tab w:val="right" w:pos="9026" w:leader="dot"/>
            </w:tabs>
            <w:rPr/>
          </w:pPr>
          <w:hyperlink w:anchor="__RefHeading___Toc2826007_3804643083">
            <w:r>
              <w:rPr>
                <w:webHidden/>
                <w:rStyle w:val="IndexLink"/>
                <w:rtl w:val="true"/>
              </w:rPr>
              <w:t>التنبیه الثانی</w:t>
            </w:r>
            <w:r>
              <w:rPr>
                <w:rStyle w:val="IndexLink"/>
                <w:rtl w:val="true"/>
              </w:rPr>
              <w:t xml:space="preserve">: </w:t>
            </w:r>
            <w:r>
              <w:rPr>
                <w:rStyle w:val="IndexLink"/>
                <w:rtl w:val="true"/>
              </w:rPr>
              <w:t>هل الضرر المرتفع فی الشریعة نوعیّ أو شخصی؟</w:t>
            </w:r>
            <w:r>
              <w:rPr>
                <w:rStyle w:val="IndexLink"/>
                <w:rtl w:val="true"/>
              </w:rPr>
              <w:tab/>
            </w:r>
            <w:r>
              <w:rPr>
                <w:rStyle w:val="IndexLink"/>
              </w:rPr>
              <w:t>115</w:t>
            </w:r>
          </w:hyperlink>
        </w:p>
        <w:p>
          <w:pPr>
            <w:pStyle w:val="Contents4"/>
            <w:tabs>
              <w:tab w:val="clear" w:pos="8176"/>
              <w:tab w:val="right" w:pos="9026" w:leader="dot"/>
            </w:tabs>
            <w:rPr/>
          </w:pPr>
          <w:hyperlink w:anchor="__RefHeading___Toc2826009_3804643083">
            <w:r>
              <w:rPr>
                <w:webHidden/>
                <w:rStyle w:val="IndexLink"/>
                <w:rtl w:val="true"/>
              </w:rPr>
              <w:t>التنبیه الثالث</w:t>
            </w:r>
            <w:r>
              <w:rPr>
                <w:rStyle w:val="IndexLink"/>
                <w:rtl w:val="true"/>
              </w:rPr>
              <w:t xml:space="preserve">: </w:t>
            </w:r>
            <w:r>
              <w:rPr>
                <w:rStyle w:val="IndexLink"/>
                <w:rtl w:val="true"/>
              </w:rPr>
              <w:t>أفاد الشیخ الأنصاری أعلی اللّه مقامه علی ما فی التقریر</w:t>
            </w:r>
            <w:r>
              <w:rPr>
                <w:rStyle w:val="IndexLink"/>
                <w:rtl w:val="true"/>
              </w:rPr>
              <w:t>:</w:t>
              <w:tab/>
            </w:r>
            <w:r>
              <w:rPr>
                <w:rStyle w:val="IndexLink"/>
              </w:rPr>
              <w:t>118</w:t>
            </w:r>
          </w:hyperlink>
        </w:p>
        <w:p>
          <w:pPr>
            <w:pStyle w:val="Contents4"/>
            <w:tabs>
              <w:tab w:val="clear" w:pos="8176"/>
              <w:tab w:val="right" w:pos="9026" w:leader="dot"/>
            </w:tabs>
            <w:rPr/>
          </w:pPr>
          <w:hyperlink w:anchor="__RefHeading___Toc2826011_3804643083">
            <w:r>
              <w:rPr>
                <w:webHidden/>
                <w:rStyle w:val="IndexLink"/>
                <w:rtl w:val="true"/>
              </w:rPr>
              <w:t>التنبیه الرابع</w:t>
            </w:r>
            <w:r>
              <w:rPr>
                <w:rStyle w:val="IndexLink"/>
                <w:rtl w:val="true"/>
              </w:rPr>
              <w:t xml:space="preserve">: </w:t>
            </w:r>
            <w:r>
              <w:rPr>
                <w:rStyle w:val="IndexLink"/>
                <w:rtl w:val="true"/>
              </w:rPr>
              <w:t>ان النسبة بین هذه القاعدة و الأدلّة الدالّة بعمومها علی تشریع الحکم الضرریّ هی العموم من وجه</w:t>
            </w:r>
            <w:r>
              <w:rPr>
                <w:rStyle w:val="IndexLink"/>
                <w:rtl w:val="true"/>
              </w:rPr>
              <w:tab/>
            </w:r>
            <w:r>
              <w:rPr>
                <w:rStyle w:val="IndexLink"/>
              </w:rPr>
              <w:t>122</w:t>
            </w:r>
          </w:hyperlink>
        </w:p>
        <w:p>
          <w:pPr>
            <w:pStyle w:val="Contents4"/>
            <w:tabs>
              <w:tab w:val="clear" w:pos="8176"/>
              <w:tab w:val="right" w:pos="9026" w:leader="dot"/>
            </w:tabs>
            <w:rPr/>
          </w:pPr>
          <w:hyperlink w:anchor="__RefHeading___Toc2826013_3804643083">
            <w:r>
              <w:rPr>
                <w:webHidden/>
                <w:rStyle w:val="IndexLink"/>
                <w:rtl w:val="true"/>
              </w:rPr>
              <w:t>التنبیه الخامس</w:t>
            </w:r>
            <w:r>
              <w:rPr>
                <w:rStyle w:val="IndexLink"/>
                <w:rtl w:val="true"/>
              </w:rPr>
              <w:t xml:space="preserve">: </w:t>
            </w:r>
            <w:r>
              <w:rPr>
                <w:rStyle w:val="IndexLink"/>
                <w:rtl w:val="true"/>
              </w:rPr>
              <w:t>ان الألفاظ مطلقا وضعت للمعانی الواقعیّة و لیس للعلم و الجهل فیها دخل،</w:t>
            </w:r>
            <w:r>
              <w:rPr>
                <w:rStyle w:val="IndexLink"/>
                <w:rtl w:val="true"/>
              </w:rPr>
              <w:tab/>
            </w:r>
            <w:r>
              <w:rPr>
                <w:rStyle w:val="IndexLink"/>
              </w:rPr>
              <w:t>124</w:t>
            </w:r>
          </w:hyperlink>
        </w:p>
        <w:p>
          <w:pPr>
            <w:pStyle w:val="Contents4"/>
            <w:tabs>
              <w:tab w:val="clear" w:pos="8176"/>
              <w:tab w:val="right" w:pos="9026" w:leader="dot"/>
            </w:tabs>
            <w:rPr/>
          </w:pPr>
          <w:hyperlink w:anchor="__RefHeading___Toc2826015_3804643083">
            <w:r>
              <w:rPr>
                <w:webHidden/>
                <w:rStyle w:val="IndexLink"/>
                <w:rtl w:val="true"/>
              </w:rPr>
              <w:t>التنبیه السادس</w:t>
            </w:r>
            <w:r>
              <w:rPr>
                <w:rStyle w:val="IndexLink"/>
                <w:rtl w:val="true"/>
              </w:rPr>
              <w:t xml:space="preserve">: </w:t>
            </w:r>
            <w:r>
              <w:rPr>
                <w:rStyle w:val="IndexLink"/>
                <w:rtl w:val="true"/>
              </w:rPr>
              <w:t>انه وقع الکلام بینهم فی ان حدیث لا ضرر کما یرفع الأحکام الوجودیة کذلک یرفع الأحکام العدمیة،</w:t>
            </w:r>
            <w:r>
              <w:rPr>
                <w:rStyle w:val="IndexLink"/>
                <w:rtl w:val="true"/>
              </w:rPr>
              <w:tab/>
            </w:r>
            <w:r>
              <w:rPr>
                <w:rStyle w:val="IndexLink"/>
              </w:rPr>
              <w:t>139</w:t>
            </w:r>
          </w:hyperlink>
        </w:p>
        <w:p>
          <w:pPr>
            <w:pStyle w:val="Contents4"/>
            <w:tabs>
              <w:tab w:val="clear" w:pos="8176"/>
              <w:tab w:val="right" w:pos="9026" w:leader="dot"/>
            </w:tabs>
            <w:rPr/>
          </w:pPr>
          <w:hyperlink w:anchor="__RefHeading___Toc2826017_3804643083">
            <w:r>
              <w:rPr>
                <w:webHidden/>
                <w:rStyle w:val="IndexLink"/>
                <w:rtl w:val="true"/>
              </w:rPr>
              <w:t>التنبیه السابع</w:t>
            </w:r>
            <w:r>
              <w:rPr>
                <w:rStyle w:val="IndexLink"/>
                <w:rtl w:val="true"/>
              </w:rPr>
              <w:t xml:space="preserve">: </w:t>
            </w:r>
            <w:r>
              <w:rPr>
                <w:rStyle w:val="IndexLink"/>
                <w:rtl w:val="true"/>
              </w:rPr>
              <w:t>فی تعارض الضررین</w:t>
            </w:r>
            <w:r>
              <w:rPr>
                <w:rStyle w:val="IndexLink"/>
                <w:rtl w:val="true"/>
              </w:rPr>
              <w:tab/>
            </w:r>
            <w:r>
              <w:rPr>
                <w:rStyle w:val="IndexLink"/>
              </w:rPr>
              <w:t>141</w:t>
            </w:r>
          </w:hyperlink>
        </w:p>
        <w:p>
          <w:pPr>
            <w:pStyle w:val="Contents5"/>
            <w:tabs>
              <w:tab w:val="clear" w:pos="7892"/>
              <w:tab w:val="right" w:pos="9026" w:leader="dot"/>
            </w:tabs>
            <w:rPr/>
          </w:pPr>
          <w:hyperlink w:anchor="__RefHeading___Toc2826019_3804643083">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2826021_3804643083">
            <w:r>
              <w:rPr>
                <w:webHidden/>
                <w:rStyle w:val="IndexLink"/>
                <w:rtl w:val="true"/>
              </w:rPr>
              <w:t>المسألة الأولی</w:t>
            </w:r>
            <w:r>
              <w:rPr>
                <w:rStyle w:val="IndexLink"/>
                <w:rtl w:val="true"/>
              </w:rPr>
              <w:t xml:space="preserve">: </w:t>
            </w:r>
            <w:r>
              <w:rPr>
                <w:rStyle w:val="IndexLink"/>
                <w:rtl w:val="true"/>
              </w:rPr>
              <w:t>انه لو دار أمر المکلّف بین ضررین،</w:t>
            </w:r>
            <w:r>
              <w:rPr>
                <w:rStyle w:val="IndexLink"/>
                <w:rtl w:val="true"/>
              </w:rPr>
              <w:tab/>
            </w:r>
            <w:r>
              <w:rPr>
                <w:rStyle w:val="IndexLink"/>
              </w:rPr>
              <w:t>141</w:t>
            </w:r>
          </w:hyperlink>
        </w:p>
        <w:p>
          <w:pPr>
            <w:pStyle w:val="Contents6"/>
            <w:tabs>
              <w:tab w:val="clear" w:pos="7609"/>
              <w:tab w:val="right" w:pos="9026" w:leader="dot"/>
            </w:tabs>
            <w:rPr/>
          </w:pPr>
          <w:hyperlink w:anchor="__RefHeading___Toc2826023_3804643083">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2826025_3804643083">
            <w:r>
              <w:rPr>
                <w:webHidden/>
                <w:rStyle w:val="IndexLink"/>
                <w:rtl w:val="true"/>
              </w:rPr>
              <w:t>الأولی</w:t>
            </w:r>
            <w:r>
              <w:rPr>
                <w:rStyle w:val="IndexLink"/>
                <w:rtl w:val="true"/>
              </w:rPr>
              <w:t xml:space="preserve">: </w:t>
            </w:r>
            <w:r>
              <w:rPr>
                <w:rStyle w:val="IndexLink"/>
                <w:rtl w:val="true"/>
              </w:rPr>
              <w:t>انه ما لو تردد بین ضررین مباحین و حکمه ظاهر</w:t>
            </w:r>
            <w:r>
              <w:rPr>
                <w:rStyle w:val="IndexLink"/>
                <w:rtl w:val="true"/>
              </w:rPr>
              <w:tab/>
            </w:r>
            <w:r>
              <w:rPr>
                <w:rStyle w:val="IndexLink"/>
              </w:rPr>
              <w:t>141</w:t>
            </w:r>
          </w:hyperlink>
        </w:p>
        <w:p>
          <w:pPr>
            <w:pStyle w:val="Contents6"/>
            <w:tabs>
              <w:tab w:val="clear" w:pos="7609"/>
              <w:tab w:val="right" w:pos="9026" w:leader="dot"/>
            </w:tabs>
            <w:rPr/>
          </w:pPr>
          <w:hyperlink w:anchor="__RefHeading___Toc2826027_3804643083">
            <w:r>
              <w:rPr>
                <w:webHidden/>
                <w:rStyle w:val="IndexLink"/>
                <w:rtl w:val="true"/>
              </w:rPr>
              <w:t>الثانیة</w:t>
            </w:r>
            <w:r>
              <w:rPr>
                <w:rStyle w:val="IndexLink"/>
                <w:rtl w:val="true"/>
              </w:rPr>
              <w:t xml:space="preserve">: </w:t>
            </w:r>
            <w:r>
              <w:rPr>
                <w:rStyle w:val="IndexLink"/>
                <w:rtl w:val="true"/>
              </w:rPr>
              <w:t>ما لو تردّد بین ضرر حرام و ضرر مباح</w:t>
            </w:r>
            <w:r>
              <w:rPr>
                <w:rStyle w:val="IndexLink"/>
                <w:rtl w:val="true"/>
              </w:rPr>
              <w:tab/>
            </w:r>
            <w:r>
              <w:rPr>
                <w:rStyle w:val="IndexLink"/>
              </w:rPr>
              <w:t>141</w:t>
            </w:r>
          </w:hyperlink>
        </w:p>
        <w:p>
          <w:pPr>
            <w:pStyle w:val="Contents6"/>
            <w:tabs>
              <w:tab w:val="clear" w:pos="7609"/>
              <w:tab w:val="right" w:pos="9026" w:leader="dot"/>
            </w:tabs>
            <w:rPr/>
          </w:pPr>
          <w:hyperlink w:anchor="__RefHeading___Toc2826029_3804643083">
            <w:r>
              <w:rPr>
                <w:webHidden/>
                <w:rStyle w:val="IndexLink"/>
                <w:rtl w:val="true"/>
              </w:rPr>
              <w:t>الثالثة</w:t>
            </w:r>
            <w:r>
              <w:rPr>
                <w:rStyle w:val="IndexLink"/>
                <w:rtl w:val="true"/>
              </w:rPr>
              <w:t xml:space="preserve">: </w:t>
            </w:r>
            <w:r>
              <w:rPr>
                <w:rStyle w:val="IndexLink"/>
                <w:rtl w:val="true"/>
              </w:rPr>
              <w:t>ما لو دار أمره بین ضررین محرمین</w:t>
            </w:r>
            <w:r>
              <w:rPr>
                <w:rStyle w:val="IndexLink"/>
                <w:rtl w:val="true"/>
              </w:rPr>
              <w:tab/>
            </w:r>
            <w:r>
              <w:rPr>
                <w:rStyle w:val="IndexLink"/>
              </w:rPr>
              <w:t>141</w:t>
            </w:r>
          </w:hyperlink>
        </w:p>
        <w:p>
          <w:pPr>
            <w:pStyle w:val="Contents5"/>
            <w:tabs>
              <w:tab w:val="clear" w:pos="7892"/>
              <w:tab w:val="right" w:pos="9026" w:leader="dot"/>
            </w:tabs>
            <w:rPr/>
          </w:pPr>
          <w:hyperlink w:anchor="__RefHeading___Toc2826031_3804643083">
            <w:r>
              <w:rPr>
                <w:webHidden/>
                <w:rStyle w:val="IndexLink"/>
                <w:rtl w:val="true"/>
              </w:rPr>
              <w:t>المسألة الثانیة</w:t>
            </w:r>
            <w:r>
              <w:rPr>
                <w:rStyle w:val="IndexLink"/>
                <w:rtl w:val="true"/>
              </w:rPr>
              <w:t xml:space="preserve">: </w:t>
            </w:r>
            <w:r>
              <w:rPr>
                <w:rStyle w:val="IndexLink"/>
                <w:rtl w:val="true"/>
              </w:rPr>
              <w:t>ما لو دار الضرر بین شخصین،</w:t>
            </w:r>
            <w:r>
              <w:rPr>
                <w:rStyle w:val="IndexLink"/>
                <w:rtl w:val="true"/>
              </w:rPr>
              <w:tab/>
            </w:r>
            <w:r>
              <w:rPr>
                <w:rStyle w:val="IndexLink"/>
              </w:rPr>
              <w:t>141</w:t>
            </w:r>
          </w:hyperlink>
        </w:p>
        <w:p>
          <w:pPr>
            <w:pStyle w:val="Contents5"/>
            <w:tabs>
              <w:tab w:val="clear" w:pos="7892"/>
              <w:tab w:val="right" w:pos="9026" w:leader="dot"/>
            </w:tabs>
            <w:rPr/>
          </w:pPr>
          <w:hyperlink w:anchor="__RefHeading___Toc2826033_3804643083">
            <w:r>
              <w:rPr>
                <w:webHidden/>
                <w:rStyle w:val="IndexLink"/>
                <w:rtl w:val="true"/>
              </w:rPr>
              <w:t>المسألة الثالثة</w:t>
            </w:r>
            <w:r>
              <w:rPr>
                <w:rStyle w:val="IndexLink"/>
                <w:rtl w:val="true"/>
              </w:rPr>
              <w:t xml:space="preserve">: </w:t>
            </w:r>
            <w:r>
              <w:rPr>
                <w:rStyle w:val="IndexLink"/>
                <w:rtl w:val="true"/>
              </w:rPr>
              <w:t>ما اذا دار الأمر بین تضرّر شخص و الاضرار بالغیر من جهة التصرّف فی ملکه،</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64_24108"/>
      <w:bookmarkStart w:id="1" w:name="pg2364_24108"/>
      <w:bookmarkEnd w:id="1"/>
    </w:p>
    <w:p>
      <w:pPr>
        <w:pStyle w:val="Heading2"/>
        <w:numPr>
          <w:ilvl w:val="1"/>
          <w:numId w:val="1"/>
        </w:numPr>
        <w:rPr/>
      </w:pPr>
      <w:bookmarkStart w:id="2" w:name="pg2364_24108"/>
      <w:bookmarkStart w:id="3" w:name="__RefHeading___Toc2825841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قمی،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العداله، التوبه،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تقریرات تقی الطباطبائی القمی؛ کتبه عباس الحاجیانی الدشتی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حاجیانی دشتی، عباس، محرر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۲۷۳۷</w:t>
      </w:r>
    </w:p>
    <w:p>
      <w:pPr>
        <w:pStyle w:val="Heading2"/>
        <w:numPr>
          <w:ilvl w:val="1"/>
          <w:numId w:val="1"/>
        </w:numPr>
        <w:rPr/>
      </w:pPr>
      <w:bookmarkStart w:id="5" w:name="__RefHeading___Toc2825843_3804643083"/>
      <w:bookmarkStart w:id="6" w:name="_Toc2"/>
      <w:bookmarkEnd w:id="5"/>
      <w:r>
        <w:rPr>
          <w:rtl w:val="true"/>
        </w:rPr>
        <w:t>[</w:t>
      </w:r>
      <w:r>
        <w:rPr>
          <w:rtl w:val="true"/>
        </w:rPr>
        <w:t>رسالة العدالة</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825845_3804643083"/>
      <w:bookmarkStart w:id="8" w:name="_Toc3"/>
      <w:bookmarkEnd w:id="7"/>
      <w:r>
        <w:rPr>
          <w:rtl w:val="true"/>
        </w:rPr>
        <w:t>اشارة</w:t>
      </w:r>
      <w:bookmarkStart w:id="9" w:name="pg2364_24110"/>
      <w:bookmarkEnd w:id="8"/>
    </w:p>
    <w:p>
      <w:pPr>
        <w:pStyle w:val="Heading3"/>
        <w:numPr>
          <w:ilvl w:val="2"/>
          <w:numId w:val="1"/>
        </w:numPr>
        <w:rPr/>
      </w:pPr>
      <w:bookmarkStart w:id="10" w:name="__RefHeading___Toc2825847_3804643083"/>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بِسْمِ اللَّهِ الرَّحْمنِ الرَّحِیمِ الْحَمْدُ لِلَّهِ رَبِّ الْعالَمِینَ، و الصلاة و السلام علی سیّدنا و نبیّنا أبی القاسم محمد بن عبد اللّه و آله الطیّبین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اللّه علی أعدائهم أجمعین، من الآن الی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رسالة فی العدالة التی استفدتها من محاضرات سیّدنا الأستاذ آیة اللّه العظمی الحاج سید تقی الطباطبائی القمی دام ظلّه</w:t>
      </w:r>
      <w:r>
        <w:rPr>
          <w:rFonts w:eastAsia="IRNazanin" w:cs="IRNazanin"/>
          <w:color w:val="111111"/>
          <w:sz w:val="28"/>
          <w:szCs w:val="28"/>
          <w:rtl w:val="true"/>
          <w:lang w:bidi="fa-IR"/>
        </w:rPr>
        <w:t>.</w:t>
      </w:r>
    </w:p>
    <w:p>
      <w:pPr>
        <w:pStyle w:val="Heading3"/>
        <w:numPr>
          <w:ilvl w:val="2"/>
          <w:numId w:val="1"/>
        </w:numPr>
        <w:rPr/>
      </w:pPr>
      <w:bookmarkStart w:id="12" w:name="__RefHeading___Toc2825849_3804643083"/>
      <w:bookmarkStart w:id="13" w:name="_Toc5"/>
      <w:bookmarkEnd w:id="12"/>
      <w:r>
        <w:rPr>
          <w:rtl w:val="true"/>
        </w:rPr>
        <w:t>و یقع الکلام فی العدالة فی مقامین</w:t>
      </w:r>
      <w:r>
        <w:rPr>
          <w:rtl w:val="true"/>
        </w:rPr>
        <w:t>:</w:t>
      </w:r>
      <w:bookmarkEnd w:id="13"/>
    </w:p>
    <w:p>
      <w:pPr>
        <w:pStyle w:val="Heading4"/>
        <w:numPr>
          <w:ilvl w:val="3"/>
          <w:numId w:val="1"/>
        </w:numPr>
        <w:rPr/>
      </w:pPr>
      <w:bookmarkStart w:id="14" w:name="__RefHeading___Toc2825851_3804643083"/>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ماهیتها و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الکاشف عنها</w:t>
      </w:r>
      <w:r>
        <w:rPr>
          <w:rFonts w:eastAsia="IRNazanin" w:cs="IRNazanin"/>
          <w:color w:val="111111"/>
          <w:sz w:val="28"/>
          <w:szCs w:val="28"/>
          <w:rtl w:val="true"/>
          <w:lang w:bidi="fa-IR"/>
        </w:rPr>
        <w:t>.</w:t>
      </w:r>
    </w:p>
    <w:p>
      <w:pPr>
        <w:pStyle w:val="Heading4"/>
        <w:numPr>
          <w:ilvl w:val="3"/>
          <w:numId w:val="1"/>
        </w:numPr>
        <w:rPr/>
      </w:pPr>
      <w:bookmarkStart w:id="16" w:name="__RefHeading___Toc2825853_3804643083"/>
      <w:bookmarkStart w:id="17" w:name="_Toc7"/>
      <w:bookmarkEnd w:id="16"/>
      <w:r>
        <w:rPr>
          <w:rtl w:val="true"/>
        </w:rPr>
        <w:t>أما المقام الأول</w:t>
      </w:r>
      <w:r>
        <w:rPr>
          <w:rtl w:val="true"/>
        </w:rPr>
        <w:t>: [</w:t>
      </w:r>
      <w:r>
        <w:rPr>
          <w:rtl w:val="true"/>
        </w:rPr>
        <w:t>فی ماهیتها و حقیقتها</w:t>
      </w:r>
      <w:r>
        <w:rPr>
          <w:rtl w:val="true"/>
        </w:rPr>
        <w:t>]</w:t>
      </w:r>
      <w:bookmarkEnd w:id="17"/>
    </w:p>
    <w:p>
      <w:pPr>
        <w:pStyle w:val="Heading5"/>
        <w:numPr>
          <w:ilvl w:val="4"/>
          <w:numId w:val="1"/>
        </w:numPr>
        <w:rPr/>
      </w:pPr>
      <w:bookmarkStart w:id="18" w:name="__RefHeading___Toc2825855_3804643083"/>
      <w:bookmarkStart w:id="19" w:name="_Toc8"/>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فالبحث فیه من جهات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فی کلام أهل اللغة فی معناها</w:t>
      </w:r>
      <w:r>
        <w:rPr>
          <w:rFonts w:eastAsia="IRNazanin" w:cs="IRNazanin"/>
          <w:color w:val="111111"/>
          <w:sz w:val="28"/>
          <w:szCs w:val="28"/>
          <w:rtl w:val="true"/>
          <w:lang w:bidi="fa-IR"/>
        </w:rPr>
        <w:t>.</w:t>
      </w:r>
      <w:bookmarkStart w:id="20" w:name="pg2364_24111"/>
    </w:p>
    <w:p>
      <w:pPr>
        <w:pStyle w:val="BookText"/>
        <w:rPr/>
      </w:pPr>
      <w:bookmarkEnd w:id="20"/>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کلام بعض الأصحاب فی 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مختارنا فی معناها</w:t>
      </w:r>
      <w:r>
        <w:rPr>
          <w:rFonts w:eastAsia="IRNazanin" w:cs="IRNazanin"/>
          <w:color w:val="111111"/>
          <w:sz w:val="28"/>
          <w:szCs w:val="28"/>
          <w:rtl w:val="true"/>
          <w:lang w:bidi="fa-IR"/>
        </w:rPr>
        <w:t>.</w:t>
      </w:r>
    </w:p>
    <w:p>
      <w:pPr>
        <w:pStyle w:val="Heading5"/>
        <w:numPr>
          <w:ilvl w:val="4"/>
          <w:numId w:val="1"/>
        </w:numPr>
        <w:rPr/>
      </w:pPr>
      <w:bookmarkStart w:id="21" w:name="__RefHeading___Toc2825857_3804643083"/>
      <w:bookmarkStart w:id="22" w:name="_Toc9"/>
      <w:bookmarkEnd w:id="21"/>
      <w:r>
        <w:rPr>
          <w:rtl w:val="true"/>
        </w:rPr>
        <w:t>أما الجهة الأولی</w:t>
      </w:r>
      <w:r>
        <w:rPr>
          <w:rtl w:val="true"/>
        </w:rPr>
        <w:t>: [</w:t>
      </w:r>
      <w:r>
        <w:rPr>
          <w:rtl w:val="true"/>
        </w:rPr>
        <w:t>فی النظر فی کلام أهل اللغة فی معناها</w:t>
      </w:r>
      <w:r>
        <w:rPr>
          <w:rtl w:val="true"/>
        </w:rPr>
        <w:t>]</w:t>
      </w:r>
      <w:bookmarkEnd w:id="22"/>
    </w:p>
    <w:p>
      <w:pPr>
        <w:pStyle w:val="BookText"/>
        <w:rPr/>
      </w:pPr>
      <w:r>
        <w:rPr>
          <w:rFonts w:ascii="IRNazanin" w:hAnsi="IRNazanin" w:eastAsia="IRNazanin"/>
          <w:color w:val="111111"/>
          <w:sz w:val="28"/>
          <w:sz w:val="28"/>
          <w:szCs w:val="28"/>
          <w:rtl w:val="true"/>
          <w:lang w:bidi="fa-IR"/>
        </w:rPr>
        <w:t>فقال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 المعادلة لفظ یقتضی معنی المساوات و یستعمل باعتبار المضایقة، و العدل و العدل یتقاربان لکن العدل یستعمل فیما یدرک بالبصیرة کالأحکام، و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عَدْلُ ذلِکَ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العدیل و العدل فیما یدرک بالحالة، کالموازنات و المعدودات و المکیلات فالعدالة هو التقسیط علی سواء و علی هذا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العدالة لغة هی التسویة بین الشیئین، و العدیل الذی یعادلک فی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مصدر ضد الظلم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الی کلام أهل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العدالة مأخوذة من العدل و هو القصد فی الأمور ضد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الی قول أهل اللغة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فالعدالة فی اللغة أن یکون الانسان متعادل الأحوال متساویا کما فی المبسوط و السرائر و الاستواء و الاستقامة کما فی المدارک و غیرها، و ربما احتمل ان العدالة من العدل و هو القصد فی الأمر ضد الجور</w:t>
      </w:r>
      <w:r>
        <w:rPr>
          <w:rFonts w:eastAsia="IRNazanin" w:cs="IRNazanin"/>
          <w:color w:val="111111"/>
          <w:sz w:val="28"/>
          <w:szCs w:val="28"/>
          <w:rtl w:val="true"/>
          <w:lang w:bidi="fa-IR"/>
        </w:rPr>
        <w:t>».</w:t>
      </w:r>
      <w:bookmarkStart w:id="23" w:name="pg2364_24112"/>
    </w:p>
    <w:p>
      <w:pPr>
        <w:pStyle w:val="BookText"/>
        <w:rPr/>
      </w:pPr>
      <w:bookmarkEnd w:id="23"/>
      <w:r>
        <w:rPr>
          <w:rFonts w:ascii="IRNazanin" w:hAnsi="IRNazanin" w:eastAsia="IRNazanin"/>
          <w:color w:val="111111"/>
          <w:sz w:val="28"/>
          <w:sz w:val="28"/>
          <w:szCs w:val="28"/>
          <w:rtl w:val="true"/>
          <w:lang w:bidi="fa-IR"/>
        </w:rPr>
        <w:t>و فی کلمات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العدالة عبارة عن تعدیل قوی النفس و تقویم أفعالها بحیث لا یغلب بعض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مجموع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العدالة عبارة عن الموازنة و التقسیط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هی المحافظة عن المیل الی الافراط أو التفریط و بعبارة واضحة ان الانسان العادل بحسب المتفاهم الخارجی عند العرف، من یکون متعارفا فی جمیع أموره، و علی هذا الأساس ذکر أرباب الحکمة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العدالة عبارة عن تعدیل قوی النفس بحیث لا یغلب بعض علی بعض فان للنفس قوّة عاقلة منشأ للنظر و قوّة غضبیة هی مبدء للغضب و قوّة شهویة مبدء لتحصیل الملاذ من النساء و الأطعمة و غیرهما، و هذه القوی متباینة ربما غلب بعضها علی بعض، و الفضیلة البشریة تعدیل هذه القوی فان لکل منها طرفا الافراط و التفریط، فاذا حصل التعادل و الخروج عن الحدّین حصل منها فضیلة رابعة و هی ملکة راسخة أمّ الفضائل فهی اذا ملکة نفسانیة منشأ لجمیع الکمالات فی الانسان</w:t>
      </w:r>
      <w:r>
        <w:rPr>
          <w:rFonts w:eastAsia="IRNazanin" w:cs="IRNazanin"/>
          <w:color w:val="111111"/>
          <w:sz w:val="28"/>
          <w:szCs w:val="28"/>
          <w:rtl w:val="true"/>
          <w:lang w:bidi="fa-IR"/>
        </w:rPr>
        <w:t>.</w:t>
      </w:r>
    </w:p>
    <w:p>
      <w:pPr>
        <w:pStyle w:val="Heading5"/>
        <w:numPr>
          <w:ilvl w:val="4"/>
          <w:numId w:val="1"/>
        </w:numPr>
        <w:rPr/>
      </w:pPr>
      <w:bookmarkStart w:id="24" w:name="__RefHeading___Toc2825859_3804643083"/>
      <w:bookmarkStart w:id="25" w:name="_Toc10"/>
      <w:bookmarkEnd w:id="24"/>
      <w:r>
        <w:rPr>
          <w:rtl w:val="true"/>
        </w:rPr>
        <w:t>و أما الجهة الثانیة</w:t>
      </w:r>
      <w:r>
        <w:rPr>
          <w:rtl w:val="true"/>
        </w:rPr>
        <w:t>: [</w:t>
      </w:r>
      <w:r>
        <w:rPr>
          <w:rtl w:val="true"/>
        </w:rPr>
        <w:t>فی نقل کلام بعض الأصحاب فی تعریفها</w:t>
      </w:r>
      <w:r>
        <w:rPr>
          <w:rtl w:val="true"/>
        </w:rPr>
        <w:t>]</w:t>
      </w:r>
      <w:bookmarkEnd w:id="25"/>
    </w:p>
    <w:p>
      <w:pPr>
        <w:pStyle w:val="Heading6"/>
        <w:numPr>
          <w:ilvl w:val="5"/>
          <w:numId w:val="1"/>
        </w:numPr>
        <w:rPr/>
      </w:pPr>
      <w:bookmarkStart w:id="26" w:name="__RefHeading___Toc2825861_3804643083"/>
      <w:bookmarkStart w:id="27" w:name="_Toc11"/>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فقد عرفت فی کلماتهم بتعاریف</w:t>
      </w:r>
      <w:r>
        <w:rPr>
          <w:rFonts w:eastAsia="IRNazanin" w:cs="IRNazanin"/>
          <w:color w:val="111111"/>
          <w:sz w:val="28"/>
          <w:szCs w:val="28"/>
          <w:rtl w:val="true"/>
          <w:lang w:bidi="fa-IR"/>
        </w:rPr>
        <w:t>:</w:t>
      </w:r>
    </w:p>
    <w:p>
      <w:pPr>
        <w:pStyle w:val="Heading6"/>
        <w:numPr>
          <w:ilvl w:val="5"/>
          <w:numId w:val="1"/>
        </w:numPr>
        <w:rPr/>
      </w:pPr>
      <w:bookmarkStart w:id="28" w:name="__RefHeading___Toc2825863_3804643083"/>
      <w:bookmarkStart w:id="29" w:name="_Toc12"/>
      <w:bookmarkEnd w:id="28"/>
      <w:r>
        <w:rPr>
          <w:rtl w:val="true"/>
        </w:rPr>
        <w:t>الأول</w:t>
      </w:r>
      <w:r>
        <w:rPr>
          <w:rtl w:val="true"/>
        </w:rPr>
        <w:t xml:space="preserve">: </w:t>
      </w:r>
      <w:r>
        <w:rPr>
          <w:rtl w:val="true"/>
        </w:rPr>
        <w:t>ان العدالة عبارة عن الإسلام مع عدم ظهور الفسق،</w:t>
      </w:r>
      <w:bookmarkEnd w:id="2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ذلک من کلام الشیخ فی کتاب الخلاف،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شهد عند الحاکم شاهدان یعرف اسلامهما و لا</w:t>
      </w:r>
    </w:p>
    <w:p>
      <w:pPr>
        <w:pStyle w:val="BookText"/>
        <w:rPr/>
      </w:pPr>
      <w:r>
        <w:rPr>
          <w:rFonts w:ascii="IRNazanin" w:hAnsi="IRNazanin" w:eastAsia="IRNazanin"/>
          <w:color w:val="111111"/>
          <w:sz w:val="28"/>
          <w:sz w:val="28"/>
          <w:szCs w:val="28"/>
          <w:rtl w:val="true"/>
          <w:lang w:bidi="fa-IR"/>
        </w:rPr>
        <w:t>یعرف فیهما جرح حکم بشهادتهما و لا یقف علی البحث الّا أن یجرح المحکوم علیه فیهما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فاسقان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منه ما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العدل من کان معروفا بالدین و الورع عن محارم اللّه تعالی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هذا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هذا القول هو الالتزام بعدالة المخالفین و أعداء الأئمة، بل و قاتلیهم فانهم أیضا کانوا یدّعون الإسلام هذا و یلزم أیضا القول بعدالة من یزنی و یسرق و یقامر الی غیر ذلک، و لکن یظهر الإسلام و لا یعلم بما یفعله أحد، فهل هذا الشخص عادل بحسب الواقع و الثبوت فان الکلام فی المقام فی الواقع و الثبوت و أما مقام الاثبات فنتعرض له عن قریب، هذا أولا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 الشیخ فی الخلاف یعاند کلامه فی النهایة و المبسوط،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الذی یجوز قبول شهادته للمسلمین و علیهم، هو أن یکون ظاهره ظاهر الایمان ثم یعرف بالستر و الصلاح و العفاف و الکف عن البطن و الفرج و الید و اللسان و یعرف باجتناب الکبائر التی</w:t>
      </w:r>
      <w:bookmarkStart w:id="30" w:name="pg2364_24114"/>
    </w:p>
    <w:p>
      <w:pPr>
        <w:pStyle w:val="BookText"/>
        <w:rPr/>
      </w:pPr>
      <w:bookmarkEnd w:id="30"/>
      <w:r>
        <w:rPr>
          <w:rFonts w:ascii="IRNazanin" w:hAnsi="IRNazanin" w:eastAsia="IRNazanin"/>
          <w:color w:val="111111"/>
          <w:sz w:val="28"/>
          <w:sz w:val="28"/>
          <w:szCs w:val="28"/>
          <w:rtl w:val="true"/>
          <w:lang w:bidi="fa-IR"/>
        </w:rPr>
        <w:t>أوعدها اللّه علیها النار من شرب الخمر و الزنا و الربا و عقوق الوالدین و الفرار من الزحف و غیر ذلک، الساتر لجمیع عیوبه و یکون متعاهدا للصلوات الخمس مواظبا علیهن حافظا لمواقیتهن متوفرا علی حضور جماعة المسلمین غیر متخلف عنهم الّا لمرض أو علّة أو عذر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الانسان متعادل الأحوال متساویا، و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کان عدلا فی دینه عدلا فی مروته عدلا فی أحکامه فالعدل فی الدین أن یکون مسلما لا یعرف منه شی‌ء من أسباب الفسق، و فی المروة أن یکون مجتنبا للأمور التی تسقط المروة مثل الأکل فی الطرقات و مد الأرجل بین الناس و لبس الثیاب المصبغة، و العدل فی الأحکام أن یکون بالغا عاقلا فمن کان عدلا فی جمیع ذلک قبلت شهادته و من لم یکن عدلا لم تقبل شهادته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فأنت تری انّ کلامه فی کتابیه ینافی ما ذکره فی الخلاف و لعلّه یکون فی الخلاف ناظرا الی معنی غیر ما نفهمه</w:t>
      </w:r>
      <w:r>
        <w:rPr>
          <w:rFonts w:eastAsia="IRNazanin" w:cs="IRNazanin"/>
          <w:color w:val="111111"/>
          <w:sz w:val="28"/>
          <w:szCs w:val="28"/>
          <w:rtl w:val="true"/>
          <w:lang w:bidi="fa-IR"/>
        </w:rPr>
        <w:t>.</w:t>
      </w:r>
    </w:p>
    <w:p>
      <w:pPr>
        <w:pStyle w:val="Heading6"/>
        <w:numPr>
          <w:ilvl w:val="5"/>
          <w:numId w:val="1"/>
        </w:numPr>
        <w:rPr/>
      </w:pPr>
      <w:bookmarkStart w:id="31" w:name="__RefHeading___Toc2825865_3804643083"/>
      <w:bookmarkStart w:id="32" w:name="_Toc13"/>
      <w:bookmarkEnd w:id="31"/>
      <w:r>
        <w:rPr>
          <w:rtl w:val="true"/>
        </w:rPr>
        <w:t>الثانی</w:t>
      </w:r>
      <w:r>
        <w:rPr>
          <w:rtl w:val="true"/>
        </w:rPr>
        <w:t xml:space="preserve">: </w:t>
      </w:r>
      <w:r>
        <w:rPr>
          <w:rtl w:val="true"/>
        </w:rPr>
        <w:t>انها عبارة عن حسن الظاهر،</w:t>
      </w:r>
      <w:bookmarkEnd w:id="3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قول أکثر</w:t>
      </w:r>
      <w:bookmarkStart w:id="33" w:name="pg2364_24115"/>
    </w:p>
    <w:p>
      <w:pPr>
        <w:pStyle w:val="BookText"/>
        <w:rPr/>
      </w:pPr>
      <w:bookmarkEnd w:id="33"/>
      <w:r>
        <w:rPr>
          <w:rFonts w:ascii="IRNazanin" w:hAnsi="IRNazanin" w:eastAsia="IRNazanin"/>
          <w:color w:val="111111"/>
          <w:sz w:val="28"/>
          <w:sz w:val="28"/>
          <w:szCs w:val="28"/>
          <w:rtl w:val="true"/>
          <w:lang w:bidi="fa-IR"/>
        </w:rPr>
        <w:t>متأخّری المتأخّرین، و غیر خفی علی الباحث ان هذا القول لیس الّا القول الأول فیرد علیه ما أوردنا علی سابقه</w:t>
      </w:r>
      <w:r>
        <w:rPr>
          <w:rFonts w:eastAsia="IRNazanin" w:cs="IRNazanin"/>
          <w:color w:val="111111"/>
          <w:sz w:val="28"/>
          <w:szCs w:val="28"/>
          <w:rtl w:val="true"/>
          <w:lang w:bidi="fa-IR"/>
        </w:rPr>
        <w:t>.</w:t>
      </w:r>
    </w:p>
    <w:p>
      <w:pPr>
        <w:pStyle w:val="Heading6"/>
        <w:numPr>
          <w:ilvl w:val="5"/>
          <w:numId w:val="1"/>
        </w:numPr>
        <w:rPr/>
      </w:pPr>
      <w:bookmarkStart w:id="34" w:name="__RefHeading___Toc2825867_3804643083"/>
      <w:bookmarkStart w:id="35" w:name="_Toc14"/>
      <w:bookmarkEnd w:id="34"/>
      <w:r>
        <w:rPr>
          <w:rtl w:val="true"/>
        </w:rPr>
        <w:t>الثالث</w:t>
      </w:r>
      <w:r>
        <w:rPr>
          <w:rtl w:val="true"/>
        </w:rPr>
        <w:t xml:space="preserve">: </w:t>
      </w:r>
      <w:r>
        <w:rPr>
          <w:rtl w:val="true"/>
        </w:rPr>
        <w:t>انها ملکة نفسانیة</w:t>
      </w:r>
      <w:bookmarkEnd w:id="35"/>
    </w:p>
    <w:p>
      <w:pPr>
        <w:pStyle w:val="BookText"/>
        <w:rPr/>
      </w:pPr>
      <w:r>
        <w:rPr>
          <w:rFonts w:ascii="IRNazanin" w:hAnsi="IRNazanin" w:eastAsia="IRNazanin"/>
          <w:color w:val="111111"/>
          <w:sz w:val="28"/>
          <w:sz w:val="28"/>
          <w:szCs w:val="28"/>
          <w:rtl w:val="true"/>
          <w:lang w:bidi="fa-IR"/>
        </w:rPr>
        <w:t>تبعث علی ملازمة التقوی و المروة</w:t>
      </w:r>
      <w:r>
        <w:rPr>
          <w:rFonts w:eastAsia="IRNazanin" w:cs="IRNazanin"/>
          <w:color w:val="111111"/>
          <w:sz w:val="28"/>
          <w:szCs w:val="28"/>
          <w:rtl w:val="true"/>
          <w:lang w:bidi="fa-IR"/>
        </w:rPr>
        <w:t>.</w:t>
      </w:r>
    </w:p>
    <w:p>
      <w:pPr>
        <w:pStyle w:val="Heading6"/>
        <w:numPr>
          <w:ilvl w:val="5"/>
          <w:numId w:val="1"/>
        </w:numPr>
        <w:rPr/>
      </w:pPr>
      <w:bookmarkStart w:id="36" w:name="__RefHeading___Toc2825869_3804643083"/>
      <w:bookmarkStart w:id="37" w:name="_Toc15"/>
      <w:bookmarkEnd w:id="36"/>
      <w:r>
        <w:rPr>
          <w:rtl w:val="true"/>
        </w:rPr>
        <w:t>الرابع</w:t>
      </w:r>
      <w:r>
        <w:rPr>
          <w:rtl w:val="true"/>
        </w:rPr>
        <w:t xml:space="preserve">: </w:t>
      </w:r>
      <w:r>
        <w:rPr>
          <w:rtl w:val="true"/>
        </w:rPr>
        <w:t>انها ترک المعاصی منتسبا الی الملکة النفسانیة</w:t>
      </w:r>
      <w:r>
        <w:rPr>
          <w:rtl w:val="true"/>
        </w:rPr>
        <w:t>.</w:t>
      </w:r>
      <w:bookmarkEnd w:id="37"/>
    </w:p>
    <w:p>
      <w:pPr>
        <w:pStyle w:val="BookText"/>
        <w:rPr/>
      </w:pPr>
      <w:r>
        <w:rPr>
          <w:rFonts w:ascii="IRNazanin" w:hAnsi="IRNazanin" w:eastAsia="IRNazanin"/>
          <w:color w:val="111111"/>
          <w:sz w:val="28"/>
          <w:sz w:val="28"/>
          <w:szCs w:val="28"/>
          <w:rtl w:val="true"/>
          <w:lang w:bidi="fa-IR"/>
        </w:rPr>
        <w:t>و لا یخفی ان مرجع هذین التعریفین الی قول واحد و یرد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اشکال فی ان مجرد الملکة مع صدور العصیان لا یکفی فی صدق العدالة و الّا کان اللازم أن یصدق علی انسان عنوان العادل فی حال صدور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له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w:t>
      </w:r>
    </w:p>
    <w:p>
      <w:pPr>
        <w:pStyle w:val="Heading5"/>
        <w:numPr>
          <w:ilvl w:val="4"/>
          <w:numId w:val="1"/>
        </w:numPr>
        <w:rPr/>
      </w:pPr>
      <w:bookmarkStart w:id="38" w:name="__RefHeading___Toc2825871_3804643083"/>
      <w:bookmarkStart w:id="39" w:name="_Toc16"/>
      <w:bookmarkEnd w:id="38"/>
      <w:r>
        <w:rPr>
          <w:rtl w:val="true"/>
        </w:rPr>
        <w:t>و أما الجهة الثالثة</w:t>
      </w:r>
      <w:r>
        <w:rPr>
          <w:rtl w:val="true"/>
        </w:rPr>
        <w:t>: [</w:t>
      </w:r>
      <w:r>
        <w:rPr>
          <w:rtl w:val="true"/>
        </w:rPr>
        <w:t>فی مختارنا فی معناها</w:t>
      </w:r>
      <w:r>
        <w:rPr>
          <w:rtl w:val="true"/>
        </w:rPr>
        <w:t>.]</w:t>
      </w:r>
      <w:bookmarkEnd w:id="39"/>
    </w:p>
    <w:p>
      <w:pPr>
        <w:pStyle w:val="Heading6"/>
        <w:numPr>
          <w:ilvl w:val="5"/>
          <w:numId w:val="1"/>
        </w:numPr>
        <w:rPr/>
      </w:pPr>
      <w:bookmarkStart w:id="40" w:name="__RefHeading___Toc2825873_3804643083"/>
      <w:bookmarkStart w:id="41" w:name="_Toc17"/>
      <w:bookmarkEnd w:id="40"/>
      <w:r>
        <w:rPr>
          <w:rtl w:val="true"/>
        </w:rPr>
        <w:t>اشارة</w:t>
      </w:r>
      <w:bookmarkEnd w:id="4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ان الحق فی تعریفها هو القول الخامس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عبارة عن اجتناب المعاصی کلها أو خصوص الکبائر و عدم الاصرار علی الصغائر و خلاف المروة بلا اشتراط الملکة فی ذلک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ظهر من کلام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الاستواء و الاستقامة و بعبارة أخری العدالة هی عدم الاعوجاج، و من المعلوم ان الاستواء فی کل شی‌ء یکون بحسبه فالاستواء و العدالة فی الخشبة عبارة عن عدم اعوجاجها، و العدالة فی الانسان عبارة عن عدم اعوجاجه عن جادة الشرع، فلو کان المکلف فی جمیع أفعاله و تروکه فی طریق الشرع فلا اشکال فی</w:t>
      </w:r>
    </w:p>
    <w:p>
      <w:pPr>
        <w:pStyle w:val="BookText"/>
        <w:rPr/>
      </w:pPr>
      <w:r>
        <w:rPr>
          <w:rFonts w:ascii="IRNazanin" w:hAnsi="IRNazanin" w:eastAsia="IRNazanin"/>
          <w:color w:val="111111"/>
          <w:sz w:val="28"/>
          <w:sz w:val="28"/>
          <w:szCs w:val="28"/>
          <w:rtl w:val="true"/>
          <w:lang w:bidi="fa-IR"/>
        </w:rPr>
        <w:t>صدق هذا العنوان علیه، و لو لم تکن فیه ملکة مقتضیة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العدل عبارة عن الاستواء و الاستقامة فی جادة الشرع بأن نحو کان، و لا یلزم فی صدق هذا العنوان أن یکون هذا الاستواء عن مقتضی نفسی بداع الهیّ، فلو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خشبة تکون معوجة بطبعها الأولی لکن عدلها قاصر و لا زال عدلا بقصر القاصر، فهل هذه الخشبة لا تکون عدلا؟ لا اشکال فی صدق العدل علیها، و الّا یلزم أن یصدق علیها المعوج،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التارک للمعاصی بأیّ وجه کان و بأیّ مقتضی و بأیّ ملاک و بأیّ داعی ینطبق علیه عنوان العادل فلو فرض ان شخصا لا یسرق لعدم تعلمه طریق السرقة و لا یزنی لعدم قدرته علی الزنا و لا یقتل لضعف قلبه أو لعدم قدرته و لا یضرب خوفا من الفضیحة و لا یتعرّض لنوامیس الناس لغیرته الی غیر ذلک، ففی الأمثال المذکورة یصدق علی الشخص انه فی الجادة المستقیمة و لا یمکن صدق عنوان آخر علیه بحیث لا یکون عادلا و لا فاسقا لأنا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الشخص علی الجادة أم لا؟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أفاد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الاستقامة من أوصاف السالک علی الجادة فانه یوصف بالاستقامة تارة و بضدّها</w:t>
      </w:r>
    </w:p>
    <w:p>
      <w:pPr>
        <w:pStyle w:val="BookText"/>
        <w:rPr/>
      </w:pPr>
      <w:r>
        <w:rPr>
          <w:rFonts w:ascii="IRNazanin" w:hAnsi="IRNazanin" w:eastAsia="IRNazanin"/>
          <w:color w:val="111111"/>
          <w:sz w:val="28"/>
          <w:sz w:val="28"/>
          <w:szCs w:val="28"/>
          <w:rtl w:val="true"/>
          <w:lang w:bidi="fa-IR"/>
        </w:rPr>
        <w:t>أخری، و من لا یبتلی بالمعاصی لیس علی الجادة فلا بعد فی عدم صدق العادل علیه کما انه لا یصدق علیه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کما تری فانا قد حقّقنا ان العادل یصدق علی تارک المعاصی بأیّ داعی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ان الاستقامة و العدالة تتحقّقان بمجرد کون الشخص علی الجادة فلا مانع من الحکم ببقائها بعد ذلک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الشخص علی الجادة و الطریق المستقیم بحیث لا یکون تارکا لما هو واجب علیه و لا یکون فاعلا لما حرم علیه بأیّ ملاک کان و بأیّ داعی یصدق علیه انه عادل فی هذا الطریق و لم یمل یمینا و لا شمالا و لذا نری فی کثیر من الموارد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فی الحال الحاضر عادل 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یلزم الالتزام بعدالة من یکون مشکوک الحال بأن لا نعلم ما حاله فی ارتکاب المعاصی و عدمه، بأن نقول مقتضی الاستصحاب عدم صدور العصیان عنه، و هو کما تری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المذکور مبنی علی حجیة المثبت، اذ استصحاب عدم صدور العصیان لا یثبت اتیانه بالواجبات، و هو کما تری، نعم بعد احراز کونه علی الجادة لا مانع من الحکم</w:t>
      </w:r>
    </w:p>
    <w:p>
      <w:pPr>
        <w:pStyle w:val="BookText"/>
        <w:rPr/>
      </w:pPr>
      <w:r>
        <w:rPr>
          <w:rFonts w:ascii="IRNazanin" w:hAnsi="IRNazanin" w:eastAsia="IRNazanin"/>
          <w:color w:val="111111"/>
          <w:sz w:val="28"/>
          <w:sz w:val="28"/>
          <w:szCs w:val="28"/>
          <w:rtl w:val="true"/>
          <w:lang w:bidi="fa-IR"/>
        </w:rPr>
        <w:t>بالبقاء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عما ذکرنا و قلنا بأن مجرد ترک المعاصی و اتیان الواجبات لا یقتضی صدق العادل علی التارک و الآتی، فلا نسلم اشتراط الملکة فی صدق العدالة اذ لا شبهة فی ان العدالة بالمعنی الشرعی من صفات الفعل لا من صفات النفس، و لتوضیح المقال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العدالة عند علماء الأخلاق، هیئة و ملکة یقتدر بها العقل العملی علی تعدیل القوی الثلاث من العاقلة و الغضبیة و الشهویة علی حسب العقل النظری فالعدالة عندهم فی القلب کاعتدال المزاج فی القالب و بالجملة فضیلة القوّة المدرکة هی الحکمة و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النافع قال 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وسط بین السفه و البله و المراد بالسفه اشغال الفکر فیما لا ینبغی و 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القوة المدرکة و عند القوم السفه عبارة عن الجربزة و فضیلة القوة الشهویة العفّة و فضیلة القوّة الغضبیة الشجاعة و فضیلة النفس الناطقة من حیث العقل العملی العدالة و هی أم الفضائل فالحکمة و العلم وسط بین الجربزة و البلاهة و العفّة وسط بین الشره و الخمود، و الشجاعة وسط بین التهوّر و الجبن فالعدالة وسط بین الظلم و الانظلام أی قبول الظلم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فالی هنا انتج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العدالة فی الشرع عبارة عن کون</w:t>
      </w:r>
      <w:bookmarkStart w:id="42" w:name="pg2364_24119"/>
    </w:p>
    <w:p>
      <w:pPr>
        <w:pStyle w:val="BookText"/>
        <w:rPr/>
      </w:pPr>
      <w:bookmarkEnd w:id="42"/>
      <w:r>
        <w:rPr>
          <w:rFonts w:ascii="IRNazanin" w:hAnsi="IRNazanin" w:eastAsia="IRNazanin"/>
          <w:color w:val="111111"/>
          <w:sz w:val="28"/>
          <w:sz w:val="28"/>
          <w:szCs w:val="28"/>
          <w:rtl w:val="true"/>
          <w:lang w:bidi="fa-IR"/>
        </w:rPr>
        <w:t>المکلف علی جادة الشرع و یکون بحیث لا ینحرف عنها و لا دلیل علی اشتراط الملکة فی تحقّق العدالة کما انه لا دلیل علی انها هی الملکة</w:t>
      </w:r>
      <w:r>
        <w:rPr>
          <w:rFonts w:eastAsia="IRNazanin" w:cs="IRNazanin"/>
          <w:color w:val="111111"/>
          <w:sz w:val="28"/>
          <w:szCs w:val="28"/>
          <w:rtl w:val="true"/>
          <w:lang w:bidi="fa-IR"/>
        </w:rPr>
        <w:t>.</w:t>
      </w:r>
    </w:p>
    <w:p>
      <w:pPr>
        <w:pStyle w:val="Heading6"/>
        <w:numPr>
          <w:ilvl w:val="5"/>
          <w:numId w:val="1"/>
        </w:numPr>
        <w:rPr/>
      </w:pPr>
      <w:bookmarkStart w:id="43" w:name="__RefHeading___Toc2825875_3804643083"/>
      <w:bookmarkStart w:id="44" w:name="_Toc18"/>
      <w:bookmarkEnd w:id="43"/>
      <w:r>
        <w:rPr>
          <w:rtl w:val="true"/>
        </w:rPr>
        <w:t>أدلة القائلین باعتبار الملکة فی العدالة</w:t>
      </w:r>
      <w:r>
        <w:rPr>
          <w:rtl w:val="true"/>
        </w:rPr>
        <w:t>:</w:t>
      </w:r>
      <w:bookmarkEnd w:id="44"/>
    </w:p>
    <w:p>
      <w:pPr>
        <w:pStyle w:val="Heading6"/>
        <w:numPr>
          <w:ilvl w:val="5"/>
          <w:numId w:val="1"/>
        </w:numPr>
        <w:rPr/>
      </w:pPr>
      <w:bookmarkStart w:id="45" w:name="__RefHeading___Toc2825877_3804643083"/>
      <w:bookmarkStart w:id="46" w:name="_Toc19"/>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و ما یمکن أن یقال فی وجه اعتبارها فیها أو قیل أمور</w:t>
      </w:r>
      <w:r>
        <w:rPr>
          <w:rFonts w:eastAsia="IRNazanin" w:cs="IRNazanin"/>
          <w:color w:val="111111"/>
          <w:sz w:val="28"/>
          <w:szCs w:val="28"/>
          <w:rtl w:val="true"/>
          <w:lang w:bidi="fa-IR"/>
        </w:rPr>
        <w:t>:</w:t>
      </w:r>
    </w:p>
    <w:p>
      <w:pPr>
        <w:pStyle w:val="Heading6"/>
        <w:numPr>
          <w:ilvl w:val="5"/>
          <w:numId w:val="1"/>
        </w:numPr>
        <w:rPr/>
      </w:pPr>
      <w:bookmarkStart w:id="47" w:name="__RefHeading___Toc2825879_3804643083"/>
      <w:bookmarkStart w:id="48" w:name="_Toc20"/>
      <w:bookmarkEnd w:id="47"/>
      <w:r>
        <w:rPr>
          <w:rtl w:val="true"/>
        </w:rPr>
        <w:t>الأول</w:t>
      </w:r>
      <w:r>
        <w:rPr>
          <w:rtl w:val="true"/>
        </w:rPr>
        <w:t xml:space="preserve">: </w:t>
      </w:r>
      <w:r>
        <w:rPr>
          <w:rtl w:val="true"/>
        </w:rPr>
        <w:t>الأصل</w:t>
      </w:r>
      <w:bookmarkEnd w:id="48"/>
    </w:p>
    <w:p>
      <w:pPr>
        <w:pStyle w:val="BookText"/>
        <w:rPr/>
      </w:pPr>
      <w:r>
        <w:rPr>
          <w:rFonts w:ascii="IRNazanin" w:hAnsi="IRNazanin" w:eastAsia="IRNazanin"/>
          <w:color w:val="111111"/>
          <w:sz w:val="28"/>
          <w:sz w:val="28"/>
          <w:szCs w:val="28"/>
          <w:rtl w:val="true"/>
          <w:lang w:bidi="fa-IR"/>
        </w:rPr>
        <w:t>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الأصل عدم جواز تقلید من لیست له الملکة و عدم جواز الصلاة خلفه و الایتمام به و عدم قبول شهادته الی غیر ذلک مما یعتبر فیه العدالة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مجال للأصل مع وجود الدلیل فانه لم تثبت حقیقة شرعیة فی لفظ العدالة و قد أثبتنا سابقا ان العادل فی الشرع من یکون علی الجادة فکل حکم یترتب علی عنوان العدالة یترتب علی من کان کذلک و لا وجه للتوقّف هذا مضافا الی انه یستفاد من الدلیل الخاص کفایة الاستقامة العملیّة کما سنبیّن إن شاء اللّه تعالی، أضف الی ذلک انه لو تم دلالة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علی جواز التقلید نأخذ باطلاقه و مع تقیید اطلاقه بأدلة العدالة نأخذ بالقدر المتیقن اذ اجمال الدلیل المنفصل فیما یکون الأمر دائرا بین الأقل و الأکثر لا یسری الی العام و المطلق کما حقّق فی محله، أضف</w:t>
      </w:r>
      <w:bookmarkStart w:id="49" w:name="pg2364_24120"/>
    </w:p>
    <w:p>
      <w:pPr>
        <w:pStyle w:val="BookText"/>
        <w:rPr/>
      </w:pPr>
      <w:bookmarkEnd w:id="49"/>
      <w:r>
        <w:rPr>
          <w:rFonts w:ascii="IRNazanin" w:hAnsi="IRNazanin" w:eastAsia="IRNazanin"/>
          <w:color w:val="111111"/>
          <w:sz w:val="28"/>
          <w:sz w:val="28"/>
          <w:szCs w:val="28"/>
          <w:rtl w:val="true"/>
          <w:lang w:bidi="fa-IR"/>
        </w:rPr>
        <w:t>الی ذلک کله انه یکفی فی جواز التقلید الاطلاق الوارد فی الروایات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Style w:val="FootnoteAnchor"/>
          <w:rtl w:val="true"/>
        </w:rPr>
        <w:footnoteReference w:id="7"/>
      </w:r>
      <w:r>
        <w:rPr>
          <w:rFonts w:ascii="IRNazanin" w:hAnsi="IRNazanin" w:eastAsia="IRNazanin"/>
          <w:color w:val="111111"/>
          <w:sz w:val="28"/>
          <w:sz w:val="28"/>
          <w:szCs w:val="28"/>
          <w:rtl w:val="true"/>
          <w:lang w:bidi="fa-IR"/>
        </w:rPr>
        <w:t>فان کان عارفا بالأحکام و صدق علیه العناوین المذکورة یجوز تقلیده سواء کانت له ملکة أم لا و لکن الروایة ضعیفة سندا</w:t>
      </w:r>
      <w:r>
        <w:rPr>
          <w:rFonts w:eastAsia="IRNazanin" w:cs="IRNazanin"/>
          <w:color w:val="111111"/>
          <w:sz w:val="28"/>
          <w:szCs w:val="28"/>
          <w:rtl w:val="true"/>
          <w:lang w:bidi="fa-IR"/>
        </w:rPr>
        <w:t>.</w:t>
      </w:r>
    </w:p>
    <w:p>
      <w:pPr>
        <w:pStyle w:val="Heading6"/>
        <w:numPr>
          <w:ilvl w:val="5"/>
          <w:numId w:val="1"/>
        </w:numPr>
        <w:rPr/>
      </w:pPr>
      <w:bookmarkStart w:id="50" w:name="__RefHeading___Toc2825881_3804643083"/>
      <w:bookmarkStart w:id="51" w:name="_Toc21"/>
      <w:bookmarkEnd w:id="50"/>
      <w:r>
        <w:rPr>
          <w:rtl w:val="true"/>
        </w:rPr>
        <w:t>الثانی</w:t>
      </w:r>
      <w:r>
        <w:rPr>
          <w:rtl w:val="true"/>
        </w:rPr>
        <w:t xml:space="preserve">: </w:t>
      </w:r>
      <w:r>
        <w:rPr>
          <w:rtl w:val="true"/>
        </w:rPr>
        <w:t>ما أفاده الشیخ الأعظم قدس سره</w:t>
      </w:r>
      <w:r>
        <w:rPr>
          <w:rtl w:val="true"/>
        </w:rPr>
        <w:t xml:space="preserve">- </w:t>
      </w:r>
      <w:r>
        <w:rPr>
          <w:rtl w:val="true"/>
        </w:rPr>
        <w:t>فی رسالة العدالة</w:t>
      </w:r>
      <w:r>
        <w:rPr>
          <w:rtl w:val="true"/>
        </w:rPr>
        <w:t xml:space="preserve">- </w:t>
      </w:r>
      <w:r>
        <w:rPr>
          <w:rtl w:val="true"/>
        </w:rPr>
        <w:t>و هو ان الوثوق بدین امام الجماعة معتبر</w:t>
      </w:r>
      <w:bookmarkEnd w:id="51"/>
    </w:p>
    <w:p>
      <w:pPr>
        <w:pStyle w:val="BookText"/>
        <w:rPr/>
      </w:pPr>
      <w:r>
        <w:rPr>
          <w:rFonts w:ascii="IRNazanin" w:hAnsi="IRNazanin" w:eastAsia="IRNazanin"/>
          <w:color w:val="111111"/>
          <w:sz w:val="28"/>
          <w:sz w:val="28"/>
          <w:szCs w:val="28"/>
          <w:rtl w:val="true"/>
          <w:lang w:bidi="fa-IR"/>
        </w:rPr>
        <w:t>فی صحّة الجماعة و الوثوق لا یحصل بمجرد ترکه المعاصی فی جمیع ما مضی من عمره ما لم یعلم أو یظن فیه ملکة الترک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الدلیل علی اعتبار الوثوق بدین امام الجماعة روایتان ضعیفتان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رواها أبی علی بن راشد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الّا خلف من تثق بدینه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هذه الروایة ضعیفة بسهل بن زیاد،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رواها یزید بن حماد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أصلی خلف من لا أعرف؟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الّا خلف من تثق بدینه</w:t>
      </w:r>
      <w:r>
        <w:rPr>
          <w:rStyle w:val="FootnoteAnchor"/>
          <w:rtl w:val="true"/>
        </w:rPr>
        <w:footnoteReference w:id="9"/>
      </w:r>
      <w:r>
        <w:rPr>
          <w:rFonts w:ascii="IRNazanin" w:hAnsi="IRNazanin" w:eastAsia="IRNazanin"/>
          <w:color w:val="111111"/>
          <w:sz w:val="28"/>
          <w:sz w:val="28"/>
          <w:szCs w:val="28"/>
          <w:rtl w:val="true"/>
          <w:lang w:bidi="fa-IR"/>
        </w:rPr>
        <w:t>و هذه الروایة ضعیفة بآدم بن محمد</w:t>
      </w:r>
      <w:r>
        <w:rPr>
          <w:rFonts w:eastAsia="IRNazanin" w:cs="IRNazanin"/>
          <w:color w:val="111111"/>
          <w:sz w:val="28"/>
          <w:szCs w:val="28"/>
          <w:rtl w:val="true"/>
          <w:lang w:bidi="fa-IR"/>
        </w:rPr>
        <w:t>.</w:t>
      </w:r>
      <w:bookmarkStart w:id="52" w:name="pg2364_24121"/>
    </w:p>
    <w:p>
      <w:pPr>
        <w:pStyle w:val="BookText"/>
        <w:rPr/>
      </w:pPr>
      <w:bookmarkEnd w:id="52"/>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ریب فی انه لو عاشرنا مع شخص و رأینا انه مواظب علی اتیان الواجبات و ترک المحرّمات و لو بداع نفسانی کالخوف من اللّه تعالی فی عباداته المتوقفة علی قصد التقرّب أو بداع آخر بالنسبة الی الواجبات التوصلیة و المحرّمات و الفرض انه لا یشترط فی صدق العادل علی الشخص بأن یکون تروکه و أفعاله بداع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لا یشرب الخمر بأیّ داع من الدواعی عمل بوظیفته فان وظیفته ترک شرب الخمر، و هو تارک فیحصل الوثوق بأنه علی الجادة بالنسبة الی المستقبل کما حصل بالنسبة الی ما مضی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الوثوق بکونه علی الجادة و علم هذا المعنی فببرکة الاستصحاب نحکم ببقائه علی الجادة فلا اشکال</w:t>
      </w:r>
      <w:r>
        <w:rPr>
          <w:rFonts w:eastAsia="IRNazanin" w:cs="IRNazanin"/>
          <w:color w:val="111111"/>
          <w:sz w:val="28"/>
          <w:szCs w:val="28"/>
          <w:rtl w:val="true"/>
          <w:lang w:bidi="fa-IR"/>
        </w:rPr>
        <w:t>.</w:t>
      </w:r>
    </w:p>
    <w:p>
      <w:pPr>
        <w:pStyle w:val="Heading6"/>
        <w:numPr>
          <w:ilvl w:val="5"/>
          <w:numId w:val="1"/>
        </w:numPr>
        <w:rPr/>
      </w:pPr>
      <w:bookmarkStart w:id="53" w:name="__RefHeading___Toc2825883_3804643083"/>
      <w:bookmarkStart w:id="54" w:name="_Toc22"/>
      <w:bookmarkEnd w:id="53"/>
      <w:r>
        <w:rPr>
          <w:rtl w:val="true"/>
        </w:rPr>
        <w:t>الثالث</w:t>
      </w:r>
      <w:r>
        <w:rPr>
          <w:rtl w:val="true"/>
        </w:rPr>
        <w:t xml:space="preserve">: </w:t>
      </w:r>
      <w:r>
        <w:rPr>
          <w:rtl w:val="true"/>
        </w:rPr>
        <w:t>ما عنه أیضا</w:t>
      </w:r>
      <w:r>
        <w:rPr>
          <w:rtl w:val="true"/>
        </w:rPr>
        <w:t xml:space="preserve">- </w:t>
      </w:r>
      <w:r>
        <w:rPr>
          <w:rtl w:val="true"/>
        </w:rPr>
        <w:t>فی رسالة العدالة</w:t>
      </w:r>
      <w:r>
        <w:rPr>
          <w:rtl w:val="true"/>
        </w:rPr>
        <w:t xml:space="preserve">- </w:t>
      </w:r>
      <w:r>
        <w:rPr>
          <w:rtl w:val="true"/>
        </w:rPr>
        <w:t>بأنه قد اعتبر فی الشاهد حسب دلالة النصوص المأمونیة</w:t>
      </w:r>
      <w:bookmarkEnd w:id="5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روایة یونس بن عبد الرحمن عن بعض رجاله عن أبی عبد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الروایة فاذا کان ظاهر الرجل ظاهرا مأمونا جازت شهادته و لا یسأل عن باطنه</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العفّة کما فی روایة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الضیف اذا کان عفیفا صائنا</w:t>
      </w:r>
      <w:r>
        <w:rPr>
          <w:rStyle w:val="FootnoteAnchor"/>
          <w:rtl w:val="true"/>
        </w:rPr>
        <w:footnoteReference w:id="11"/>
      </w:r>
      <w:r>
        <w:rPr>
          <w:rFonts w:ascii="IRNazanin" w:hAnsi="IRNazanin" w:eastAsia="IRNazanin"/>
          <w:color w:val="111111"/>
          <w:sz w:val="28"/>
          <w:sz w:val="28"/>
          <w:szCs w:val="28"/>
          <w:rtl w:val="true"/>
          <w:lang w:bidi="fa-IR"/>
        </w:rPr>
        <w:t>و الصیانة کما فی روایة أبی بصیر أیضا و الصلاح کما فی روایة العلاء بن سیابة عن أبی عبد اللّه علیه السلام ان أبا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سابق الحاج لأنه قتل راحلته و دفن زاده و أتعب نفسه و استخفّ بصلاته،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فالمکاری و الجمّال و الملّاح؟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بأس بهم تقبل شهادتهم اذا کانوا صلحاء</w:t>
      </w:r>
      <w:r>
        <w:rPr>
          <w:rStyle w:val="FootnoteAnchor"/>
          <w:rtl w:val="true"/>
        </w:rPr>
        <w:footnoteReference w:id="12"/>
      </w:r>
      <w:r>
        <w:rPr>
          <w:rFonts w:ascii="IRNazanin" w:hAnsi="IRNazanin" w:eastAsia="IRNazanin"/>
          <w:color w:val="111111"/>
          <w:sz w:val="28"/>
          <w:sz w:val="28"/>
          <w:szCs w:val="28"/>
          <w:rtl w:val="true"/>
          <w:lang w:bidi="fa-IR"/>
        </w:rPr>
        <w:t>و المرضی کما فی روایة السکونی عن جعفر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شهادة الأخ لأخیه تجوز اذا کان مرضیّا</w:t>
      </w:r>
      <w:r>
        <w:rPr>
          <w:rStyle w:val="FootnoteAnchor"/>
          <w:rtl w:val="true"/>
        </w:rPr>
        <w:footnoteReference w:id="13"/>
      </w:r>
      <w:r>
        <w:rPr>
          <w:rFonts w:ascii="IRNazanin" w:hAnsi="IRNazanin" w:eastAsia="IRNazanin"/>
          <w:color w:val="111111"/>
          <w:sz w:val="28"/>
          <w:sz w:val="28"/>
          <w:szCs w:val="28"/>
          <w:rtl w:val="true"/>
          <w:lang w:bidi="fa-IR"/>
        </w:rPr>
        <w:t>و الخیر کما فی روایة عمار بن مروان عن أبی عبد اللّه علیه السلام فی الرجل یشهد لابنه و الابن لأبیه و الرجل لامرأته؟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اذا کان خیرا</w:t>
      </w:r>
      <w:r>
        <w:rPr>
          <w:rStyle w:val="FootnoteAnchor"/>
          <w:rtl w:val="true"/>
        </w:rPr>
        <w:footnoteReference w:id="14"/>
      </w:r>
      <w:r>
        <w:rPr>
          <w:rFonts w:ascii="IRNazanin" w:hAnsi="IRNazanin" w:eastAsia="IRNazanin"/>
          <w:color w:val="111111"/>
          <w:sz w:val="28"/>
          <w:sz w:val="28"/>
          <w:szCs w:val="28"/>
          <w:rtl w:val="true"/>
          <w:lang w:bidi="fa-IR"/>
        </w:rPr>
        <w:t>و غیرها، فان هذه الأمور من الأمور النفسانیة، و من المعلوم انه لا یعتبر فی الشاهد غیر العدالة بالإجماع فیکتشف عن کون العدالة هی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للباحث أن یناقش فی الاجماع صغری و کبری أما الأول فلوجود المخالف فی ما ذکر و أما الثانی فلأن الاجماع المنقول منه لا حجّة فیه و المحصل منه غیر حاصل و لو سلم فهو محتمل المدرک لو لم یکن مقطوعا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المأمونیّة لیست من الصفات النفسانیة فان معنی المأمونیة کون الشخص موثوقا به و بعبارة أخری معناها ان غیره آمن منه، و الکلام فی تحقّق الا من هو الکلام فی تحقّق الوثوق و أما الصیانة فلا اشکال فی اتصاف الجوارح بها، و قد ورد فی الأدعیة اللهم حصّن فرجی و علی فرض نسبتها الی النفس لا تکون صفة بل من أفعالها و یدل علی المدعی ما ورد فی المرسل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الفقهاء صائنا لنفسه</w:t>
      </w:r>
      <w:r>
        <w:rPr>
          <w:rStyle w:val="FootnoteAnchor"/>
          <w:rtl w:val="true"/>
        </w:rPr>
        <w:footnoteReference w:id="15"/>
      </w:r>
      <w:r>
        <w:rPr>
          <w:rFonts w:ascii="IRNazanin" w:hAnsi="IRNazanin" w:eastAsia="IRNazanin"/>
          <w:color w:val="111111"/>
          <w:sz w:val="28"/>
          <w:sz w:val="28"/>
          <w:szCs w:val="28"/>
          <w:rtl w:val="true"/>
          <w:lang w:bidi="fa-IR"/>
        </w:rPr>
        <w:t>و قس علیها العفّة فان کون العفّة صفة نفسانیة و فضیلة لها اصطلاح عند علماء الأخلاق و لا یکون معناها لغة ذلک، و العرف ببابک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ذو عفة فی کلامه، و فی الدعاء اللّهم حصّن فرجی و اعفه، و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عفّ بطنه و فرجه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الصلاح و المرضی و الخیر فالأمر فیها أوضح فان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یعمل الّا العمل الصالح و لا یصدر منه ما لا یرتضی و لا یرتکب الّا الخیر شاهد صدق علی استعمال ما ذکر فی الأعمال غیر النفسانی</w:t>
      </w:r>
      <w:r>
        <w:rPr>
          <w:rFonts w:eastAsia="IRNazanin" w:cs="IRNazanin"/>
          <w:color w:val="111111"/>
          <w:sz w:val="28"/>
          <w:szCs w:val="28"/>
          <w:rtl w:val="true"/>
          <w:lang w:bidi="fa-IR"/>
        </w:rPr>
        <w:t>.</w:t>
      </w:r>
      <w:bookmarkStart w:id="55" w:name="pg2364_24124"/>
    </w:p>
    <w:p>
      <w:pPr>
        <w:pStyle w:val="BookText"/>
        <w:rPr/>
      </w:pPr>
      <w:bookmarkEnd w:id="55"/>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المذکورات لیست من أفعال النفس فضلا عن صفاتها فان العفّة عبارة عن الامتناع عن المحرمات و الصیانة عبارة عن حفظ الجوارح من المعصیة و المأمونیة کون الشخص بحیث یکون غیره آمنا منه کما ان کونه مرضیا أن یکون الغیر راضیا منه و کونه خیرا بمعنی ان أفعاله أفعال الخیر و لا یصدر منه الشر و کونه صالحا بمعنی ان فعله علی طبق القواعد المقررة فی الشریعة فانقدح انه لا دلالة لهذه الروایات علی المدعی</w:t>
      </w:r>
      <w:r>
        <w:rPr>
          <w:rFonts w:eastAsia="IRNazanin" w:cs="IRNazanin"/>
          <w:color w:val="111111"/>
          <w:sz w:val="28"/>
          <w:szCs w:val="28"/>
          <w:rtl w:val="true"/>
          <w:lang w:bidi="fa-IR"/>
        </w:rPr>
        <w:t>.</w:t>
      </w:r>
    </w:p>
    <w:p>
      <w:pPr>
        <w:pStyle w:val="Heading6"/>
        <w:numPr>
          <w:ilvl w:val="5"/>
          <w:numId w:val="1"/>
        </w:numPr>
        <w:rPr/>
      </w:pPr>
      <w:bookmarkStart w:id="56" w:name="__RefHeading___Toc2825885_3804643083"/>
      <w:bookmarkStart w:id="57" w:name="_Toc23"/>
      <w:bookmarkEnd w:id="56"/>
      <w:r>
        <w:rPr>
          <w:rtl w:val="true"/>
        </w:rPr>
        <w:t>الرابع</w:t>
      </w:r>
      <w:r>
        <w:rPr>
          <w:rtl w:val="true"/>
        </w:rPr>
        <w:t xml:space="preserve">: </w:t>
      </w:r>
      <w:r>
        <w:rPr>
          <w:rtl w:val="true"/>
        </w:rPr>
        <w:t>ما رواه عبد اللّه بن أبی یعفور</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بین المسلمین حتی تقبل شهادته لهم و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تعرفوه بالستر و العفاف و کفّ البطن و الفرج و الید و اللسان و یعرف باجتناب الکبائر التی أوعد اللّه علیها النار من شرب الخمر و الزنا و الربا و عقوق الوالدین و الفرار من الزحف و غیر ذلک و الدلالة علی ذلک کله أن یکون ساترا لجمیع عیوبه حتی یحرم علی المسلمین ما وراء ذلک من عثراته و عیوبه و تفتیش ما وراء ذلک و یجب علیهم تزکیته و اظهار عدالته فی الناس و یکون منه التعاهد للصلوات الخمس اذا واظب علیهنّ و حفظ مواقیتهنّ بحضور جماعة من المسلمین و أن لا یتخلف عن جماعتهم فی مصلاهم الا من علّة فاذا کان کذلک لازما لمصلاه</w:t>
      </w:r>
    </w:p>
    <w:p>
      <w:pPr>
        <w:pStyle w:val="BookText"/>
        <w:rPr/>
      </w:pPr>
      <w:r>
        <w:rPr>
          <w:rFonts w:ascii="IRNazanin" w:hAnsi="IRNazanin" w:eastAsia="IRNazanin"/>
          <w:color w:val="111111"/>
          <w:sz w:val="28"/>
          <w:sz w:val="28"/>
          <w:szCs w:val="28"/>
          <w:rtl w:val="true"/>
          <w:lang w:bidi="fa-IR"/>
        </w:rPr>
        <w:t>عند حضور صلوات الخمس فاذا سئل عنه فی قبیلته و 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منه الا خیرا مواظبا علی الصلوات متعاهدا لأوقاتها فی مصلاه فان ذلک یجیز شهادته و عدالته بین المسلمین و ذلک ان الصلاة ستر و کفارة للذنوب و لیس یمکن الشهادة علی الرجل بأنه یصلی اذا کان لا یحضر مصلاه و یتعاهد جماعة المسلمین و انما جعل الجماعة و الاجتماع الی الصلاة لکی یعرف من یصلی ممن لا یصلی و من یحفظ مواقیت الصلاة ممن یضیع و لو لا ذلک لم یمکن أحد أن یشهد علی آخر بصلاح لأن من لا یصلی لا صلاح له بین المسلمین فان رسول اللّه صلی اللّه علیه و آله هم بأن یحرق قوما فی منازلهم لترکهم الحضور لجماعة المسلمین و قد کان فیهم من یصلی فی بیته فلم یقبل منه ذلک و کیف یقبل شهادة أو عدالة بین المسلمین ممن جری الحکم من اللّه عز و جل و من رسوله صلی اللّه علیه و آله فیه الحرق فی جوف بیته بالنار و قد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لا یصلی فی المسجد مع المسلمین الّا من علّة</w:t>
      </w:r>
      <w:r>
        <w:rPr>
          <w:rStyle w:val="FootnoteAnchor"/>
          <w:rtl w:val="true"/>
        </w:rPr>
        <w:footnoteReference w:id="16"/>
      </w:r>
      <w:r>
        <w:rPr>
          <w:rFonts w:ascii="IRNazanin" w:hAnsi="IRNazanin" w:eastAsia="IRNazanin"/>
          <w:color w:val="111111"/>
          <w:sz w:val="28"/>
          <w:sz w:val="28"/>
          <w:szCs w:val="28"/>
          <w:rtl w:val="true"/>
          <w:lang w:bidi="fa-IR"/>
        </w:rPr>
        <w:t>تقریب الاستدلال به انه یستفاد منه ان العدالة عبارة عن الملکة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هذه الروایة یقع تارة فی سندها و أخری فی</w:t>
      </w:r>
    </w:p>
    <w:p>
      <w:pPr>
        <w:pStyle w:val="BookText"/>
        <w:rPr/>
      </w:pPr>
      <w:r>
        <w:rPr>
          <w:rFonts w:ascii="IRNazanin" w:hAnsi="IRNazanin" w:eastAsia="IRNazanin"/>
          <w:color w:val="111111"/>
          <w:sz w:val="28"/>
          <w:sz w:val="28"/>
          <w:szCs w:val="28"/>
          <w:rtl w:val="true"/>
          <w:lang w:bidi="fa-IR"/>
        </w:rPr>
        <w:t>دلالتها اما سندها فضعیف بکلا سندیها اما بروایة الصدوق فباحمد بن محمد بن یحیی و محمد بن خالد البرقی و أما بروایة الشیخ فبمحمد بن موسی و قد عبرت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بالصحیحة و لکن الأمر کما تری و عمل المشهور بها لا یصححها کما بینّا فی محله و بعد سقوط السند لا تصل النوبة الی البحث فی الدلالة و لکنا تبعا للقوم نبحث فی مفادها لنری صحة المدعی أو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الاستدلال بها یتوقف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علیه السلام فی بیان المعرف المنطق بأن تکون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تعرفوه بالستر و العفاف حدا أو رسما لها و بیانا لماهیتها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ذکر فی الروایة من الصفات النفسانیة فانه اذا ضممنا احدی المقدمتین بالأخری انتجت ان العدالة ملکة و من الصفات النفسانیة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 الأولی فالظاهر ان الامام علیه السلام اولا یبین المعرف المنطقی و بعد ذلک یبیّن المعرف الأصولی أی ما ینکشف به العدالة فی مقام الاثبات و امّا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علیه السلام لم یذکر فی الجواب ان العدالة هی الستر و العفاف و انما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المعرف اشتهار الرجل و معروفیته بهما لا نفس الستر</w:t>
      </w:r>
      <w:bookmarkStart w:id="58" w:name="pg2364_24127"/>
    </w:p>
    <w:p>
      <w:pPr>
        <w:pStyle w:val="BookText"/>
        <w:rPr/>
      </w:pPr>
      <w:bookmarkEnd w:id="58"/>
      <w:r>
        <w:rPr>
          <w:rFonts w:ascii="IRNazanin" w:hAnsi="IRNazanin" w:eastAsia="IRNazanin"/>
          <w:color w:val="111111"/>
          <w:sz w:val="28"/>
          <w:sz w:val="28"/>
          <w:szCs w:val="28"/>
          <w:rtl w:val="true"/>
          <w:lang w:bidi="fa-IR"/>
        </w:rPr>
        <w:t>و العفاف، و من البدیهی ان الاشتهار و المعروفیة بهما لیسا بحقیقة العدالة و انما حقیقتها هو الستر و العفاف لا المعروفیة بهما، ففیه ان الظاهر من المعروفیة الطریقیة الی موضوع الحکم فالانصاف ان المتفاهم العرفی من جوابه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هو المعرّف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ذکرنا سابقا من ان المذکورات فی الروایة لیست من أفعال النفس فکیف بکونه من صفاتها، بل تنطبق علی الأفعال الخارجیة، فان الضعیف من لم یرتکب الحرام فی الخارج و الستر عبارة عن عدم ارتکاب المحرمات فکان بینه و بینها حاجزا و أما سائر ما ذکر فی الروایة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العدالة لغة هو الاعتدال و الاستواء و لا حقیقة شرعیة لها، فالعدالة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المحرمات و فعل الواجبات و لا تعتبر فیها الملکة و بعبارة أخری یکون الشخص علی الجادة المستقیمة الشرعیة</w:t>
      </w:r>
      <w:r>
        <w:rPr>
          <w:rFonts w:eastAsia="IRNazanin" w:cs="IRNazanin"/>
          <w:color w:val="111111"/>
          <w:sz w:val="28"/>
          <w:szCs w:val="28"/>
          <w:rtl w:val="true"/>
          <w:lang w:bidi="fa-IR"/>
        </w:rPr>
        <w:t>.</w:t>
      </w:r>
    </w:p>
    <w:p>
      <w:pPr>
        <w:pStyle w:val="Heading6"/>
        <w:numPr>
          <w:ilvl w:val="5"/>
          <w:numId w:val="1"/>
        </w:numPr>
        <w:rPr/>
      </w:pPr>
      <w:bookmarkStart w:id="59" w:name="__RefHeading___Toc2825887_3804643083"/>
      <w:bookmarkStart w:id="60" w:name="_Toc24"/>
      <w:bookmarkEnd w:id="59"/>
      <w:r>
        <w:rPr>
          <w:rtl w:val="true"/>
        </w:rPr>
        <w:t>اشتراط عدم ارتکاب الصغائر فی العدالة</w:t>
      </w:r>
      <w:r>
        <w:rPr>
          <w:rtl w:val="true"/>
        </w:rPr>
        <w:t>:</w:t>
      </w:r>
      <w:bookmarkEnd w:id="60"/>
    </w:p>
    <w:p>
      <w:pPr>
        <w:pStyle w:val="BookText"/>
        <w:rPr/>
      </w:pPr>
      <w:r>
        <w:rPr>
          <w:rFonts w:ascii="IRNazanin" w:hAnsi="IRNazanin" w:eastAsia="IRNazanin"/>
          <w:color w:val="111111"/>
          <w:sz w:val="28"/>
          <w:sz w:val="28"/>
          <w:szCs w:val="28"/>
          <w:rtl w:val="true"/>
          <w:lang w:bidi="fa-IR"/>
        </w:rPr>
        <w:t>وقع الکلام بینهم فی اشتراط عدم ارتکاب الصغائر فی العدالة و عدمه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اشتراطه فی العدالة، فان من یرتکب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الصغائر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معتدلا و مستویا و لا یکون</w:t>
      </w:r>
    </w:p>
    <w:p>
      <w:pPr>
        <w:pStyle w:val="BookText"/>
        <w:rPr/>
      </w:pPr>
      <w:r>
        <w:rPr>
          <w:rFonts w:ascii="IRNazanin" w:hAnsi="IRNazanin" w:eastAsia="IRNazanin"/>
          <w:color w:val="111111"/>
          <w:sz w:val="28"/>
          <w:sz w:val="28"/>
          <w:szCs w:val="28"/>
          <w:rtl w:val="true"/>
          <w:lang w:bidi="fa-IR"/>
        </w:rPr>
        <w:t>علی الجادة، فالعادل من لا یرتکب المحرمات مطلقا، هذا هو مقتضی الأصل الأولی، و لکن فی قباله أمور ربما یتوهّم أن یکون مانعا عن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السابقة بدعوی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یعرف باجتناب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ان من اجتنب الکبائر فهو عادل و ان ارتکب الصغائر و لا ینافیه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علی ذلک 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العیوب الصغائر فلا بدّ من أن یکون ساترا لها، لأن من الممکن أن تکون العدالة بلحاظ المعرف المنطقی ما ذکره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اجتناب الکبائر و بلحاظ المعرف الأصولی ما ذکره ثانیا من استتار عیوبه جمیعا و بعبارة أخری فی هذه الجملة یکون الامام علیه السلام فی بیان مقام الاثبات و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ان دلالة الروایة علی عدم الاشتراط تامة و لکنها ضعیفة سندا کما مرّ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انها دالّة علی ان الصغائر لا یضر بالعدالة و ذلک لأن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رافعة للمعصیة و عقابها، فان</w:t>
      </w:r>
    </w:p>
    <w:p>
      <w:pPr>
        <w:pStyle w:val="BookText"/>
        <w:rPr/>
      </w:pPr>
      <w:r>
        <w:rPr>
          <w:rFonts w:ascii="IRNazanin" w:hAnsi="IRNazanin" w:eastAsia="IRNazanin"/>
          <w:color w:val="111111"/>
          <w:sz w:val="28"/>
          <w:sz w:val="28"/>
          <w:szCs w:val="28"/>
          <w:rtl w:val="true"/>
          <w:lang w:bidi="fa-IR"/>
        </w:rPr>
        <w:t>التائب من الذنب کمن لا ذنب له</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مع الفسق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معها المعصیة فکیف بالعدالة و هی الاجتناب عن الکبائر و هو رافع للمعصیة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شرط تحقّق الفسق بالصغائر، عدم الاجتناب عن الکبائر،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حرمة الصغیرة حرمة مشروطة کمحرمات الاحرام فکما ان النظر فی المرآت یحرم بشرط الاحرام کذلک حرمة النظر الی الأجنبیة و أمثالها مشروطة بارتکاب الکبیرة فمن لا یرتکب الکبیرة تکون الصغائر مباحة له، و انّی لنا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ارتکاب الصغائر فسق و لکن لا یکون له عقاب، و علی هذا لا یکون معتدلا علی الجادة،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الشخص بارتکاب الصغیرة یکون منحرفا عن جادة الشرع غایة الأمر انه لا یکون معاقبا لاجتنابه الکبائر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للمحقق الهمدانی کلام فی المقام لا بأس بذکره، فان ملخص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العدالة عبارة عن الاستقامة و کون الشخص علی الجادة بلا فرق بین الصغیرة و الکبیرة و لکن یفصل فی الصغائر بین ما صدر عن عذر، و التفات و بین ما یصدر لا عن التفات أو مع الالتفات و لکن مع العذر توضح المدعی انه ربما لا یکون الشخص ملتفتا فیصدر منه فعل حرام، و هذا لا یوجب</w:t>
      </w:r>
      <w:bookmarkStart w:id="61" w:name="pg2364_24130"/>
    </w:p>
    <w:p>
      <w:pPr>
        <w:pStyle w:val="BookText"/>
        <w:rPr/>
      </w:pPr>
      <w:bookmarkEnd w:id="61"/>
      <w:r>
        <w:rPr>
          <w:rFonts w:ascii="IRNazanin" w:hAnsi="IRNazanin" w:eastAsia="IRNazanin"/>
          <w:color w:val="111111"/>
          <w:sz w:val="28"/>
          <w:sz w:val="28"/>
          <w:szCs w:val="28"/>
          <w:rtl w:val="true"/>
          <w:lang w:bidi="fa-IR"/>
        </w:rPr>
        <w:t>الفسق و تارة یلتفت لکن عنده عذر عرفی کالحیاء و الخجل فیجلس و یستمع الغیبة أو ینظر الی الأجنبیّة و یتکلّم معها و ربّما یمزح فان هذا المقدار من ارتکاب المعصیة لا یضر بالعدالة عرفا فان العدالة لا تزول عرفا بهذا المقدار من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العرف محکم فی تشخیص المفاهیم و لا أثر لمسامحاته و علیه اذا صدر المحرم غفلة لا یکون مخلا بالعدالة اذ المفروض أن التکلیف ساقط و أما مع الالتفات و لکن مع عذر فربما یکون العذر عذرا شرعیّا فلا یکون ارتکاب الحرام مخلّا بالعدالة و لو مع فرض المحرم من أعظم المحرمات و أما مع عدم العذر الشرعی فلا یجوز الارتکاب و لو مع کونها أصغر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 هنا أنتج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العدالة عبارة عن ترک المحرّمات مطلقا صغیرة کانت أو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الفسق یتحقّق بارتکاب الصغیرة، و ان المرتکب لها لیس عادلا</w:t>
      </w:r>
      <w:r>
        <w:rPr>
          <w:rFonts w:eastAsia="IRNazanin" w:cs="IRNazanin"/>
          <w:color w:val="111111"/>
          <w:sz w:val="28"/>
          <w:szCs w:val="28"/>
          <w:rtl w:val="true"/>
          <w:lang w:bidi="fa-IR"/>
        </w:rPr>
        <w:t>.</w:t>
      </w:r>
    </w:p>
    <w:p>
      <w:pPr>
        <w:pStyle w:val="Heading6"/>
        <w:numPr>
          <w:ilvl w:val="5"/>
          <w:numId w:val="1"/>
        </w:numPr>
        <w:rPr/>
      </w:pPr>
      <w:bookmarkStart w:id="62" w:name="__RefHeading___Toc2825889_3804643083"/>
      <w:bookmarkStart w:id="63" w:name="_Toc25"/>
      <w:bookmarkEnd w:id="62"/>
      <w:r>
        <w:rPr>
          <w:rtl w:val="true"/>
        </w:rPr>
        <w:t>اشتراط عدم الاصرار علی الصغائر فی العدالة</w:t>
      </w:r>
      <w:r>
        <w:rPr>
          <w:rtl w:val="true"/>
        </w:rPr>
        <w:t>:</w:t>
      </w:r>
      <w:bookmarkEnd w:id="63"/>
    </w:p>
    <w:p>
      <w:pPr>
        <w:pStyle w:val="Heading6"/>
        <w:numPr>
          <w:ilvl w:val="5"/>
          <w:numId w:val="1"/>
        </w:numPr>
        <w:rPr/>
      </w:pPr>
      <w:bookmarkStart w:id="64" w:name="__RefHeading___Toc2825891_3804643083"/>
      <w:bookmarkStart w:id="65" w:name="_Toc26"/>
      <w:bookmarkEnd w:id="64"/>
      <w:r>
        <w:rPr>
          <w:rtl w:val="true"/>
        </w:rPr>
        <w:t>اشارة</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ان ارتکاب الصغیرة مخلة بالعدالة و لو فرضنا ان ارتکابها غیر مخل بها فهل الاصرار علی الصغائر مخل أم لا؟ الظاهر ان الاصرار علی الصغائر مخلة بالعدالة و لو قلنا</w:t>
      </w:r>
    </w:p>
    <w:p>
      <w:pPr>
        <w:pStyle w:val="BookText"/>
        <w:rPr/>
      </w:pPr>
      <w:r>
        <w:rPr>
          <w:rFonts w:ascii="IRNazanin" w:hAnsi="IRNazanin" w:eastAsia="IRNazanin"/>
          <w:color w:val="111111"/>
          <w:sz w:val="28"/>
          <w:sz w:val="28"/>
          <w:szCs w:val="28"/>
          <w:rtl w:val="true"/>
          <w:lang w:bidi="fa-IR"/>
        </w:rPr>
        <w:t>بأن ارتکاب الصغیرة غیر مخل و ذلک لجملة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کبیر مع الاستغفار و لا صغیر مع الاصرار</w:t>
      </w:r>
      <w:r>
        <w:rPr>
          <w:rStyle w:val="FootnoteAnchor"/>
          <w:rtl w:val="true"/>
        </w:rPr>
        <w:footnoteReference w:id="19"/>
      </w:r>
      <w:r>
        <w:rPr>
          <w:rFonts w:ascii="IRNazanin" w:hAnsi="IRNazanin" w:eastAsia="IRNazanin"/>
          <w:color w:val="111111"/>
          <w:sz w:val="28"/>
          <w:sz w:val="28"/>
          <w:szCs w:val="28"/>
          <w:rtl w:val="true"/>
          <w:lang w:bidi="fa-IR"/>
        </w:rPr>
        <w:t>فانها دلت علی ان الصغیرة مع الاصرار لا تکون صغیرة بل تکون بحکم الکبیرة فتخل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عبد اللّه بن سنان عن أبی عبد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صغیرة مع الاصرار و لا کبیرة مع الاستغفار</w:t>
      </w:r>
      <w:r>
        <w:rPr>
          <w:rStyle w:val="FootnoteAnchor"/>
          <w:rtl w:val="true"/>
        </w:rPr>
        <w:footnoteReference w:id="20"/>
      </w:r>
      <w:r>
        <w:rPr>
          <w:rFonts w:ascii="IRNazanin" w:hAnsi="IRNazanin" w:eastAsia="IRNazanin"/>
          <w:color w:val="111111"/>
          <w:sz w:val="28"/>
          <w:sz w:val="28"/>
          <w:szCs w:val="28"/>
          <w:rtl w:val="true"/>
          <w:lang w:bidi="fa-IR"/>
        </w:rPr>
        <w:t>تقریب الاستدلال به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الحسین بن زید عن الصادق عن آبائه علیهم السلام فی 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تحقّروا شیئا من الشر و ان صغر فی أعینکم و لا تستکثروا شیئا من الخیر و ان کثر فی أعینکم فانّه لا کبیر مع الاستغفار و لا صغیر مع الاصرار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الأعمش عن جعفر بن محمد علیهما السلام فی حدیث شرائع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الکبائر محرمة و هی الشرک</w:t>
      </w:r>
      <w:bookmarkStart w:id="66" w:name="pg2364_24132"/>
    </w:p>
    <w:p>
      <w:pPr>
        <w:pStyle w:val="BookText"/>
        <w:rPr/>
      </w:pPr>
      <w:bookmarkEnd w:id="66"/>
      <w:r>
        <w:rPr>
          <w:rFonts w:ascii="IRNazanin" w:hAnsi="IRNazanin" w:eastAsia="IRNazanin"/>
          <w:color w:val="111111"/>
          <w:sz w:val="28"/>
          <w:sz w:val="28"/>
          <w:szCs w:val="28"/>
          <w:rtl w:val="true"/>
          <w:lang w:bidi="fa-IR"/>
        </w:rPr>
        <w:t>باللّه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الاصرار علی صغائر الذنوب</w:t>
      </w:r>
      <w:r>
        <w:rPr>
          <w:rStyle w:val="FootnoteAnchor"/>
          <w:rtl w:val="true"/>
        </w:rPr>
        <w:footnoteReference w:id="22"/>
      </w:r>
      <w:r>
        <w:rPr>
          <w:rFonts w:ascii="IRNazanin" w:hAnsi="IRNazanin" w:eastAsia="IRNazanin"/>
          <w:color w:val="111111"/>
          <w:sz w:val="28"/>
          <w:sz w:val="28"/>
          <w:szCs w:val="28"/>
          <w:rtl w:val="true"/>
          <w:lang w:bidi="fa-IR"/>
        </w:rPr>
        <w:t>فقد عدّ الاصرار علی الصغیرة من جملة الکبائر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الفضل بن شاذان عن الرضا علیه السلام فی کتابه الی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هو أداء الأمانة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الکبائر و هی قتل النفس الَّتِی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الاصرار علی الذنوب</w:t>
      </w:r>
      <w:r>
        <w:rPr>
          <w:rStyle w:val="FootnoteAnchor"/>
          <w:rtl w:val="true"/>
        </w:rPr>
        <w:footnoteReference w:id="23"/>
      </w:r>
      <w:r>
        <w:rPr>
          <w:rFonts w:ascii="IRNazanin" w:hAnsi="IRNazanin" w:eastAsia="IRNazanin"/>
          <w:color w:val="111111"/>
          <w:sz w:val="28"/>
          <w:sz w:val="28"/>
          <w:szCs w:val="28"/>
          <w:rtl w:val="true"/>
          <w:lang w:bidi="fa-IR"/>
        </w:rPr>
        <w:t>فانه قد عدّ الاصرار علی الذنوب مطلقا من جملة الکبائر التی أوجب الاجتناب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الاصرار علی الصغائر مخل بالعدالة و لو لم نقل بأن ارتکاب الصغیرة مخل</w:t>
      </w:r>
      <w:r>
        <w:rPr>
          <w:rFonts w:eastAsia="IRNazanin" w:cs="IRNazanin"/>
          <w:color w:val="111111"/>
          <w:sz w:val="28"/>
          <w:szCs w:val="28"/>
          <w:rtl w:val="true"/>
          <w:lang w:bidi="fa-IR"/>
        </w:rPr>
        <w:t>.</w:t>
      </w:r>
    </w:p>
    <w:p>
      <w:pPr>
        <w:pStyle w:val="Heading6"/>
        <w:numPr>
          <w:ilvl w:val="5"/>
          <w:numId w:val="1"/>
        </w:numPr>
        <w:rPr/>
      </w:pPr>
      <w:bookmarkStart w:id="67" w:name="__RefHeading___Toc2825893_3804643083"/>
      <w:bookmarkStart w:id="68" w:name="_Toc27"/>
      <w:bookmarkEnd w:id="67"/>
      <w:r>
        <w:rPr>
          <w:rtl w:val="true"/>
        </w:rPr>
        <w:t>حقیقة الاصرار</w:t>
      </w:r>
      <w:r>
        <w:rPr>
          <w:rtl w:val="true"/>
        </w:rPr>
        <w:t>:</w:t>
      </w:r>
      <w:bookmarkEnd w:id="68"/>
    </w:p>
    <w:p>
      <w:pPr>
        <w:pStyle w:val="Heading6"/>
        <w:numPr>
          <w:ilvl w:val="5"/>
          <w:numId w:val="1"/>
        </w:numPr>
        <w:rPr/>
      </w:pPr>
      <w:bookmarkStart w:id="69" w:name="__RefHeading___Toc2825895_3804643083"/>
      <w:bookmarkStart w:id="70" w:name="_Toc28"/>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بعد ما ثبت ان الاصرار یکون مخلّا بالعدالة یقع الکلام فیما یتحقّق به الاصرار و یقع البحث فیه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الی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اللغة و العرف</w:t>
      </w:r>
      <w:r>
        <w:rPr>
          <w:rFonts w:eastAsia="IRNazanin" w:cs="IRNazanin"/>
          <w:color w:val="111111"/>
          <w:sz w:val="28"/>
          <w:szCs w:val="28"/>
          <w:rtl w:val="true"/>
          <w:lang w:bidi="fa-IR"/>
        </w:rPr>
        <w:t>:</w:t>
      </w:r>
    </w:p>
    <w:p>
      <w:pPr>
        <w:pStyle w:val="Heading6"/>
        <w:numPr>
          <w:ilvl w:val="5"/>
          <w:numId w:val="1"/>
        </w:numPr>
        <w:rPr/>
      </w:pPr>
      <w:bookmarkStart w:id="71" w:name="__RefHeading___Toc2825897_3804643083"/>
      <w:bookmarkStart w:id="72" w:name="_Toc29"/>
      <w:bookmarkEnd w:id="71"/>
      <w:r>
        <w:rPr>
          <w:rtl w:val="true"/>
        </w:rPr>
        <w:t>امّا الجهة الأولی</w:t>
      </w:r>
      <w:r>
        <w:rPr>
          <w:rtl w:val="true"/>
        </w:rPr>
        <w:t>: [</w:t>
      </w:r>
      <w:r>
        <w:rPr>
          <w:rtl w:val="true"/>
        </w:rPr>
        <w:t>بالنظر الی الروایات</w:t>
      </w:r>
      <w:r>
        <w:rPr>
          <w:rtl w:val="true"/>
        </w:rPr>
        <w:t>]</w:t>
      </w:r>
      <w:bookmarkEnd w:id="7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بعض النصوص ان الاصرار هو أن یذنب الذنب و لا یستغفر اللّه و لا یحدث</w:t>
      </w:r>
    </w:p>
    <w:p>
      <w:pPr>
        <w:pStyle w:val="BookText"/>
        <w:rPr/>
      </w:pPr>
      <w:r>
        <w:rPr>
          <w:rFonts w:ascii="Amiri" w:hAnsi="Amiri" w:eastAsia="Amiri" w:cs="Amiri"/>
          <w:color w:val="111111"/>
          <w:sz w:val="28"/>
          <w:sz w:val="28"/>
          <w:szCs w:val="28"/>
          <w:rtl w:val="true"/>
          <w:lang w:bidi="ar-SA"/>
        </w:rPr>
        <w:t>نفسه بالتوبة کروایة جابر عن أبی جعفر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یُصِرُّوا عَلی ما فَعَلُوا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الاصرار أن یذنب الذنب فلا یستغفر اللّه و لا یحدث نفسه بالتوبة فذلک الاصرار</w:t>
      </w:r>
      <w:r>
        <w:rPr>
          <w:rStyle w:val="FootnoteAnchor"/>
          <w:rtl w:val="true"/>
        </w:rPr>
        <w:footnoteReference w:id="24"/>
      </w:r>
      <w:r>
        <w:rPr>
          <w:rFonts w:ascii="IRNazanin" w:hAnsi="IRNazanin" w:eastAsia="IRNazanin"/>
          <w:color w:val="111111"/>
          <w:sz w:val="28"/>
          <w:sz w:val="28"/>
          <w:szCs w:val="28"/>
          <w:rtl w:val="true"/>
          <w:lang w:bidi="fa-IR"/>
        </w:rPr>
        <w:t>و دلالة الروایة علی ما ذکر تامة الّا انها ضعیفة سندا بعمرو بن شمر فانه لم یوثق، و روایة أبی بصیر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الإسلام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الایمان من شهد أن لا إله الّا اللّه،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یلق اللّه بذنب أوعد علیه بالنار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اینا لم یلق اللّه الیه بذنب أوعد علیه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حیث تذهب انما هو من لم یلق اللّه بذنب أوعد اللّه علیه بالنار و لم یتب منه</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انها فی الکبائر بقرینة ایعاد النار علیه مضافا بأنه لم یذکر فیه الاصرار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اجتنب الکبائر من المؤمنین لم یسأل عن الصغائر،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أحمد ما من مؤمن یذنب ذنبا الّا ساءه ذلک و ندم علیه، و قد قال رسول اللّه صلّی اللّه</w:t>
      </w:r>
      <w:bookmarkStart w:id="73" w:name="pg2364_24134"/>
    </w:p>
    <w:p>
      <w:pPr>
        <w:pStyle w:val="BookText"/>
        <w:rPr/>
      </w:pPr>
      <w:bookmarkEnd w:id="73"/>
      <w:r>
        <w:rPr>
          <w:rFonts w:ascii="IRNazanin" w:hAnsi="IRNazanin" w:eastAsia="IRNazanin"/>
          <w:color w:val="111111"/>
          <w:sz w:val="28"/>
          <w:sz w:val="28"/>
          <w:szCs w:val="28"/>
          <w:rtl w:val="true"/>
          <w:lang w:bidi="fa-IR"/>
        </w:rPr>
        <w:t>علیه و آله کفی بالندم توبة،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حسنة و سائته سیئة فهو مؤمن فمن لم یندم علی ذنب یرتکبه فلیس بمؤمن</w:t>
      </w:r>
      <w:r>
        <w:rPr>
          <w:rStyle w:val="FootnoteAnchor"/>
          <w:rtl w:val="true"/>
        </w:rPr>
        <w:footnoteReference w:id="26"/>
      </w:r>
      <w:r>
        <w:rPr>
          <w:rFonts w:ascii="IRNazanin" w:hAnsi="IRNazanin" w:eastAsia="IRNazanin"/>
          <w:color w:val="111111"/>
          <w:sz w:val="28"/>
          <w:sz w:val="28"/>
          <w:szCs w:val="28"/>
          <w:rtl w:val="true"/>
          <w:lang w:bidi="fa-IR"/>
        </w:rPr>
        <w:t>مال المحقّق النائینی قدس سره الی انه یستفاد منها ان الاصرار عبارة عن عدم الندامة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الروایة ناظرة الی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النصوص فی المقام و لا دلالة فیها علی معنی</w:t>
      </w:r>
    </w:p>
    <w:p>
      <w:pPr>
        <w:pStyle w:val="Heading6"/>
        <w:numPr>
          <w:ilvl w:val="5"/>
          <w:numId w:val="1"/>
        </w:numPr>
        <w:rPr/>
      </w:pPr>
      <w:bookmarkStart w:id="74" w:name="__RefHeading___Toc2825899_3804643083"/>
      <w:bookmarkStart w:id="75" w:name="_Toc30"/>
      <w:bookmarkEnd w:id="74"/>
      <w:r>
        <w:rPr>
          <w:rtl w:val="true"/>
        </w:rPr>
        <w:t>فتصل النوبة الی الجهة الثانیة</w:t>
      </w:r>
      <w:r>
        <w:rPr>
          <w:rtl w:val="true"/>
        </w:rPr>
        <w:t xml:space="preserve">: </w:t>
      </w:r>
      <w:r>
        <w:rPr>
          <w:rtl w:val="true"/>
        </w:rPr>
        <w:t>و هی النظر الی کلام أهل اللغة و العرف،</w:t>
      </w:r>
      <w:bookmarkEnd w:id="75"/>
    </w:p>
    <w:p>
      <w:pPr>
        <w:pStyle w:val="BookText"/>
        <w:rPr/>
      </w:pPr>
      <w:r>
        <w:rPr>
          <w:rFonts w:ascii="IRNazanin" w:hAnsi="IRNazanin" w:eastAsia="IRNazanin"/>
          <w:color w:val="111111"/>
          <w:sz w:val="28"/>
          <w:sz w:val="28"/>
          <w:szCs w:val="28"/>
          <w:rtl w:val="true"/>
          <w:lang w:bidi="fa-IR"/>
        </w:rPr>
        <w:t>و المستفاد من اللغة و العرف ان الاصرار عبارة عن المداومة علی العمل، قال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أصرّ علی الشی‌ء لزمه و داومه، و أکثر ما یستعمل فی الشر و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فمن کرّر ذنبا یصدق علیه انه مصرّ علی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ارتکب صغیرة و لم یتب یصدق علیه انه مصرّ لأن التوبة واجبة فاذا لم یتب فهو فی معصیة فی جمیع الحالات و الآنات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بهذا یستلزم أن یرتکب من لم یتب فی ساعة أو أقل معاصی تبلغ الی ما لا حد لها فی الکثرة، و هذا متوقّف علی وجوب التوبة شرعا و یشکل الالتزام بوجوبها لأنه یلزم</w:t>
      </w:r>
      <w:bookmarkStart w:id="76" w:name="pg2364_24135"/>
    </w:p>
    <w:p>
      <w:pPr>
        <w:pStyle w:val="BookText"/>
        <w:rPr/>
      </w:pPr>
      <w:bookmarkEnd w:id="76"/>
      <w:r>
        <w:rPr>
          <w:rFonts w:ascii="IRNazanin" w:hAnsi="IRNazanin" w:eastAsia="IRNazanin"/>
          <w:color w:val="111111"/>
          <w:sz w:val="28"/>
          <w:sz w:val="28"/>
          <w:szCs w:val="28"/>
          <w:rtl w:val="true"/>
          <w:lang w:bidi="fa-IR"/>
        </w:rPr>
        <w:t>أن یکون التارک لها دائما فی حال العصیان الّا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فرض الالتزام بالفوریة، و أما مع عدم التزام به فلا یلزم هذا المحذور و تفصیل الکلام موکول الی بحث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الاصرار عبارة عن المداومة علی الذنب</w:t>
      </w:r>
      <w:r>
        <w:rPr>
          <w:rFonts w:eastAsia="IRNazanin" w:cs="IRNazanin"/>
          <w:color w:val="111111"/>
          <w:sz w:val="28"/>
          <w:szCs w:val="28"/>
          <w:rtl w:val="true"/>
          <w:lang w:bidi="fa-IR"/>
        </w:rPr>
        <w:t>.</w:t>
      </w:r>
    </w:p>
    <w:p>
      <w:pPr>
        <w:pStyle w:val="Heading6"/>
        <w:numPr>
          <w:ilvl w:val="5"/>
          <w:numId w:val="1"/>
        </w:numPr>
        <w:rPr/>
      </w:pPr>
      <w:bookmarkStart w:id="77" w:name="__RefHeading___Toc2825901_3804643083"/>
      <w:bookmarkStart w:id="78" w:name="_Toc31"/>
      <w:bookmarkEnd w:id="77"/>
      <w:r>
        <w:rPr>
          <w:rtl w:val="true"/>
        </w:rPr>
        <w:t>المعصیة الکبیرة</w:t>
      </w:r>
      <w:r>
        <w:rPr>
          <w:rtl w:val="true"/>
        </w:rPr>
        <w:t>:</w:t>
      </w:r>
      <w:bookmarkEnd w:id="78"/>
    </w:p>
    <w:p>
      <w:pPr>
        <w:pStyle w:val="BookText"/>
        <w:rPr/>
      </w:pPr>
      <w:r>
        <w:rPr>
          <w:rFonts w:ascii="IRNazanin" w:hAnsi="IRNazanin" w:eastAsia="IRNazanin"/>
          <w:color w:val="111111"/>
          <w:sz w:val="28"/>
          <w:sz w:val="28"/>
          <w:szCs w:val="28"/>
          <w:rtl w:val="true"/>
          <w:lang w:bidi="fa-IR"/>
        </w:rPr>
        <w:t>المراد من المعصیة الکبیرة هی کل معصیة ورد النص بکونها کبیرة أو ورد التوعید بالنار علیه فی الکتاب أو السنّة صریحا أو ضمنا أو ورد فی الکتاب أو السنّة کونه أعظم من احدی الکبائر المنصوصة أو الموعود علیها بالنار أو کان عظیما فی أنفس أهل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 کونها کبیرة بالنص فواضح، اذ مقتضی النصّ کونها کبیرة، و إلیک النصوص الدالّة علی المدّعی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معی بعض أصحابنا الی أبی الحسن علیه السلام یسأله عن الکبائر کم هی؟ و ما هی؟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من اجتنب ما وعد اللّه علیه النار کفر عنه سیّئاته اذا کان مؤمنا و السبع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الحرام و عقوق الوالدین و أکل الربا و التعرّب بعد الهجرة، و قذف المحصنة، و أکل مال الیتم، و الفرار من الزحف</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فی کتاب علی علیه السلام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و قتل النفس، و عقوق الوالدین، و أکل الربا بعد البینة، و أکل مال الیتیم ظلما، و الفرار من الزحف و التعرّب بعد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أکبر المعاصی؟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الدرهم من مال الیتیم ظلما أکبر أم 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عددت ترک الصلاة فی الکبائر؟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أول ما قلت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تارک الصلاة کافر، یعنی من غیر علّة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ان الروایتین فی مقام التحدید فتکون الکبائر منحصرة فیما ورد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الکبائر التی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أوجب اللّه علیها النار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خمس، و هنّ مما أوجب اللّه علیهنّ النار،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ذَرُوا ما بَقِیَ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و رمی الْمُحْصَناتِ الْغافِلاتِ الْمُؤْمِناتِ، و قتل مؤمن متعمدا علی دینه</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ضعیفة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 ناسا زعموا ان العبد لا یزنی و هو مؤمن و لا یسرق و هو مؤمن و لا یشرب الخمر و هو مؤمن و لا یأکل الربا و هو مؤمن و لا یسفک الدم الحرام و هو مؤمن؟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کتاب اللّه و ذکر الحدیث،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تأتی علیه حالات فیهم بالخطیئة فتشجعه روح القوّة، و یزنی له روح الشهوة، و تقوده روح البدن حتی یواقع الخطیئة فاذا لامسها نقص من الایمان و نقص منه فلیس یعود حتی یتوب، فاذا تاب، تاب اللّه علیه و ان عاد أدخله نار جهنم</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فضعیفة بالارسال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المؤمن متعمدا و قذف المحصنة و الفرار من الزحف و التعرب بعد الهجرة، و أکل مال الیتیم ظلما و أکل الربا بعد البینة، و کل ما أوجب اللّه علیه النار</w:t>
      </w:r>
      <w:r>
        <w:rPr>
          <w:rStyle w:val="FootnoteAnchor"/>
          <w:rtl w:val="true"/>
        </w:rPr>
        <w:footnoteReference w:id="32"/>
      </w:r>
      <w:r>
        <w:rPr>
          <w:rFonts w:ascii="IRNazanin" w:hAnsi="IRNazanin" w:eastAsia="IRNazanin"/>
          <w:color w:val="111111"/>
          <w:sz w:val="28"/>
          <w:sz w:val="28"/>
          <w:szCs w:val="28"/>
          <w:rtl w:val="true"/>
          <w:lang w:bidi="fa-IR"/>
        </w:rPr>
        <w:t>ضعیف بمحمد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رواه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الکبائر عقوق الوالدین و الیأس من روح اللّه، و الأمن من مکر اللّه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ما رواه نعمان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خرج من الایمان، و من شرب الخمر خرج من الایمان، و من أفطر یوما من شهر رمضان متعمّدا خرج من الایمان</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ضعف النعمان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ما رواه اسحاق بن عمار عن أبی عبد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 الزنا و السرقة، و اللمم الرجل یلم بالذنب فیستغفر اللّه منه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یعارضهما ما رواه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عبید علی أبی عبد اللّه علیه السلام فلما سلم و جلس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الْإِثْمِ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أمسک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أسکتک؟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الکبائر من کتاب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عمرو أکبر الکبائر الاشراک باللّه،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یُشْرِکْ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اللّه علیه الجنّة و بعده الایاس من روح اللّه،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یَیْأَسُ مِنْ رَوْحِ اللَّهِ إِلَّا الْقَوْمُ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الأمن من مکر اللّه،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عقوق الوالدین، لأن اللّه سبحانه جعل العاق جبارا شقیا، و قتل النفس الَّتِی حَرَّمَ اللَّهُ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و قذف المحصنة،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فِی الدُّنْیا وَ الْآخِرَةِ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مال الیتیم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یَأْکُلُونَ فِی بُطُونِهِمْ ناراً وَ سَیَصْلَوْنَ سَعِیراً و الفرار من الزحف،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الربا،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عَلِمُوا لَمَنِ اشْتَراهُ ما لَهُ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یَفْعَلْ ذلِکَ یَلْقَ أَثاماً یُضاعَفْ لَهُ الْعَذابُ یَوْمَ الْقِیامَةِ وَ 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الیمین الغموس الفاجرة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یَشْتَرُونَ بِعَهْدِ اللَّهِ وَ أَیْمانِهِمْ ثَمَناً قَلِیلًا أُولئِکَ لا خَلاقَ لَهُمْ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الغلول،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یَغْلُلْ یَأْتِ بِما غَلَّ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الزکاة المفروضة،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فَتُکْوی بِها جِباهُهُمْ وَ جُنُوبُهُمْ وَ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الزور و کتمان الشهادة،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الخمر، لأن اللّه عز و جل نهی عنها کما نهی عن عبادة الأوثان، و ترک الصلاة متعمّدا، أو شیئا مما فرض اللّه عز و جل، لأن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الصلاة متعمدا فقد برئ من ذمة اللّه و ذمة رسوله و نقض العهد، و قطیعة الرحم لأن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أفاد سید المستمسک فی مقام الجمع بأن الوجه فی اختلاف النصوص فی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اختلافها من مراتب العظمة أو لورود النص لمجرّد الاثبات لدفع توهّم عدم کون ما ذکر من الکبائر من دون تعرض للنفی فلا یکون واردا مورد الحصر أو غیر ذلک مما یرتفع التنافی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وجه لهذا الجمع فان الروایات فی مقام التحدید فتکون متعارضة فان الظاهر من هذه النصوص التعریف و التحدید، و لا اشکال فی تحقّق المفهوم اذا کان المتکلم فی مکان تحدید شی‌ء و اعطاء المیزان و الضابطة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یجمع بین الروایات بترجیح روایة عبد العظیم لأنها واردة عن الجواد علیه السلام فتکون أحدث، و الأحدثیّة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المرجّحات، و ان أبیت عن الجمع المذکور فنقول تتساقطان و تصل النوبة الی العام الفوق، و هو ما رواه الحلبی عن أبی عبد اللّه علیه السلام فی القنوت فی الوتر، 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 العظیم،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ذنب عظیم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فیکون کل ذنب عظیم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ثبوت کونها کبیرة بورود التوعید بالنار علیه فی الکتاب أو السنّة فدلت علیه أیضا روایة عبد العظیم، فان الامام</w:t>
      </w:r>
      <w:bookmarkStart w:id="79" w:name="pg2364_24142"/>
    </w:p>
    <w:p>
      <w:pPr>
        <w:pStyle w:val="BookText"/>
        <w:rPr/>
      </w:pPr>
      <w:bookmarkEnd w:id="79"/>
      <w:r>
        <w:rPr>
          <w:rFonts w:ascii="IRNazanin" w:hAnsi="IRNazanin" w:eastAsia="IRNazanin"/>
          <w:color w:val="111111"/>
          <w:sz w:val="28"/>
          <w:sz w:val="28"/>
          <w:szCs w:val="28"/>
          <w:rtl w:val="true"/>
          <w:lang w:bidi="fa-IR"/>
        </w:rPr>
        <w:t>علیه السلام استدل بقول رسول اللّه صلی اللّه علیه و آله و سلم و بالقرآن، و تدل علیه أیضا روایة 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اثبات کونها کبیرة بعده فی الکتاب و السنّة من أعظم الکبائر المنصوصة أو الموعود علیها بالنار فواضح فانها اذا کانت بدلالة الکتاب و السنّة أعظم من احدی الکبائر أو الموعود علیها بالنار فتکون کبیرة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اثبات کونها کبیرة بعظمتها فی أنفس أهل الشرع فیوقف علی العلم بأن الارتکاز المذکور منتهیا الیهم علیهم السلام فیکون کبقیة المرتکزات الشرعیة التی تکون حجة علی مؤدیاتها</w:t>
      </w:r>
      <w:r>
        <w:rPr>
          <w:rFonts w:eastAsia="IRNazanin" w:cs="IRNazanin"/>
          <w:color w:val="111111"/>
          <w:sz w:val="28"/>
          <w:szCs w:val="28"/>
          <w:rtl w:val="true"/>
          <w:lang w:bidi="fa-IR"/>
        </w:rPr>
        <w:t>.</w:t>
      </w:r>
    </w:p>
    <w:p>
      <w:pPr>
        <w:pStyle w:val="Heading6"/>
        <w:numPr>
          <w:ilvl w:val="5"/>
          <w:numId w:val="1"/>
        </w:numPr>
        <w:rPr/>
      </w:pPr>
      <w:bookmarkStart w:id="80" w:name="__RefHeading___Toc2825903_3804643083"/>
      <w:bookmarkStart w:id="81" w:name="_Toc32"/>
      <w:bookmarkEnd w:id="80"/>
      <w:r>
        <w:rPr>
          <w:rtl w:val="true"/>
        </w:rPr>
        <w:t>اشتراط عدم صدور منافیات المروة فی العدالة</w:t>
      </w:r>
      <w:bookmarkEnd w:id="81"/>
    </w:p>
    <w:p>
      <w:pPr>
        <w:pStyle w:val="BookText"/>
        <w:rPr/>
      </w:pPr>
      <w:r>
        <w:rPr>
          <w:rFonts w:ascii="IRNazanin" w:hAnsi="IRNazanin" w:eastAsia="IRNazanin"/>
          <w:color w:val="111111"/>
          <w:sz w:val="28"/>
          <w:sz w:val="28"/>
          <w:szCs w:val="28"/>
          <w:rtl w:val="true"/>
          <w:lang w:bidi="fa-IR"/>
        </w:rPr>
        <w:t>وقع الکلام بینهم فی اشتراط عدم صدور منافیات المروة فی العدالة و عدم اشتراطه و ما یمکن أن یستدل به لاشتراطه أمران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قوله علیه السلام فی روایة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ساترا لجمیع عیوبه</w:t>
      </w:r>
      <w:r>
        <w:rPr>
          <w:rStyle w:val="FootnoteAnchor"/>
          <w:rtl w:val="true"/>
        </w:rPr>
        <w:footnoteReference w:id="38"/>
      </w:r>
      <w:r>
        <w:rPr>
          <w:rFonts w:ascii="IRNazanin" w:hAnsi="IRNazanin" w:eastAsia="IRNazanin"/>
          <w:color w:val="111111"/>
          <w:sz w:val="28"/>
          <w:sz w:val="28"/>
          <w:szCs w:val="28"/>
          <w:rtl w:val="true"/>
          <w:lang w:bidi="fa-IR"/>
        </w:rPr>
        <w:t>یدل علی المدعی فان خلاف المروة من جملة العیوب، و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ضعیفة سندا کما مرّ،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بتناسب الحکم و الموضوع یعلم ان</w:t>
      </w:r>
    </w:p>
    <w:p>
      <w:pPr>
        <w:pStyle w:val="BookText"/>
        <w:rPr/>
      </w:pPr>
      <w:r>
        <w:rPr>
          <w:rFonts w:ascii="IRNazanin" w:hAnsi="IRNazanin" w:eastAsia="IRNazanin"/>
          <w:color w:val="111111"/>
          <w:sz w:val="28"/>
          <w:sz w:val="28"/>
          <w:szCs w:val="28"/>
          <w:rtl w:val="true"/>
          <w:lang w:bidi="fa-IR"/>
        </w:rPr>
        <w:t>المراد من العیوب ما یکون عیبا فی وعاء الشرع أی ما یکون معصیة و لا کلام فیه،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مقام الثبوت، لا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یخجل و لم یستحیی من الناس لم یخجل و لم یستحی عن اللّه، و ضعفه أوضح من أن یخفی، فان من یخجل عن اللّه و یستحی عنه یخجل عن الناس، و لذا نری ان من یخاف من اللّه تعالی لم یخف من الناس، و یؤید المدعی ان هذه المسألة لم تکن معنونة عند القدماء و انما اخترعه المتأخّرون و ما نقل عن سیرة النّبیّ صلی اللّه علیه و آله من الأکل فی السوق و الرکوب علی الحمار و أمثال ذلک دالّ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فی المروة بانحاء مدالیلها فلا تدل علی المدّعی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لا دین لمن لا مروة له، و لا مروة لمن لا عقل له</w:t>
      </w:r>
      <w:r>
        <w:rPr>
          <w:rStyle w:val="FootnoteAnchor"/>
          <w:rtl w:val="true"/>
        </w:rPr>
        <w:footnoteReference w:id="39"/>
      </w:r>
      <w:r>
        <w:rPr>
          <w:rFonts w:ascii="IRNazanin" w:hAnsi="IRNazanin" w:eastAsia="IRNazanin"/>
          <w:color w:val="111111"/>
          <w:sz w:val="28"/>
          <w:sz w:val="28"/>
          <w:szCs w:val="28"/>
          <w:rtl w:val="true"/>
          <w:lang w:bidi="fa-IR"/>
        </w:rPr>
        <w:t>و هذه الروایة ضعیفة سندا بالارسال، مضافا الی ضعف الدلالة فانه ان کان المراد من المروة المذکورة فیها هی بمعناها المعهود فلا تشملها</w:t>
      </w:r>
    </w:p>
    <w:p>
      <w:pPr>
        <w:pStyle w:val="BookText"/>
        <w:rPr/>
      </w:pPr>
      <w:r>
        <w:rPr>
          <w:rFonts w:ascii="IRNazanin" w:hAnsi="IRNazanin" w:eastAsia="IRNazanin"/>
          <w:color w:val="111111"/>
          <w:sz w:val="28"/>
          <w:sz w:val="28"/>
          <w:szCs w:val="28"/>
          <w:rtl w:val="true"/>
          <w:lang w:bidi="fa-IR"/>
        </w:rPr>
        <w:t>الروایة للقطع بأن الایمان لا یذهب بارتکاب خلاف المروة فللروایة معنی آخر نظیر لا صلاة لجار المسجد الّا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ان جملة من الروایات وردت فی تفسیرها منها ما رواه جویریة بن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اشتددت خلف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جویریة انه لم یهلک هؤلاء الحمقی الا بخفق النعال خلفهم ما جاء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أسألک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الشرف، و عن المروة، و عن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الشرف فمن شرفه السلطان شرف، و أما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فاصلاح المعیشة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الصدوق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الناس عند الصادق أمر الفتوة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المروة؟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و اللّه أن یقع الرجل خوانه بفناء داره، و المروة مروتان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فی الحضر و مروة فی السفر، فأما التی فی الحضر تلاوة القرآن و لزوم المساجد و المشی مع الاخوان فی الحوائج و النعمة تری علی الخادم، انها تسر الصدیق و تکبت العدو، و أما التی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فکثرة الزاد و طیبه و بذله لمن کان معک و کتمانک علی</w:t>
      </w:r>
    </w:p>
    <w:p>
      <w:pPr>
        <w:pStyle w:val="BookText"/>
        <w:rPr/>
      </w:pPr>
      <w:r>
        <w:rPr>
          <w:rFonts w:ascii="IRNazanin" w:hAnsi="IRNazanin" w:eastAsia="IRNazanin"/>
          <w:color w:val="111111"/>
          <w:sz w:val="28"/>
          <w:sz w:val="28"/>
          <w:szCs w:val="28"/>
          <w:rtl w:val="true"/>
          <w:lang w:bidi="fa-IR"/>
        </w:rPr>
        <w:t>القوم أمرهم بعد مفارقتک ایّاهم و کثرة المزاح فی غیر ما یسخط اللّه عز و جل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رفعه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معاویة الحسن ابن علی علیه السلام عن 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الرجل علی دینه و اصلاحه ماله و قیامه بالحقوق</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عبد اللّه بن أحمد بن عامر الطائی عن أبیه عن الرضا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یظلمهم، و حدثهم فلم یکذبهم، و وعدهم فلم یخلفهم، فهو ممّن کملت مروّته، و ظهرت عدالته، و وجبت اخوته و حرمت غیبته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معاویة بن وهب عن أبی عبد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علیهما السلام عند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الرجل دینه و قیامه فی اصلاح ضیعته و حسن منازعته و افشاء السلام و لین الکلام و الکف و التحبّب الی الناس</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علی بن حفص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الحسن علیه السلام عن 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فی الدین و حسن التقدیر فی المعیشة و الصبر علی النائبة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أبان بن تغلب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استصلاح المال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الهیثم بن عبد اللّه النهدی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مروتان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فی السفر و مروة فی الحضر، فأما مروة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فتلاوة القرآن، و حضور المساجد، و صحبة أهل الخیر و النظر فی الفقه، و أما مروة السفر فبذل الزاد و المزاح فی غیر ما یسخط اللّه و قلّة الخلاف علی من صحبک و ترک الروایة علیهم اذا أنت فارقتهم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أبو قتادة القمی رفعه الی أبی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المروة؟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أن یضع الرجل خوانه بفناء داره و المروتان مروّتان و ذکر نحو الحدیث الذی تقدم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حماد بن عیسی عمن ذکره عن أبی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لمحمد بن الحنفیة 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مروة المرء المسلم مروتان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فی حضر، و مروّة فی سفر، فأما مروة الحضر فقراءة القرآن و مجالسة العلماء و النظر فی الفقه، و المحافظة علی الصلوات فی الجماعات، و أما مروة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الزاد، و قلة الخلاف علی من صحبک و کثرة ذکر اللّه فی کل مصعد و مهبط و نزول و قیام و قعود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أفاد سیّدنا الاستاذ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خلاف المروّة اذا کان موجبا لهتک الانسان نفسه فهو مضر بالعدالة، لا لأنه خلاف المروة و المتعارف بین الناس بل من جهة انه محرّم شرعا،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حرمة الهتک منصرف عن هتک الانسان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خلاف المروة قادحا بالعدالة لا دلیل علیه اثباتا و ان کان ممکنا ثبوتا بل فی بعض الروایات ما یدل علی انه یکون فی المروة ما یکون فی العدالة لاحظ</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الی ذلک ان المستفاد من روایة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w:t>
      </w:r>
      <w:bookmarkStart w:id="82" w:name="pg2364_24148"/>
    </w:p>
    <w:p>
      <w:pPr>
        <w:pStyle w:val="BookText"/>
        <w:rPr/>
      </w:pPr>
      <w:bookmarkEnd w:id="82"/>
      <w:r>
        <w:rPr>
          <w:rFonts w:ascii="IRNazanin" w:hAnsi="IRNazanin" w:eastAsia="IRNazanin"/>
          <w:color w:val="111111"/>
          <w:sz w:val="28"/>
          <w:sz w:val="28"/>
          <w:szCs w:val="28"/>
          <w:rtl w:val="true"/>
          <w:lang w:bidi="fa-IR"/>
        </w:rPr>
        <w:t>یظلمهم و حدثهم فلم یکذبهم و وعدهم فلم یخلفهم کان ممن حرصت غیبته و کملت مروته و ظهر عدله و وجبت اخوته</w:t>
      </w:r>
      <w:r>
        <w:rPr>
          <w:rStyle w:val="FootnoteAnchor"/>
          <w:rtl w:val="true"/>
        </w:rPr>
        <w:footnoteReference w:id="50"/>
      </w:r>
      <w:r>
        <w:rPr>
          <w:rFonts w:ascii="IRNazanin" w:hAnsi="IRNazanin" w:eastAsia="IRNazanin"/>
          <w:color w:val="111111"/>
          <w:sz w:val="28"/>
          <w:sz w:val="28"/>
          <w:szCs w:val="28"/>
          <w:rtl w:val="true"/>
          <w:lang w:bidi="fa-IR"/>
        </w:rPr>
        <w:t>، ان الکاشف عن العدالة کاشف عن المروة أیضا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هذه الروایة کون العدالة مساوقة للمروة، و اللّه العالم، الی هنا کان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ان حقیقة العدالة عبارة عن کون الشخص فی جادة الشرع بحیث لا یصدر منه کبیرة و لا صغیرة بلا اشتراط کون ذلک عن ملکة باعثة علی ذلک</w:t>
      </w:r>
    </w:p>
    <w:p>
      <w:pPr>
        <w:pStyle w:val="Heading4"/>
        <w:numPr>
          <w:ilvl w:val="3"/>
          <w:numId w:val="1"/>
        </w:numPr>
        <w:rPr/>
      </w:pPr>
      <w:bookmarkStart w:id="83" w:name="__RefHeading___Toc2825905_3804643083"/>
      <w:bookmarkStart w:id="84" w:name="_Toc33"/>
      <w:bookmarkEnd w:id="83"/>
      <w:r>
        <w:rPr>
          <w:rtl w:val="true"/>
        </w:rPr>
        <w:t xml:space="preserve">و یقع الکلام فی المقام الثانی </w:t>
      </w:r>
      <w:r>
        <w:rPr>
          <w:rtl w:val="true"/>
        </w:rPr>
        <w:t>[</w:t>
      </w:r>
      <w:r>
        <w:rPr>
          <w:rtl w:val="true"/>
        </w:rPr>
        <w:t>أی فی الکاشف عنها</w:t>
      </w:r>
      <w:r>
        <w:rPr>
          <w:rtl w:val="true"/>
        </w:rPr>
        <w:t>]</w:t>
      </w:r>
      <w:bookmarkEnd w:id="84"/>
    </w:p>
    <w:p>
      <w:pPr>
        <w:pStyle w:val="Heading5"/>
        <w:numPr>
          <w:ilvl w:val="4"/>
          <w:numId w:val="1"/>
        </w:numPr>
        <w:rPr/>
      </w:pPr>
      <w:bookmarkStart w:id="85" w:name="__RefHeading___Toc2825907_3804643083"/>
      <w:bookmarkStart w:id="86" w:name="_Toc34"/>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 فاعلم ان الطریق الی اثبات العدالة أمور</w:t>
      </w:r>
      <w:r>
        <w:rPr>
          <w:rFonts w:eastAsia="IRNazanin" w:cs="IRNazanin"/>
          <w:color w:val="111111"/>
          <w:sz w:val="28"/>
          <w:szCs w:val="28"/>
          <w:rtl w:val="true"/>
          <w:lang w:bidi="fa-IR"/>
        </w:rPr>
        <w:t>:</w:t>
      </w:r>
    </w:p>
    <w:p>
      <w:pPr>
        <w:pStyle w:val="Heading5"/>
        <w:numPr>
          <w:ilvl w:val="4"/>
          <w:numId w:val="1"/>
        </w:numPr>
        <w:rPr/>
      </w:pPr>
      <w:bookmarkStart w:id="87" w:name="__RefHeading___Toc2825909_3804643083"/>
      <w:bookmarkStart w:id="88" w:name="_Toc35"/>
      <w:bookmarkEnd w:id="87"/>
      <w:r>
        <w:rPr>
          <w:rtl w:val="true"/>
        </w:rPr>
        <w:t>الأول</w:t>
      </w:r>
      <w:r>
        <w:rPr>
          <w:rtl w:val="true"/>
        </w:rPr>
        <w:t xml:space="preserve">: </w:t>
      </w:r>
      <w:r>
        <w:rPr>
          <w:rtl w:val="true"/>
        </w:rPr>
        <w:t>القطع وجدانا من أی طریق حصل،</w:t>
      </w:r>
      <w:bookmarkEnd w:id="88"/>
    </w:p>
    <w:p>
      <w:pPr>
        <w:pStyle w:val="BookText"/>
        <w:rPr/>
      </w:pPr>
      <w:r>
        <w:rPr>
          <w:rFonts w:ascii="IRNazanin" w:hAnsi="IRNazanin" w:eastAsia="IRNazanin"/>
          <w:color w:val="111111"/>
          <w:sz w:val="28"/>
          <w:sz w:val="28"/>
          <w:szCs w:val="28"/>
          <w:rtl w:val="true"/>
          <w:lang w:bidi="fa-IR"/>
        </w:rPr>
        <w:t>و لا ریب فی طریقیته لکونه حجّة بالذات فی نظر العقل کما حقّقناه فی الأصول</w:t>
      </w:r>
      <w:r>
        <w:rPr>
          <w:rFonts w:eastAsia="IRNazanin" w:cs="IRNazanin"/>
          <w:color w:val="111111"/>
          <w:sz w:val="28"/>
          <w:szCs w:val="28"/>
          <w:rtl w:val="true"/>
          <w:lang w:bidi="fa-IR"/>
        </w:rPr>
        <w:t>.</w:t>
      </w:r>
    </w:p>
    <w:p>
      <w:pPr>
        <w:pStyle w:val="Heading5"/>
        <w:numPr>
          <w:ilvl w:val="4"/>
          <w:numId w:val="1"/>
        </w:numPr>
        <w:rPr/>
      </w:pPr>
      <w:bookmarkStart w:id="89" w:name="__RefHeading___Toc2825911_3804643083"/>
      <w:bookmarkStart w:id="90" w:name="_Toc36"/>
      <w:bookmarkEnd w:id="89"/>
      <w:r>
        <w:rPr>
          <w:rtl w:val="true"/>
        </w:rPr>
        <w:t>الثانی</w:t>
      </w:r>
      <w:r>
        <w:rPr>
          <w:rtl w:val="true"/>
        </w:rPr>
        <w:t xml:space="preserve">: </w:t>
      </w:r>
      <w:r>
        <w:rPr>
          <w:rtl w:val="true"/>
        </w:rPr>
        <w:t>شهادة عدلین</w:t>
      </w:r>
      <w:bookmarkEnd w:id="90"/>
    </w:p>
    <w:p>
      <w:pPr>
        <w:pStyle w:val="BookText"/>
        <w:rPr/>
      </w:pPr>
      <w:r>
        <w:rPr>
          <w:rFonts w:ascii="IRNazanin" w:hAnsi="IRNazanin" w:eastAsia="IRNazanin"/>
          <w:color w:val="111111"/>
          <w:sz w:val="28"/>
          <w:sz w:val="28"/>
          <w:szCs w:val="28"/>
          <w:rtl w:val="true"/>
          <w:lang w:bidi="fa-IR"/>
        </w:rPr>
        <w:t>فانها حجة فی الموضوعات، و لکن یشترط فیها أن لا یکون معارضا بشهادة عدلین آخرین و الّا تساقطا بالتعارض و الدلیل علی حجیتها عموم بناء العقلاء الممضی شرعا</w:t>
      </w:r>
      <w:r>
        <w:rPr>
          <w:rFonts w:eastAsia="IRNazanin" w:cs="IRNazanin"/>
          <w:color w:val="111111"/>
          <w:sz w:val="28"/>
          <w:szCs w:val="28"/>
          <w:rtl w:val="true"/>
          <w:lang w:bidi="fa-IR"/>
        </w:rPr>
        <w:t>.</w:t>
      </w:r>
    </w:p>
    <w:p>
      <w:pPr>
        <w:pStyle w:val="Heading5"/>
        <w:numPr>
          <w:ilvl w:val="4"/>
          <w:numId w:val="1"/>
        </w:numPr>
        <w:rPr/>
      </w:pPr>
      <w:bookmarkStart w:id="91" w:name="__RefHeading___Toc2825913_3804643083"/>
      <w:bookmarkStart w:id="92" w:name="_Toc37"/>
      <w:bookmarkEnd w:id="91"/>
      <w:r>
        <w:rPr>
          <w:rtl w:val="true"/>
        </w:rPr>
        <w:t>الثالث</w:t>
      </w:r>
      <w:r>
        <w:rPr>
          <w:rtl w:val="true"/>
        </w:rPr>
        <w:t xml:space="preserve">: </w:t>
      </w:r>
      <w:r>
        <w:rPr>
          <w:rtl w:val="true"/>
        </w:rPr>
        <w:t>شهادة عدل واحد</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بینة تکفی فی الحجیة و أفاد سید المستمسک بأنها لا تکفی لعدم تمامیة دلالة آیة النبأ و ذکر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روایة مسعدة بناء</w:t>
      </w:r>
      <w:bookmarkStart w:id="93" w:name="pg2364_24149"/>
    </w:p>
    <w:p>
      <w:pPr>
        <w:pStyle w:val="BookText"/>
        <w:rPr/>
      </w:pPr>
      <w:bookmarkEnd w:id="93"/>
      <w:r>
        <w:rPr>
          <w:rFonts w:ascii="IRNazanin" w:hAnsi="IRNazanin" w:eastAsia="IRNazanin"/>
          <w:color w:val="111111"/>
          <w:sz w:val="28"/>
          <w:sz w:val="28"/>
          <w:szCs w:val="28"/>
          <w:rtl w:val="true"/>
          <w:lang w:bidi="fa-IR"/>
        </w:rPr>
        <w:t>علی ظهورها فی عموم حجیة البینة المنع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 روایة مسعدة ما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انه حرام بعینه، فتدعه من قبل نفسک و ذلک مثل الثوب یکون علیک قد اشتریته و هو سرقة و المملوک عندک لعله حر قد باع نفسه أو خدع فبیع قهرا أو امرأة تحتک و هی أختک أو رضیعتک و الأشیاء کلها علی هذا حتی یتبین لک غیر ذلک أو تقوم به البیّنة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ضعیفة بمسعدة بن صدقة فانه لم یوثق هذا أولا و ثانیا ان البینة عبارة عما یتبین به الشی‌ء و هو شامل لعدل واحد الّا انه فی موارد الدعاوی قد ورد الدلیل علی اعتبار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الدلیل علی حجّیة قول عدل واحد هو الآیة بل بناء العقلاء علی العمل بخبر عدل واحد فی الموضوعات</w:t>
      </w:r>
      <w:r>
        <w:rPr>
          <w:rFonts w:eastAsia="IRNazanin" w:cs="IRNazanin"/>
          <w:color w:val="111111"/>
          <w:sz w:val="28"/>
          <w:szCs w:val="28"/>
          <w:rtl w:val="true"/>
          <w:lang w:bidi="fa-IR"/>
        </w:rPr>
        <w:t>.</w:t>
      </w:r>
    </w:p>
    <w:p>
      <w:pPr>
        <w:pStyle w:val="Heading5"/>
        <w:numPr>
          <w:ilvl w:val="4"/>
          <w:numId w:val="1"/>
        </w:numPr>
        <w:rPr/>
      </w:pPr>
      <w:bookmarkStart w:id="94" w:name="__RefHeading___Toc2825915_3804643083"/>
      <w:bookmarkStart w:id="95" w:name="_Toc38"/>
      <w:bookmarkEnd w:id="94"/>
      <w:r>
        <w:rPr>
          <w:rtl w:val="true"/>
        </w:rPr>
        <w:t>الرابع</w:t>
      </w:r>
      <w:r>
        <w:rPr>
          <w:rtl w:val="true"/>
        </w:rPr>
        <w:t xml:space="preserve">: </w:t>
      </w:r>
      <w:r>
        <w:rPr>
          <w:rtl w:val="true"/>
        </w:rPr>
        <w:t>الوثوق و الاطمینان،</w:t>
      </w:r>
      <w:bookmarkEnd w:id="9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حجة من أی طریق حصل، و أفاد سید العروة بأنه یکفی الوثوق و الاطمینان بشرط کونه من أهل الفهم و الخبرة و البصیرة و المعرفة</w:t>
      </w:r>
    </w:p>
    <w:p>
      <w:pPr>
        <w:pStyle w:val="BookText"/>
        <w:rPr/>
      </w:pPr>
      <w:r>
        <w:rPr>
          <w:rFonts w:ascii="IRNazanin" w:hAnsi="IRNazanin" w:eastAsia="IRNazanin"/>
          <w:color w:val="111111"/>
          <w:sz w:val="28"/>
          <w:sz w:val="28"/>
          <w:szCs w:val="28"/>
          <w:rtl w:val="true"/>
          <w:lang w:bidi="fa-IR"/>
        </w:rPr>
        <w:t>بالمسائل لا من الجهّال و لا ممن یحصل له الاطمینان و الوثوق بأی شی‌ء کغالب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انه لا وجه لهذه القیود، بل الاطمینان حجة من أی وجه حصل، و قد یستدل للمدعی بما رواه أبو علی ابن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موالیک قد اختلفوا فأصلّی خلفهم جمیعا؟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تصلی الّا خلف من تثق بدینه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الروایة ضعیفة سندا بسهل و دلالتها غیر تامّة لأنها فرض فیها ان الاطمینان بالوثاقة کاف غیر مقید بحصوله من طریق خاص، و نظیر هذه الروایة ما رواه الطبرسی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رأیتم الرجل قد حسن سمته و هدیه و تمارت فی منطقه و تخاضع فی حرکاته فرویدا لا یغرنکم فما أکثر من یعجزه تناول الدنیا و رکوب المحارم منها لضعف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مهانته و جبن قلبه فتصب الدین فخّا لها فهو لا یزال یخیل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بظاهره فان تمکن من حرام اقتحمه و اذا وجد تموه یعف عن المال الحرام فرویدا لا یغرنکم فان شهوات الخلق مختلفة فما أکثر من ینبو عن المال الحرام و ان کثر و یحمل نفسه علی</w:t>
      </w:r>
      <w:bookmarkStart w:id="96" w:name="pg2364_24151"/>
    </w:p>
    <w:p>
      <w:pPr>
        <w:pStyle w:val="BookText"/>
        <w:rPr/>
      </w:pPr>
      <w:bookmarkEnd w:id="96"/>
      <w:r>
        <w:rPr>
          <w:rFonts w:ascii="IRNazanin" w:hAnsi="IRNazanin" w:eastAsia="IRNazanin"/>
          <w:color w:val="111111"/>
          <w:sz w:val="28"/>
          <w:sz w:val="28"/>
          <w:szCs w:val="28"/>
          <w:rtl w:val="true"/>
          <w:lang w:bidi="fa-IR"/>
        </w:rPr>
        <w:t>شوهاء قبیحة فیأتی منها محرما فاذا وجد تموه یعف عن ذلک فرویدا لا یغرّنکم حتی تنظروا ما عقده عقله فما أکثر من ترک ذلک أجمع ثم لا یرجع الی عقد متین فیکون ما یفسده بجهله أکثر مما یصلحه بعقله و اذا وجدتم عقله متینا فرویدا لا یغرّنکم حتی تنظروا مع هواه یکون علی عقله أو یکون مع عقله علی هواه و کیف محبّته للرئاسات الباطلة و زهده فیها فان فی الناس من خسر الدنیا و الآخرة بترک الدنیا للدنیا، و یری ان لذّة الرئاسة الباطلة أفضل من لذّة الأموال و النعم المباحة المحلّلة فیترک ذلک أجمع طلبا للرئاسة</w:t>
      </w:r>
      <w:r>
        <w:rPr>
          <w:rStyle w:val="FootnoteAnchor"/>
          <w:rtl w:val="true"/>
        </w:rPr>
        <w:footnoteReference w:id="53"/>
      </w:r>
      <w:r>
        <w:rPr>
          <w:rFonts w:ascii="IRNazanin" w:hAnsi="IRNazanin" w:eastAsia="IRNazanin"/>
          <w:color w:val="111111"/>
          <w:sz w:val="28"/>
          <w:sz w:val="28"/>
          <w:szCs w:val="28"/>
          <w:rtl w:val="true"/>
          <w:lang w:bidi="fa-IR"/>
        </w:rPr>
        <w:t>بل دلالتها أضعف لأنها ناظرة الی ان الانسان لا بدّ ان لا یغتر بظاهر الرجل فهذا ارشاد الی عدم حصول الوثوق و الاطمینان لا النهی عن العمل بالوثوق بعد حصوله مضافا الی ارساله فلا یکون حجّة</w:t>
      </w:r>
      <w:r>
        <w:rPr>
          <w:rFonts w:eastAsia="IRNazanin" w:cs="IRNazanin"/>
          <w:color w:val="111111"/>
          <w:sz w:val="28"/>
          <w:szCs w:val="28"/>
          <w:rtl w:val="true"/>
          <w:lang w:bidi="fa-IR"/>
        </w:rPr>
        <w:t>.</w:t>
      </w:r>
    </w:p>
    <w:p>
      <w:pPr>
        <w:pStyle w:val="Heading5"/>
        <w:numPr>
          <w:ilvl w:val="4"/>
          <w:numId w:val="1"/>
        </w:numPr>
        <w:rPr/>
      </w:pPr>
      <w:bookmarkStart w:id="97" w:name="__RefHeading___Toc2825917_3804643083"/>
      <w:bookmarkStart w:id="98" w:name="_Toc39"/>
      <w:bookmarkEnd w:id="97"/>
      <w:r>
        <w:rPr>
          <w:rtl w:val="true"/>
        </w:rPr>
        <w:t>الخامس</w:t>
      </w:r>
      <w:r>
        <w:rPr>
          <w:rtl w:val="true"/>
        </w:rPr>
        <w:t xml:space="preserve">: </w:t>
      </w:r>
      <w:r>
        <w:rPr>
          <w:rtl w:val="true"/>
        </w:rPr>
        <w:t>حسن الظاهر</w:t>
      </w:r>
      <w:bookmarkEnd w:id="98"/>
    </w:p>
    <w:p>
      <w:pPr>
        <w:pStyle w:val="BookText"/>
        <w:rPr/>
      </w:pPr>
      <w:r>
        <w:rPr>
          <w:rFonts w:ascii="IRNazanin" w:hAnsi="IRNazanin" w:eastAsia="IRNazanin"/>
          <w:color w:val="111111"/>
          <w:sz w:val="28"/>
          <w:sz w:val="28"/>
          <w:szCs w:val="28"/>
          <w:rtl w:val="true"/>
          <w:lang w:bidi="fa-IR"/>
        </w:rPr>
        <w:t>و استدل علیه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بعض الکلمات من ان هذا مما تسالم علیه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التسالم لیس دلیلا شرعا فان غایة التسالم هو الاجماع، و فیه ما فیه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أفاده سیدنا الأستاذ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العدالة التی هی عبارة عن الاستقامة الواقعیة فی الدین قولا و فعلا</w:t>
      </w:r>
    </w:p>
    <w:p>
      <w:pPr>
        <w:pStyle w:val="BookText"/>
        <w:rPr/>
      </w:pPr>
      <w:r>
        <w:rPr>
          <w:rFonts w:ascii="IRNazanin" w:hAnsi="IRNazanin" w:eastAsia="IRNazanin"/>
          <w:color w:val="111111"/>
          <w:sz w:val="28"/>
          <w:sz w:val="28"/>
          <w:szCs w:val="28"/>
          <w:rtl w:val="true"/>
          <w:lang w:bidi="fa-IR"/>
        </w:rPr>
        <w:t>و اعتقادا لما کانت من الأوصاف غیر القابلة للعلم بها عادة و تحتاج الی معاشرة تامة فی جمیع الحالات و هذه لا تتفق لغالب الناس بل لا یمکن تحصیل العلم بالعدالة الواقعیة اذ ربّ شخص فی الظاهر فی غایة التقوی و الصلاح و هو فی الباطن من أهل الشرک و النفاق و هذا مما لا یعلمه الّا اللّه تعالی و اناطة الأحکام الکثیرة علی احراز العدالة الواقعیة توجب تعطیلها فجعل فی الشریعة السمحاء حسن الظاهر طریقا و امارة علیها تسهیلا علی المکلفین و ارفاقا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ما ذکره أن لا تکشف لدینا سریرة أی شخص فی أحوالاته و لا یمکن الالتزام بذلک فان الناس یعرفون سرائر بنی نوعهم کثیرا، و الحاصل ان کشف الغرائز و السرائر أمر قابل للدرک و لا مانع منه، فما ذکره أیضا لا یکون دلیلا علی کفایة حسن الظاهر لإثبات العدالة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ما رواه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و أشهد شاهدین ناصبیین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ولد علی الفطرة و عرف بالصلاح فی نفسه جازت شهادته</w:t>
      </w:r>
      <w:r>
        <w:rPr>
          <w:rStyle w:val="FootnoteAnchor"/>
          <w:rtl w:val="true"/>
        </w:rPr>
        <w:footnoteReference w:id="54"/>
      </w:r>
      <w:r>
        <w:rPr>
          <w:rFonts w:ascii="IRNazanin" w:hAnsi="IRNazanin" w:eastAsia="IRNazanin"/>
          <w:color w:val="111111"/>
          <w:sz w:val="28"/>
          <w:sz w:val="28"/>
          <w:szCs w:val="28"/>
          <w:rtl w:val="true"/>
          <w:lang w:bidi="fa-IR"/>
        </w:rPr>
        <w:t>و هذه الروایة تامّة سندا، و دلالة اذ الظاهر منها انه یکفی حسن الظاهر</w:t>
      </w:r>
    </w:p>
    <w:p>
      <w:pPr>
        <w:pStyle w:val="BookText"/>
        <w:rPr/>
      </w:pPr>
      <w:r>
        <w:rPr>
          <w:rFonts w:ascii="IRNazanin" w:hAnsi="IRNazanin" w:eastAsia="IRNazanin"/>
          <w:color w:val="111111"/>
          <w:sz w:val="28"/>
          <w:sz w:val="28"/>
          <w:szCs w:val="28"/>
          <w:rtl w:val="true"/>
          <w:lang w:bidi="fa-IR"/>
        </w:rPr>
        <w:t>فی قبول الشهادة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عن أبی جعفر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إلینا لأخبرنا شهادة الرجل اذا علم منه خیر مع یمین الخصم فی حقوق الناس</w:t>
      </w:r>
      <w:r>
        <w:rPr>
          <w:rStyle w:val="FootnoteAnchor"/>
          <w:rtl w:val="true"/>
        </w:rPr>
        <w:footnoteReference w:id="55"/>
      </w:r>
      <w:r>
        <w:rPr>
          <w:rFonts w:ascii="IRNazanin" w:hAnsi="IRNazanin" w:eastAsia="IRNazanin"/>
          <w:color w:val="111111"/>
          <w:sz w:val="28"/>
          <w:sz w:val="28"/>
          <w:szCs w:val="28"/>
          <w:rtl w:val="true"/>
          <w:lang w:bidi="fa-IR"/>
        </w:rPr>
        <w:t>و هذه الروایة تامة دلالة فانها دلت علی قبول شهادة من یکون خیرا فعلی هذا یکفی حسن الظاهر و فی قبال هذه الروایة روایة حریز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شهدوا علی رجل محصن بالزنا فعدل منهم اثنان و لم یعدل الآخران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کانوا أربعة من المسلمین لیس یعرفون بشهادة الزور أجیزت شهادتهم جمیعا و أقیم الحد علی الذی شهدوا علیه انما علیهم أن یشهدوا بما أبصروا و علموا و علی الوالی أن یجیز شهادتهم الّا أن یکونوا معروفین بالفسق</w:t>
      </w:r>
      <w:r>
        <w:rPr>
          <w:rStyle w:val="FootnoteAnchor"/>
          <w:rtl w:val="true"/>
        </w:rPr>
        <w:footnoteReference w:id="56"/>
      </w:r>
      <w:r>
        <w:rPr>
          <w:rFonts w:ascii="IRNazanin" w:hAnsi="IRNazanin" w:eastAsia="IRNazanin"/>
          <w:color w:val="111111"/>
          <w:sz w:val="28"/>
          <w:sz w:val="28"/>
          <w:szCs w:val="28"/>
          <w:rtl w:val="true"/>
          <w:lang w:bidi="fa-IR"/>
        </w:rPr>
        <w:t>فیقع التعارض بینهما لأن تلک الروایة دلت علی کفایة حسن الظاهر و هذه دلت علی انه لا بدّ من أن لا یکون معروفا بالفسق فمع عدم ظهور الفسق و لو لم یکن معروفا بالصلاح یکون عادلا تقبل شهادته، فلو قلنا بأنها قابلة للتقیید بالطائفة الأولی فهو و الّا فلا بدّ من اعمال قانون باب التعارض و حیث انه لا مرجح</w:t>
      </w:r>
    </w:p>
    <w:p>
      <w:pPr>
        <w:pStyle w:val="BookText"/>
        <w:rPr/>
      </w:pPr>
      <w:r>
        <w:rPr>
          <w:rFonts w:ascii="IRNazanin" w:hAnsi="IRNazanin" w:eastAsia="IRNazanin"/>
          <w:color w:val="111111"/>
          <w:sz w:val="28"/>
          <w:sz w:val="28"/>
          <w:szCs w:val="28"/>
          <w:rtl w:val="true"/>
          <w:lang w:bidi="fa-IR"/>
        </w:rPr>
        <w:t>من موافقة العامة و مخالفتهم فان أقوالهم علی ما فی کتاب الخلاف مختلفة فتصل النوبة الی الأحدثیة فیقدم ما دلت علی کفایة حسن الظاهر لأن فیها ما روی عن الرضا علیه السلام و هو روایة عبد اللّه المغیرة 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تؤیّد المدعی جملة من الروایات منها حدیث ابن أبی یعفور</w:t>
      </w:r>
      <w:r>
        <w:rPr>
          <w:rStyle w:val="FootnoteAnchor"/>
          <w:rtl w:val="true"/>
        </w:rPr>
        <w:footnoteReference w:id="57"/>
      </w:r>
      <w:r>
        <w:rPr>
          <w:rFonts w:ascii="IRNazanin" w:hAnsi="IRNazanin" w:eastAsia="IRNazanin"/>
          <w:color w:val="111111"/>
          <w:sz w:val="28"/>
          <w:sz w:val="28"/>
          <w:szCs w:val="28"/>
          <w:rtl w:val="true"/>
          <w:lang w:bidi="fa-IR"/>
        </w:rPr>
        <w:t>و منها ما رواه یونس عن بعض رجاله عن أبی عبد اللّه علیه السلام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ظاهر الرجل ظاهرا مأمونا جازت شهادته و لا یسأل عن باطنه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عبد اللّه بن احمد بن عامر الطائی عن أبیه عن الرضا علیه السلام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من عامل الناس فلم یظلمهم و حدثهم فلم یکذبهم و وعدهم فلم یخلفهم فهو ممن کملت مروته و ظهرت عدالته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عبد اللّه بن سنان عن أبی عبد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أوجبت له أربعا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 حدثهم لم یکذبهم و اذا وعدهم لم یخلفهم و اذا خالطهم لم یظلمهم وجب أن یظهروا فی الناس عدالته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عبد الکریم بن أبی یعفور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المرأة و النسوة اذا کنّ مستورات من أهل البیوتات معروفات بالستر و العفاف مطیعات للأزواج تارکات للبذا و التبرّج الی الرجال فی أندیتهم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هل یشترط فی الحکم بالعدالة المعاشرة مع الشخص أم 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الأولی یقتضی ذلک لأن الشک فی الحجیة مساوق لعدم الحجیة أضف الی ذلک النص الخاص، و هو ما رواه سماعة بن مهران</w:t>
      </w:r>
      <w:r>
        <w:rPr>
          <w:rStyle w:val="FootnoteAnchor"/>
          <w:rtl w:val="true"/>
        </w:rPr>
        <w:footnoteReference w:id="62"/>
      </w:r>
      <w:r>
        <w:rPr>
          <w:rFonts w:ascii="IRNazanin" w:hAnsi="IRNazanin" w:eastAsia="IRNazanin"/>
          <w:color w:val="111111"/>
          <w:sz w:val="28"/>
          <w:sz w:val="28"/>
          <w:szCs w:val="28"/>
          <w:rtl w:val="true"/>
          <w:lang w:bidi="fa-IR"/>
        </w:rPr>
        <w:t>فانه دال علی اشتراط المعاشرة فی اثبات العدالة لأن من موصولة متضمنة لمعنی الشرط مضافا الی ان الامام علیه السلام فی مقام التحدید و ما ذکرنا لا یضرّ بقبول الشهادة ممن لا یکون معاشرا فی باب المرافعات لأنا لو اشترطنا ذلک فی قبول الشهادات فی باب المرافعات اختل النظم و لم یبق حجر علی حجر، ففی باب الشهادات یکفی کونه معروفا بالخیر کما تشهد به الروایات المذکورة سابقا و فی بقیة الموارد لا بدّ فی الحکم بالعدالة من کونه معاشرا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فی کفایة حسن الظاهر أن یکون موجبا للعلم أو الظن أم لا؟ بل یحکم بالعدالة حتی مع الظن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انه یشترط العلم بالعدالة و استدل بروایتین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یونس عن بعض رجاله</w:t>
      </w:r>
      <w:r>
        <w:rPr>
          <w:rStyle w:val="FootnoteAnchor"/>
          <w:rtl w:val="true"/>
        </w:rPr>
        <w:footnoteReference w:id="63"/>
      </w: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ظاهر الرجل ظاهرا مأمونا جازته شهادته و لا یسأل عن باطنه، ظاهر فی انکشاف کونه مأمونا و الأمن منه لا یمکن الّا بحصول العلم بالأمن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ضعیفة سندا بالارسال و دلالتها غیر تامة فان الظاهر ان المقام مقام بیان الاثبات و الکشف، لا الثبوت و الواقع أضف الی ذلک کله انه علی فرض تسلم الروایة لا یکفی الظن، فانه لا یغنی من الحق شیئا، و مرجع هذا الاشتراط الی الغاء حجیة الظاهر، اذ العلم حجة ذاتا بنظر العقل، کما ان الاطمینان طریق عقلائی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علی بن راشد</w:t>
      </w:r>
      <w:r>
        <w:rPr>
          <w:rStyle w:val="FootnoteAnchor"/>
          <w:rtl w:val="true"/>
        </w:rPr>
        <w:footnoteReference w:id="64"/>
      </w:r>
      <w:r>
        <w:rPr>
          <w:rFonts w:ascii="IRNazanin" w:hAnsi="IRNazanin" w:eastAsia="IRNazanin"/>
          <w:color w:val="111111"/>
          <w:sz w:val="28"/>
          <w:sz w:val="28"/>
          <w:szCs w:val="28"/>
          <w:rtl w:val="true"/>
          <w:lang w:bidi="fa-IR"/>
        </w:rPr>
        <w:t>فان المستفاد من الروایة اعتبار الوثوق، و فیه ان الروایة ضعیفة بسهل بن زیاد و لو سلمنا صحة سندها فالروایة أجنبیة عن المقام فانها تدل علی انه لا بدّ من الوثوق بدین الامام فی صحة الاقتداء و کلامنا</w:t>
      </w:r>
    </w:p>
    <w:p>
      <w:pPr>
        <w:pStyle w:val="BookText"/>
        <w:rPr/>
      </w:pPr>
      <w:r>
        <w:rPr>
          <w:rFonts w:ascii="IRNazanin" w:hAnsi="IRNazanin" w:eastAsia="IRNazanin"/>
          <w:color w:val="111111"/>
          <w:sz w:val="28"/>
          <w:sz w:val="28"/>
          <w:szCs w:val="28"/>
          <w:rtl w:val="true"/>
          <w:lang w:bidi="fa-IR"/>
        </w:rPr>
        <w:t>فی کفایة حسن الظاهر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مجموع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یکفی حسن الظاهر، الکاشف ظنا عن العدالة، بل لا بدّ فی ترتیب الأثر علیها من قیام أحد الطرق من العلم أو العقلائی أو الجعل الشرعی،، اذ تقدم انه لا دلیل علی کفایة حسن الظاهر، و انما یکفی فی مورد خاص</w:t>
      </w:r>
      <w:r>
        <w:rPr>
          <w:rFonts w:eastAsia="IRNazanin" w:cs="IRNazanin"/>
          <w:color w:val="111111"/>
          <w:sz w:val="28"/>
          <w:szCs w:val="28"/>
          <w:rtl w:val="true"/>
          <w:lang w:bidi="fa-IR"/>
        </w:rPr>
        <w:t>.</w:t>
      </w:r>
      <w:bookmarkStart w:id="99" w:name="pg2364_24158"/>
    </w:p>
    <w:p>
      <w:pPr>
        <w:pStyle w:val="Heading2"/>
        <w:numPr>
          <w:ilvl w:val="1"/>
          <w:numId w:val="1"/>
        </w:numPr>
        <w:rPr/>
      </w:pPr>
      <w:bookmarkStart w:id="100" w:name="__RefHeading___Toc2825919_3804643083"/>
      <w:bookmarkStart w:id="101" w:name="_Toc40"/>
      <w:bookmarkEnd w:id="99"/>
      <w:bookmarkEnd w:id="100"/>
      <w:r>
        <w:rPr>
          <w:rtl w:val="true"/>
        </w:rPr>
        <w:t>رسالة فی التوبة</w:t>
      </w:r>
      <w:bookmarkEnd w:id="10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2825921_3804643083"/>
      <w:bookmarkStart w:id="103" w:name="_Toc41"/>
      <w:bookmarkEnd w:id="102"/>
      <w:r>
        <w:rPr>
          <w:rtl w:val="true"/>
        </w:rPr>
        <w:t>اشارة</w:t>
      </w:r>
      <w:bookmarkStart w:id="104" w:name="pg2364_24160"/>
      <w:bookmarkEnd w:id="103"/>
    </w:p>
    <w:p>
      <w:pPr>
        <w:pStyle w:val="BookText"/>
        <w:rPr/>
      </w:pPr>
      <w:bookmarkEnd w:id="104"/>
      <w:r>
        <w:rPr>
          <w:rFonts w:ascii="IRNazanin" w:hAnsi="IRNazanin" w:eastAsia="IRNazanin"/>
          <w:color w:val="111111"/>
          <w:sz w:val="28"/>
          <w:sz w:val="28"/>
          <w:szCs w:val="28"/>
          <w:rtl w:val="true"/>
          <w:lang w:bidi="fa-IR"/>
        </w:rPr>
        <w:t>و یقع البحث فیها من جهات</w:t>
      </w:r>
      <w:r>
        <w:rPr>
          <w:rFonts w:eastAsia="IRNazanin" w:cs="IRNazanin"/>
          <w:color w:val="111111"/>
          <w:sz w:val="28"/>
          <w:szCs w:val="28"/>
          <w:rtl w:val="true"/>
          <w:lang w:bidi="fa-IR"/>
        </w:rPr>
        <w:t>:</w:t>
      </w:r>
    </w:p>
    <w:p>
      <w:pPr>
        <w:pStyle w:val="Heading3"/>
        <w:numPr>
          <w:ilvl w:val="2"/>
          <w:numId w:val="1"/>
        </w:numPr>
        <w:rPr/>
      </w:pPr>
      <w:bookmarkStart w:id="105" w:name="__RefHeading___Toc2825923_3804643083"/>
      <w:bookmarkStart w:id="106" w:name="_Toc42"/>
      <w:bookmarkEnd w:id="105"/>
      <w:r>
        <w:rPr>
          <w:rtl w:val="true"/>
        </w:rPr>
        <w:t>الجهة الأولی</w:t>
      </w:r>
      <w:r>
        <w:rPr>
          <w:rtl w:val="true"/>
        </w:rPr>
        <w:t xml:space="preserve">: </w:t>
      </w:r>
      <w:r>
        <w:rPr>
          <w:rtl w:val="true"/>
        </w:rPr>
        <w:t>هل التوبة واجبة أم لا؟</w:t>
      </w:r>
      <w:bookmarkEnd w:id="106"/>
    </w:p>
    <w:p>
      <w:pPr>
        <w:pStyle w:val="Heading4"/>
        <w:numPr>
          <w:ilvl w:val="3"/>
          <w:numId w:val="1"/>
        </w:numPr>
        <w:rPr/>
      </w:pPr>
      <w:bookmarkStart w:id="107" w:name="__RefHeading___Toc2825925_3804643083"/>
      <w:bookmarkStart w:id="108" w:name="_Toc43"/>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ذکر الأصحاب انها واجبة، قال فی العروة فی أحکام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أهم الأمور و أوجب الواجبات التوبة من المعاصی</w:t>
      </w:r>
      <w:r>
        <w:rPr>
          <w:rFonts w:eastAsia="IRNazanin" w:cs="IRNazanin"/>
          <w:color w:val="111111"/>
          <w:sz w:val="28"/>
          <w:szCs w:val="28"/>
          <w:rtl w:val="true"/>
          <w:lang w:bidi="fa-IR"/>
        </w:rPr>
        <w:t>».</w:t>
      </w:r>
    </w:p>
    <w:p>
      <w:pPr>
        <w:pStyle w:val="Heading4"/>
        <w:numPr>
          <w:ilvl w:val="3"/>
          <w:numId w:val="1"/>
        </w:numPr>
        <w:rPr/>
      </w:pPr>
      <w:bookmarkStart w:id="109" w:name="__RefHeading___Toc2825927_3804643083"/>
      <w:bookmarkStart w:id="110" w:name="_Toc44"/>
      <w:bookmarkEnd w:id="109"/>
      <w:r>
        <w:rPr>
          <w:rtl w:val="true"/>
        </w:rPr>
        <w:t>و استدل علی الوجوب بالأدلة الأربعة</w:t>
      </w:r>
      <w:r>
        <w:rPr>
          <w:rtl w:val="true"/>
        </w:rPr>
        <w:t>:</w:t>
      </w:r>
      <w:bookmarkEnd w:id="110"/>
    </w:p>
    <w:p>
      <w:pPr>
        <w:pStyle w:val="Heading5"/>
        <w:numPr>
          <w:ilvl w:val="4"/>
          <w:numId w:val="1"/>
        </w:numPr>
        <w:rPr/>
      </w:pPr>
      <w:bookmarkStart w:id="111" w:name="__RefHeading___Toc2825929_3804643083"/>
      <w:bookmarkStart w:id="112" w:name="_Toc45"/>
      <w:bookmarkEnd w:id="111"/>
      <w:r>
        <w:rPr>
          <w:rtl w:val="true"/>
        </w:rPr>
        <w:t>أما الکتاب،</w:t>
      </w:r>
      <w:bookmarkEnd w:id="112"/>
    </w:p>
    <w:p>
      <w:pPr>
        <w:pStyle w:val="BookText"/>
        <w:rPr/>
      </w:pPr>
      <w:r>
        <w:rPr>
          <w:rFonts w:ascii="Amiri" w:hAnsi="Amiri" w:eastAsia="Amiri" w:cs="Amiri"/>
          <w:color w:val="111111"/>
          <w:sz w:val="28"/>
          <w:sz w:val="28"/>
          <w:szCs w:val="28"/>
          <w:rtl w:val="true"/>
          <w:lang w:bidi="ar-SA"/>
        </w:rPr>
        <w:t>فبقوله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بتقریب ان الأمر ظاهر فی الوجوب فتجب التوبة</w:t>
      </w:r>
      <w:bookmarkStart w:id="113" w:name="pg2364_24161"/>
    </w:p>
    <w:p>
      <w:pPr>
        <w:pStyle w:val="BookText"/>
        <w:rPr/>
      </w:pPr>
      <w:bookmarkEnd w:id="113"/>
      <w:r>
        <w:rPr>
          <w:rFonts w:ascii="IRNazanin" w:hAnsi="IRNazanin" w:eastAsia="IRNazanin"/>
          <w:color w:val="111111"/>
          <w:sz w:val="28"/>
          <w:sz w:val="28"/>
          <w:szCs w:val="28"/>
          <w:rtl w:val="true"/>
          <w:lang w:bidi="fa-IR"/>
        </w:rPr>
        <w:t>لکن لا یبعد أن یکون الظاهر من الآیتین الارشاد و لا یکون الأمر الوارد فیهما أمر مولویا مضافا الی ان التوبة النصوح ما یکون فیه العزم علی عدم العود أبدا بمقتضی النص، و عدم وجوب مثله واضح</w:t>
      </w:r>
      <w:r>
        <w:rPr>
          <w:rFonts w:eastAsia="IRNazanin" w:cs="IRNazanin"/>
          <w:color w:val="111111"/>
          <w:sz w:val="28"/>
          <w:szCs w:val="28"/>
          <w:rtl w:val="true"/>
          <w:lang w:bidi="fa-IR"/>
        </w:rPr>
        <w:t>.</w:t>
      </w:r>
    </w:p>
    <w:p>
      <w:pPr>
        <w:pStyle w:val="Heading5"/>
        <w:numPr>
          <w:ilvl w:val="4"/>
          <w:numId w:val="1"/>
        </w:numPr>
        <w:rPr/>
      </w:pPr>
      <w:bookmarkStart w:id="114" w:name="__RefHeading___Toc2825931_3804643083"/>
      <w:bookmarkStart w:id="115" w:name="_Toc46"/>
      <w:bookmarkEnd w:id="114"/>
      <w:r>
        <w:rPr>
          <w:rtl w:val="true"/>
        </w:rPr>
        <w:t>و أما السنّة</w:t>
      </w:r>
      <w:r>
        <w:rPr>
          <w:rtl w:val="true"/>
        </w:rPr>
        <w:t>:</w:t>
      </w:r>
      <w:bookmarkEnd w:id="115"/>
    </w:p>
    <w:p>
      <w:pPr>
        <w:pStyle w:val="BookText"/>
        <w:rPr/>
      </w:pPr>
      <w:r>
        <w:rPr>
          <w:rFonts w:ascii="IRNazanin" w:hAnsi="IRNazanin" w:eastAsia="IRNazanin"/>
          <w:color w:val="111111"/>
          <w:sz w:val="28"/>
          <w:sz w:val="28"/>
          <w:szCs w:val="28"/>
          <w:rtl w:val="true"/>
          <w:lang w:bidi="fa-IR"/>
        </w:rPr>
        <w:t>فلم نقف الی الآن علی ما یدل علی وجوبه فان الروایات غیر تامّة إما سندا أو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رواه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تاب العبد توبة نصوحا اجّله اللّه فستر علیه فی الدنیا و الآخرة،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یستر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ینسی ملکیه ما کتبا علیه من الذنوب و یوحی الی جوارحه اکتمی علیه ذنوبه و یوحی الی بقاع الأرض اکتمی ما کان یعمل علیک من الذنوب فیلقی اللّه حین یلقاه و لیس شی‌ء یشهد علیه بشی‌ء من الذنوب</w:t>
      </w:r>
      <w:r>
        <w:rPr>
          <w:rStyle w:val="FootnoteAnchor"/>
          <w:rtl w:val="true"/>
        </w:rPr>
        <w:footnoteReference w:id="67"/>
      </w:r>
      <w:r>
        <w:rPr>
          <w:rFonts w:ascii="IRNazanin" w:hAnsi="IRNazanin" w:eastAsia="IRNazanin"/>
          <w:color w:val="111111"/>
          <w:sz w:val="28"/>
          <w:sz w:val="28"/>
          <w:szCs w:val="28"/>
          <w:rtl w:val="true"/>
          <w:lang w:bidi="fa-IR"/>
        </w:rPr>
        <w:t>فانه لا دلالة فیها علی وجوب التوبة فان غایتها ان أثر التوبة ما ذکر فیها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محمد بن مسلم عن أحدهما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فی قول اللّه عز و جل فَمَنْ جاءَهُ مَوْعِظَةٌ مِنْ رَبِّهِ فَانْتَهی فَلَهُ ما سَلَفَ،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التوبة</w:t>
      </w:r>
      <w:r>
        <w:rPr>
          <w:rStyle w:val="FootnoteAnchor"/>
          <w:rtl w:val="true"/>
        </w:rPr>
        <w:footnoteReference w:id="68"/>
      </w:r>
      <w:r>
        <w:rPr>
          <w:rFonts w:ascii="IRNazanin" w:hAnsi="IRNazanin" w:eastAsia="IRNazanin"/>
          <w:color w:val="111111"/>
          <w:sz w:val="28"/>
          <w:sz w:val="28"/>
          <w:szCs w:val="28"/>
          <w:rtl w:val="true"/>
          <w:lang w:bidi="fa-IR"/>
        </w:rPr>
        <w:t>و الکلام فیه هو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أبو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الذنب الذی لا یعود فیه ابدأ،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أینا لم یعد؟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ان اللّه یحب من عباده المفتن التواب</w:t>
      </w:r>
      <w:r>
        <w:rPr>
          <w:rStyle w:val="FootnoteAnchor"/>
          <w:rtl w:val="true"/>
        </w:rPr>
        <w:footnoteReference w:id="69"/>
      </w:r>
      <w:r>
        <w:rPr>
          <w:rFonts w:ascii="IRNazanin" w:hAnsi="IRNazanin" w:eastAsia="IRNazanin"/>
          <w:color w:val="111111"/>
          <w:sz w:val="28"/>
          <w:sz w:val="28"/>
          <w:szCs w:val="28"/>
          <w:rtl w:val="true"/>
          <w:lang w:bidi="fa-IR"/>
        </w:rPr>
        <w:t>فان غایة ما یدل علیه ان اللّه یحب عبده المفتن التواب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أبو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یتوب العبد من الذنب ثم لا یعود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أبا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یتوب من الذنب ثم لا یعود فیه و أحب العباد الی اللّه المفتنون التوّابون</w:t>
      </w:r>
      <w:r>
        <w:rPr>
          <w:rStyle w:val="FootnoteAnchor"/>
          <w:rtl w:val="true"/>
        </w:rPr>
        <w:footnoteReference w:id="70"/>
      </w:r>
      <w:r>
        <w:rPr>
          <w:rFonts w:ascii="IRNazanin" w:hAnsi="IRNazanin" w:eastAsia="IRNazanin"/>
          <w:color w:val="111111"/>
          <w:sz w:val="28"/>
          <w:sz w:val="28"/>
          <w:szCs w:val="28"/>
          <w:rtl w:val="true"/>
          <w:lang w:bidi="fa-IR"/>
        </w:rPr>
        <w:t>و الکلام فیه هو الکلام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ابن أبی عمیر،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أعطی التائبین ثلاث خصال لو أعطی خصلة منها جمیع أهل السماوات و الأرض لنجوا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أحبه اللّه لم یعذبه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لِلَّذِینَ تابُوا وَ اتَّبَعُوا سَبِیلَکَ وَ قِهِمْ عَذابَ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الآیات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فَأُوْلئِکَ یُبَدِّلُ اللَّهُ سَیِّئاتِهِمْ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w:t>
      </w:r>
      <w:r>
        <w:rPr>
          <w:rStyle w:val="FootnoteAnchor"/>
          <w:rtl w:val="true"/>
        </w:rPr>
        <w:footnoteReference w:id="71"/>
      </w:r>
      <w:r>
        <w:rPr>
          <w:rFonts w:ascii="IRNazanin" w:hAnsi="IRNazanin" w:eastAsia="IRNazanin"/>
          <w:color w:val="111111"/>
          <w:sz w:val="28"/>
          <w:sz w:val="28"/>
          <w:szCs w:val="28"/>
          <w:rtl w:val="true"/>
          <w:lang w:bidi="fa-IR"/>
        </w:rPr>
        <w:t>و هذه الروایة ضعیفة بالارسال مضافا الی عدم دلالتها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أبو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أشد فرحا بتوبة عبده من رجل ضل راحلته و زاده فی لیلة ظلماء فوجدها فاللّه أشد فرحا بتوبة عبده من ذلک الرجل براحلته حین وجدها</w:t>
      </w:r>
      <w:r>
        <w:rPr>
          <w:rStyle w:val="FootnoteAnchor"/>
          <w:rtl w:val="true"/>
        </w:rPr>
        <w:footnoteReference w:id="72"/>
      </w:r>
      <w:r>
        <w:rPr>
          <w:rFonts w:ascii="IRNazanin" w:hAnsi="IRNazanin" w:eastAsia="IRNazanin"/>
          <w:color w:val="111111"/>
          <w:sz w:val="28"/>
          <w:sz w:val="28"/>
          <w:szCs w:val="28"/>
          <w:rtl w:val="true"/>
          <w:lang w:bidi="fa-IR"/>
        </w:rPr>
        <w:t>و هذه الروایة لا دلالة فیها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یفرح بتوبة عبده المؤمن اذا تاب کما یفرح أحدکم بضالّته اذا وجدها</w:t>
      </w:r>
      <w:r>
        <w:rPr>
          <w:rStyle w:val="FootnoteAnchor"/>
          <w:rtl w:val="true"/>
        </w:rPr>
        <w:footnoteReference w:id="73"/>
      </w:r>
      <w:r>
        <w:rPr>
          <w:rFonts w:ascii="IRNazanin" w:hAnsi="IRNazanin" w:eastAsia="IRNazanin"/>
          <w:color w:val="111111"/>
          <w:sz w:val="28"/>
          <w:sz w:val="28"/>
          <w:szCs w:val="28"/>
          <w:rtl w:val="true"/>
          <w:lang w:bidi="fa-IR"/>
        </w:rPr>
        <w:t>و هذه الروایة ضعیفة بسهل، مضافا الی عدم دلالتها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جابر عن أبی جعفر علیه السلام 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 ذنب له، و المقیم</w:t>
      </w:r>
    </w:p>
    <w:p>
      <w:pPr>
        <w:pStyle w:val="BookText"/>
        <w:rPr/>
      </w:pPr>
      <w:r>
        <w:rPr>
          <w:rFonts w:ascii="IRNazanin" w:hAnsi="IRNazanin" w:eastAsia="IRNazanin"/>
          <w:color w:val="111111"/>
          <w:sz w:val="28"/>
          <w:sz w:val="28"/>
          <w:szCs w:val="28"/>
          <w:rtl w:val="true"/>
          <w:lang w:bidi="fa-IR"/>
        </w:rPr>
        <w:t>علی الذنب و هو مستغفر منه کالمستهزئ</w:t>
      </w:r>
      <w:r>
        <w:rPr>
          <w:rStyle w:val="FootnoteAnchor"/>
          <w:rtl w:val="true"/>
        </w:rPr>
        <w:footnoteReference w:id="74"/>
      </w:r>
      <w:r>
        <w:rPr>
          <w:rFonts w:ascii="IRNazanin" w:hAnsi="IRNazanin" w:eastAsia="IRNazanin"/>
          <w:color w:val="111111"/>
          <w:sz w:val="28"/>
          <w:sz w:val="28"/>
          <w:szCs w:val="28"/>
          <w:rtl w:val="true"/>
          <w:lang w:bidi="fa-IR"/>
        </w:rPr>
        <w:t>و هذه الروایة ضعیفة بمحمد بن سنان، و لا دلالة فیها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أبو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الی داود النّبیّ علیه السلام یا داود ان عبدی المؤمن اذا أذنب ذنبا ثم رجع و تاب من ذلک الذنب و استحیی منّی عند ذکره غفرت له و انسیته الحفظة و أبدلته الحسنة و لا أبالی و أنا أرحم الراحمین</w:t>
      </w:r>
      <w:r>
        <w:rPr>
          <w:rStyle w:val="FootnoteAnchor"/>
          <w:rtl w:val="true"/>
        </w:rPr>
        <w:footnoteReference w:id="75"/>
      </w:r>
      <w:r>
        <w:rPr>
          <w:rFonts w:ascii="IRNazanin" w:hAnsi="IRNazanin" w:eastAsia="IRNazanin"/>
          <w:color w:val="111111"/>
          <w:sz w:val="28"/>
          <w:sz w:val="28"/>
          <w:szCs w:val="28"/>
          <w:rtl w:val="true"/>
          <w:lang w:bidi="fa-IR"/>
        </w:rPr>
        <w:t>و هذه الروایة ضعیفة بعلی بن أبی حمزة و غایة ما تدل علیه ان اللّه یغفر للتائب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من تاب تاب اللّه علیه و أمرت جوارحه أن تستر علیه و بقاع الأرض ان تکتم علیه و نسیت الحفظة ما کانت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Style w:val="FootnoteAnchor"/>
          <w:rtl w:val="true"/>
        </w:rPr>
        <w:footnoteReference w:id="76"/>
      </w:r>
      <w:r>
        <w:rPr>
          <w:rFonts w:ascii="IRNazanin" w:hAnsi="IRNazanin" w:eastAsia="IRNazanin"/>
          <w:color w:val="111111"/>
          <w:sz w:val="28"/>
          <w:sz w:val="28"/>
          <w:szCs w:val="28"/>
          <w:rtl w:val="true"/>
          <w:lang w:bidi="fa-IR"/>
        </w:rPr>
        <w:t>و عدم دلالتها أوضح من أن یخفی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الکوفی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فضولا من رزقه ینحله من شاء من خلقه و اللّه باسط یده عند کل فجر لمذنب اللیل هل یتوب فیغفر له</w:t>
      </w:r>
    </w:p>
    <w:p>
      <w:pPr>
        <w:pStyle w:val="BookText"/>
        <w:rPr/>
      </w:pPr>
      <w:r>
        <w:rPr>
          <w:rFonts w:ascii="IRNazanin" w:hAnsi="IRNazanin" w:eastAsia="IRNazanin"/>
          <w:color w:val="111111"/>
          <w:sz w:val="28"/>
          <w:sz w:val="28"/>
          <w:szCs w:val="28"/>
          <w:rtl w:val="true"/>
          <w:lang w:bidi="fa-IR"/>
        </w:rPr>
        <w:t>و یبسط یده عند مغیب الشمس لمذنب النهار هل یتوب فیغفر له</w:t>
      </w:r>
      <w:r>
        <w:rPr>
          <w:rStyle w:val="FootnoteAnchor"/>
          <w:rtl w:val="true"/>
        </w:rPr>
        <w:footnoteReference w:id="77"/>
      </w:r>
      <w:r>
        <w:rPr>
          <w:rFonts w:ascii="IRNazanin" w:hAnsi="IRNazanin" w:eastAsia="IRNazanin"/>
          <w:color w:val="111111"/>
          <w:sz w:val="28"/>
          <w:sz w:val="28"/>
          <w:szCs w:val="28"/>
          <w:rtl w:val="true"/>
          <w:lang w:bidi="fa-IR"/>
        </w:rPr>
        <w:t>و هذه الروایة ضعیفة بالنوفلی و لا دلالة فیها علی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علی بن عقبة عن أبیه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الاقالة</w:t>
      </w:r>
      <w:r>
        <w:rPr>
          <w:rStyle w:val="FootnoteAnchor"/>
          <w:rtl w:val="true"/>
        </w:rPr>
        <w:footnoteReference w:id="78"/>
      </w:r>
      <w:r>
        <w:rPr>
          <w:rFonts w:ascii="IRNazanin" w:hAnsi="IRNazanin" w:eastAsia="IRNazanin"/>
          <w:color w:val="111111"/>
          <w:sz w:val="28"/>
          <w:sz w:val="28"/>
          <w:szCs w:val="28"/>
          <w:rtl w:val="true"/>
          <w:lang w:bidi="fa-IR"/>
        </w:rPr>
        <w:t>و هذه الروایة انما فسّرت التوبة بالاقالة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الصدوق بأسانیده عن الرضا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 عند اللّه تعالی کمثل ملک مقرّب و ان المؤمن عند اللّه لأعظم من ذلک و لیس شی‌ء أحب الی اللّه تعالی من مؤمن تائب و مؤمنة تائبة</w:t>
      </w:r>
      <w:r>
        <w:rPr>
          <w:rStyle w:val="FootnoteAnchor"/>
          <w:rtl w:val="true"/>
        </w:rPr>
        <w:footnoteReference w:id="79"/>
      </w:r>
      <w:r>
        <w:rPr>
          <w:rFonts w:ascii="IRNazanin" w:hAnsi="IRNazanin" w:eastAsia="IRNazanin"/>
          <w:color w:val="111111"/>
          <w:sz w:val="28"/>
          <w:sz w:val="28"/>
          <w:szCs w:val="28"/>
          <w:rtl w:val="true"/>
          <w:lang w:bidi="fa-IR"/>
        </w:rPr>
        <w:t>و الروایة ضعیفة لضعف أسانیده الی الرضا علیه السلام، مضافا الی عدم الدلالة فیها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دارم بن قبیصة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 ذنب له</w:t>
      </w:r>
      <w:r>
        <w:rPr>
          <w:rStyle w:val="FootnoteAnchor"/>
          <w:rtl w:val="true"/>
        </w:rPr>
        <w:footnoteReference w:id="80"/>
      </w:r>
      <w:r>
        <w:rPr>
          <w:rFonts w:ascii="IRNazanin" w:hAnsi="IRNazanin" w:eastAsia="IRNazanin"/>
          <w:color w:val="111111"/>
          <w:sz w:val="28"/>
          <w:sz w:val="28"/>
          <w:szCs w:val="28"/>
          <w:rtl w:val="true"/>
          <w:lang w:bidi="fa-IR"/>
        </w:rPr>
        <w:t>و هذه الروایة ضعیفة بجمع و لا دلالة</w:t>
      </w:r>
      <w:bookmarkStart w:id="116" w:name="pg2364_24166"/>
    </w:p>
    <w:p>
      <w:pPr>
        <w:pStyle w:val="BookText"/>
        <w:rPr/>
      </w:pPr>
      <w:bookmarkEnd w:id="116"/>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الدنیا الّا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یزداد فی کل یوم احسانا و رجل یتدارک ذنبه بالتوبة و أنی له بالتوبة و اللّه لو سجد حتی ینقطع عنقه ما قبل اللّه منه الّا بولایتنا أهل البیت</w:t>
      </w:r>
      <w:r>
        <w:rPr>
          <w:rStyle w:val="FootnoteAnchor"/>
          <w:rtl w:val="true"/>
        </w:rPr>
        <w:footnoteReference w:id="81"/>
      </w:r>
      <w:r>
        <w:rPr>
          <w:rFonts w:ascii="IRNazanin" w:hAnsi="IRNazanin" w:eastAsia="IRNazanin"/>
          <w:color w:val="111111"/>
          <w:sz w:val="28"/>
          <w:sz w:val="28"/>
          <w:szCs w:val="28"/>
          <w:rtl w:val="true"/>
          <w:lang w:bidi="fa-IR"/>
        </w:rPr>
        <w:t>و عدم دلالة هذه الروایة أوضح من أن یخفی أضف الیه 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علی بن موسی بن طاوس فی مهج الدعوات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اعترفوا بنعم اللّه ربّکم و توبوا الی اللّه من جمیع ذنوبکم فان اللّه یحبّ الشاکرین من عباده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تامة دلالة الا انها مرسلة لا اعتبار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ان الروایات ضعیفة دلالة أو سندا</w:t>
      </w:r>
      <w:r>
        <w:rPr>
          <w:rFonts w:eastAsia="IRNazanin" w:cs="IRNazanin"/>
          <w:color w:val="111111"/>
          <w:sz w:val="28"/>
          <w:szCs w:val="28"/>
          <w:rtl w:val="true"/>
          <w:lang w:bidi="fa-IR"/>
        </w:rPr>
        <w:t>.</w:t>
      </w:r>
    </w:p>
    <w:p>
      <w:pPr>
        <w:pStyle w:val="Heading5"/>
        <w:numPr>
          <w:ilvl w:val="4"/>
          <w:numId w:val="1"/>
        </w:numPr>
        <w:rPr/>
      </w:pPr>
      <w:bookmarkStart w:id="117" w:name="__RefHeading___Toc2825933_3804643083"/>
      <w:bookmarkStart w:id="118" w:name="_Toc47"/>
      <w:bookmarkEnd w:id="117"/>
      <w:r>
        <w:rPr>
          <w:rtl w:val="true"/>
        </w:rPr>
        <w:t>و أما الاجماع</w:t>
      </w:r>
      <w:r>
        <w:rPr>
          <w:rtl w:val="true"/>
        </w:rPr>
        <w:t>:</w:t>
      </w:r>
      <w:bookmarkEnd w:id="1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فحکی عن غیر واحد، و حکی عن ظاهر العلّامة فی شرح التجرید، و المجلسی فی شرح أصول الکافی دعوی الاجماع الأمة و نقل أیضا عن الذخیرة و النراقی فی</w:t>
      </w:r>
      <w:bookmarkStart w:id="119" w:name="pg2364_24167"/>
    </w:p>
    <w:p>
      <w:pPr>
        <w:pStyle w:val="BookText"/>
        <w:rPr/>
      </w:pPr>
      <w:bookmarkEnd w:id="119"/>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الاجماع لیس اجماعا تعبدیا فانه محتمل المدرک لو لم یکن مقطوعه</w:t>
      </w:r>
      <w:r>
        <w:rPr>
          <w:rFonts w:eastAsia="IRNazanin" w:cs="IRNazanin"/>
          <w:color w:val="111111"/>
          <w:sz w:val="28"/>
          <w:szCs w:val="28"/>
          <w:rtl w:val="true"/>
          <w:lang w:bidi="fa-IR"/>
        </w:rPr>
        <w:t>.</w:t>
      </w:r>
    </w:p>
    <w:p>
      <w:pPr>
        <w:pStyle w:val="Heading5"/>
        <w:numPr>
          <w:ilvl w:val="4"/>
          <w:numId w:val="1"/>
        </w:numPr>
        <w:rPr/>
      </w:pPr>
      <w:bookmarkStart w:id="120" w:name="__RefHeading___Toc2825935_3804643083"/>
      <w:bookmarkStart w:id="121" w:name="_Toc48"/>
      <w:bookmarkEnd w:id="120"/>
      <w:r>
        <w:rPr>
          <w:rtl w:val="true"/>
        </w:rPr>
        <w:t>و أما العقل</w:t>
      </w:r>
      <w:r>
        <w:rPr>
          <w:rtl w:val="true"/>
        </w:rPr>
        <w:t xml:space="preserve">: </w:t>
      </w:r>
      <w:r>
        <w:rPr>
          <w:rtl w:val="true"/>
        </w:rPr>
        <w:t>فیقرب بثلاثة وجوه</w:t>
      </w:r>
      <w:r>
        <w:rPr>
          <w:rtl w:val="true"/>
        </w:rPr>
        <w:t>:</w:t>
      </w:r>
      <w:bookmarkEnd w:id="121"/>
    </w:p>
    <w:p>
      <w:pPr>
        <w:pStyle w:val="Heading6"/>
        <w:numPr>
          <w:ilvl w:val="5"/>
          <w:numId w:val="1"/>
        </w:numPr>
        <w:rPr/>
      </w:pPr>
      <w:bookmarkStart w:id="122" w:name="__RefHeading___Toc2825937_3804643083"/>
      <w:bookmarkStart w:id="123" w:name="_Toc49"/>
      <w:bookmarkEnd w:id="122"/>
      <w:r>
        <w:rPr>
          <w:rtl w:val="true"/>
        </w:rPr>
        <w:t>الأول</w:t>
      </w:r>
      <w:r>
        <w:rPr>
          <w:rtl w:val="true"/>
        </w:rPr>
        <w:t xml:space="preserve">- </w:t>
      </w:r>
      <w:r>
        <w:rPr>
          <w:rtl w:val="true"/>
        </w:rPr>
        <w:t>ان فی عدم التوبة یکون الضرر محتملا،</w:t>
      </w:r>
      <w:bookmarkEnd w:id="123"/>
    </w:p>
    <w:p>
      <w:pPr>
        <w:pStyle w:val="BookText"/>
        <w:rPr/>
      </w:pPr>
      <w:r>
        <w:rPr>
          <w:rFonts w:ascii="IRNazanin" w:hAnsi="IRNazanin" w:eastAsia="IRNazanin"/>
          <w:color w:val="111111"/>
          <w:sz w:val="28"/>
          <w:sz w:val="28"/>
          <w:szCs w:val="28"/>
          <w:rtl w:val="true"/>
          <w:lang w:bidi="fa-IR"/>
        </w:rPr>
        <w:t>و دفع الضرر المحتمل واجب و أی ضرر أعظم من العقاب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حسن لإثبات الوجوب العقلی دون الشرعی</w:t>
      </w:r>
      <w:r>
        <w:rPr>
          <w:rFonts w:eastAsia="IRNazanin" w:cs="IRNazanin"/>
          <w:color w:val="111111"/>
          <w:sz w:val="28"/>
          <w:szCs w:val="28"/>
          <w:rtl w:val="true"/>
          <w:lang w:bidi="fa-IR"/>
        </w:rPr>
        <w:t>.</w:t>
      </w:r>
    </w:p>
    <w:p>
      <w:pPr>
        <w:pStyle w:val="Heading6"/>
        <w:numPr>
          <w:ilvl w:val="5"/>
          <w:numId w:val="1"/>
        </w:numPr>
        <w:rPr/>
      </w:pPr>
      <w:bookmarkStart w:id="124" w:name="__RefHeading___Toc2825939_3804643083"/>
      <w:bookmarkStart w:id="125" w:name="_Toc50"/>
      <w:bookmarkEnd w:id="124"/>
      <w:r>
        <w:rPr>
          <w:rtl w:val="true"/>
        </w:rPr>
        <w:t>الثانی</w:t>
      </w:r>
      <w:r>
        <w:rPr>
          <w:rtl w:val="true"/>
        </w:rPr>
        <w:t xml:space="preserve">- </w:t>
      </w:r>
      <w:r>
        <w:rPr>
          <w:rtl w:val="true"/>
        </w:rPr>
        <w:t>ان الندامة علی ارتکاب فعل القبیح و ترک المحرم مما یحسنه العقل</w:t>
      </w:r>
      <w:bookmarkEnd w:id="125"/>
    </w:p>
    <w:p>
      <w:pPr>
        <w:pStyle w:val="BookText"/>
        <w:rPr/>
      </w:pPr>
      <w:r>
        <w:rPr>
          <w:rFonts w:ascii="IRNazanin" w:hAnsi="IRNazanin" w:eastAsia="IRNazanin"/>
          <w:color w:val="111111"/>
          <w:sz w:val="28"/>
          <w:sz w:val="28"/>
          <w:szCs w:val="28"/>
          <w:rtl w:val="true"/>
          <w:lang w:bidi="fa-IR"/>
        </w:rPr>
        <w:t>و مرجع هذا التقریب الی الحسن و القبح العقلی و غیر خفی ان هذا لا یدل علی الوجوب و غایة ما یدل علیه ان التوبة حسن</w:t>
      </w:r>
      <w:r>
        <w:rPr>
          <w:rFonts w:eastAsia="IRNazanin" w:cs="IRNazanin"/>
          <w:color w:val="111111"/>
          <w:sz w:val="28"/>
          <w:szCs w:val="28"/>
          <w:rtl w:val="true"/>
          <w:lang w:bidi="fa-IR"/>
        </w:rPr>
        <w:t>.</w:t>
      </w:r>
    </w:p>
    <w:p>
      <w:pPr>
        <w:pStyle w:val="Heading6"/>
        <w:numPr>
          <w:ilvl w:val="5"/>
          <w:numId w:val="1"/>
        </w:numPr>
        <w:rPr/>
      </w:pPr>
      <w:bookmarkStart w:id="126" w:name="__RefHeading___Toc2825941_3804643083"/>
      <w:bookmarkStart w:id="127" w:name="_Toc51"/>
      <w:bookmarkEnd w:id="126"/>
      <w:r>
        <w:rPr>
          <w:rtl w:val="true"/>
        </w:rPr>
        <w:t>الثالث</w:t>
      </w:r>
      <w:r>
        <w:rPr>
          <w:rtl w:val="true"/>
        </w:rPr>
        <w:t xml:space="preserve">- </w:t>
      </w:r>
      <w:r>
        <w:rPr>
          <w:rtl w:val="true"/>
        </w:rPr>
        <w:t>ان العقل یحکم بوجوب کسب السعادة</w:t>
      </w:r>
      <w:bookmarkEnd w:id="127"/>
    </w:p>
    <w:p>
      <w:pPr>
        <w:pStyle w:val="BookText"/>
        <w:rPr/>
      </w:pPr>
      <w:r>
        <w:rPr>
          <w:rFonts w:ascii="IRNazanin" w:hAnsi="IRNazanin" w:eastAsia="IRNazanin"/>
          <w:color w:val="111111"/>
          <w:sz w:val="28"/>
          <w:sz w:val="28"/>
          <w:szCs w:val="28"/>
          <w:rtl w:val="true"/>
          <w:lang w:bidi="fa-IR"/>
        </w:rPr>
        <w:t>و أکبر السعادة التقرّب الی اللّه تعالی، و التقرّب الیه بدون التوبة غیر ممکن فتجب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لا یلزم بوجوب کسب السعادة بل یحسنه، و هو أخص من المدعی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ان دلالة العقل و الاجماع و الأخبار علی وجوب التوبة غیر تامة مضافا الی انه کیف یمکن الالتزام بوجوب التوبة اذ لو قلنا بوجوبها لزم تحقق العصیان بترکها فتجب التوبة من هذا العصیان أیضا و هکذا فیلزم التسلل فهل یمکن الالتزام بأن المرتکب لذنب اذا لم یتب منه یکون لازمه صدور</w:t>
      </w:r>
      <w:bookmarkStart w:id="128" w:name="pg2364_24168"/>
    </w:p>
    <w:p>
      <w:pPr>
        <w:pStyle w:val="BookText"/>
        <w:rPr/>
      </w:pPr>
      <w:bookmarkEnd w:id="128"/>
      <w:r>
        <w:rPr>
          <w:rFonts w:ascii="IRNazanin" w:hAnsi="IRNazanin" w:eastAsia="IRNazanin"/>
          <w:color w:val="111111"/>
          <w:sz w:val="28"/>
          <w:sz w:val="28"/>
          <w:szCs w:val="28"/>
          <w:rtl w:val="true"/>
          <w:lang w:bidi="fa-IR"/>
        </w:rPr>
        <w:t>معاصی عنه بلا نهایة؟ کلا الّا أن یقال بأن هذا الاشکال انه یلزم لو قلنا بالوجوب الفوری و أما لو لم نقل بالفوریة فلا یلزم هذا المحذور</w:t>
      </w:r>
      <w:r>
        <w:rPr>
          <w:rFonts w:eastAsia="IRNazanin" w:cs="IRNazanin"/>
          <w:color w:val="111111"/>
          <w:sz w:val="28"/>
          <w:szCs w:val="28"/>
          <w:rtl w:val="true"/>
          <w:lang w:bidi="fa-IR"/>
        </w:rPr>
        <w:t>.</w:t>
      </w:r>
    </w:p>
    <w:p>
      <w:pPr>
        <w:pStyle w:val="Heading3"/>
        <w:numPr>
          <w:ilvl w:val="2"/>
          <w:numId w:val="1"/>
        </w:numPr>
        <w:rPr/>
      </w:pPr>
      <w:bookmarkStart w:id="129" w:name="__RefHeading___Toc2825943_3804643083"/>
      <w:bookmarkStart w:id="130" w:name="_Toc52"/>
      <w:bookmarkEnd w:id="129"/>
      <w:r>
        <w:rPr>
          <w:rtl w:val="true"/>
        </w:rPr>
        <w:t>الجهة الثانیة</w:t>
      </w:r>
      <w:r>
        <w:rPr>
          <w:rtl w:val="true"/>
        </w:rPr>
        <w:t xml:space="preserve">: </w:t>
      </w:r>
      <w:r>
        <w:rPr>
          <w:rtl w:val="true"/>
        </w:rPr>
        <w:t>فیما یتحقق به التوبة</w:t>
      </w:r>
      <w:r>
        <w:rPr>
          <w:rtl w:val="true"/>
        </w:rPr>
        <w:t>:</w:t>
      </w:r>
      <w:bookmarkEnd w:id="130"/>
    </w:p>
    <w:p>
      <w:pPr>
        <w:pStyle w:val="BookText"/>
        <w:rPr/>
      </w:pPr>
      <w:r>
        <w:rPr>
          <w:rFonts w:ascii="IRNazanin" w:hAnsi="IRNazanin" w:eastAsia="IRNazanin"/>
          <w:color w:val="111111"/>
          <w:sz w:val="28"/>
          <w:sz w:val="28"/>
          <w:szCs w:val="28"/>
          <w:rtl w:val="true"/>
          <w:lang w:bidi="fa-IR"/>
        </w:rPr>
        <w:t>ذکر السید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و هو من الأمور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بکلام أهل اللغة تفید ان التوبة عبارة عن الرجوع قال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 و التوبة، الرجوع من الذنوب و فی اصطلاح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الذنب لکونه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فاذا ندم من الذنب یصدق انه رجع الی اللّه تعالی فینطبق علیه التائب و علی فعله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سید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التوبة الیه تعالی معناه الرجوع الیه الا انه لما امتنع الرجوع الحقیقی، کان المراد منها الرجوع الادعائی الحاصل بالندم فکان العبد بفعل الذنب ذاهب عن اللّه تعالی و منصرف عنه فاذا التفت الی ما یترتب علی فعله من الخسران و الهلاک فندم علیه فقد رجع الی اللّه تعالی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لحمل الرجوع الیه تعالی بالرجوع الادعائی، فان الرجوع یکون بحسب الموارد فتارة یکون الرجوع</w:t>
      </w:r>
    </w:p>
    <w:p>
      <w:pPr>
        <w:pStyle w:val="BookText"/>
        <w:rPr/>
      </w:pPr>
      <w:r>
        <w:rPr>
          <w:rFonts w:ascii="IRNazanin" w:hAnsi="IRNazanin" w:eastAsia="IRNazanin"/>
          <w:color w:val="111111"/>
          <w:sz w:val="28"/>
          <w:sz w:val="28"/>
          <w:szCs w:val="28"/>
          <w:rtl w:val="true"/>
          <w:lang w:bidi="fa-IR"/>
        </w:rPr>
        <w:t>محسوسا، و ذلک فیما اذا کان المرجع محسوسا، و مشاهدا و أخری یکون الرجوع غیر محسوس کالرجوع الیه تعالی فیصدق فی التوبة الرجوع حقیقة، و یدل علی ما ذکرناه بعض الروایات</w:t>
      </w:r>
    </w:p>
    <w:p>
      <w:pPr>
        <w:pStyle w:val="BookText"/>
        <w:rPr/>
      </w:pPr>
      <w:r>
        <w:rPr>
          <w:rFonts w:ascii="IRNazanin" w:hAnsi="IRNazanin" w:eastAsia="IRNazanin"/>
          <w:color w:val="111111"/>
          <w:sz w:val="28"/>
          <w:sz w:val="28"/>
          <w:szCs w:val="28"/>
          <w:rtl w:val="true"/>
          <w:lang w:bidi="fa-IR"/>
        </w:rPr>
        <w:t>منها ما رواه علی الجهضمی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بالندم توبة</w:t>
      </w:r>
      <w:r>
        <w:rPr>
          <w:rStyle w:val="FootnoteAnchor"/>
          <w:rtl w:val="true"/>
        </w:rPr>
        <w:footnoteReference w:id="83"/>
      </w:r>
      <w:r>
        <w:rPr>
          <w:rFonts w:ascii="IRNazanin" w:hAnsi="IRNazanin" w:eastAsia="IRNazanin"/>
          <w:color w:val="111111"/>
          <w:sz w:val="28"/>
          <w:sz w:val="28"/>
          <w:szCs w:val="28"/>
          <w:rtl w:val="true"/>
          <w:lang w:bidi="fa-IR"/>
        </w:rPr>
        <w:t>و دلالتها تامّة الّا انها ضعیفة سندا بالجهضمی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ألفاظ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الندامة توبة</w:t>
      </w:r>
      <w:r>
        <w:rPr>
          <w:rStyle w:val="FootnoteAnchor"/>
          <w:rtl w:val="true"/>
        </w:rPr>
        <w:footnoteReference w:id="84"/>
      </w:r>
      <w:r>
        <w:rPr>
          <w:rFonts w:ascii="IRNazanin" w:hAnsi="IRNazanin" w:eastAsia="IRNazanin"/>
          <w:color w:val="111111"/>
          <w:sz w:val="28"/>
          <w:sz w:val="28"/>
          <w:szCs w:val="28"/>
          <w:rtl w:val="true"/>
          <w:lang w:bidi="fa-IR"/>
        </w:rPr>
        <w:t>الکلام فیها هو الکلام فانها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أذنب ذنبا فندم علیه الّا غفر اللّه له قبل أن یستغفر</w:t>
      </w:r>
      <w:r>
        <w:rPr>
          <w:rStyle w:val="FootnoteAnchor"/>
          <w:rtl w:val="true"/>
        </w:rPr>
        <w:footnoteReference w:id="85"/>
      </w:r>
      <w:r>
        <w:rPr>
          <w:rFonts w:ascii="IRNazanin" w:hAnsi="IRNazanin" w:eastAsia="IRNazanin"/>
          <w:color w:val="111111"/>
          <w:sz w:val="28"/>
          <w:sz w:val="28"/>
          <w:szCs w:val="28"/>
          <w:rtl w:val="true"/>
          <w:lang w:bidi="fa-IR"/>
        </w:rPr>
        <w:t>و هذه الروایة ضعیفة بعلی بن الحسین الدقاق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أبو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کمل ایمانه و محصت عنه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فی للّه بما جعل علی نفسه</w:t>
      </w:r>
      <w:bookmarkStart w:id="131" w:name="pg2364_24170"/>
    </w:p>
    <w:p>
      <w:pPr>
        <w:pStyle w:val="BookText"/>
        <w:rPr/>
      </w:pPr>
      <w:bookmarkEnd w:id="131"/>
      <w:r>
        <w:rPr>
          <w:rFonts w:ascii="IRNazanin" w:hAnsi="IRNazanin" w:eastAsia="IRNazanin"/>
          <w:color w:val="111111"/>
          <w:sz w:val="28"/>
          <w:sz w:val="28"/>
          <w:szCs w:val="28"/>
          <w:rtl w:val="true"/>
          <w:lang w:bidi="fa-IR"/>
        </w:rPr>
        <w:t>للناس و صدق لسانه مع الناس و استحیی من کل قبیح عند اللّه و عند الناس و یحسن خلقه مع أهله</w:t>
      </w:r>
      <w:r>
        <w:rPr>
          <w:rStyle w:val="FootnoteAnchor"/>
          <w:rtl w:val="true"/>
        </w:rPr>
        <w:footnoteReference w:id="86"/>
      </w:r>
      <w:r>
        <w:rPr>
          <w:rFonts w:ascii="IRNazanin" w:hAnsi="IRNazanin" w:eastAsia="IRNazanin"/>
          <w:color w:val="111111"/>
          <w:sz w:val="28"/>
          <w:sz w:val="28"/>
          <w:szCs w:val="28"/>
          <w:rtl w:val="true"/>
          <w:lang w:bidi="fa-IR"/>
        </w:rPr>
        <w:t>و هذه الروایة تامّة سندا و لکن لا دلالة فیها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ابن أبی عمیر</w:t>
      </w:r>
      <w:r>
        <w:rPr>
          <w:rStyle w:val="FootnoteAnchor"/>
          <w:rtl w:val="true"/>
        </w:rPr>
        <w:footnoteReference w:id="87"/>
      </w:r>
      <w:r>
        <w:rPr>
          <w:rFonts w:ascii="IRNazanin" w:hAnsi="IRNazanin" w:eastAsia="IRNazanin"/>
          <w:color w:val="111111"/>
          <w:sz w:val="28"/>
          <w:sz w:val="28"/>
          <w:szCs w:val="28"/>
          <w:rtl w:val="true"/>
          <w:lang w:bidi="fa-IR"/>
        </w:rPr>
        <w:t>و دلالتها أیضا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حقیقة التوبة هو الندم و الرجوع الیه سبحانه</w:t>
      </w:r>
      <w:r>
        <w:rPr>
          <w:rFonts w:eastAsia="IRNazanin" w:cs="IRNazanin"/>
          <w:color w:val="111111"/>
          <w:sz w:val="28"/>
          <w:szCs w:val="28"/>
          <w:rtl w:val="true"/>
          <w:lang w:bidi="fa-IR"/>
        </w:rPr>
        <w:t>.</w:t>
      </w:r>
    </w:p>
    <w:p>
      <w:pPr>
        <w:pStyle w:val="Heading3"/>
        <w:numPr>
          <w:ilvl w:val="2"/>
          <w:numId w:val="1"/>
        </w:numPr>
        <w:rPr/>
      </w:pPr>
      <w:bookmarkStart w:id="132" w:name="__RefHeading___Toc2825945_3804643083"/>
      <w:bookmarkStart w:id="133" w:name="_Toc53"/>
      <w:bookmarkEnd w:id="132"/>
      <w:r>
        <w:rPr>
          <w:rtl w:val="true"/>
        </w:rPr>
        <w:t>الجهة الثالثة</w:t>
      </w:r>
      <w:r>
        <w:rPr>
          <w:rtl w:val="true"/>
        </w:rPr>
        <w:t xml:space="preserve">: </w:t>
      </w:r>
      <w:r>
        <w:rPr>
          <w:rtl w:val="true"/>
        </w:rPr>
        <w:t>هل یعتبر فیها الاستغفار باللسان أم لا؟</w:t>
      </w:r>
      <w:bookmarkEnd w:id="133"/>
    </w:p>
    <w:p>
      <w:pPr>
        <w:pStyle w:val="BookText"/>
        <w:rPr/>
      </w:pPr>
      <w:r>
        <w:rPr>
          <w:rFonts w:ascii="IRNazanin" w:hAnsi="IRNazanin" w:eastAsia="IRNazanin"/>
          <w:color w:val="111111"/>
          <w:sz w:val="28"/>
          <w:sz w:val="28"/>
          <w:szCs w:val="28"/>
          <w:rtl w:val="true"/>
          <w:lang w:bidi="fa-IR"/>
        </w:rPr>
        <w:t>الظاهر عدم اعتباره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ببعض الروایات علی اعتباره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السکونی عن جعفر عن ابیه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داء دواء، و دواء الذنوب الاستغفار</w:t>
      </w:r>
      <w:r>
        <w:rPr>
          <w:rStyle w:val="FootnoteAnchor"/>
          <w:rtl w:val="true"/>
        </w:rPr>
        <w:footnoteReference w:id="88"/>
      </w:r>
      <w:r>
        <w:rPr>
          <w:rFonts w:ascii="IRNazanin" w:hAnsi="IRNazanin" w:eastAsia="IRNazanin"/>
          <w:color w:val="111111"/>
          <w:sz w:val="28"/>
          <w:sz w:val="28"/>
          <w:szCs w:val="28"/>
          <w:rtl w:val="true"/>
          <w:lang w:bidi="fa-IR"/>
        </w:rPr>
        <w:t>و دلالة الروایة علی المدعی تامة الّا انها ضعیفة بالنوفلی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أحمد بن محمد بن خالد عن عدّة من أصحابنا رفعوه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دواء، و دواء الذنوب الاستغفار</w:t>
      </w:r>
      <w:r>
        <w:rPr>
          <w:rStyle w:val="FootnoteAnchor"/>
          <w:rtl w:val="true"/>
        </w:rPr>
        <w:footnoteReference w:id="89"/>
      </w:r>
      <w:r>
        <w:rPr>
          <w:rFonts w:ascii="IRNazanin" w:hAnsi="IRNazanin" w:eastAsia="IRNazanin"/>
          <w:color w:val="111111"/>
          <w:sz w:val="28"/>
          <w:sz w:val="28"/>
          <w:szCs w:val="28"/>
          <w:rtl w:val="true"/>
          <w:lang w:bidi="fa-IR"/>
        </w:rPr>
        <w:t>و هذه الروایة مرفوعة لا اعتبار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عبد اللّه بن محمد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الاستغفار لکم حصنین حصینین من العذاب فمضی أکبر الحصینین و بقی الاستغفار فأکثروا منه، فانه ممحاة للذنوب،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 هذه الروایة ضعیفة بموسی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فانقدح مما ذکرنا انه لا دلیل معتبر علی اشتراط الاستغفار باللسان فی التوبة بل یمکن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بتغایر الاستغفار و التوبة و علیه شواهد من القرآن و الحدیث،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اسْتَغْفِرُوا رَبَّکُمْ ثُمَّ تُوبُوا إِلَیْهِ</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فانه دال بقرینة التقابل علی تباین الاستغفار و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التوبة و ضدها الاصرار و الاستغفار و ضده الاغترار</w:t>
      </w:r>
      <w:r>
        <w:rPr>
          <w:rStyle w:val="FootnoteAnchor"/>
          <w:rtl w:val="true"/>
        </w:rPr>
        <w:footnoteReference w:id="92"/>
      </w:r>
      <w:r>
        <w:rPr>
          <w:rFonts w:ascii="IRNazanin" w:hAnsi="IRNazanin" w:eastAsia="IRNazanin"/>
          <w:color w:val="111111"/>
          <w:sz w:val="28"/>
          <w:sz w:val="28"/>
          <w:szCs w:val="28"/>
          <w:rtl w:val="true"/>
          <w:lang w:bidi="fa-IR"/>
        </w:rPr>
        <w:t>و لکن الروایة ضعیفة بعلی بن حدید، فانه دال علی ما ذکرناه من المغایرة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 السجّاد علیه السلام فی مناجات التائبین</w:t>
      </w:r>
      <w:r>
        <w:rPr>
          <w:rFonts w:eastAsia="IRNazanin" w:cs="IRNazanin"/>
          <w:color w:val="111111"/>
          <w:sz w:val="28"/>
          <w:szCs w:val="28"/>
          <w:rtl w:val="true"/>
          <w:lang w:bidi="fa-IR"/>
        </w:rPr>
        <w:t>:</w:t>
      </w:r>
      <w:bookmarkStart w:id="134" w:name="pg2364_24172"/>
    </w:p>
    <w:p>
      <w:pPr>
        <w:pStyle w:val="BookText"/>
        <w:rPr/>
      </w:pPr>
      <w:bookmarkEnd w:id="134"/>
      <w:r>
        <w:rPr>
          <w:rFonts w:ascii="IRNazanin" w:hAnsi="IRNazanin" w:eastAsia="IRNazanin"/>
          <w:color w:val="111111"/>
          <w:sz w:val="28"/>
          <w:sz w:val="28"/>
          <w:szCs w:val="28"/>
          <w:rtl w:val="true"/>
          <w:lang w:bidi="fa-IR"/>
        </w:rPr>
        <w:t>الهی ان کان الندم علی الذنب توبة فانی و عزّتک من النادمین، و ان کان الاستغفار من الخطیئة حطة فانی لک من المستغفرین</w:t>
      </w:r>
      <w:r>
        <w:rPr>
          <w:rStyle w:val="FootnoteAnchor"/>
          <w:rtl w:val="true"/>
        </w:rPr>
        <w:footnoteReference w:id="93"/>
      </w:r>
      <w:r>
        <w:rPr>
          <w:rFonts w:ascii="IRNazanin" w:hAnsi="IRNazanin" w:eastAsia="IRNazanin"/>
          <w:color w:val="111111"/>
          <w:sz w:val="28"/>
          <w:sz w:val="28"/>
          <w:szCs w:val="28"/>
          <w:rtl w:val="true"/>
          <w:lang w:bidi="fa-IR"/>
        </w:rPr>
        <w:t>بل تدل علی المغایرة صیغة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الظاهر ان المعطوف و المعطوف علیه مغایران، 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بتغایرهما بحسب المفهوم فان الاستغفار استفعال بمعنی طلب الغفران من اللّه تعالی و التوبة هی الرجوع و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ثبوت اشتراط التوبة بالتلفّظ بهذه الصیغة لکن لا دلیل علی الاشتراط کما بیّناه فلا یجب بل تحقق التوبة بلا تلفّظ بها</w:t>
      </w:r>
      <w:r>
        <w:rPr>
          <w:rFonts w:eastAsia="IRNazanin" w:cs="IRNazanin"/>
          <w:color w:val="111111"/>
          <w:sz w:val="28"/>
          <w:szCs w:val="28"/>
          <w:rtl w:val="true"/>
          <w:lang w:bidi="fa-IR"/>
        </w:rPr>
        <w:t>.</w:t>
      </w:r>
    </w:p>
    <w:p>
      <w:pPr>
        <w:pStyle w:val="Heading3"/>
        <w:numPr>
          <w:ilvl w:val="2"/>
          <w:numId w:val="1"/>
        </w:numPr>
        <w:rPr/>
      </w:pPr>
      <w:bookmarkStart w:id="135" w:name="__RefHeading___Toc2825947_3804643083"/>
      <w:bookmarkStart w:id="136" w:name="_Toc54"/>
      <w:bookmarkEnd w:id="135"/>
      <w:r>
        <w:rPr>
          <w:rtl w:val="true"/>
        </w:rPr>
        <w:t>الجهة الرابعة</w:t>
      </w:r>
      <w:r>
        <w:rPr>
          <w:rtl w:val="true"/>
        </w:rPr>
        <w:t xml:space="preserve">: </w:t>
      </w:r>
      <w:r>
        <w:rPr>
          <w:rtl w:val="true"/>
        </w:rPr>
        <w:t>فی انه هل مجرد التلفظ بهذه الصیغة یکون مؤثّرا بدون أن یکون نادما قلبا أم لا؟</w:t>
      </w:r>
      <w:bookmarkEnd w:id="136"/>
    </w:p>
    <w:p>
      <w:pPr>
        <w:pStyle w:val="BookText"/>
        <w:rPr/>
      </w:pPr>
      <w:r>
        <w:rPr>
          <w:rFonts w:ascii="IRNazanin" w:hAnsi="IRNazanin" w:eastAsia="IRNazanin"/>
          <w:color w:val="111111"/>
          <w:sz w:val="28"/>
          <w:sz w:val="28"/>
          <w:szCs w:val="28"/>
          <w:rtl w:val="true"/>
          <w:lang w:bidi="fa-IR"/>
        </w:rPr>
        <w:t>الظاهر هو الثانی لعدم الدلیل علیه، اذ ما دام لا یحصل الرجوع و لا یتحقق الندم لا تحقق التوبة فلا اثر لمجرد الصیغة، و هل یکون بابراز اللفظ بلا ندم قلبی کاذبا أم لا؟ الحق انه لا یکون بذلک کاذبا، لأنه لا یکون مخبرا بخبر 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ربی و أتوب الیه، إنشاء و الانشاء لیس فیه صدق و لا کذب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2825949_3804643083"/>
      <w:bookmarkStart w:id="138" w:name="_Toc55"/>
      <w:bookmarkEnd w:id="137"/>
      <w:r>
        <w:rPr>
          <w:rtl w:val="true"/>
        </w:rPr>
        <w:t>الجهة الخامسة</w:t>
      </w:r>
      <w:r>
        <w:rPr>
          <w:rtl w:val="true"/>
        </w:rPr>
        <w:t xml:space="preserve">: </w:t>
      </w:r>
      <w:r>
        <w:rPr>
          <w:rtl w:val="true"/>
        </w:rPr>
        <w:t>هل یشترط فیها العزم علی ترک العود أم لا؟</w:t>
      </w:r>
      <w:bookmarkEnd w:id="138"/>
    </w:p>
    <w:p>
      <w:pPr>
        <w:pStyle w:val="BookText"/>
        <w:rPr/>
      </w:pPr>
      <w:r>
        <w:rPr>
          <w:rFonts w:ascii="IRNazanin" w:hAnsi="IRNazanin" w:eastAsia="IRNazanin"/>
          <w:color w:val="111111"/>
          <w:sz w:val="28"/>
          <w:sz w:val="28"/>
          <w:szCs w:val="28"/>
          <w:rtl w:val="true"/>
          <w:lang w:bidi="fa-IR"/>
        </w:rPr>
        <w:t>نقل هذا عن الأکثر و عن ظاهر المجلسی فی البحار المفروغیة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الأعظم الأنصاری قدس سره فی رسالة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الأقوی انه ان کان المراد بالعزم القصد الذی لا یتحقق الّا بعد الوثوق بحصول ما عزم علیه فاعتباره مما لا دلیل علیه و انه یستلزم امتناع التوبة ممن لا یثق من نفسه بترک المعصیة عند الابتلاء بها و ان أرید تحقق ارادته بعدم عوده الی المعصیة و ان لم یثق بحصول مراده فهو مما لا ینفک عن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التوبة تحقق بالرجوع و الرجوع یحصل بالندم کما نص علیه فی الروایات المتقدمة، و ما یمکن أن یستدل علی اشتراط ذلک فی التوبة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محمد بن الحسین الرضی فی نهج البلاغة عن أمیر المؤمنین علیه السلام، ان قائلا قال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أ تدری ما الاستغفار؟ الاستغفار درجة العلیّین و هو اسم واقع علی ستّة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الیه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تؤدی الی المخلوقین حقوقهم حتی تلقی اللّه عز و جل أملس لیس علیک تبعة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تعهد الی کل فریضة علیک ضیّعتها</w:t>
      </w:r>
      <w:bookmarkStart w:id="139" w:name="pg2364_24174"/>
    </w:p>
    <w:p>
      <w:pPr>
        <w:pStyle w:val="BookText"/>
        <w:rPr/>
      </w:pPr>
      <w:bookmarkEnd w:id="139"/>
      <w:r>
        <w:rPr>
          <w:rFonts w:ascii="Amiri" w:hAnsi="Amiri" w:eastAsia="Amiri" w:cs="Amiri"/>
          <w:color w:val="111111"/>
          <w:sz w:val="28"/>
          <w:sz w:val="28"/>
          <w:szCs w:val="28"/>
          <w:rtl w:val="true"/>
          <w:lang w:bidi="ar-SA"/>
        </w:rPr>
        <w:t>فتؤدی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الی اللحم الذی نبت علی السحت فتذیبه بالأحزان حتی یلحق الجلد بالعظم و ینشو بینهما لحم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ألم الطاعة کما أذقته حلاوة المعصیة، فعند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Style w:val="FootnoteAnchor"/>
          <w:rtl w:val="true"/>
        </w:rPr>
        <w:footnoteReference w:id="94"/>
      </w:r>
      <w:r>
        <w:rPr>
          <w:rFonts w:ascii="IRNazanin" w:hAnsi="IRNazanin" w:eastAsia="IRNazanin"/>
          <w:color w:val="111111"/>
          <w:sz w:val="28"/>
          <w:sz w:val="28"/>
          <w:szCs w:val="28"/>
          <w:rtl w:val="true"/>
          <w:lang w:bidi="fa-IR"/>
        </w:rPr>
        <w:t>و الروایة ضعیفة سندا بالارسال، أضف الیه انه لا یمکن الالتزام بمضمونها، فان هذه المرتبة مخصوصة بالأوحدی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المستفاد من هذه النصوص ان التوبة النصوح عبارة عن توبة لا یعود التائب فی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التوبة النصوح هو أن یتوب الرجل من ذنب و ینوی أن لا یعود الیه أبدا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فانقدح ان العزم علی ترک العود لا یعتبر فی التوبة الّا فی قسم خاص منها، و هو توبة النصوح، و الکلام فی مطلق التوبة</w:t>
      </w:r>
      <w:r>
        <w:rPr>
          <w:rFonts w:eastAsia="IRNazanin" w:cs="IRNazanin"/>
          <w:color w:val="111111"/>
          <w:sz w:val="28"/>
          <w:szCs w:val="28"/>
          <w:rtl w:val="true"/>
          <w:lang w:bidi="fa-IR"/>
        </w:rPr>
        <w:t>.</w:t>
      </w:r>
    </w:p>
    <w:p>
      <w:pPr>
        <w:pStyle w:val="Heading3"/>
        <w:numPr>
          <w:ilvl w:val="2"/>
          <w:numId w:val="1"/>
        </w:numPr>
        <w:rPr/>
      </w:pPr>
      <w:bookmarkStart w:id="140" w:name="__RefHeading___Toc2825951_3804643083"/>
      <w:bookmarkStart w:id="141" w:name="_Toc56"/>
      <w:bookmarkEnd w:id="140"/>
      <w:r>
        <w:rPr>
          <w:rtl w:val="true"/>
        </w:rPr>
        <w:t>الجهة السادسة</w:t>
      </w:r>
      <w:r>
        <w:rPr>
          <w:rtl w:val="true"/>
        </w:rPr>
        <w:t xml:space="preserve">: </w:t>
      </w:r>
      <w:r>
        <w:rPr>
          <w:rtl w:val="true"/>
        </w:rPr>
        <w:t>هل وجوب التوبة</w:t>
      </w:r>
      <w:r>
        <w:rPr>
          <w:rtl w:val="true"/>
        </w:rPr>
        <w:t xml:space="preserve">- </w:t>
      </w:r>
      <w:r>
        <w:rPr>
          <w:rtl w:val="true"/>
        </w:rPr>
        <w:t>علی القول به</w:t>
      </w:r>
      <w:r>
        <w:rPr>
          <w:rtl w:val="true"/>
        </w:rPr>
        <w:t xml:space="preserve">- </w:t>
      </w:r>
      <w:r>
        <w:rPr>
          <w:rtl w:val="true"/>
        </w:rPr>
        <w:t>فوری أم لا؟</w:t>
      </w:r>
      <w:bookmarkEnd w:id="1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المقام هو التفصیل بین أن یکون مستند</w:t>
      </w:r>
      <w:bookmarkStart w:id="142" w:name="pg2364_24175"/>
    </w:p>
    <w:p>
      <w:pPr>
        <w:pStyle w:val="BookText"/>
        <w:rPr/>
      </w:pPr>
      <w:bookmarkEnd w:id="142"/>
      <w:r>
        <w:rPr>
          <w:rFonts w:ascii="IRNazanin" w:hAnsi="IRNazanin" w:eastAsia="IRNazanin"/>
          <w:color w:val="111111"/>
          <w:sz w:val="28"/>
          <w:sz w:val="28"/>
          <w:szCs w:val="28"/>
          <w:rtl w:val="true"/>
          <w:lang w:bidi="fa-IR"/>
        </w:rPr>
        <w:t>الوجوب ارشاد العقل فوجوبها فوری، بتقریب انه یمکن الفوت و عدم امکان الجبران و بمقتضی دفع الضرر المحتمل یجب المبادرة الیها، و قد حکی عن لقمان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تؤخّر التوبة، فان الموت یأتی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یکون المستند الآیات أو الروایات فلا یکون فوریّا، فقد ثبت فی محله ان الأمر لا یکون ظاهرا فی الفور، کما ان مقتضی الأصل العملی علی عدم الفوریة مضافا الی انه لو کان واجبا فوریا یلزم أن یکون تارک التوبة فی معصیة دائما فی الآنات، و لا یلتزم أحد بذلک</w:t>
      </w:r>
      <w:r>
        <w:rPr>
          <w:rFonts w:eastAsia="IRNazanin" w:cs="IRNazanin"/>
          <w:color w:val="111111"/>
          <w:sz w:val="28"/>
          <w:szCs w:val="28"/>
          <w:rtl w:val="true"/>
          <w:lang w:bidi="fa-IR"/>
        </w:rPr>
        <w:t>.</w:t>
      </w:r>
    </w:p>
    <w:p>
      <w:pPr>
        <w:pStyle w:val="Heading3"/>
        <w:numPr>
          <w:ilvl w:val="2"/>
          <w:numId w:val="1"/>
        </w:numPr>
        <w:rPr/>
      </w:pPr>
      <w:bookmarkStart w:id="143" w:name="__RefHeading___Toc2825953_3804643083"/>
      <w:bookmarkStart w:id="144" w:name="_Toc57"/>
      <w:bookmarkEnd w:id="143"/>
      <w:r>
        <w:rPr>
          <w:rtl w:val="true"/>
        </w:rPr>
        <w:t>الجهة السابعة</w:t>
      </w:r>
      <w:r>
        <w:rPr>
          <w:rtl w:val="true"/>
        </w:rPr>
        <w:t xml:space="preserve">: </w:t>
      </w:r>
      <w:r>
        <w:rPr>
          <w:rtl w:val="true"/>
        </w:rPr>
        <w:t>هل التوبة تختص بالکبائر أم یعم الصغائر؟</w:t>
      </w:r>
      <w:bookmarkEnd w:id="14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مرتکب الصغیرة اما أن لا یکون مصرّا و یجتنب الکبائر فلا تجب التوبة علیه، لأن ارتکاب الصغیرة مع اجتناب الکبیرة یکون کالعدم،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لا تجب التوبة عقلا و لا شرعا، أما عقلا فلا منه من العقاب بصریح الکتاب، و أما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بالتوبة بلحاظ ان العبد یخرج عن معرضیّة العذاب، و هذا حاصل</w:t>
      </w:r>
      <w:bookmarkStart w:id="145" w:name="pg2364_24176"/>
    </w:p>
    <w:p>
      <w:pPr>
        <w:pStyle w:val="BookText"/>
        <w:rPr/>
      </w:pPr>
      <w:bookmarkEnd w:id="145"/>
      <w:r>
        <w:rPr>
          <w:rFonts w:ascii="IRNazanin" w:hAnsi="IRNazanin" w:eastAsia="IRNazanin"/>
          <w:color w:val="111111"/>
          <w:sz w:val="28"/>
          <w:sz w:val="28"/>
          <w:szCs w:val="28"/>
          <w:rtl w:val="true"/>
          <w:lang w:bidi="fa-IR"/>
        </w:rPr>
        <w:t>بدون التوبة، و لکن الاشکال کل الاشکال فی تحقّق فرد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مجتنبا للکبیرة، طول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مصرّا أو لا یجتنب الکبائر، فتجب علیه التوبة لأنه مذنب و عاصی، فلا بدّ من التوبة فالحق أن یقال بأنه لا فرق فی وجوب التوبة بین الصغیرة و الکبیرة</w:t>
      </w:r>
      <w:r>
        <w:rPr>
          <w:rFonts w:eastAsia="IRNazanin" w:cs="IRNazanin"/>
          <w:color w:val="111111"/>
          <w:sz w:val="28"/>
          <w:szCs w:val="28"/>
          <w:rtl w:val="true"/>
          <w:lang w:bidi="fa-IR"/>
        </w:rPr>
        <w:t>.</w:t>
      </w:r>
    </w:p>
    <w:p>
      <w:pPr>
        <w:pStyle w:val="Heading3"/>
        <w:numPr>
          <w:ilvl w:val="2"/>
          <w:numId w:val="1"/>
        </w:numPr>
        <w:rPr/>
      </w:pPr>
      <w:bookmarkStart w:id="146" w:name="__RefHeading___Toc2825955_3804643083"/>
      <w:bookmarkStart w:id="147" w:name="_Toc58"/>
      <w:bookmarkEnd w:id="146"/>
      <w:r>
        <w:rPr>
          <w:rtl w:val="true"/>
        </w:rPr>
        <w:t>الجهة الثامنة</w:t>
      </w:r>
      <w:r>
        <w:rPr>
          <w:rtl w:val="true"/>
        </w:rPr>
        <w:t xml:space="preserve">: </w:t>
      </w:r>
      <w:r>
        <w:rPr>
          <w:rtl w:val="true"/>
        </w:rPr>
        <w:t>هل یجوز التبعیض فی التوبة، بأن یتوب من بعض الذنوب دون بعض أم لا؟</w:t>
      </w:r>
      <w:bookmarkEnd w:id="147"/>
    </w:p>
    <w:p>
      <w:pPr>
        <w:pStyle w:val="BookText"/>
        <w:rPr/>
      </w:pPr>
      <w:r>
        <w:rPr>
          <w:rFonts w:ascii="IRNazanin" w:hAnsi="IRNazanin" w:eastAsia="IRNazanin"/>
          <w:color w:val="111111"/>
          <w:sz w:val="28"/>
          <w:sz w:val="28"/>
          <w:szCs w:val="28"/>
          <w:rtl w:val="true"/>
          <w:lang w:bidi="fa-IR"/>
        </w:rPr>
        <w:t>الظاهر جوازه و نقل عن أبی هاشم عدم جوازه، لأنه کاشف عن عدم الندامة، فمن یرتکب بعض المعاصی و یتوب عن بعضها لا یکون نادما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لا یرجع الی محصل لأن المیولات و الشهوات مختلفة، فقد یکون انسان تائبا عن بعض المعاصی لعدم تمایله فیه و یرتکب آخر لتمایله فیه فالنتیجة انا لا نری تلازما بین التوبة من ذنب و عدمها من ذنب آخر</w:t>
      </w:r>
      <w:r>
        <w:rPr>
          <w:rFonts w:eastAsia="IRNazanin" w:cs="IRNazanin"/>
          <w:color w:val="111111"/>
          <w:sz w:val="28"/>
          <w:szCs w:val="28"/>
          <w:rtl w:val="true"/>
          <w:lang w:bidi="fa-IR"/>
        </w:rPr>
        <w:t>.</w:t>
      </w:r>
    </w:p>
    <w:p>
      <w:pPr>
        <w:pStyle w:val="Heading3"/>
        <w:numPr>
          <w:ilvl w:val="2"/>
          <w:numId w:val="1"/>
        </w:numPr>
        <w:rPr/>
      </w:pPr>
      <w:bookmarkStart w:id="148" w:name="__RefHeading___Toc2825957_3804643083"/>
      <w:bookmarkStart w:id="149" w:name="_Toc59"/>
      <w:bookmarkEnd w:id="148"/>
      <w:r>
        <w:rPr>
          <w:rtl w:val="true"/>
        </w:rPr>
        <w:t>الجهة التاسعة</w:t>
      </w:r>
      <w:r>
        <w:rPr>
          <w:rtl w:val="true"/>
        </w:rPr>
        <w:t xml:space="preserve">: </w:t>
      </w:r>
      <w:r>
        <w:rPr>
          <w:rtl w:val="true"/>
        </w:rPr>
        <w:t>اذا تذکر التائب المعصیة لا تجب علیه التوبة ثانیا و ثالثا و هکذا،</w:t>
      </w:r>
      <w:bookmarkEnd w:id="1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التوبة قد تحقّقت و کذلک اذا تردد فی العود الی المعصیة و عدمه لعدم صدور معصیة منه کی یحتاج الی التوبة، اللهم الّا أن یدخل فی عنوان التجری، و لا فرق فیه من هذه الناحیة بین المرتکب</w:t>
      </w:r>
      <w:bookmarkStart w:id="150" w:name="pg2364_24177"/>
    </w:p>
    <w:p>
      <w:pPr>
        <w:pStyle w:val="BookText"/>
        <w:rPr/>
      </w:pPr>
      <w:bookmarkEnd w:id="150"/>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3"/>
        <w:numPr>
          <w:ilvl w:val="2"/>
          <w:numId w:val="1"/>
        </w:numPr>
        <w:rPr/>
      </w:pPr>
      <w:bookmarkStart w:id="151" w:name="__RefHeading___Toc2825959_3804643083"/>
      <w:bookmarkStart w:id="152" w:name="_Toc60"/>
      <w:bookmarkEnd w:id="151"/>
      <w:r>
        <w:rPr>
          <w:rtl w:val="true"/>
        </w:rPr>
        <w:t>الجهة العاشرة</w:t>
      </w:r>
      <w:r>
        <w:rPr>
          <w:rtl w:val="true"/>
        </w:rPr>
        <w:t xml:space="preserve">: </w:t>
      </w:r>
      <w:r>
        <w:rPr>
          <w:rtl w:val="true"/>
        </w:rPr>
        <w:t>هل یلزم أن تکون التوبة تفصیلا،</w:t>
      </w:r>
      <w:bookmarkEnd w:id="152"/>
    </w:p>
    <w:p>
      <w:pPr>
        <w:pStyle w:val="BookText"/>
        <w:rPr/>
      </w:pPr>
      <w:r>
        <w:rPr>
          <w:rFonts w:ascii="IRNazanin" w:hAnsi="IRNazanin" w:eastAsia="IRNazanin"/>
          <w:color w:val="111111"/>
          <w:sz w:val="28"/>
          <w:sz w:val="28"/>
          <w:szCs w:val="28"/>
          <w:rtl w:val="true"/>
          <w:lang w:bidi="fa-IR"/>
        </w:rPr>
        <w:t>بمعنی أن یتذکر جمیع المعاصی و یندم عن کل واحد علی حدة أم تکفی اجمالا؟ الحق عدم وجوب کونها تفصیلا، لعدم الدلیل</w:t>
      </w:r>
      <w:r>
        <w:rPr>
          <w:rFonts w:eastAsia="IRNazanin" w:cs="IRNazanin"/>
          <w:color w:val="111111"/>
          <w:sz w:val="28"/>
          <w:szCs w:val="28"/>
          <w:rtl w:val="true"/>
          <w:lang w:bidi="fa-IR"/>
        </w:rPr>
        <w:t>.</w:t>
      </w:r>
    </w:p>
    <w:p>
      <w:pPr>
        <w:pStyle w:val="Heading3"/>
        <w:numPr>
          <w:ilvl w:val="2"/>
          <w:numId w:val="1"/>
        </w:numPr>
        <w:rPr/>
      </w:pPr>
      <w:bookmarkStart w:id="153" w:name="__RefHeading___Toc2825961_3804643083"/>
      <w:bookmarkStart w:id="154" w:name="_Toc61"/>
      <w:bookmarkEnd w:id="153"/>
      <w:r>
        <w:rPr>
          <w:rtl w:val="true"/>
        </w:rPr>
        <w:t>الجهة الحادی عشرة</w:t>
      </w:r>
      <w:r>
        <w:rPr>
          <w:rtl w:val="true"/>
        </w:rPr>
        <w:t>: [</w:t>
      </w:r>
      <w:r>
        <w:rPr>
          <w:rtl w:val="true"/>
        </w:rPr>
        <w:t>فی أقسام التوبة</w:t>
      </w:r>
      <w:r>
        <w:rPr>
          <w:rtl w:val="true"/>
        </w:rPr>
        <w:t>]</w:t>
      </w:r>
      <w:bookmarkEnd w:id="15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قسموا التوبة الی توبة العوام،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عن الذنوب بالجوارح، و الی توبة الخواص،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عن رذائل الصفات التی هی المبدأ للذنوب بالجوارح، و الی توبة خاص الخاص، و هی التوبة عما لا ینبغی أن یفعل أو یترک و الی توبة أخص خاص الخاص، و هی التوبة عن التوجّه بغیر الحق، و هل هذا الأخیر هو الذی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اللّه منه فی کل یوم سبعین مرّة علی ما نقلوا؟ و اللّه العالم</w:t>
      </w:r>
      <w:r>
        <w:rPr>
          <w:rFonts w:eastAsia="IRNazanin" w:cs="IRNazanin"/>
          <w:color w:val="111111"/>
          <w:sz w:val="28"/>
          <w:szCs w:val="28"/>
          <w:rtl w:val="true"/>
          <w:lang w:bidi="fa-IR"/>
        </w:rPr>
        <w:t>.</w:t>
      </w:r>
      <w:bookmarkStart w:id="155" w:name="pg2364_24178"/>
    </w:p>
    <w:p>
      <w:pPr>
        <w:pStyle w:val="Heading2"/>
        <w:numPr>
          <w:ilvl w:val="1"/>
          <w:numId w:val="1"/>
        </w:numPr>
        <w:rPr/>
      </w:pPr>
      <w:bookmarkStart w:id="156" w:name="__RefHeading___Toc2825963_3804643083"/>
      <w:bookmarkStart w:id="157" w:name="_Toc62"/>
      <w:bookmarkEnd w:id="155"/>
      <w:bookmarkEnd w:id="156"/>
      <w:r>
        <w:rPr>
          <w:rtl w:val="true"/>
        </w:rPr>
        <w:t>رسالة فی القاعدة المعروفة ب</w:t>
      </w:r>
      <w:r>
        <w:rPr>
          <w:rtl w:val="true"/>
        </w:rPr>
        <w:t>: (</w:t>
      </w:r>
      <w:r>
        <w:rPr>
          <w:rtl w:val="true"/>
        </w:rPr>
        <w:t>لا ضرر و لا ضرار</w:t>
      </w:r>
      <w:bookmarkEnd w:id="1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2825965_3804643083"/>
      <w:bookmarkStart w:id="159" w:name="_Toc63"/>
      <w:bookmarkEnd w:id="158"/>
      <w:r>
        <w:rPr>
          <w:rtl w:val="true"/>
        </w:rPr>
        <w:t>اشارة</w:t>
      </w:r>
      <w:bookmarkStart w:id="160" w:name="pg2364_24180"/>
      <w:bookmarkEnd w:id="159"/>
    </w:p>
    <w:p>
      <w:pPr>
        <w:pStyle w:val="BookText"/>
        <w:rPr/>
      </w:pPr>
      <w:bookmarkEnd w:id="160"/>
      <w:r>
        <w:rPr>
          <w:rFonts w:ascii="IRNazanin" w:hAnsi="IRNazanin" w:eastAsia="IRNazanin"/>
          <w:color w:val="111111"/>
          <w:sz w:val="28"/>
          <w:sz w:val="28"/>
          <w:szCs w:val="28"/>
          <w:rtl w:val="true"/>
          <w:lang w:bidi="fa-IR"/>
        </w:rPr>
        <w:t>رسالة فی القاعدة المعروفة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ضرر</w:t>
      </w:r>
      <w:r>
        <w:rPr>
          <w:rFonts w:eastAsia="IRNazanin" w:cs="IRNazanin"/>
          <w:color w:val="111111"/>
          <w:sz w:val="28"/>
          <w:szCs w:val="28"/>
          <w:rtl w:val="true"/>
          <w:lang w:bidi="fa-IR"/>
        </w:rPr>
        <w:t>)</w:t>
      </w:r>
    </w:p>
    <w:p>
      <w:pPr>
        <w:pStyle w:val="Heading3"/>
        <w:numPr>
          <w:ilvl w:val="2"/>
          <w:numId w:val="1"/>
        </w:numPr>
        <w:rPr/>
      </w:pPr>
      <w:bookmarkStart w:id="161" w:name="__RefHeading___Toc2825967_3804643083"/>
      <w:bookmarkStart w:id="162" w:name="_Toc64"/>
      <w:bookmarkEnd w:id="161"/>
      <w:r>
        <w:rPr>
          <w:rtl w:val="true"/>
        </w:rPr>
        <w:t>و ینبغی أن یقع الکلام فیها من جهات، و ان لم یعنون بعضها فی ما رأینا من کتب الأصحاب</w:t>
      </w:r>
      <w:r>
        <w:rPr>
          <w:rtl w:val="true"/>
        </w:rPr>
        <w:t>.</w:t>
      </w:r>
      <w:bookmarkEnd w:id="162"/>
    </w:p>
    <w:p>
      <w:pPr>
        <w:pStyle w:val="Heading4"/>
        <w:numPr>
          <w:ilvl w:val="3"/>
          <w:numId w:val="1"/>
        </w:numPr>
        <w:rPr/>
      </w:pPr>
      <w:bookmarkStart w:id="163" w:name="__RefHeading___Toc2825969_3804643083"/>
      <w:bookmarkStart w:id="164" w:name="_Toc65"/>
      <w:bookmarkEnd w:id="163"/>
      <w:r>
        <w:rPr>
          <w:rtl w:val="true"/>
        </w:rPr>
        <w:t>الجهة الأولی</w:t>
      </w:r>
      <w:r>
        <w:rPr>
          <w:rtl w:val="true"/>
        </w:rPr>
        <w:t xml:space="preserve">: </w:t>
      </w:r>
      <w:r>
        <w:rPr>
          <w:rtl w:val="true"/>
        </w:rPr>
        <w:t>فی تحقیق معنی الضرر و الضرار</w:t>
      </w:r>
      <w:r>
        <w:rPr>
          <w:rtl w:val="true"/>
        </w:rPr>
        <w:t>.</w:t>
      </w:r>
      <w:bookmarkEnd w:id="164"/>
    </w:p>
    <w:p>
      <w:pPr>
        <w:pStyle w:val="Heading5"/>
        <w:numPr>
          <w:ilvl w:val="4"/>
          <w:numId w:val="1"/>
        </w:numPr>
        <w:rPr/>
      </w:pPr>
      <w:bookmarkStart w:id="165" w:name="__RefHeading___Toc2825971_3804643083"/>
      <w:bookmarkStart w:id="166" w:name="_Toc66"/>
      <w:bookmarkEnd w:id="165"/>
      <w:r>
        <w:rPr>
          <w:rtl w:val="true"/>
        </w:rPr>
        <w:t>أما الضرر</w:t>
      </w:r>
      <w:r>
        <w:rPr>
          <w:rtl w:val="true"/>
        </w:rPr>
        <w:t>:</w:t>
      </w:r>
      <w:bookmarkEnd w:id="16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انّ تقابله مع النفع هو تقابل العدم و الملکة</w:t>
      </w:r>
      <w:r>
        <w:rPr>
          <w:rStyle w:val="FootnoteAnchor"/>
          <w:rtl w:val="true"/>
        </w:rPr>
        <w:footnoteReference w:id="97"/>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ایجاب و سلب، و لکن الحق أن تقابله مع النفع هو تقابل الضدّین الذین لهما ثالث، و یوضح ذلک بمراجعة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الانسان قد یرد علیه ضرر، کما اذا خسر التاجر فی تجارته و قد یحصل له نفع کما اذا ربح التاجر فی تجارته، و قد لا یکون لا هذا و لا ذاک، کما اذا لم یربح التاجر فی تجارته و لم یخسر،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المتفاهم</w:t>
      </w:r>
      <w:bookmarkStart w:id="167" w:name="pg2364_24181"/>
    </w:p>
    <w:p>
      <w:pPr>
        <w:pStyle w:val="BookText"/>
        <w:rPr/>
      </w:pPr>
      <w:bookmarkEnd w:id="167"/>
      <w:r>
        <w:rPr>
          <w:rFonts w:ascii="IRNazanin" w:hAnsi="IRNazanin" w:eastAsia="IRNazanin"/>
          <w:color w:val="111111"/>
          <w:sz w:val="28"/>
          <w:sz w:val="28"/>
          <w:szCs w:val="28"/>
          <w:rtl w:val="true"/>
          <w:lang w:bidi="fa-IR"/>
        </w:rPr>
        <w:t>عرفا من الضرر،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عبارة عن النقص عن المرتبة التی ینبغی أن یکون علیها الموضوع، فالمتحصّل ممّا ذکر أن الضرر ضد النفع، و یستعمل بصیغة المجرّد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یضرّ المریض، و بصیغة المزید فیه،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 الأکل بزید غایة الأمر أنه اذا استعمل بصیغة افعل یتعلق بمفعوله بحرف الجارّ</w:t>
      </w:r>
      <w:r>
        <w:rPr>
          <w:rFonts w:eastAsia="IRNazanin" w:cs="IRNazanin"/>
          <w:color w:val="111111"/>
          <w:sz w:val="28"/>
          <w:szCs w:val="28"/>
          <w:rtl w:val="true"/>
          <w:lang w:bidi="fa-IR"/>
        </w:rPr>
        <w:t>.</w:t>
      </w:r>
    </w:p>
    <w:p>
      <w:pPr>
        <w:pStyle w:val="Heading5"/>
        <w:numPr>
          <w:ilvl w:val="4"/>
          <w:numId w:val="1"/>
        </w:numPr>
        <w:rPr/>
      </w:pPr>
      <w:bookmarkStart w:id="168" w:name="__RefHeading___Toc2825973_3804643083"/>
      <w:bookmarkStart w:id="169" w:name="_Toc67"/>
      <w:bookmarkEnd w:id="168"/>
      <w:r>
        <w:rPr>
          <w:rtl w:val="true"/>
        </w:rPr>
        <w:t>و أما الضرار</w:t>
      </w:r>
      <w:r>
        <w:rPr>
          <w:rtl w:val="true"/>
        </w:rPr>
        <w:t>:</w:t>
      </w:r>
      <w:bookmarkEnd w:id="1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فی تفسیر معناه معان مختلفة، منها ما أفاده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الأظهر أن یکون بمعنی الضرر</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لکن الظاهر ان معناه هو الاضرار عنادا و قصدا، أشرب فیه معنی السعی فی ایصال الضرر علی غیر المضار أی لو کان الاضرار بداعی ایقاعه فی الضرر یقال انه مضارّ، و یشهد لما قلنا تتبّع موارد استعماله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تُمْسِکُوهُنَّ ضِراراً لِتَعْتَدُوا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 غَیْرَ مُضَارٍّ وَصِیَّةً مِنَ اللَّهِ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تُضآرُّوهُنَّ لِتُضَیِّقُوا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و قوله علیه السلام فی خبر زرارة</w:t>
      </w:r>
      <w:bookmarkStart w:id="170" w:name="pg2364_24182"/>
    </w:p>
    <w:p>
      <w:pPr>
        <w:pStyle w:val="BookText"/>
        <w:rPr/>
      </w:pPr>
      <w:bookmarkEnd w:id="170"/>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ممّا یدلّ علی ما ذکرناه بوضوح عدم استعماله الّا فی ذی العقل فانی ما وقفت الی الآن علی استعماله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أن الضرر و الضرار ضدّ ان للنفع، و لکن أشرب فی الأخیر معنی السعی فی ایصال الضرر و کونه عن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الضرار مصدر باب المفاعلة لا یضرّ بما ذکرناه لأن باب المفاعلة کثیرا ما یستعمل فی الفعل غیر القائم بالطرفین، و یتّضح ذلک بمراجعة موارد استعمال أفعال باب المفاعلة</w:t>
      </w:r>
      <w:r>
        <w:rPr>
          <w:rFonts w:eastAsia="IRNazanin" w:cs="IRNazanin"/>
          <w:color w:val="111111"/>
          <w:sz w:val="28"/>
          <w:szCs w:val="28"/>
          <w:rtl w:val="true"/>
          <w:lang w:bidi="fa-IR"/>
        </w:rPr>
        <w:t>.</w:t>
      </w:r>
    </w:p>
    <w:p>
      <w:pPr>
        <w:pStyle w:val="Heading4"/>
        <w:numPr>
          <w:ilvl w:val="3"/>
          <w:numId w:val="1"/>
        </w:numPr>
        <w:rPr/>
      </w:pPr>
      <w:bookmarkStart w:id="171" w:name="__RefHeading___Toc2825975_3804643083"/>
      <w:bookmarkStart w:id="172" w:name="_Toc68"/>
      <w:bookmarkEnd w:id="171"/>
      <w:r>
        <w:rPr>
          <w:rtl w:val="true"/>
        </w:rPr>
        <w:t>الجهة الثانیة</w:t>
      </w:r>
      <w:r>
        <w:rPr>
          <w:rtl w:val="true"/>
        </w:rPr>
        <w:t xml:space="preserve">: </w:t>
      </w:r>
      <w:r>
        <w:rPr>
          <w:rtl w:val="true"/>
        </w:rPr>
        <w:t>فی أنه هل الاضرار بالغیر حرام تکلیفا أم لا؟</w:t>
      </w:r>
      <w:bookmarkEnd w:id="172"/>
    </w:p>
    <w:p>
      <w:pPr>
        <w:pStyle w:val="Heading5"/>
        <w:numPr>
          <w:ilvl w:val="4"/>
          <w:numId w:val="1"/>
        </w:numPr>
        <w:rPr/>
      </w:pPr>
      <w:bookmarkStart w:id="173" w:name="__RefHeading___Toc2825977_3804643083"/>
      <w:bookmarkStart w:id="174" w:name="_Toc69"/>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و اقامة الدلیل علی ذلک و هذه الجهة غیر معنونة فی کلام القوم علی ما رأینا،</w:t>
      </w:r>
    </w:p>
    <w:p>
      <w:pPr>
        <w:pStyle w:val="Heading5"/>
        <w:numPr>
          <w:ilvl w:val="4"/>
          <w:numId w:val="1"/>
        </w:numPr>
        <w:rPr/>
      </w:pPr>
      <w:bookmarkStart w:id="175" w:name="__RefHeading___Toc2825979_3804643083"/>
      <w:bookmarkStart w:id="176" w:name="_Toc70"/>
      <w:bookmarkEnd w:id="175"/>
      <w:r>
        <w:rPr>
          <w:rtl w:val="true"/>
        </w:rPr>
        <w:t>فما یمکن أن یستدلّ بها للحرمة أمور</w:t>
      </w:r>
      <w:r>
        <w:rPr>
          <w:rtl w:val="true"/>
        </w:rPr>
        <w:t>:</w:t>
      </w:r>
      <w:bookmarkEnd w:id="176"/>
    </w:p>
    <w:p>
      <w:pPr>
        <w:pStyle w:val="Heading6"/>
        <w:numPr>
          <w:ilvl w:val="5"/>
          <w:numId w:val="1"/>
        </w:numPr>
        <w:rPr/>
      </w:pPr>
      <w:bookmarkStart w:id="177" w:name="__RefHeading___Toc2825981_3804643083"/>
      <w:bookmarkStart w:id="178" w:name="_Toc71"/>
      <w:bookmarkEnd w:id="177"/>
      <w:r>
        <w:rPr>
          <w:rtl w:val="true"/>
        </w:rPr>
        <w:t>الأول</w:t>
      </w:r>
      <w:r>
        <w:rPr>
          <w:rtl w:val="true"/>
        </w:rPr>
        <w:t xml:space="preserve">: </w:t>
      </w:r>
      <w:r>
        <w:rPr>
          <w:rtl w:val="true"/>
        </w:rPr>
        <w:t>الآیات</w:t>
      </w:r>
      <w:r>
        <w:rPr>
          <w:rtl w:val="true"/>
        </w:rPr>
        <w:t>.</w:t>
      </w:r>
      <w:bookmarkEnd w:id="1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فقد دلّت الآیة الشریفة علی حرمة اضرار</w:t>
      </w:r>
    </w:p>
    <w:p>
      <w:pPr>
        <w:pStyle w:val="BookText"/>
        <w:rPr/>
      </w:pPr>
      <w:r>
        <w:rPr>
          <w:rFonts w:ascii="IRNazanin" w:hAnsi="IRNazanin" w:eastAsia="IRNazanin"/>
          <w:color w:val="111111"/>
          <w:sz w:val="28"/>
          <w:sz w:val="28"/>
          <w:szCs w:val="28"/>
          <w:rtl w:val="true"/>
          <w:lang w:bidi="fa-IR"/>
        </w:rPr>
        <w:t xml:space="preserve">الوالدة بولدها، و اضرار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اذا وقع بینهما تنازع و تشاجر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الآیة دالة علی الحرمة فی مورد خاص و قد صرّح بذلک فی بعض الروایات المعتبرة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و لا وجه للتعدی عن موردها فنلتزم بحرمة اضرار الوالدة و الوالد بولدهما، و المدعی فی المقام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فَأَمْسِکُوهُنَّ بِمَعْرُوفٍ أَوْ سَرِّحُوهُنَّ بِمَعْرُوفٍ وَ لا تُمْسِکُوهُنَّ ضِراراً لِتَعْتَدُوا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 بها أنها دلت علی حرمة الامساک لأجل الضرر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أوردناه علی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إِذا تَبایَعْتُمْ وَ لا یُضَارَّ کاتِبٌ وَ لا شَهِیدٌ وَ إِنْ تَفْعَلُوا فَإِنَّهُ فُسُوقٌ بِکُمْ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الکریمة دلت علی حرمة اضرار الکاتب و الشهید بغیرهما و اتصافها بالفسق لو فعلا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ذکر فی سابقیه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رَجُلٌ یُورَثُ کَلالَةً أَوِ امْرَأَةٌ وَ لَهُ أَخٌ أَوْ أُخْتٌ فَلِکُلِّ واحِدٍ مِنْهُمَا السُّدُسُ فَإِنْ کانُوا أَکْثَرَ مِنْ ذلِکَ فَهُمْ شُرَکاءُ فِی الثُّلُثِ مِنْ بَعْدِ وَصِیَّةٍ یُوصی بِها أَوْ دَیْنٍ غَیْرَ مُضَارٍّ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دلّت الآیة الشریفة علی حرمة الاضرار بالورثة الناشی من وصیة الرجل أو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ذکرناه فیما تقدم فان الآیة ناظرة الی حکم الوصیة و کونها حراما و غیر نافذة اذا کان فیها ضررا علی الوارث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 وَ لا تُضآرُّوهُنَّ لِتُضَیِّقُوا عَلَیْهِنَّ</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فقد دلّت الآیة علی حرمة الاضرار بالمطلقات للتضیّق علیهن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ذکرنا من أن الآیة دالّة علی الحرمة فی مورد خاصّ فلا وجه للتعدّی عنها فتحصل ممّا ذکرناه ان الآیات لا دلالة فیها علی المدعی بنحو العموم بل تفی لإثبات الحرمة فی موارد خاص و التعدّی عنها خلاف القاعدة</w:t>
      </w:r>
      <w:r>
        <w:rPr>
          <w:rFonts w:eastAsia="IRNazanin" w:cs="IRNazanin"/>
          <w:color w:val="111111"/>
          <w:sz w:val="28"/>
          <w:szCs w:val="28"/>
          <w:rtl w:val="true"/>
          <w:lang w:bidi="fa-IR"/>
        </w:rPr>
        <w:t>.</w:t>
      </w:r>
      <w:bookmarkStart w:id="179" w:name="pg2364_24185"/>
    </w:p>
    <w:p>
      <w:pPr>
        <w:pStyle w:val="Heading6"/>
        <w:numPr>
          <w:ilvl w:val="5"/>
          <w:numId w:val="1"/>
        </w:numPr>
        <w:rPr/>
      </w:pPr>
      <w:bookmarkStart w:id="180" w:name="__RefHeading___Toc2825983_3804643083"/>
      <w:bookmarkStart w:id="181" w:name="_Toc72"/>
      <w:bookmarkEnd w:id="179"/>
      <w:bookmarkEnd w:id="180"/>
      <w:r>
        <w:rPr>
          <w:rtl w:val="true"/>
        </w:rPr>
        <w:t>الثانی</w:t>
      </w:r>
      <w:r>
        <w:rPr>
          <w:rtl w:val="true"/>
        </w:rPr>
        <w:t xml:space="preserve">: </w:t>
      </w:r>
      <w:r>
        <w:rPr>
          <w:rtl w:val="true"/>
        </w:rPr>
        <w:t>الروایات</w:t>
      </w:r>
      <w:r>
        <w:rPr>
          <w:rtl w:val="true"/>
        </w:rPr>
        <w:t>:</w:t>
      </w:r>
      <w:bookmarkEnd w:id="181"/>
    </w:p>
    <w:p>
      <w:pPr>
        <w:pStyle w:val="BookText"/>
        <w:rPr/>
      </w:pPr>
      <w:r>
        <w:rPr>
          <w:rFonts w:ascii="IRNazanin" w:hAnsi="IRNazanin" w:eastAsia="IRNazanin"/>
          <w:color w:val="111111"/>
          <w:sz w:val="28"/>
          <w:sz w:val="28"/>
          <w:szCs w:val="28"/>
          <w:rtl w:val="true"/>
          <w:lang w:bidi="fa-IR"/>
        </w:rPr>
        <w:t>فمنها ما رواه محمد بن علی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الی الفقیه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قناة فی قریة، فأراد رجل أن یحفر قناة أخری فوقه الی قریة له کم یکون بینهما فی البعد حتّی لا تضرّ إحداهما بالأخری فی الأرض اذا کانت صلبة أو رخوة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حسب أن لا تضرّ احدیها بالأخری إن شاء اللّه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دالّة علی المدعی و تامة سندا، أما سندا فلأن سندی الشیخ و الصدوق الی ابن محبوب معتبر فی بعض الطرق، و أما الدلالة فلأن حرمة الاضرار بالناس کانت مفروغا عنها عند السائل، و انما یسئل عن مقدار ما بین القناطین فی الأرض الصلبة و الرخوة لدفع الضرر المحرّم المعلوم عنده، فأجابه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کان مرتکزا فی ذهنه و بیّن مقدار المسافة بین القناطین و أحاله بما لا یراه العرف ضررا، و هذا الذی ذکرناه یفهم العرف من الروایة بلا شبهة، و لا تکون الروایة مخصوصة بمورد خاص و ان کان صدورها فی مورد خاصّ، و لکن مع ذلک فی النفس منها شی‌ء</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محمد بن یعقوب عن محمد بن یحیی عن</w:t>
      </w:r>
    </w:p>
    <w:p>
      <w:pPr>
        <w:pStyle w:val="BookText"/>
        <w:rPr/>
      </w:pPr>
      <w:r>
        <w:rPr>
          <w:rFonts w:ascii="IRNazanin" w:hAnsi="IRNazanin" w:eastAsia="IRNazanin"/>
          <w:color w:val="111111"/>
          <w:sz w:val="28"/>
          <w:sz w:val="28"/>
          <w:szCs w:val="28"/>
          <w:rtl w:val="true"/>
          <w:lang w:bidi="fa-IR"/>
        </w:rPr>
        <w:t>محمد بن الحسین، و رواه الشیخ باسناده عن محمد بن علی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رحی علی نهر قریة و القریة لرجل فأراد صاحب القریة أن یسوق الی قریته الماء فی غیر هذا النهر و یعطّل هذه الرحی أله ذلک أم لا؟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 اللّه و یعمل فی ذلک بالمعروف و لا یضرّ أخاه المؤمن</w:t>
      </w:r>
      <w:r>
        <w:rPr>
          <w:rStyle w:val="FootnoteAnchor"/>
          <w:rtl w:val="true"/>
        </w:rPr>
        <w:footnoteReference w:id="110"/>
      </w:r>
      <w:r>
        <w:rPr>
          <w:rFonts w:ascii="IRNazanin" w:hAnsi="IRNazanin" w:eastAsia="IRNazanin"/>
          <w:color w:val="111111"/>
          <w:sz w:val="28"/>
          <w:sz w:val="28"/>
          <w:szCs w:val="28"/>
          <w:rtl w:val="true"/>
          <w:lang w:bidi="fa-IR"/>
        </w:rPr>
        <w:t>و هذه الروایة أیضا تامة سندا و دلالة فانه علیه السلام نهی عن اضراره أخاه المؤمن و النهی یدل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الروایة مخصوصة بما اذا کان المضارّ به الشیعة علی ما یستفاد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عقبة بن خالد عن أبی عبد اللّه علیه السلام فی رجل أتی جبلا فشقّ فیه قناة فذهب الآخر بماء قناة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یتقاسمان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بحقائب البئر لیلة لیلة فینظر ایّتهما أضرّت بصاحبتها، فان رأیت الأخیرة أضرّت بالأولی فلتعود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تامة دلالة، فان الامام علیه السلام أمر بسدّ الأخیرة اذا أضرّت بالأولی، فلو لم یکن الاضرار حراما فما کان لأمره علیه السلام باعوار الأول وجه فالاضرار بمقتضی</w:t>
      </w:r>
    </w:p>
    <w:p>
      <w:pPr>
        <w:pStyle w:val="BookText"/>
        <w:rPr/>
      </w:pPr>
      <w:r>
        <w:rPr>
          <w:rFonts w:ascii="IRNazanin" w:hAnsi="IRNazanin" w:eastAsia="IRNazanin"/>
          <w:color w:val="111111"/>
          <w:sz w:val="28"/>
          <w:sz w:val="28"/>
          <w:szCs w:val="28"/>
          <w:rtl w:val="true"/>
          <w:lang w:bidi="fa-IR"/>
        </w:rPr>
        <w:t xml:space="preserve">هذه الروایة أیضا حرام الّا انها مخدوشة سندا، فان فیه محمد بن عبد اللّه بن هلال، و هو غیر موجود فی کلمات أصحاب الرجال المعتبر توثیقهم مضافا الی عقبة بن خالد فانه أیضا لم یوثق، و سند الصدوق الی عقبة خالد أیضا ضعیف بمحمد بن عبد اللّه بن هلال، علی ما فی مجمع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الفهرست للشیخ الطائفة قدس سرّه، و کذا نقل الاستاذ دام ظله عن الفهرست أیضا، و لکن فیما عندی من النسخة لیس عقبة بن خالد، و لا طریقه الیه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طلحة بن زید، عن أبی عبد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الجارّ کالنفس غیر مضارّ و لا آثم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مخدوشة سندا و دلالة، أما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طلحة بن زید لم یوثّق، و غایة ما قیل فی حقّه هو ما قاله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و هو عامی المذهب الّا انّ کتابه معتمد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کما تری لا دلالة فیه علی توثیق الرجل، و لعلّ اعتماده قدس سرّه علی کتابه کان لجهات اجتهادیّ غیر مفید</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دلالة فلأن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الی ما ینبغی أن یکون المؤمن علیه بالنسبة الی جاره فی الواقع و الخارج، و أین هذا من المدعی؟</w:t>
      </w:r>
    </w:p>
    <w:p>
      <w:pPr>
        <w:pStyle w:val="BookText"/>
        <w:rPr/>
      </w:pPr>
      <w:r>
        <w:rPr>
          <w:rFonts w:ascii="IRNazanin" w:hAnsi="IRNazanin" w:eastAsia="IRNazanin"/>
          <w:color w:val="111111"/>
          <w:sz w:val="28"/>
          <w:sz w:val="28"/>
          <w:szCs w:val="28"/>
          <w:rtl w:val="true"/>
          <w:lang w:bidi="fa-IR"/>
        </w:rPr>
        <w:t>و منها ما رواه الفضل بن الحسن الطبرسی فی مجمع البیان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ان الضرر فی الوصیّة من الکبائر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انها مرسلة فلا اعتبار بها مضافا الی انّها خاصة بموردها فلا یجوز التعدی عن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عقاب الأعمال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انها ضعیفة سندا بمیسرة بن عبد اللّه و دلالة لأنها مختصة بمورد خاص</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الحسن بن زیاد عن أبی عبد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أن یطلّق امرأته ثم یراجعها و لیس له فیها حاجة ثم یطلقها فهذا الضرار الذی نهی اللّه عزّ و جلّ عنه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182" w:name="pg2364_24189"/>
    </w:p>
    <w:p>
      <w:pPr>
        <w:pStyle w:val="BookText"/>
        <w:rPr/>
      </w:pPr>
      <w:bookmarkEnd w:id="182"/>
      <w:r>
        <w:rPr>
          <w:rFonts w:ascii="IRNazanin" w:hAnsi="IRNazanin" w:eastAsia="IRNazanin"/>
          <w:color w:val="111111"/>
          <w:sz w:val="28"/>
          <w:sz w:val="28"/>
          <w:szCs w:val="28"/>
          <w:rtl w:val="true"/>
          <w:lang w:bidi="fa-IR"/>
        </w:rPr>
        <w:t>و هذه الروایة و ان کانت متینة سندا الا انها مخدوشة دلالة فانها وردت فی مورد خاص و أشیر فیها الی الآیة الشریفة التی ذکرت فی سورة الطلاق</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رواه هارون بن حمزة الغنوی عن أبی عبد اللّه علیه السلام فی رجل یشهد بعیرا مریضا و هو یباع فاشتراه رجل بعشرة دراهم و أشرک فیه رجلا بدرهمین بالرأس و الجلد فقضی ان البعیر برئ فبلغ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الدرهمین خمس ما بلغ فان قال أرید الرأس و الجلد فلیس له ذلک هذا الضرار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ان کانت تامة دلالة کما لا یخفی، فان الامام علیه السلام طبّق الکبری المفروغة عنها أعنی حرمة الاضرار علی الصغری الّا انها ضعیفة سندا بیزید بن اسحاق شعر فانه لم یوثق</w:t>
      </w:r>
      <w:r>
        <w:rPr>
          <w:rFonts w:eastAsia="IRNazanin" w:cs="IRNazanin"/>
          <w:color w:val="111111"/>
          <w:sz w:val="28"/>
          <w:szCs w:val="28"/>
          <w:rtl w:val="true"/>
          <w:lang w:bidi="fa-IR"/>
        </w:rPr>
        <w:t>.</w:t>
      </w:r>
    </w:p>
    <w:p>
      <w:pPr>
        <w:pStyle w:val="Heading6"/>
        <w:numPr>
          <w:ilvl w:val="5"/>
          <w:numId w:val="1"/>
        </w:numPr>
        <w:rPr/>
      </w:pPr>
      <w:bookmarkStart w:id="183" w:name="__RefHeading___Toc2825985_3804643083"/>
      <w:bookmarkStart w:id="184" w:name="_Toc73"/>
      <w:bookmarkEnd w:id="183"/>
      <w:r>
        <w:rPr>
          <w:rtl w:val="true"/>
        </w:rPr>
        <w:t>الثالث</w:t>
      </w:r>
      <w:r>
        <w:rPr>
          <w:rtl w:val="true"/>
        </w:rPr>
        <w:t xml:space="preserve">: </w:t>
      </w:r>
      <w:r>
        <w:rPr>
          <w:rtl w:val="true"/>
        </w:rPr>
        <w:t>ممّا یمکن أن یستدلّ به الاجماع</w:t>
      </w:r>
      <w:r>
        <w:rPr>
          <w:rtl w:val="true"/>
        </w:rPr>
        <w:t>.</w:t>
      </w:r>
      <w:bookmarkEnd w:id="184"/>
    </w:p>
    <w:p>
      <w:pPr>
        <w:pStyle w:val="BookText"/>
        <w:rPr/>
      </w:pPr>
      <w:r>
        <w:rPr>
          <w:rFonts w:ascii="IRNazanin" w:hAnsi="IRNazanin" w:eastAsia="IRNazanin"/>
          <w:color w:val="111111"/>
          <w:sz w:val="28"/>
          <w:sz w:val="28"/>
          <w:szCs w:val="28"/>
          <w:rtl w:val="true"/>
          <w:lang w:bidi="fa-IR"/>
        </w:rPr>
        <w:t>و فیه ما مرّ غیر مرّة، و لا وجه للإعادة</w:t>
      </w:r>
      <w:r>
        <w:rPr>
          <w:rFonts w:eastAsia="IRNazanin" w:cs="IRNazanin"/>
          <w:color w:val="111111"/>
          <w:sz w:val="28"/>
          <w:szCs w:val="28"/>
          <w:rtl w:val="true"/>
          <w:lang w:bidi="fa-IR"/>
        </w:rPr>
        <w:t>.</w:t>
      </w:r>
    </w:p>
    <w:p>
      <w:pPr>
        <w:pStyle w:val="Heading6"/>
        <w:numPr>
          <w:ilvl w:val="5"/>
          <w:numId w:val="1"/>
        </w:numPr>
        <w:rPr/>
      </w:pPr>
      <w:bookmarkStart w:id="185" w:name="__RefHeading___Toc2825987_3804643083"/>
      <w:bookmarkStart w:id="186" w:name="_Toc74"/>
      <w:bookmarkEnd w:id="185"/>
      <w:r>
        <w:rPr>
          <w:rtl w:val="true"/>
        </w:rPr>
        <w:t>الرابع</w:t>
      </w:r>
      <w:r>
        <w:rPr>
          <w:rtl w:val="true"/>
        </w:rPr>
        <w:t xml:space="preserve">: </w:t>
      </w:r>
      <w:r>
        <w:rPr>
          <w:rtl w:val="true"/>
        </w:rPr>
        <w:t>العقل</w:t>
      </w:r>
      <w:r>
        <w:rPr>
          <w:rtl w:val="true"/>
        </w:rPr>
        <w:t>.</w:t>
      </w:r>
      <w:bookmarkEnd w:id="1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ما ذکرناه فی بعض أبحاثنا ان العقل لا یکون</w:t>
      </w:r>
      <w:bookmarkStart w:id="187" w:name="pg2364_24190"/>
    </w:p>
    <w:p>
      <w:pPr>
        <w:pStyle w:val="BookText"/>
        <w:rPr/>
      </w:pPr>
      <w:bookmarkEnd w:id="187"/>
      <w:r>
        <w:rPr>
          <w:rFonts w:ascii="IRNazanin" w:hAnsi="IRNazanin" w:eastAsia="IRNazanin"/>
          <w:color w:val="111111"/>
          <w:sz w:val="28"/>
          <w:sz w:val="28"/>
          <w:szCs w:val="28"/>
          <w:rtl w:val="true"/>
          <w:lang w:bidi="fa-IR"/>
        </w:rPr>
        <w:t>دلیلا شرعیا، و 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ان ما استدلّ به للمدّعی غیر واف له بنحو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یستفاد من مجموع الآیات و الروایات ما یطمئنّ به النفس فی الجملة، و الذی یسهل الخطب انّ حرمة الاضرار بالغیر من المسلّمات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علی الحرمة ان الاضرار اما راجع الی تصرّف فی مال أو عرض و کلاهما حرام فحرمة الاضرار بالغیر فی الجملة مسلّم و لکن فی بعض الموارد یشکل الحکم بالحرمة فلا بدّ من التوقّف</w:t>
      </w:r>
      <w:r>
        <w:rPr>
          <w:rFonts w:eastAsia="IRNazanin" w:cs="IRNazanin"/>
          <w:color w:val="111111"/>
          <w:sz w:val="28"/>
          <w:szCs w:val="28"/>
          <w:rtl w:val="true"/>
          <w:lang w:bidi="fa-IR"/>
        </w:rPr>
        <w:t>.</w:t>
      </w:r>
    </w:p>
    <w:p>
      <w:pPr>
        <w:pStyle w:val="Heading4"/>
        <w:numPr>
          <w:ilvl w:val="3"/>
          <w:numId w:val="1"/>
        </w:numPr>
        <w:rPr/>
      </w:pPr>
      <w:bookmarkStart w:id="188" w:name="__RefHeading___Toc2825989_3804643083"/>
      <w:bookmarkStart w:id="189" w:name="_Toc75"/>
      <w:bookmarkEnd w:id="188"/>
      <w:r>
        <w:rPr>
          <w:rtl w:val="true"/>
        </w:rPr>
        <w:t>الجهة الثالثة</w:t>
      </w:r>
      <w:r>
        <w:rPr>
          <w:rtl w:val="true"/>
        </w:rPr>
        <w:t xml:space="preserve">: </w:t>
      </w:r>
      <w:r>
        <w:rPr>
          <w:rtl w:val="true"/>
        </w:rPr>
        <w:t>فی الفحص عن الأحادیث التی وقعت فیها لفظة</w:t>
      </w:r>
      <w:r>
        <w:rPr>
          <w:rtl w:val="true"/>
        </w:rPr>
        <w:t>: (</w:t>
      </w:r>
      <w:r>
        <w:rPr>
          <w:rtl w:val="true"/>
        </w:rPr>
        <w:t>لا ضرر و لا ضرار</w:t>
      </w:r>
      <w:r>
        <w:rPr>
          <w:rtl w:val="true"/>
        </w:rPr>
        <w:t xml:space="preserve">) </w:t>
      </w:r>
      <w:r>
        <w:rPr>
          <w:rtl w:val="true"/>
        </w:rPr>
        <w:t>متنا و سندا و دلالة</w:t>
      </w:r>
      <w:r>
        <w:rPr>
          <w:rtl w:val="true"/>
        </w:rPr>
        <w:t>:</w:t>
      </w:r>
      <w:bookmarkEnd w:id="189"/>
    </w:p>
    <w:p>
      <w:pPr>
        <w:pStyle w:val="BookText"/>
        <w:rPr/>
      </w:pPr>
      <w:r>
        <w:rPr>
          <w:rFonts w:ascii="IRNazanin" w:hAnsi="IRNazanin" w:eastAsia="IRNazanin"/>
          <w:color w:val="111111"/>
          <w:sz w:val="28"/>
          <w:sz w:val="28"/>
          <w:szCs w:val="28"/>
          <w:rtl w:val="true"/>
          <w:lang w:bidi="fa-IR"/>
        </w:rPr>
        <w:t>فمن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أراک یا سمرة الّا مضارّا اذهب یا فلان فاقطعها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بها وجهه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مخدوشة سندا بالحسن الصیقل، فانه</w:t>
      </w:r>
    </w:p>
    <w:p>
      <w:pPr>
        <w:pStyle w:val="BookText"/>
        <w:rPr/>
      </w:pPr>
      <w:r>
        <w:rPr>
          <w:rFonts w:ascii="IRNazanin" w:hAnsi="IRNazanin" w:eastAsia="IRNazanin"/>
          <w:color w:val="111111"/>
          <w:sz w:val="28"/>
          <w:sz w:val="28"/>
          <w:szCs w:val="28"/>
          <w:rtl w:val="true"/>
          <w:lang w:bidi="fa-IR"/>
        </w:rPr>
        <w:t>لم یوثق و دلالة فان غایة ما یستفاد منها ان الاضرار بالغیر حرام، و امّا کون الحکم الضرری مرفوعا فی الشرع المقدّس فی جمیع الموارد کما هو مدّعی القوم فلا 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زرارة عن أبی جعفر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و لا ضرر و لا ضرار علی مؤمن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ضعیفة بمحمد بن خالد فانه و ان وثّقه الشیخ فی رجاله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الّا ان النّجاشی ضعّفه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محمد ضعیفا فی الحدیث</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فیتعارضان، و النتیجة عدم ثبوت الوثاقة، هذا مضافا الی ارسال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عقبة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أهل المدینة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ضعیفة بمحمد بن عبد اللّه بن هلال و عقبة</w:t>
      </w:r>
    </w:p>
    <w:p>
      <w:pPr>
        <w:pStyle w:val="BookText"/>
        <w:rPr/>
      </w:pPr>
      <w:r>
        <w:rPr>
          <w:rFonts w:ascii="IRNazanin" w:hAnsi="IRNazanin" w:eastAsia="IRNazanin"/>
          <w:color w:val="111111"/>
          <w:sz w:val="28"/>
          <w:sz w:val="28"/>
          <w:szCs w:val="28"/>
          <w:rtl w:val="true"/>
          <w:lang w:bidi="fa-IR"/>
        </w:rPr>
        <w:t>ابن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محمد بن یعقوب عن محمد بن یحیی عن محمد بن الحسین عن محمد بن عبد اللّه بن هلال عن عقبة بن خالد، و رواه الشیخ باسناده عن محمد بن یحیی أیضا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صلی اللّه علیه و آله بالشفعة بین الشرکاء فی الأرضین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ضعیفة بمحمد بن عبد اللّه بن هلال و عقبة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الصدوق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ضرر و لا ضرار فی الإسلام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سیّدنا الأستاذ دام ظلّه فی احدی الدورات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روایة الفقیه مرسلة لم یعلم انجبارها لاحتمال أن یکون عمل الأصحاب بغیرها من الروایات فلم تثبت کلمة فی الإسلام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بأن الارسال انما یکون فیما اذا کان التعبیر بلفظ روی و نحوه، و أما اذا کان بلفظ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کما</w:t>
      </w:r>
    </w:p>
    <w:p>
      <w:pPr>
        <w:pStyle w:val="BookText"/>
        <w:rPr/>
      </w:pPr>
      <w:r>
        <w:rPr>
          <w:rFonts w:ascii="IRNazanin" w:hAnsi="IRNazanin" w:eastAsia="IRNazanin"/>
          <w:color w:val="111111"/>
          <w:sz w:val="28"/>
          <w:sz w:val="28"/>
          <w:szCs w:val="28"/>
          <w:rtl w:val="true"/>
          <w:lang w:bidi="fa-IR"/>
        </w:rPr>
        <w:t>فی ما نحن فیه فالظاهر کون الروایة ثابتة عند الراوی، و الّا فلا یجوز له الاخبار البتی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فتعبیر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بقوله قال النّبیّ صلی اللّه علیه و آله یدل علی انه ثبت عنده صدور هذا القول منه صلی اللّه علیه و آله بطریق صحیح، و الّا لم یعبّر بمثل هذا التعبیر فیعامل مع هذا النحو من المراسیل معاملة المسانید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فی الدورة السابقة و قال فی الدورة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الانصاف عدم حجیّة مثل هذه المرسلة أیضا لأن غایة ما یدلّ علیه هذا النحو من التعبیر صحّة الخبر عند الصدوق، و أما صحّته عندنا فلم یثبت، لاختلاف المبانی فی حجیّة الخبر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انه لو کان الأمر کما أفاده فما الوجه فی الاستناد الی توثیقات الشیخ و النّجاشی و أضرابهما فان قول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کذا و کذا، اخبار عمّا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الشیخ و النّجاشی و أضرابهما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ثقة أیضا اخبار و کما ان الصدوق لم یذکر الواسطة بینه و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الشیخ و النّجاشی لم یذکرا الواسطة بینهما و بین من وثّقاه، فهذا اخبار و ذاک أیضا اخبار،</w:t>
      </w:r>
    </w:p>
    <w:p>
      <w:pPr>
        <w:pStyle w:val="BookText"/>
        <w:rPr/>
      </w:pPr>
      <w:r>
        <w:rPr>
          <w:rFonts w:ascii="IRNazanin" w:hAnsi="IRNazanin" w:eastAsia="IRNazanin"/>
          <w:color w:val="111111"/>
          <w:sz w:val="28"/>
          <w:sz w:val="28"/>
          <w:szCs w:val="28"/>
          <w:rtl w:val="true"/>
          <w:lang w:bidi="fa-IR"/>
        </w:rPr>
        <w:t>فما الفرق بین قول الصدوق و بین قول الشیخ اذ الفاصل الزمانی بین زمان الشیخ و زمان ابن بکیر مثلا طویل، فمن الممکن ان طریق الشیخ الموجب لاطلاعه علی وثاقة ابن بکیر لا یکون معتبرا عندنا و الحال ان دیدن الاستاذ الاعتماد علی هذه التوثیقات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 هناک انه من الممکن ان الشیخ مثلا أطمع علی وثاقة الرجل بواسطة نقل کابر عن کابر و ثقة عن ثقة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المقدار لا یرفع احتمال کون الاخبار بالوثاقة صادرا عن اجتهاد، و ان یرفع فلیکن المقام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قیل فی مقام الاستدلال لحجیّة التوثیقات بأنه من الممکن ان الشیخ مثلا اطلع علی وثاقة الرجل بواسطة نقل کابر عن 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له اذا کان هذا الاحتمال کافیا فهذا بعینه موجود فی مراسیل الصدوق و ان لم یکن کافیا فلا طریق لنا الی الاطلاع علی وثاقة رجال الحدیث، و بالنتیجة ینسدّ باب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لکنّنا مع ذلک لا نعمل بمراسیل الصدوق،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نعمل بتوثیقات الشیخ و النّجاشی و أمثالهما و نفرّق بین المقامین بأن العمدة فی حجّیة الخبر هی سیرة العقلاء و المراجعة بدیدنهم تشهد انهم یترتبون الآثار علی خبر الثقة ما لم یعلم انه نشأ من الحدس و لم یحرز انه خلاف ما أخبر به، و لذا اذا أخبر الثقة عن شی‌ء یرتبون علی اخباره الآثار بلا سؤال عن منشأه و انه هل صدر عن حسّ او حدس و بلا تجسّس عن عقیدته و رأیه، و لو کان اختلاف الفقیه فی المبانی موجبا للتوقّف عن العمل لکان اللازم ان الثقة اذا أخبر بأمر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بأی طریق علمت ذلک و أیّ مسلک تسلک و الحال انه لیس الأمر کذلک بمراجعة دیدن العقلاء، و لو کان العمل بقول الثقة مشروطا بهذا الشرط لاختل النظام اذ فی کل خبر لا بدّ من عدّة أسئلة و هذا العرف بابک و هؤلاء العقلاء عن قبالک و هذه السیرة أمضاها الشارع بهذا النحو فاذا أخبر الشیخ بأن فلانا ثقة و احتملنا وجدانا کونه أخبر عن حسّ و لو من جهة نقل کابر عن کابر و ثقة عن ثقة نعمل به لقیام السیرة علی العمل بمثل هذا، و أما عدم العمل بمراسیل الصدوق فلمانع آخر و هو انه اذا روی مرسلا و لم یروها غیره مع اهتمام الأصحاب و حرصهم بذکر الأخبار و تدوینها، نعلم انّ تیقّنه بوروده عنهم علیهم السلام کان عن اجتهاد و حدس و الّا لم یروها غیر الصدوق و لم رواها الصدوق مرسلا مع</w:t>
      </w:r>
    </w:p>
    <w:p>
      <w:pPr>
        <w:pStyle w:val="BookText"/>
        <w:rPr/>
      </w:pPr>
      <w:r>
        <w:rPr>
          <w:rFonts w:ascii="IRNazanin" w:hAnsi="IRNazanin" w:eastAsia="IRNazanin"/>
          <w:color w:val="111111"/>
          <w:sz w:val="28"/>
          <w:sz w:val="28"/>
          <w:szCs w:val="28"/>
          <w:rtl w:val="true"/>
          <w:lang w:bidi="fa-IR"/>
        </w:rPr>
        <w:t>ان من عادته أن یروی مسندا و احتمال عدم عثور غیره علیها مدفوع بما ذکرناه من شدّة اهتمامهم و حرصهم بتدوین الأخبار، و ان شئت عبّر بأن دلیل حجیّة خبر الثقة هو سیرة العقلاء و هم فی مثل هذه الموارد لا یرتبون الأثر علی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الأمر کما ذکرت فلم یقول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بنحو البت؟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تیقّن بصدوره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ایراد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هذه الروایة أیضا غیر قابلة للاعتماد علیها من جهة ارسالها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سمرة بن جندب کان له عذق فی حائط لرجل من الأنصار و کان منزل الأنصاری بباب البستان فکان یمرّ به الی نخلته و لا یستأذن فکلّمه الأنصاری أن یستأذن اذا جاء فأبی سمرة فلمّا تأبّی جاء الأنصاری الی رسول اللّه صلی اللّه علیه و آله فشکا الیه و خبّره الخبر فأرسل الیه رسول اللّه صلی اللّه علیه و آله و خبّره بقول الأنصاری و ما شکا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أردت الدخول فاستأذن فأبی فلمّا أبی ساومه حتی بلغ به من الثمن ما شاء اللّه فأبی أن یبیع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بها عذق یمدّ لک فی الجنّة فأبی أن یقبل،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w:t>
      </w:r>
    </w:p>
    <w:p>
      <w:pPr>
        <w:pStyle w:val="BookText"/>
        <w:rPr/>
      </w:pPr>
      <w:r>
        <w:rPr>
          <w:rFonts w:ascii="IRNazanin" w:hAnsi="IRNazanin" w:eastAsia="IRNazanin"/>
          <w:color w:val="111111"/>
          <w:sz w:val="28"/>
          <w:sz w:val="28"/>
          <w:szCs w:val="28"/>
          <w:rtl w:val="true"/>
          <w:lang w:bidi="fa-IR"/>
        </w:rPr>
        <w:t>وارم بها الیه فانه لا ضرر و لا ضرار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ضعیفة بسند الکلینی فان فیه محمد بن خالد و قد مرّ کلمتنا حوله و لکنها صحیحة بسند الصدوق الی ابن بکیر فان سنده الیه صحیحة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من الروایات المذکورة فیها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یتجاوز عددها الی الآن عن ستّة و الصحیحة منها واحدة و هی الأخیرة و مع ذلک فقد ادّعی تواترها أو استفاضتها جمع من الأعلام</w:t>
      </w:r>
      <w:r>
        <w:rPr>
          <w:rStyle w:val="FootnoteAnchor"/>
          <w:rtl w:val="true"/>
        </w:rPr>
        <w:footnoteReference w:id="130"/>
      </w:r>
      <w:r>
        <w:rPr>
          <w:rFonts w:ascii="IRNazanin" w:hAnsi="IRNazanin" w:eastAsia="IRNazanin"/>
          <w:color w:val="111111"/>
          <w:sz w:val="28"/>
          <w:sz w:val="28"/>
          <w:szCs w:val="28"/>
          <w:rtl w:val="true"/>
          <w:lang w:bidi="fa-IR"/>
        </w:rPr>
        <w:t>و ادّعاء التواتر بهذا المقدار خصوصا مع مضی قرون اثباته علی مدّعیه و دونه خرط العتاد و لذلک تأمل فیه بعض الأعاظم قدس سرّه</w:t>
      </w:r>
      <w:r>
        <w:rPr>
          <w:rStyle w:val="FootnoteAnchor"/>
          <w:rtl w:val="true"/>
        </w:rPr>
        <w:footnoteReference w:id="131"/>
      </w:r>
      <w:r>
        <w:rPr>
          <w:rFonts w:ascii="Amiri" w:hAnsi="Amiri" w:eastAsia="Amiri" w:cs="Amiri"/>
          <w:color w:val="111111"/>
          <w:sz w:val="28"/>
          <w:sz w:val="28"/>
          <w:szCs w:val="28"/>
          <w:rtl w:val="true"/>
          <w:lang w:bidi="ar-SA"/>
        </w:rPr>
        <w:t>و أما الاستفاضة</w:t>
      </w:r>
      <w:bookmarkStart w:id="190" w:name="pg2364_24198"/>
    </w:p>
    <w:p>
      <w:pPr>
        <w:pStyle w:val="BookText"/>
        <w:rPr/>
      </w:pPr>
      <w:bookmarkEnd w:id="190"/>
      <w:r>
        <w:rPr>
          <w:rFonts w:ascii="IRNazanin" w:hAnsi="IRNazanin" w:eastAsia="IRNazanin"/>
          <w:color w:val="111111"/>
          <w:sz w:val="28"/>
          <w:sz w:val="28"/>
          <w:szCs w:val="28"/>
          <w:rtl w:val="true"/>
          <w:lang w:bidi="fa-IR"/>
        </w:rPr>
        <w:t>علی فرض تحقّقها أیضا فلا أثر لها ما دام لم یتحقّق العلم أو الاطمینان و لکن فی روایة زرارة غنی و کفایة فلیکن البحث فی الجهة الآتیة فی مفاد هذه الروایة</w:t>
      </w:r>
      <w:r>
        <w:rPr>
          <w:rFonts w:eastAsia="IRNazanin" w:cs="IRNazanin"/>
          <w:color w:val="111111"/>
          <w:sz w:val="28"/>
          <w:szCs w:val="28"/>
          <w:rtl w:val="true"/>
          <w:lang w:bidi="fa-IR"/>
        </w:rPr>
        <w:t>.</w:t>
      </w:r>
    </w:p>
    <w:p>
      <w:pPr>
        <w:pStyle w:val="Heading4"/>
        <w:numPr>
          <w:ilvl w:val="3"/>
          <w:numId w:val="1"/>
        </w:numPr>
        <w:rPr/>
      </w:pPr>
      <w:bookmarkStart w:id="191" w:name="__RefHeading___Toc2825991_3804643083"/>
      <w:bookmarkStart w:id="192" w:name="_Toc76"/>
      <w:bookmarkEnd w:id="191"/>
      <w:r>
        <w:rPr>
          <w:rtl w:val="true"/>
        </w:rPr>
        <w:t>الجهة الرابعة من الکلام فی فقه الحدیث و الأقوال فیه متفاوتة و الآراء مختلفة</w:t>
      </w:r>
      <w:r>
        <w:rPr>
          <w:rtl w:val="true"/>
        </w:rPr>
        <w:t>:</w:t>
      </w:r>
      <w:bookmarkEnd w:id="192"/>
    </w:p>
    <w:p>
      <w:pPr>
        <w:pStyle w:val="Heading5"/>
        <w:numPr>
          <w:ilvl w:val="4"/>
          <w:numId w:val="1"/>
        </w:numPr>
        <w:rPr/>
      </w:pPr>
      <w:bookmarkStart w:id="193" w:name="__RefHeading___Toc2825993_3804643083"/>
      <w:bookmarkStart w:id="194" w:name="_Toc77"/>
      <w:bookmarkEnd w:id="193"/>
      <w:r>
        <w:rPr>
          <w:rtl w:val="true"/>
        </w:rPr>
        <w:t>الأول</w:t>
      </w:r>
      <w:r>
        <w:rPr>
          <w:rtl w:val="true"/>
        </w:rPr>
        <w:t xml:space="preserve">: </w:t>
      </w:r>
      <w:r>
        <w:rPr>
          <w:rtl w:val="true"/>
        </w:rPr>
        <w:t>ما أفاده الشیخ الأعظم الأنصاری قدس سره و اختاره الأستاذ دام ظلّه</w:t>
      </w:r>
      <w:r>
        <w:rPr>
          <w:rtl w:val="true"/>
        </w:rPr>
        <w:t>:</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المراد نفی الحکم الناشی من قبله الضرر فیکون الضرر عنوانا للحکم لکونه معلولا له فی مقام الامتثال، فکل حکم موجب لوقوع العبد المطیع فی الضرر فهو مرتفع فی عالم التشریع و أما العبد العاصی فهو لا یتضرّر بجعل أیّ حکم من الأحکام لعدم امتثاله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مفاد نفی الضرر فی عالم التشریع هو نفی الحکم الضرری کما ان مفاد نفی الحرج فی عالم التشریع هو نفی الحکم الحرجی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الحدیث الشریف دالّا علی نفی جعل الحکم الضرری سواء کان الضرر ناشئا من نفی الحکم کلزوم البیع المشتمل علی الغبن أو ناشئا من متعلّقه کالوضوء الموجب للضرر، فاللزوم مرتفع فی الأول و الوجوب فی الثانی</w:t>
      </w:r>
      <w:r>
        <w:rPr>
          <w:rStyle w:val="FootnoteAnchor"/>
          <w:rtl w:val="true"/>
        </w:rPr>
        <w:footnoteReference w:id="132"/>
      </w:r>
      <w:r>
        <w:rPr>
          <w:rFonts w:ascii="IRNazanin" w:hAnsi="IRNazanin" w:eastAsia="IRNazanin"/>
          <w:color w:val="111111"/>
          <w:sz w:val="28"/>
          <w:sz w:val="28"/>
          <w:szCs w:val="28"/>
          <w:rtl w:val="true"/>
          <w:lang w:bidi="fa-IR"/>
        </w:rPr>
        <w:t>و خلاصة المدّعی ان نفی الضرر معناه نفی الحکم</w:t>
      </w:r>
    </w:p>
    <w:p>
      <w:pPr>
        <w:pStyle w:val="BookText"/>
        <w:rPr/>
      </w:pPr>
      <w:r>
        <w:rPr>
          <w:rFonts w:ascii="IRNazanin" w:hAnsi="IRNazanin" w:eastAsia="IRNazanin"/>
          <w:color w:val="111111"/>
          <w:sz w:val="28"/>
          <w:sz w:val="28"/>
          <w:szCs w:val="28"/>
          <w:rtl w:val="true"/>
          <w:lang w:bidi="fa-IR"/>
        </w:rPr>
        <w:t>الضرری فی عالم التشریع کما ان نفی الحرج معناه نفی الحکم الحرجی فی عالم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فی بعض الکلمات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النفی و الرفع راجعان الی التکوین و عالم التشریع و وعائه أمر اعتباریّ فلا معنی لنفی الضرر فی عالم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خلاف الواقع فان الاعتبار واقعیّ قائم بنفس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المعتبر بالفتح لیس أمر واقعیّا فعالم الشرع أمر واقعیّ، و نظیره عالم القانون فی الحکومات و بعبارة أخری ان الرفع التکوینی رفع عن الوعاء التکوینی و الرفع التشریعی رفع عن الوعاء التشریعی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یرد علی الشیخ و الأستاذ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قیاس المقام بلا حرج قیاس مع الفارق فان أدلّة نفی الحرج قد ذکر فی بعضها کلمة فی الدین،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بخلاف المقام فانه لم یثبت لنا وصول کلمة فی الإسلام باعتراف الاستاذ دام ظلّه، فلا دلیل علی التقیید بهذا الذیل و التقیید خلاف الأصل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سبب للضرر فیکون الحکم ضرریّا لا</w:t>
      </w:r>
      <w:bookmarkStart w:id="195" w:name="pg2364_24200"/>
    </w:p>
    <w:p>
      <w:pPr>
        <w:pStyle w:val="BookText"/>
        <w:rPr/>
      </w:pPr>
      <w:bookmarkEnd w:id="195"/>
      <w:r>
        <w:rPr>
          <w:rFonts w:ascii="IRNazanin" w:hAnsi="IRNazanin" w:eastAsia="IRNazanin"/>
          <w:color w:val="111111"/>
          <w:sz w:val="28"/>
          <w:sz w:val="28"/>
          <w:szCs w:val="28"/>
          <w:rtl w:val="true"/>
          <w:lang w:bidi="fa-IR"/>
        </w:rPr>
        <w:t>نفس الضرر و ارادة السبب من المسبّب خلاف الظاهر و یحتاج الی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صونا لکلام الحکیم عن اللغویّة یحمل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یکون الأمر منحصرا فیه، و المقام لیس کذلک کما سیظهر إن شاء اللّه تعالی و العجب ان الأستاذ یعترف صریحا فی مقام الاشکال علی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اطلاق السبب و ارادة المسبب منه و لکن اطلاق المسبب و ارادة السبب منه خلاف الظاهر لا یصار الیه الّا بالقرینة القطعیّة</w:t>
      </w:r>
      <w:r>
        <w:rPr>
          <w:rStyle w:val="FootnoteAnchor"/>
          <w:rtl w:val="true"/>
        </w:rPr>
        <w:footnoteReference w:id="134"/>
      </w:r>
      <w:r>
        <w:rPr>
          <w:rFonts w:ascii="IRNazanin" w:hAnsi="IRNazanin" w:eastAsia="IRNazanin"/>
          <w:color w:val="111111"/>
          <w:sz w:val="28"/>
          <w:sz w:val="28"/>
          <w:szCs w:val="28"/>
          <w:rtl w:val="true"/>
          <w:lang w:bidi="fa-IR"/>
        </w:rPr>
        <w:t>و الحال ان المقام کذلک</w:t>
      </w:r>
      <w:r>
        <w:rPr>
          <w:rFonts w:eastAsia="IRNazanin" w:cs="IRNazanin"/>
          <w:color w:val="111111"/>
          <w:sz w:val="28"/>
          <w:szCs w:val="28"/>
          <w:rtl w:val="true"/>
          <w:lang w:bidi="fa-IR"/>
        </w:rPr>
        <w:t>.</w:t>
      </w:r>
    </w:p>
    <w:p>
      <w:pPr>
        <w:pStyle w:val="Heading5"/>
        <w:numPr>
          <w:ilvl w:val="4"/>
          <w:numId w:val="1"/>
        </w:numPr>
        <w:rPr/>
      </w:pPr>
      <w:bookmarkStart w:id="196" w:name="__RefHeading___Toc2825995_3804643083"/>
      <w:bookmarkStart w:id="197" w:name="_Toc78"/>
      <w:bookmarkEnd w:id="196"/>
      <w:r>
        <w:rPr>
          <w:rtl w:val="true"/>
        </w:rPr>
        <w:t>الثانی</w:t>
      </w:r>
      <w:r>
        <w:rPr>
          <w:rtl w:val="true"/>
        </w:rPr>
        <w:t xml:space="preserve">: </w:t>
      </w:r>
      <w:r>
        <w:rPr>
          <w:rtl w:val="true"/>
        </w:rPr>
        <w:t>ما اختاره صاحب الکفایة و هو انه نفی للحکم بلسان نفی الموضوع</w:t>
      </w:r>
      <w:bookmarkEnd w:id="19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لأربابین الوالد و الولد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فیکون الوضوء الضرری غیر واجب و الحکومة واقعیة، و الفرق بین هذا القول و سابقه ان الأمر الضرری مرفوع فی الشریعة فلو کان الضرر ناشئا من حکم العقل کموارد الاحتیاط فلا یرتفع بهذا التقریب و بعبارة أخری فرق بین 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الناشی منه الضرر مرفوع و بین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الضرری لا حکم 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الفعل الموجب للضرر کالوضوء لیس ضررا بل ضرریّا و بعبارة أخری الفعل یکون سببا للضرر فلا یکون الضرر عنوانا للفعل، و ارادة الفعل الذی هو ضرریّ من لفظ الضرر و الضرار خلاف الظاهر لا یصار الیه الّا مع القرینة فمعنی رفع الضرر یکون رفع حکمه الثابت له و حکمه الحرمة فیکون مفاد الحدیث رفع حرمة الاضرار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لفظ الاضرار موجودا فی الحدیث لکان لهذا البیان وجه، اذ لیس نفس الضرر له حکم فان متعلق الحکم الفعل، و المعنی المصدریّ لا الحاصل من المصدر الذی یعبّر عنه باسم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الضرر بالنسبة الی الحکم المترتّب علیه موضوع و مقتض لترتبه علیه فکیف یعقل أن یکون مانعا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مقتض للحرمة فکیف یمکن أن یکون مانعا عنه؟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بین الوالد و الولد یقتضی الارتفاع، و ان شئت قلت یخصّص دلیل الحرمة بهذا المخصّص و لکن فی المقام یرجع الأمر الی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المنفی الفعل الضرری لکان هذا التقریب صحیحا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لأربابین الوالد و الولد فما یکون قابلا لیس واقعا فی الحدیث و ما یکون واقعا فیه لا یعقل فیه 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فقرات حدیث الرفع فان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الحکم بلسان نفی الموضوع؟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تحقّق الخطأ قطعیّ فرفعه رفعی تشریعیّ و حیث انه لا یمکن رفع حکمه لأوله الی الخلف، فلا بدّ من الالتزام بأن المراد رفع حکم الفعل الناشی من الخطأ و یرتفع حکمه الثابت له بعنوانه الأوّلی و مع قطع النظر عن عروض عنوان الخطأ و کذلک النسیان أضف الی جمیع ذلک ان تطبیق الامام الحدیث علی الموارد المخصوصة یوجب فهم المراد من الروایة ففی روایة صفوان بن یحیی و احمد بن محمد بن أبی نصر عن أبی الحسن علیه السلام فی الرجل یستکره علی الیمین فحلف بالطلاق و العتاق و صدقة ما یملک أ یلزمه ذلک؟ فقال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أمّتی ما أکرهوا علیه و ما لم یطیقوا و ما أخطئوا</w:t>
      </w:r>
      <w:r>
        <w:rPr>
          <w:rStyle w:val="FootnoteAnchor"/>
          <w:rtl w:val="true"/>
        </w:rPr>
        <w:footnoteReference w:id="137"/>
      </w:r>
      <w:r>
        <w:rPr>
          <w:rFonts w:ascii="IRNazanin" w:hAnsi="IRNazanin" w:eastAsia="IRNazanin"/>
          <w:color w:val="111111"/>
          <w:sz w:val="28"/>
          <w:sz w:val="28"/>
          <w:szCs w:val="28"/>
          <w:rtl w:val="true"/>
          <w:lang w:bidi="fa-IR"/>
        </w:rPr>
        <w:t>فانه علیه السلام حکم بعدم التأثیر مستشهدا بحدیث الرفع</w:t>
      </w:r>
      <w:r>
        <w:rPr>
          <w:rFonts w:eastAsia="IRNazanin" w:cs="IRNazanin"/>
          <w:color w:val="111111"/>
          <w:sz w:val="28"/>
          <w:szCs w:val="28"/>
          <w:rtl w:val="true"/>
          <w:lang w:bidi="fa-IR"/>
        </w:rPr>
        <w:t>.</w:t>
      </w:r>
      <w:bookmarkStart w:id="198" w:name="pg2364_24203"/>
    </w:p>
    <w:p>
      <w:pPr>
        <w:pStyle w:val="BookText"/>
        <w:rPr/>
      </w:pPr>
      <w:bookmarkEnd w:id="198"/>
      <w:r>
        <w:rPr>
          <w:rFonts w:ascii="IRNazanin" w:hAnsi="IRNazanin" w:eastAsia="IRNazanin"/>
          <w:color w:val="111111"/>
          <w:sz w:val="28"/>
          <w:sz w:val="28"/>
          <w:szCs w:val="28"/>
          <w:rtl w:val="true"/>
          <w:lang w:bidi="fa-IR"/>
        </w:rPr>
        <w:t>مضافا الی جمیع ذلک انه یصحّ اطلاق السبب علی المسبّب من غیر عکسه، فان الثانی علی ما یدّعی الأستاذ خلاف الظاهر لا یصار الیه الّا بالقرینة القطعیّة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ننقل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الی وجود الشمس و الحال ان النهار معلول للشمس؟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دلالة التزامیة و فرق بین الاستعمال و بین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بأن المراد نفی الأحکام الثابتة للمذکورات فی الأمم السابقة کما یظهر من قوله رفع عن أمتی و لا یرد بأنه کیف یمکن ثبوت الحکم للخطأ؟</w:t>
      </w:r>
    </w:p>
    <w:p>
      <w:pPr>
        <w:pStyle w:val="BookText"/>
        <w:rPr/>
      </w:pPr>
      <w:r>
        <w:rPr>
          <w:rFonts w:ascii="IRNazanin" w:hAnsi="IRNazanin" w:eastAsia="IRNazanin"/>
          <w:color w:val="111111"/>
          <w:sz w:val="28"/>
          <w:sz w:val="28"/>
          <w:szCs w:val="28"/>
          <w:rtl w:val="true"/>
          <w:lang w:bidi="fa-IR"/>
        </w:rPr>
        <w:t>فانه یمکن المؤاخذة علی الخطأ و النسیان بلحاظ التقصیر فی المقدمات کما نقول بالنسبة الی الجاهل المقصّر الذی أوجب التقصیر منه بترکه التعلّم الوقوع فی خلاف المقرّر الشرعی</w:t>
      </w:r>
      <w:r>
        <w:rPr>
          <w:rFonts w:eastAsia="IRNazanin" w:cs="IRNazanin"/>
          <w:color w:val="111111"/>
          <w:sz w:val="28"/>
          <w:szCs w:val="28"/>
          <w:rtl w:val="true"/>
          <w:lang w:bidi="fa-IR"/>
        </w:rPr>
        <w:t>.</w:t>
      </w:r>
    </w:p>
    <w:p>
      <w:pPr>
        <w:pStyle w:val="Heading5"/>
        <w:numPr>
          <w:ilvl w:val="4"/>
          <w:numId w:val="1"/>
        </w:numPr>
        <w:rPr/>
      </w:pPr>
      <w:bookmarkStart w:id="199" w:name="__RefHeading___Toc2825997_3804643083"/>
      <w:bookmarkStart w:id="200" w:name="_Toc79"/>
      <w:bookmarkEnd w:id="199"/>
      <w:r>
        <w:rPr>
          <w:rtl w:val="true"/>
        </w:rPr>
        <w:t>الثالث</w:t>
      </w:r>
      <w:r>
        <w:rPr>
          <w:rtl w:val="true"/>
        </w:rPr>
        <w:t xml:space="preserve">: </w:t>
      </w:r>
      <w:r>
        <w:rPr>
          <w:rtl w:val="true"/>
        </w:rPr>
        <w:t>أن یکون المراد من الضرر غیر المتدارک منه</w:t>
      </w:r>
      <w:bookmarkEnd w:id="200"/>
    </w:p>
    <w:p>
      <w:pPr>
        <w:pStyle w:val="BookText"/>
        <w:rPr/>
      </w:pPr>
      <w:r>
        <w:rPr>
          <w:rFonts w:ascii="IRNazanin" w:hAnsi="IRNazanin" w:eastAsia="IRNazanin"/>
          <w:color w:val="111111"/>
          <w:sz w:val="28"/>
          <w:sz w:val="28"/>
          <w:szCs w:val="28"/>
          <w:rtl w:val="true"/>
          <w:lang w:bidi="fa-IR"/>
        </w:rPr>
        <w:t>فان کل ضرر متدارک لیس بضرر، فمعنی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ضرر غیر متدارک مرفوع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تقیید فی الدلیل و هو خلاف</w:t>
      </w:r>
    </w:p>
    <w:p>
      <w:pPr>
        <w:pStyle w:val="BookText"/>
        <w:rPr/>
      </w:pPr>
      <w:r>
        <w:rPr>
          <w:rFonts w:ascii="IRNazanin" w:hAnsi="IRNazanin" w:eastAsia="IRNazanin"/>
          <w:color w:val="111111"/>
          <w:sz w:val="28"/>
          <w:sz w:val="28"/>
          <w:szCs w:val="28"/>
          <w:rtl w:val="true"/>
          <w:lang w:bidi="fa-IR"/>
        </w:rPr>
        <w:t>الأصل، و یحتاج الی قرینة مفقودة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التدارک الموجب لانتفاء الضرر هل هو تدارک خارجیّ تکوینی أو تدارک فی وعاء الشرعی؟</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 الواقع، لأن الضرر غیر المتدارک فی الخارج کثیر غایة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 ظاهر الدلیل، فانه لیس فی الدلیل قید فی الشرع کما حقّقناه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بأنه ما المراد من التدارک؟ فهل المقصود منه التدارک الأخروی بمعنی ان الشارع فی الآخرة یعطی الثواب لمن تضرّر فی الدنیا فیکون مثل الروایات الواردة ان للوالدین ثواب و أجر فی موت الأولاد</w:t>
      </w:r>
      <w:r>
        <w:rPr>
          <w:rStyle w:val="FootnoteAnchor"/>
          <w:rtl w:val="true"/>
        </w:rPr>
        <w:footnoteReference w:id="139"/>
      </w:r>
      <w:r>
        <w:rPr>
          <w:rFonts w:ascii="IRNazanin" w:hAnsi="IRNazanin" w:eastAsia="IRNazanin"/>
          <w:color w:val="111111"/>
          <w:sz w:val="28"/>
          <w:sz w:val="28"/>
          <w:szCs w:val="28"/>
          <w:rtl w:val="true"/>
          <w:lang w:bidi="fa-IR"/>
        </w:rPr>
        <w:t>و غیرها من الروایات التی أثبت ثوابا علی عمل فی الآخرة أو المراد منه التدارک الدنیوی فان کان المراد منه هو الأول، فهذا، و ان کان أمرا معقولا فی نفسه، و لکن لا أظنّ أحدا حتی القائل بهذه المقالة یرتضی بهذا، فانه لا تأثیر له فی الأحکام الشرعیّة، لأنه خلاف الظاهر، فان الظاهر من الدلیل ان الشارع فی مقام التشریع لا فی تسلیة المتضرّر فلیکن المراد هو المعنی الثانی بمعنی ان الشارع أمر بتدارک الضرر الواقع فی</w:t>
      </w:r>
    </w:p>
    <w:p>
      <w:pPr>
        <w:pStyle w:val="BookText"/>
        <w:rPr/>
      </w:pPr>
      <w:r>
        <w:rPr>
          <w:rFonts w:ascii="IRNazanin" w:hAnsi="IRNazanin" w:eastAsia="IRNazanin"/>
          <w:color w:val="111111"/>
          <w:sz w:val="28"/>
          <w:sz w:val="28"/>
          <w:szCs w:val="28"/>
          <w:rtl w:val="true"/>
          <w:lang w:bidi="fa-IR"/>
        </w:rPr>
        <w:t>الخارج فلو أتلف مال غیره أو قتل شخصا، فالشارع أمر بالضمان و القصاص و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التدارک موجب لرفع الضرر أو الحکم بالتدارک من المعلوم ان الحکم به لا یوجب رفع الضرر، بل التدارک الخارجی، و من الواضح ان الشارع أمر بالتدارک و کثیر ما لا یتدارک الضرر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فرضنا ان فی الخارج یتدارک الضرر بردّ مثله أو قیمته أو غیر ذلک و لکن مع ذلک یصدق أیضا انه متضرّرا لیس ان من سرق متاعه متضرّر بالوجدان و لو مع اعطاء عوضه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أقسام الضرر لیس قابلا للتدارک کما اذا قتل رجلا و حکم الشارع بالقصاص فاقتصّ منه ولی الدم فهل قتل الرجل المقتول و فنائه یتدارک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کل ضرر خارجیّ ممّا حکم الشارع بتدارکه تکلیفا أو وضعا، فانه لو تضرّر أحد بحرق داره أو غرق متاعه فهل یجب علی أحد أن یتدارکه؟</w:t>
      </w:r>
    </w:p>
    <w:p>
      <w:p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بعض الموارد ینجر التدارک الی الحرام کما اذا أهان زید عمرا و هتک عرضه، فهل یمکن القول بجواز التدارک فی هذه الموارد علی الاطلاق؟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ان هذا الدلیل ناظر الی الأحکام</w:t>
      </w:r>
      <w:bookmarkStart w:id="201" w:name="pg2364_24206"/>
    </w:p>
    <w:p>
      <w:pPr>
        <w:pStyle w:val="BookText"/>
        <w:rPr/>
      </w:pPr>
      <w:bookmarkEnd w:id="201"/>
      <w:r>
        <w:rPr>
          <w:rFonts w:ascii="IRNazanin" w:hAnsi="IRNazanin" w:eastAsia="IRNazanin"/>
          <w:color w:val="111111"/>
          <w:sz w:val="28"/>
          <w:sz w:val="28"/>
          <w:szCs w:val="28"/>
          <w:rtl w:val="true"/>
          <w:lang w:bidi="fa-IR"/>
        </w:rPr>
        <w:t>المجعولة فی الشریعة بأدلتها کحکم القصاص و الضمان أو یکون ناظرا الی تأسیس حکم فی قبال بقیّة الأحکام، اما علی الأول فلا أثر لوجوده و لا یثبت شیئا، و الظاهر ان القائل لا یلتزم بهذا التلازم الباطل، و أما علی الثانی فنسأل من مفاده و ملخص الکلام ان بطلان هذا الوجه أوضح من أن یخفی</w:t>
      </w:r>
      <w:r>
        <w:rPr>
          <w:rFonts w:eastAsia="IRNazanin" w:cs="IRNazanin"/>
          <w:color w:val="111111"/>
          <w:sz w:val="28"/>
          <w:szCs w:val="28"/>
          <w:rtl w:val="true"/>
          <w:lang w:bidi="fa-IR"/>
        </w:rPr>
        <w:t>.</w:t>
      </w:r>
    </w:p>
    <w:p>
      <w:pPr>
        <w:pStyle w:val="Heading5"/>
        <w:numPr>
          <w:ilvl w:val="4"/>
          <w:numId w:val="1"/>
        </w:numPr>
        <w:rPr/>
      </w:pPr>
      <w:bookmarkStart w:id="202" w:name="__RefHeading___Toc2825999_3804643083"/>
      <w:bookmarkStart w:id="203" w:name="_Toc80"/>
      <w:bookmarkEnd w:id="202"/>
      <w:r>
        <w:rPr>
          <w:rtl w:val="true"/>
        </w:rPr>
        <w:t>الرابع</w:t>
      </w:r>
      <w:r>
        <w:rPr>
          <w:rtl w:val="true"/>
        </w:rPr>
        <w:t xml:space="preserve">: </w:t>
      </w:r>
      <w:r>
        <w:rPr>
          <w:rtl w:val="true"/>
        </w:rPr>
        <w:t>ما ذکره بعض المعاصرین</w:t>
      </w:r>
      <w:bookmarkEnd w:id="203"/>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النبوّة و هو بما انه نبیّ یبیّن الأحکام الواقعیّة و الظاهریّة و فی هذا المنصب لا فرق بینه و بین المجتهد فانّ کلیهما یبیّنان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القضاوة و فصل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السلطنة و الرئاسة من قبل اللّه، فانه صلی اللّه علیه و آله سلطان الأمة و رئیسها، فاذا رأی مصلحة فی شی‌ء یأمر به کما انه یمکن أن یری فی شی‌ء مفسدة فینهی عنه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ورد فی قضیّة سمرة بن جندب لیس من قبیل الأول، لأنه عبّر فی روایة عبادة بن صامت عن طریق العامة بلفظة 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قبیل الثانی أیضا، لاشتراط</w:t>
      </w:r>
    </w:p>
    <w:p>
      <w:pPr>
        <w:pStyle w:val="BookText"/>
        <w:rPr/>
      </w:pPr>
      <w:r>
        <w:rPr>
          <w:rFonts w:ascii="IRNazanin" w:hAnsi="IRNazanin" w:eastAsia="IRNazanin"/>
          <w:color w:val="111111"/>
          <w:sz w:val="28"/>
          <w:sz w:val="28"/>
          <w:szCs w:val="28"/>
          <w:rtl w:val="true"/>
          <w:lang w:bidi="fa-IR"/>
        </w:rPr>
        <w:t>النزاع و المدّعی و المنکر فی القضاوة و فصل الخصومة، و من المعلوم انه لم یکن بین سمرة و الأنصاری اختلاف، بل انما کان ذلک تظلما من الأنصاری، اذ کلاهما یعلمان الحکم الشرعی و لا یحتاج الی الترافع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یتعیّن الثالث فحکمه فی المقام سلطانیّ فانه رئیس الأمة و قائدها و قد حکم بقلع الشجرة لما یراه فیه من المصلحة و 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یضر أحد أحدا فی حمی سلطانی و حوزه رعیتی و یجب علی الأمة الاطاعة لا بما انه حکم من اللّه، بل بما انه حکم صدر عن سلطان مفترض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قیاس المجتهد بالنبی و الأئمّة علیهم صلوات اللّه مع الفارق، فان المجتهد بحسب اجتهاده یستنبط الأحکام و یخبر بها، و لذا ربّما یکون استنباطه مخالفا مع الحکم الواقعی و أما النّبیّ فهو عالم بواقع الأحکام و مشرع الحکم من قبل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النّبیّ و الأئمة عدل القرآن کما یظهر من حدیث الثقلین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الدلیل علی اختصاص القضاوة و فصل الخصومة بالمورد المذکور، فان النزاع و الاحتیاج الی القضاوة بین الأفراد قد ینشأ من الجهل بالحکم، و قد یکون من</w:t>
      </w:r>
    </w:p>
    <w:p>
      <w:pPr>
        <w:pStyle w:val="BookText"/>
        <w:rPr/>
      </w:pPr>
      <w:r>
        <w:rPr>
          <w:rFonts w:ascii="IRNazanin" w:hAnsi="IRNazanin" w:eastAsia="IRNazanin"/>
          <w:color w:val="111111"/>
          <w:sz w:val="28"/>
          <w:sz w:val="28"/>
          <w:szCs w:val="28"/>
          <w:rtl w:val="true"/>
          <w:lang w:bidi="fa-IR"/>
        </w:rPr>
        <w:t>ناحیة الجهل بالموضوع و ثالثة من ناحیة ظلم أحد بغیره، مضافا الی انه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بعض نصوص المقام أن سمرة کان یری نفسه ذا حق فی الدخول بلا اذن من الأنصاری فیکون مصداقا للترافع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استشهاده بقوله قضی فی روایة عبادة بن صامت یرد علیه أولا بأن الروایة ضعیفة سندا، و ثانیا ینافی ما رامه حیث ان المستفاد من الروایة انه حکم قضائی لا حکم 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بأن الکبری لا تنطبق علی الصغری، فانّ منشأ الضرر کان دخول سمرة فی البستان بدون اذن الأنصاری لا کون النخلة و العذق فی 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نسأل ما المراد من الحکم السلطانی؟</w:t>
      </w:r>
    </w:p>
    <w:p>
      <w:pPr>
        <w:pStyle w:val="BookText"/>
        <w:rPr/>
      </w:pPr>
      <w:r>
        <w:rPr>
          <w:rFonts w:ascii="IRNazanin" w:hAnsi="IRNazanin" w:eastAsia="IRNazanin"/>
          <w:color w:val="111111"/>
          <w:sz w:val="28"/>
          <w:sz w:val="28"/>
          <w:szCs w:val="28"/>
          <w:rtl w:val="true"/>
          <w:lang w:bidi="fa-IR"/>
        </w:rPr>
        <w:t>فان الولی قد یحکم فی قضیة خاصة کعزل زید و نصب بکر، فهذا حکم سلطانی ثانوی، و قد ینشأ حکما عاما یدور مدار القرون و الأعصار الآتیة، و هذا لا معنی للحکم السلطانی فیه لأنه امّا أن یکون بجعل من اللّه تعالی کلیّا أو لا یکون کذلک، بل کان بدون اذنه و جعله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یتفوّه به أحد لأنه لا یَنْطِقُ عَنِ الْهَوی إِنْ هُوَ إِلَّا وَحْیٌ یُوحی</w:t>
      </w:r>
      <w:r>
        <w:rPr>
          <w:rStyle w:val="FootnoteAnchor"/>
          <w:rtl w:val="true"/>
        </w:rPr>
        <w:footnoteReference w:id="140"/>
      </w: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بجعل من</w:t>
      </w:r>
      <w:bookmarkStart w:id="204" w:name="pg2364_24209"/>
    </w:p>
    <w:p>
      <w:pPr>
        <w:pStyle w:val="BookText"/>
        <w:rPr/>
      </w:pPr>
      <w:bookmarkEnd w:id="204"/>
      <w:r>
        <w:rPr>
          <w:rFonts w:ascii="IRNazanin" w:hAnsi="IRNazanin" w:eastAsia="IRNazanin"/>
          <w:color w:val="111111"/>
          <w:sz w:val="28"/>
          <w:sz w:val="28"/>
          <w:szCs w:val="28"/>
          <w:rtl w:val="true"/>
          <w:lang w:bidi="fa-IR"/>
        </w:rPr>
        <w:t>اللّه بنحو الکلّی فوزانه وزان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و أضرابه فلا یکون سلطانیّا ثانویّا، بل جعل للحکم الی الأبد، أضف الی ذلک کلّه انه ما أفید لیس وجها آخر فی قبال بقیّة الوجوه بل عبارة عمّا أفاده الشیخ الشریعة</w:t>
      </w:r>
      <w:r>
        <w:rPr>
          <w:rFonts w:eastAsia="IRNazanin" w:cs="IRNazanin"/>
          <w:color w:val="111111"/>
          <w:sz w:val="28"/>
          <w:szCs w:val="28"/>
          <w:rtl w:val="true"/>
          <w:lang w:bidi="fa-IR"/>
        </w:rPr>
        <w:t>.</w:t>
      </w:r>
    </w:p>
    <w:p>
      <w:pPr>
        <w:pStyle w:val="Heading5"/>
        <w:numPr>
          <w:ilvl w:val="4"/>
          <w:numId w:val="1"/>
        </w:numPr>
        <w:rPr/>
      </w:pPr>
      <w:bookmarkStart w:id="205" w:name="__RefHeading___Toc2826001_3804643083"/>
      <w:bookmarkStart w:id="206" w:name="_Toc81"/>
      <w:bookmarkEnd w:id="205"/>
      <w:r>
        <w:rPr>
          <w:rtl w:val="true"/>
        </w:rPr>
        <w:t>الخامس</w:t>
      </w:r>
      <w:r>
        <w:rPr>
          <w:rtl w:val="true"/>
        </w:rPr>
        <w:t xml:space="preserve">: </w:t>
      </w:r>
      <w:r>
        <w:rPr>
          <w:rtl w:val="true"/>
        </w:rPr>
        <w:t>ما أصرّ علیه و اختاره الشیخ الشریعة الاصبهانی قدس سرّه</w:t>
      </w:r>
      <w:bookmarkEnd w:id="206"/>
    </w:p>
    <w:p>
      <w:pPr>
        <w:pStyle w:val="BookText"/>
        <w:rPr/>
      </w:pPr>
      <w:r>
        <w:rPr>
          <w:rFonts w:ascii="Amiri" w:hAnsi="Amiri" w:eastAsia="Amiri" w:cs="Amiri"/>
          <w:color w:val="111111"/>
          <w:sz w:val="28"/>
          <w:sz w:val="28"/>
          <w:szCs w:val="28"/>
          <w:rtl w:val="true"/>
          <w:lang w:bidi="ar-SA"/>
        </w:rPr>
        <w:t>من أن یکون الکلام نفیا أرید به النهی بمنزلة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 لا فُسُوقَ</w:t>
      </w:r>
      <w:r>
        <w:rPr>
          <w:rStyle w:val="FootnoteAnchor"/>
          <w:rtl w:val="true"/>
        </w:rPr>
        <w:footnoteReference w:id="141"/>
      </w:r>
      <w:r>
        <w:rPr>
          <w:rFonts w:ascii="IRNazanin" w:hAnsi="IRNazanin" w:eastAsia="IRNazanin"/>
          <w:color w:val="111111"/>
          <w:sz w:val="28"/>
          <w:sz w:val="28"/>
          <w:szCs w:val="28"/>
          <w:rtl w:val="true"/>
          <w:lang w:bidi="fa-IR"/>
        </w:rPr>
        <w:t>فمعناه لا یضر أحد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الأستاذ دام ظله بأن حمل النفی علی النهی یتوقّف علی وجود قرینة صارفة عن ظهور الجملة فی کونها خبریّة کما هی ثابتة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 لا فُسُوقَ، فان العلم بوجود هذه الأمور فی الخارج مع العلم بعدم جواز الکذب علی اللّه سبحانه و تعالی قرینة قطعیّة علی ارادة النهی و أما المقام فلا موجب لرفع الید عن الظهور و حمل النفی علی النهی لإمکان حمل القضیة علی الخبریّة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ما تلوناه علیک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أنّ الظواهر فی باب الألفاظ حجة و محکمة و هی المرجع عند الشک، فالظواهر حجّة ما لم یکن رادع و صارف قطعیّ و ظاهر قوله</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 ابن بکیر نفی الضرر و الضرار علی ما تقدم من معنیهما، و ظاهر نفیهما کسائر الجملات الخبریّة نفیها عن وعاء الخارج فان النفی بلحاظ وعاء آخر غیر الخارج خلاف ظاهر الکلام لا یصار الیه الّا مع القرینة، و حیث ان الشارع بما هو شارع لیس شأنه الاخبار اثباتا و نفیا عن الأمور الخارجیّة بل شأنه إنشاء الأحکام هذا من ناحیة و من ناحیة أخری لو کان هذا النفی بلحاظ الخارج یکون خلاف الواقع و کذبا لوقوع الضرر و الضرار فی الخارج کثیرا و المورد منها فان سمرة بن جندب کان یضار الأنصاری علی الدوام بدخوله البستان بلا اذن منه، فالنفی بلحاظ الخارج لا ینطبق علی المورد فتحمل الجملة علی الانشاء بلا تصرف فی شی‌ء من کلمات الجملة و ألفاظها، و لا أقول یرید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و لا تضارّ، کی یقال بأن هذا الاستعمال استعمال غیر متعارف، و یرد فیه ما أورد الأستاذ علی الشیخ الشریعة بل الجملة استعملت فی معناها غایة الأمر الداعی للاستعمال هو الزجر و لإیضاح المقصود، و المراد لا بدّ من بیان معنی الخبر و الانشاء اجمالا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صیغة الأمر وضعت الافهام ان المتکلم فی مقام ابراز الاعتبار، فان الواضع تعهّد بأنه کلما تلفّظ بقوله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 مثلا یبرز اعتباره النفسانی الصلاة فی ذمة المکلف و الداعی</w:t>
      </w:r>
    </w:p>
    <w:p>
      <w:pPr>
        <w:pStyle w:val="BookText"/>
        <w:rPr/>
      </w:pPr>
      <w:r>
        <w:rPr>
          <w:rFonts w:ascii="IRNazanin" w:hAnsi="IRNazanin" w:eastAsia="IRNazanin"/>
          <w:color w:val="111111"/>
          <w:sz w:val="28"/>
          <w:sz w:val="28"/>
          <w:szCs w:val="28"/>
          <w:rtl w:val="true"/>
          <w:lang w:bidi="fa-IR"/>
        </w:rPr>
        <w:t xml:space="preserve">لهذا الاستعمال یختلف فقد یکون الداعی بعث المکلف نحو الصلاة و أخری امتحانه و ثالثة و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لا یکون الاستعمال مجازیّا، بل استعمال حقیقی فی جمیع الموارد، غایة الأمر ان الظهور الاطلاقی یقتضی أن یکون الداعی هو البعث، و مرّ تفصیل الکلام فی بحث صیغة الأمر بما لا مزید علیه، فراجع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حال صیغة الأمر کذلک فقس علیها الجمل الاخباریّة فان الواضع تعهّد بأنه کلما أراد ابرازه للمخاطب بانی فی مقام الاخبار عن عدم الضرر و الضرار فی الخارج أتکلم بهذه الجملة و الدواعی لهذا الابراز مختلفة غایة الأمر ان مقتضی الاطلاق أن یکون داعیه الاخبار عن نفی هذه الحقیقة کما ان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 نفی هذا الجنس، و الاخبار بعدمه فی الدار و حیث ان هذا الحمل فی المقام ممّا لا یمکن و من جانب آخر مقام الشارع یقتضی الانشاء مضافا الی مورد ورود الجملة نفهم بمناسبة الحکم و الموضوع و قرینة مقام التطبیق ان داعیه لهذا الاخبار الزجر عن الاضرار و الضرار و یکون المناسبة موجودة بأشدّها، اذ نعلم ان الشارع المقدّس یبغض الاضرار و الایذاء، و قد ورد النهی عنه فی موارد عدیدة بتعبیرات مختلفة، کما مرّت علیک جملة منها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فکان الشارع لشدّة مبغوضیة هذا الأمر یخبر عن عدمه فی الخارج کما یکون نظیره فی جانب البعث، فان قوله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و یتوضّأ و أضرا بهما اکد فی البعث کما هو مورد تسالم الأعلام و منهم الأستاذ و أیّ فرق بین المقامین</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الجملة الفعلیّة و الاسمیّة و ما ذکرته من المثال جملة فعلیّة و المقام لیس کذلک فانه جملة اسمیّة؟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لا ینحصر فی الجملة الفعلیة بل اثبات الحکم أرید من الجملة الاسمیة أیضا، کقوله المسلمون عند شروطهم</w:t>
      </w:r>
      <w:r>
        <w:rPr>
          <w:rStyle w:val="FootnoteAnchor"/>
          <w:rtl w:val="true"/>
        </w:rPr>
        <w:footnoteReference w:id="144"/>
      </w:r>
      <w:r>
        <w:rPr>
          <w:rFonts w:ascii="IRNazanin" w:hAnsi="IRNazanin" w:eastAsia="IRNazanin"/>
          <w:color w:val="111111"/>
          <w:sz w:val="28"/>
          <w:sz w:val="28"/>
          <w:szCs w:val="28"/>
          <w:rtl w:val="true"/>
          <w:lang w:bidi="fa-IR"/>
        </w:rPr>
        <w:t>وعدة المؤمن دینه و المؤمن اذا وعد وفا و أمثالها راجع أبواب الأخبار المختلفة تجدها شاهد صدق علی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نظیر الجملة أی نظیر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أرید بها الزجر فی جملة من الموارد، و إلیک عدّة من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الشریف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باب شغار،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جلب و لا جنب و لا شغار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الکریم 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w:t>
      </w:r>
    </w:p>
    <w:p>
      <w:pPr>
        <w:pStyle w:val="BookText"/>
        <w:rPr/>
      </w:pPr>
      <w:r>
        <w:rPr>
          <w:rFonts w:ascii="Amiri" w:hAnsi="Amiri" w:eastAsia="Amiri" w:cs="Amiri"/>
          <w:color w:val="111111"/>
          <w:sz w:val="28"/>
          <w:sz w:val="28"/>
          <w:szCs w:val="28"/>
          <w:rtl w:val="true"/>
          <w:lang w:bidi="ar-SA"/>
        </w:rPr>
        <w:t xml:space="preserve">فَإِنَّ لَکَ فِی الْحَیاةِ أَنْ تَقُولَ لا مِساسَ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رَفَثَ وَ لا 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هجرة فوق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صمت یوم الی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حمی فی الاراک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الأصول تقریر بحث الأستاذ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غشّ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طاعة للمخلوق فی معصیة الخالق</w:t>
      </w:r>
      <w:r>
        <w:rPr>
          <w:rStyle w:val="FootnoteAnchor"/>
          <w:rtl w:val="true"/>
        </w:rPr>
        <w:footnoteReference w:id="145"/>
      </w:r>
      <w:r>
        <w:rPr>
          <w:rFonts w:ascii="IRNazanin" w:hAnsi="IRNazanin" w:eastAsia="IRNazanin"/>
          <w:color w:val="111111"/>
          <w:sz w:val="28"/>
          <w:sz w:val="28"/>
          <w:szCs w:val="28"/>
          <w:rtl w:val="true"/>
          <w:lang w:bidi="fa-IR"/>
        </w:rPr>
        <w:t>، و نقل انه فی الحدیث لا اعتراض و لا اخطاء و لا بنیان کنیسة و لا مناجشه</w:t>
      </w:r>
      <w:r>
        <w:rPr>
          <w:rStyle w:val="FootnoteAnchor"/>
          <w:rtl w:val="true"/>
        </w:rPr>
        <w:footnoteReference w:id="146"/>
      </w:r>
      <w:r>
        <w:rPr>
          <w:rFonts w:ascii="IRNazanin" w:hAnsi="IRNazanin" w:eastAsia="IRNazanin"/>
          <w:color w:val="111111"/>
          <w:sz w:val="28"/>
          <w:sz w:val="28"/>
          <w:szCs w:val="28"/>
          <w:rtl w:val="true"/>
          <w:lang w:bidi="fa-IR"/>
        </w:rPr>
        <w:t>و لا صرورة فی الإسلام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المدعی فهم أهل اللسان بل مهرة الفن هذا المعنی من هذه الجملة، فعن النهایة الأثیریة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أی لا یضرّ الرجل أخاه فینقصه شیئا من حقّه، و الضرار فعال من</w:t>
      </w:r>
    </w:p>
    <w:p>
      <w:pPr>
        <w:pStyle w:val="BookText"/>
        <w:rPr/>
      </w:pPr>
      <w:r>
        <w:rPr>
          <w:rFonts w:ascii="IRNazanin" w:hAnsi="IRNazanin" w:eastAsia="IRNazanin"/>
          <w:color w:val="111111"/>
          <w:sz w:val="28"/>
          <w:sz w:val="28"/>
          <w:szCs w:val="28"/>
          <w:rtl w:val="true"/>
          <w:lang w:bidi="fa-IR"/>
        </w:rPr>
        <w:t>الضرار أی لا یجازیه علی اضراره بادخال الضرار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أی لا یضر الرجل، لا ضرار أی لا یضارّ کل منهما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الدرّ المنثور للسیوطی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أی لا یضر الرجل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تاج العروس قریب منه، و کذا عن مجمع البحرین، فعلیه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هذه الجملة فی کلامه صلی اللّه علیه و آله تحریم ایراد الضرر و الضرار فکأنه صلی اللّه علیه و آله یشیر بهذه الجملة الی ما ورد فی جملة من الموارد من حرمة الاضرار مضافا الی انّ هذا الحکم أی تحریم الاضرار من الواضحات فی شریعة الإسلام فطبّق تلک الکبری الکلیّة علی الصغری، و لشدّة المبغوضیة کأنه صلی اللّه علیه و آله یری ان وعاء الخارج خالیة عن الاضرار و أما حکمه بقلع الشجرة فمن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الأمة و ولیّ الأمر، و باب سد المفاسد و قلع مادّة الفساد من طرف الشارع الأقدس مفتوح له صلی اللّه علیه و آله بمصرعیه أمر الأنصاری أن یقلع الشجرة، و یرمی بها وجه سمرة لعنه اللّه، هکذا ینبغی أن ینقح المقام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الأصحاب بعد البحث فی مفاد القاعدة ذکروا تنبیهات لها کمال الارتباط بالقاعدة علی ما سلکوه، و نحن نتبعهم فی البحث عن التنبیهات و أن لا یترتب علیها أثر علی المختار</w:t>
      </w:r>
      <w:r>
        <w:rPr>
          <w:rFonts w:eastAsia="IRNazanin" w:cs="IRNazanin"/>
          <w:color w:val="111111"/>
          <w:sz w:val="28"/>
          <w:szCs w:val="28"/>
          <w:rtl w:val="true"/>
          <w:lang w:bidi="fa-IR"/>
        </w:rPr>
        <w:t>.</w:t>
      </w:r>
      <w:bookmarkStart w:id="207" w:name="pg2364_24215"/>
    </w:p>
    <w:p>
      <w:pPr>
        <w:pStyle w:val="Heading3"/>
        <w:numPr>
          <w:ilvl w:val="2"/>
          <w:numId w:val="1"/>
        </w:numPr>
        <w:rPr/>
      </w:pPr>
      <w:bookmarkStart w:id="208" w:name="__RefHeading___Toc2826003_3804643083"/>
      <w:bookmarkStart w:id="209" w:name="_Toc82"/>
      <w:bookmarkEnd w:id="207"/>
      <w:bookmarkEnd w:id="208"/>
      <w:r>
        <w:rPr>
          <w:rtl w:val="true"/>
        </w:rPr>
        <w:t>تنبیهات</w:t>
      </w:r>
      <w:bookmarkEnd w:id="209"/>
    </w:p>
    <w:p>
      <w:pPr>
        <w:pStyle w:val="Heading4"/>
        <w:numPr>
          <w:ilvl w:val="3"/>
          <w:numId w:val="1"/>
        </w:numPr>
        <w:rPr/>
      </w:pPr>
      <w:bookmarkStart w:id="210" w:name="__RefHeading___Toc2826005_3804643083"/>
      <w:bookmarkStart w:id="211" w:name="_Toc83"/>
      <w:bookmarkEnd w:id="210"/>
      <w:r>
        <w:rPr>
          <w:rtl w:val="true"/>
        </w:rPr>
        <w:t>التنبیه الأول</w:t>
      </w:r>
      <w:r>
        <w:rPr>
          <w:rtl w:val="true"/>
        </w:rPr>
        <w:t xml:space="preserve">: </w:t>
      </w:r>
      <w:r>
        <w:rPr>
          <w:rtl w:val="true"/>
        </w:rPr>
        <w:t>أفاد سیدنا الأستاذ دام ظله علی ما التقریر</w:t>
      </w:r>
      <w:r>
        <w:rPr>
          <w:rtl w:val="true"/>
        </w:rPr>
        <w:t>:</w:t>
      </w:r>
      <w:bookmarkEnd w:id="2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ما ذکرناه من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ناظر الی نفی تشریع الحکم الضرری یختص النهی بجعل حکم الزامیّ من الوجوب و الحرمة فانه هو الذی یکون العبد ملزما فی امتثاله فعلی تقدیر کونه ضرریّا کان وقوع العبد فی الضرر مستندا الی الشارع بجعله الحکم الضرری، و اما الترخیص فی شی‌ء یکون موجبا للضرر علی نفس المکلف أو علی غیره فلا یکون مشمولا لدلیل نفی الضرر، لأن الترخیص فی شی‌ء لا یلزم المکلف فی ارتکابه حتی یکون الترخیص ضرریّا بل العبد باختیاره و ارادته یرتکبه فیکون الضرر مستندا الیه لا الی الترخیص المجعول من قبل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حرمة الاضرار بالغیر و لا حرمة الاضرار بالنفس و ان کان الأول ثابتا بالأدلة الخاصة، بل یمکن استفادته من الفقرة الثانیة فی نفس الحدیث،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ضرار بتقریب ان المراد من النفی فی هذه الفقرة هو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 لا فُسُوقَ وَ لا جِدالَ، و ذلک لأن الضرار أمر خارجیّ و هو کون الشخص فی مقام الاضرار بالغیر فلا معنی لنفیه تشریعا کما لا یصحّ</w:t>
      </w:r>
    </w:p>
    <w:p>
      <w:pPr>
        <w:pStyle w:val="BookText"/>
        <w:rPr/>
      </w:pPr>
      <w:r>
        <w:rPr>
          <w:rFonts w:ascii="IRNazanin" w:hAnsi="IRNazanin" w:eastAsia="IRNazanin"/>
          <w:color w:val="111111"/>
          <w:sz w:val="28"/>
          <w:sz w:val="28"/>
          <w:szCs w:val="28"/>
          <w:rtl w:val="true"/>
          <w:lang w:bidi="fa-IR"/>
        </w:rPr>
        <w:t>حمله علی الاخبار عن عدم تحقق الاضرار فی الخارج للزوم الکذب، فلا محالة یکون المراد منه النهی عن کون الشخص فی مقام الاضرار بالغیر فیدل علی حرمة الاضرار بالغیر بالأولویّة القطعیّة و لا یلزم من حمل النفی علی النهی فی هذه الفقرة التفکیک بین الفقرتین، لأن المعنی فی کلتیهما هو النفی غایة الأمر کون النفی فی الفقرة الأولی حقیقیّا، و فی الفقرة الثانیة ادّعائیا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بوجوه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لا یقع المکلف من ناحیة الترخیص فی الضرر، و کیف لا ینسب الی الشارع وقوعه فی الضرر اذا رخّصه و اذن له أ لیس ان المولی اذا قال لزید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رخّصتک و یجوز لک أن تقتل نفسک فقتل زید نفسه أو انتحر، ان العرف یسند قتله الی ترخیص المولی و ان اجازته صار سببا لقتله و انتحاره و یقول العرف یا لیت لم یرخّصه ألا تری ان الأب اذا أجاز ولده و رخّصه فی ذهابه علی السطح فذهب و سقط و مات یحکم العرف بأن هذا ضرر من ناحیة ترخیص الأب، و کذا اذا أجاز الحکومة الناس و رخّص الرعیّة فی ایذاء بعضهم بعضا فی وقت معین یسند الایذاء الی الحکومة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هذا لا تنطبق القاعدة علی المورد، اذ الدخول فی بستان الأنصاری لم یکن واجبا علی السمرة، بل کان جائزا فلا بدّ أن یلتزم بأنه لا یرتفع جواز الدخول الّا مع ترتب حرمة الاضرار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وارد فی مقام الامتنان و حرمة الشی‌ء الذی کان جائزا خلاف الامتنان فلازمه أن یصیر ما کان جائز لسمرة حراما علیه ألا تری ان أکل التفاح جائز و لو حکم الشارع بحرمته و رفع عنه الجواز کان مخالفا للامتنان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الامتنان هو ما یکون فیه نفع لمن یجری الحدیث فی حقّه و تشخیص النفع و الضرر لیس بأیدی المکلّفین بل بید الشارع الحکیم فاذا حکم بمقتضی الحدیث بحرمة شی‌ء نستکشف انه لیس امتنانا و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سمرة کان له حق مضافا الی جواز الدخول فلم لم یرفع الحدیث هذا الحق حتی یکون قد رفع حکما الزامیّا؟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نفهم فی المورد حقّا الزامیّا غیر جواز الدخول و المفروض ان الحدیث یرفعه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فلم لم یرفع الحدیث الحکم الجوازی کما یرفع الحق اللزومی علی هذا الفرض فانقدح بما ذکرناه انه وجه لاختصاص الحدیث برفع الأحکام الالزامیّة، و لکن</w:t>
      </w:r>
    </w:p>
    <w:p>
      <w:pPr>
        <w:pStyle w:val="BookText"/>
        <w:rPr/>
      </w:pPr>
      <w:r>
        <w:rPr>
          <w:rFonts w:ascii="IRNazanin" w:hAnsi="IRNazanin" w:eastAsia="IRNazanin"/>
          <w:color w:val="111111"/>
          <w:sz w:val="28"/>
          <w:sz w:val="28"/>
          <w:szCs w:val="28"/>
          <w:rtl w:val="true"/>
          <w:lang w:bidi="fa-IR"/>
        </w:rPr>
        <w:t>لا نبالی بمخالفتهم اذا ساعدنا الدلیل و قد ساعدنا علی ما بینّاه و یشمّ ما ذکرناه من کلام الشیخ الأعظم الأنصاری أیضا فی الرسائل فانه قال فی جملة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فلزوم البیع مع الغبن حکم یلزم منه ضرر علی المغبون فینتفی بالخبر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سلطنة المالک علی الدخول الی عذقه و اباحته له من دون استیذان الأنصاری</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للتفرقة بین الجملتین فانه یفسر قوله لا ضرر بعدم جعل حکم فی الشریعة ینشئ منه الضرر، و نفسر الجملة الثانیة کذلک بأن نقول لم یجعل فی الشریعة حکم ینشئ منه الضرار أی لا یأمر الشارع أحدا أن یضار أخاه و کذلک لا یجوز الضرار فلا وجه للتفرقة بین الجملتین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عدم التفکیک بین الفقرتین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فیه انه یلزم التفکیک کیف و المراد من الأولی اخبار و من الثانیة إنشاء باعتراف منه غایة الأمر انه إنشاء بالجملة الخبریّة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الأولویّة فان فیه ان الأولویّة موردها أن یکون قد حکم المولی بشی‌ء و أبرزه ثم یستفاد منه الحکم الآخر بالأولویّة لوجود الملاک کما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w:t>
      </w:r>
    </w:p>
    <w:p>
      <w:pPr>
        <w:pStyle w:val="BookText"/>
        <w:rPr/>
      </w:pPr>
      <w:r>
        <w:rPr>
          <w:rFonts w:ascii="IRNazanin" w:hAnsi="IRNazanin" w:eastAsia="IRNazanin"/>
          <w:color w:val="111111"/>
          <w:sz w:val="28"/>
          <w:sz w:val="28"/>
          <w:szCs w:val="28"/>
          <w:rtl w:val="true"/>
          <w:lang w:bidi="fa-IR"/>
        </w:rPr>
        <w:t>لَهُما أُفٍ فانه یعلم منه ان ضربهما حرام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فلا ندری معنی الأولویة و لعلّه من اشتباه النسخة، اذا عرفت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ان الاضرار بالغیر حرام مطلقا اما علی مسلک الأستاذ فبناء علی ما ذکرنا فان نفی الحکم الضرری علی نحو الاطلاق یستلزم رفع جواز الضرر بالغیر و اما علی ما سلکناه فواضح لا شبهة فیه، و أما الاضرار بالنفس علی ما سلکه الأستاذ فهو أیضا کذلک للإطلاق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نفی الاضرار عن وعاء الشرع حیث انه یناسب المنّة علی الأمة، و من الظاهر ان التضییق علی المکلّف لا یکون منّة فلا یشمله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الاضرار بالنفس فیه مفسدة ففی المنع منه منّة، لأن الشارع أبو الأمة و سلطانها فاذا کان فی شی‌ء مفسدة لا بدّ له من رفعه و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ان الحکم امتنانی فعلیه یکون رفع الجواز و تبدیله بالحرمة نقضا للغرض</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سلکناه فغیر محرّم للانصراف ألا تری ان المولی اذا قال لعبده لا تؤذ أحدا لا یفهم منه ان ایذاء نفسه أیضا حرام، و هو واضح، و علی هذا المبنیّ من انصراف الدلیل قلنا ان من یکون فی یده المجهول من المال و کان تکلیفه التصدّق لا یجوز له تملکه و ان کان فقیرا للانصراف</w:t>
      </w:r>
      <w:bookmarkStart w:id="212" w:name="pg2364_24220"/>
    </w:p>
    <w:p>
      <w:pPr>
        <w:pStyle w:val="BookText"/>
        <w:rPr/>
      </w:pPr>
      <w:bookmarkEnd w:id="212"/>
      <w:r>
        <w:rPr>
          <w:rFonts w:ascii="IRNazanin" w:hAnsi="IRNazanin" w:eastAsia="IRNazanin"/>
          <w:color w:val="111111"/>
          <w:sz w:val="28"/>
          <w:sz w:val="28"/>
          <w:szCs w:val="28"/>
          <w:rtl w:val="true"/>
          <w:lang w:bidi="fa-IR"/>
        </w:rPr>
        <w:t>و قس علیه بقیة الموارد</w:t>
      </w:r>
      <w:r>
        <w:rPr>
          <w:rFonts w:eastAsia="IRNazanin" w:cs="IRNazanin"/>
          <w:color w:val="111111"/>
          <w:sz w:val="28"/>
          <w:szCs w:val="28"/>
          <w:rtl w:val="true"/>
          <w:lang w:bidi="fa-IR"/>
        </w:rPr>
        <w:t>.</w:t>
      </w:r>
    </w:p>
    <w:p>
      <w:pPr>
        <w:pStyle w:val="Heading4"/>
        <w:numPr>
          <w:ilvl w:val="3"/>
          <w:numId w:val="1"/>
        </w:numPr>
        <w:rPr/>
      </w:pPr>
      <w:bookmarkStart w:id="213" w:name="__RefHeading___Toc2826007_3804643083"/>
      <w:bookmarkStart w:id="214" w:name="_Toc84"/>
      <w:bookmarkEnd w:id="213"/>
      <w:r>
        <w:rPr>
          <w:rtl w:val="true"/>
        </w:rPr>
        <w:t>التنبیه الثانی</w:t>
      </w:r>
      <w:r>
        <w:rPr>
          <w:rtl w:val="true"/>
        </w:rPr>
        <w:t xml:space="preserve">: </w:t>
      </w:r>
      <w:r>
        <w:rPr>
          <w:rtl w:val="true"/>
        </w:rPr>
        <w:t>هل الضرر المرتفع فی الشریعة نوعیّ أو شخصی؟</w:t>
      </w:r>
      <w:bookmarkEnd w:id="2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نتکلّم تارة علی ما سلکناه و أخری علی ما سلکه القوم، و الأستاذ تبعا للشیخ، اما علی ما اخترناه من ان مفاد الحدیث هو حرمة الضرر و الضرار فلا مورد و لا مجال لهذا البحث، فانه کلّما تحقق الضرر و الضرار فهو حرام، و کلّما لم یتحقّق فلا و لا معنی لکونه شخصیّا أو نوعیّا، و هذا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شرب الخمر حرام فکل مورد تحقّق شرب الخمر فهو حرام، و لا معنی لکون حرمته شخصیّا أو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القوم فأفاد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الحق ان الضرر شخصی اذا لحکم تابع لموضوعه ففی مورد یتحقّق الضرر یترتب علیه حکمه، و من المعلوم ان الضرر لا یکون من الأمور المتأصلة التی لا یفرّق الحال فیها بالاضافة الی شخص دون شخص، فما اشتهر من ان الضرر فی العبادات شخصی، و فی المعاملات نوعیّ لا یرجع الی محصّل بل الصحیح انه شخصی فی جمیع الموارد و قضیة کونه نوعیّا یحتاج الی قرینة و عنایة فلا وجه للتفکیک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أفاد الأستاذ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الوجه فی وقوعهم فی</w:t>
      </w:r>
    </w:p>
    <w:p>
      <w:pPr>
        <w:pStyle w:val="BookText"/>
        <w:rPr/>
      </w:pPr>
      <w:r>
        <w:rPr>
          <w:rFonts w:ascii="IRNazanin" w:hAnsi="IRNazanin" w:eastAsia="IRNazanin"/>
          <w:color w:val="111111"/>
          <w:sz w:val="28"/>
          <w:sz w:val="28"/>
          <w:szCs w:val="28"/>
          <w:rtl w:val="true"/>
          <w:lang w:bidi="fa-IR"/>
        </w:rPr>
        <w:t>هذا التوهّم هو ما وقع فی کلام جماعة من أکابر الفقهاء و منهم شیخنا الأنصاری من التمسّک بقاعدة نفی الضرر لثبوت خیار الغبن و حق الشفعة مع ان الضرر لا یکون فی جمیع موارد خیار الغبن، بل النسبة بین الضرر و ثبوت خیار الغبن هی العموم من وجه، اذ قد یکون الخیار ثابتا مع عدم تحقّق الضرر کما اذا کان البیع مشتملا علی الغبن، و قد غلت السلعة حین ظهور الغبن بما یتدارک به الغبن، فلا یکون الحکم باللزوم فی مثله موجبا للضرر علی المشتری، و قد لا یکون الخیار ثابتا مع تحقق الضرر، کما اذا کان البیع غیر مشتمل علی الغبن، و لکن نزلت السلعة من حیث القیمة السوقیة و قد یجتمعان کما هو واضح، کما ان النسبة بین الضرر و ثبوت حق الشفعة أیضا عموم من وجه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تقدمت أمثلة الافتراق و الاجتماع و لا نعید فلأجل هذا الاستدلال توهّموا ان الضرر فی المعاملات نوعیّ لا شخصی، و قد عرفت ان الصحیح کون الضرر شخصیّا فی المعاملات أیضا، و لیس المدرک ثبوت قاعدة لا ضرر، بل ان المدرک لثبوت حق الشفعة هی الروایات الی أن قال و المدرک لخیار الغبن هو تحلّف شرط الارتکازی انتهی</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ان الأمر کما أفاده من ان المیزان بالضرر هو الضرر الشخصی، و أما ما أفاده من ان منشأ الاشتباه ان الخیار فی مورد الغبن موجود مع ان ما بین الضرر و الغبن فیرد علیه انه حین یبیع السلعة اذا کان المشتری مغبونا و کان المدرک قاعدة لا ضرر یحکم بالخیار و بعد ترقی السلعة یرتفع الخیار، اذ قاعدة لا ضرر کما هو معترف ناظرة الی الأحکام المجعولة فی الشریعة، و حیث ان الحکم باللزوم حین الغبن ضرریّ یرتفع بالقاعدة و بعد ترقی السلعة یحکم باللزوم لوجوب الوفاء بالعقد، و ان شئت قلت المقدار الخارج عن تحت العام بلحاظ القاعدة زمان حصول الغبن و امّا بعد ترقی السلعة و عدم صدق الغبن فلا وجه لرفع الید عن عموم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بِالْعُقُودِ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أفاده من المدرک للخیار الغبن من الشرط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انه لا وجه له اذ لا شبهة فی تحقّق الضرر بنفس المعاملة فبمقتضی نفی الحکم الضرری یحکم ببطلان البیع لا صحته و جوازه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البیع خلاف الامتنان بالنسبة الی</w:t>
      </w:r>
      <w:bookmarkStart w:id="215" w:name="pg2364_24223"/>
    </w:p>
    <w:p>
      <w:pPr>
        <w:pStyle w:val="BookText"/>
        <w:rPr/>
      </w:pPr>
      <w:bookmarkEnd w:id="215"/>
      <w:r>
        <w:rPr>
          <w:rFonts w:ascii="IRNazanin" w:hAnsi="IRNazanin" w:eastAsia="IRNazanin"/>
          <w:color w:val="111111"/>
          <w:sz w:val="28"/>
          <w:sz w:val="28"/>
          <w:szCs w:val="28"/>
          <w:rtl w:val="true"/>
          <w:lang w:bidi="fa-IR"/>
        </w:rPr>
        <w:t>المغبون اذ ربّما لا یرید البطلان و بعبارة أخری تعلق غرضه بابقاء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أقدم علی المعاملة علی الاطلاق بحیث یرید أن یشتری و لو مع کونه ضرریّا فمعناه انه أقدم علی الضرر و قد مرّ ان المستفاد من حدیث لا ضرر الامتنان و التضییق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یلاحظ فی تطبیق القاعدة الأغراض الشخصیة، و الّا فیلزم انه لو تعلق غرض أحد بأن یتوضّأ و لو مع کونه ضرریّا ان نلتزم بوجوبه، و هو کما تری و ان شئت قلت ان حدیث لا ضرر لا یدور مدار أذواق و أغراض الأشخاص فتحصل ان مقتضی القاعدة علی مسلک القوم بطلان البیع الغبنیّ و الحال انهم لم یلتزموا بهذا اللازم و لذا یکون هذا اللازم من شواهد بطلان مسلکهم و اما نحن ففی فسحة، اذ معنی لا ضرر و لا ضرار علی ما سلکناه هو حرمة الاضرار و لا ربط بین هذا الحکم و صحّة البیع الغبنیّ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نلتزم بالخیار بلحاظ الشرط الارتکازی</w:t>
      </w:r>
      <w:r>
        <w:rPr>
          <w:rFonts w:eastAsia="IRNazanin" w:cs="IRNazanin"/>
          <w:color w:val="111111"/>
          <w:sz w:val="28"/>
          <w:szCs w:val="28"/>
          <w:rtl w:val="true"/>
          <w:lang w:bidi="fa-IR"/>
        </w:rPr>
        <w:t>.</w:t>
      </w:r>
    </w:p>
    <w:p>
      <w:pPr>
        <w:pStyle w:val="Heading4"/>
        <w:numPr>
          <w:ilvl w:val="3"/>
          <w:numId w:val="1"/>
        </w:numPr>
        <w:rPr/>
      </w:pPr>
      <w:bookmarkStart w:id="216" w:name="__RefHeading___Toc2826009_3804643083"/>
      <w:bookmarkStart w:id="217" w:name="_Toc85"/>
      <w:bookmarkEnd w:id="216"/>
      <w:r>
        <w:rPr>
          <w:rtl w:val="true"/>
        </w:rPr>
        <w:t>التنبیه الثالث</w:t>
      </w:r>
      <w:r>
        <w:rPr>
          <w:rtl w:val="true"/>
        </w:rPr>
        <w:t xml:space="preserve">: </w:t>
      </w:r>
      <w:r>
        <w:rPr>
          <w:rtl w:val="true"/>
        </w:rPr>
        <w:t>أفاد الشیخ الأنصاری أعلی اللّه مقامه علی ما فی التقریر</w:t>
      </w:r>
      <w:r>
        <w:rPr>
          <w:rtl w:val="true"/>
        </w:rPr>
        <w:t>:</w:t>
      </w:r>
      <w:bookmarkEnd w:id="2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کثرة التخصیصات الواردة علی قاعدة لا ضرر بالإجماع و النصوص الخاصّة موهونة للتمسک بها فی غیر</w:t>
      </w:r>
    </w:p>
    <w:p>
      <w:pPr>
        <w:pStyle w:val="BookText"/>
        <w:rPr/>
      </w:pPr>
      <w:r>
        <w:rPr>
          <w:rFonts w:ascii="IRNazanin" w:hAnsi="IRNazanin" w:eastAsia="IRNazanin"/>
          <w:color w:val="111111"/>
          <w:sz w:val="28"/>
          <w:sz w:val="28"/>
          <w:szCs w:val="28"/>
          <w:rtl w:val="true"/>
          <w:lang w:bidi="fa-IR"/>
        </w:rPr>
        <w:t>الموارد المنصوص علیها و المنجبرة بعمل الأصحاب، فان الأحکام المجعولة فی باب الضمانات و الحدود و الدیات و القصاص و التعزیرات کلّها ضرریّة و کذلک تشریع الخمس و الزکاة و الحج و الجهاد ضرریّ مع کونها مجعولة بالضرورة، و من هذا القبیل الحکم بنجاسة الملاقی فیما کان مسقطا لمالیته کما فی المرق أو نقصا لها کما فی الفرو مع انه ثابت بلا اشکال، و کذا غیرها ممّا تأتی الاشارة الی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خرج من عموم القاعدة أکثر ممّا بقی تحتها، و حیث ان تخصیص الأکثر مستهجن فی الکلام فلا مناص من الالتزام بأن الضرر المنفی فی الحدیث ضرر خاص غیر شامل لهذه الموارد، حتی لا یلزم تخصیص الأکثر، و لازم ذلک هو الالتزام بکون مدلول الحدیث مجملا غیر قابل للاستدلال به فی غیر الموارد المنصوصة علیها أو المنجبرة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 أصل الاشکال بأنه یمکن أن یکون جمیع افراد التخصیص تحت جامع واحد فلا یکون الّا تخصیصا واحدا هذا کلامه قدس سرّه و أورد علیه صاحب الکفایة قدس سره بأن مقدار التخصیص اذا کان بحدّ الاستهجان، فلا فرق بین أن یکون بعنوان واحد أو بعناوین عدیدة فهذا لا یرفع الاشکال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الیه انا ذکرنا مرارا ان عمل الأصحاب لا</w:t>
      </w:r>
    </w:p>
    <w:p>
      <w:pPr>
        <w:pStyle w:val="BookText"/>
        <w:rPr/>
      </w:pPr>
      <w:r>
        <w:rPr>
          <w:rFonts w:ascii="IRNazanin" w:hAnsi="IRNazanin" w:eastAsia="IRNazanin"/>
          <w:color w:val="111111"/>
          <w:sz w:val="28"/>
          <w:sz w:val="28"/>
          <w:szCs w:val="28"/>
          <w:rtl w:val="true"/>
          <w:lang w:bidi="fa-IR"/>
        </w:rPr>
        <w:t>یکون جابرا للسند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الأستاذ دام ظلّه بأنه لا بدّ أن نتکلم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ضابط التخصیص المستهجن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 الاشکال عن المقام، أما المورد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المتکلفة للعموم تارة تکون من القضایا الخارجیّة و أخری تکون بنحو القضیّة الحقیقیّة اما علی تقدیر کون القضیّة بنحو الخارجیّة فلا فرق فی الاستهجان بین النحوین مثلا لو کان عدد العسکر مأئة و قال المخبر قتل من فی العسکر الّا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حدّ لم یبق الّا شخصان یکون هذا الکلام مستهجنا کما انه لو قال قتل من فی العسکر الّا بنی تمیم، و الحال ان غیر بنی تمیم شخصان یکون الکلام أیضا مستهجنا فلا فرق بین النحوین من الکلام، و أما لو کان بنحو القضیة الحقیقیّة فلا استهجان فی التخصیص، و لو کان أکثر کما لو قال المولی یجب علی من یستطیع أن یحجّ الّا من کان عمره أکثر من ثلاثین سنة و أقلّ من عشرین فانه لا بأس بهذا النحو من التخصیص، و هذا من الکبری الکلیّة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المقام تکون القضیّة خارجیّة، لأن نفی الضرر فی الأحکام ناظر الی الأحکام الواقعة فی الخارج لکن مع ذلک لیس فیه تخصیص الأکثر، فان مسئلة الخمس لیست ضررا</w:t>
      </w:r>
    </w:p>
    <w:p>
      <w:pPr>
        <w:pStyle w:val="BookText"/>
        <w:rPr/>
      </w:pPr>
      <w:r>
        <w:rPr>
          <w:rFonts w:ascii="IRNazanin" w:hAnsi="IRNazanin" w:eastAsia="IRNazanin"/>
          <w:color w:val="111111"/>
          <w:sz w:val="28"/>
          <w:sz w:val="28"/>
          <w:szCs w:val="28"/>
          <w:rtl w:val="true"/>
          <w:lang w:bidi="fa-IR"/>
        </w:rPr>
        <w:t>بل عدم النفع، فان من یربح خمسة دنانیر لا یملک دینارا منها، و أما مسئلة الضمان فلا یشملها دلیل لا ضرر فانه کما ان الحکم بالضمان ضرریّ بالنسبة الی الضامن کذلک الحکم بعدم الضمان ضرری بالنسبة الی المضمون له، و أما بقیّة الأحکام الضرریّة فخارجة عن تحت القاعدة تخصّصا، اذ دلیل لا ضرر ناظر الی الحکم الذی لا یکون فی حدّ نفسه ضرریّا و یرفعه فیما یعرضه الضرر کالوضوء الضرری مثلا و علیه لا یکون تخصیصا مستهجنا هذا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لنا أن نتکلّم علی مسلکین أی ما سلکناه و ما سلکه الأستاذ و الشیخ</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لهذا الاشکال، اذ المفروض ان مفاد الحدیث حرمة الضرر و الضرار لا نفی الحکم الضرری، کما أوضحنا ذلک فلا معنی للتخصیص اذ کلّما وجد الضرر فهو حرام، و أما علی مسلک الشیخ الذی اختاره الأستاذ فأیضا لا یتوجّه الاشکال لا لما ذکره الأستاذ فان ما أفاده دعوی بلا دلیل فان مقتضی اطلاق نفی الضرر و الضرار ان الحکم الضرری أی أیّ حکم ینشأ منه الضرر منفیّ فی الإسلام، و التقیید خلاف القاعدة بل الوجه فی عدم توجّه الاشکال انّ ما یبقی من الأحکام غیر الضرریّ أضعاف ما یکون ضرریّا کالوضوء و الغسل و الصلاة و الصوم أو تطهیر الثوب و غیر ذلک من الواجبات</w:t>
      </w:r>
      <w:bookmarkStart w:id="218" w:name="pg2364_24227"/>
    </w:p>
    <w:p>
      <w:pPr>
        <w:pStyle w:val="BookText"/>
        <w:rPr/>
      </w:pPr>
      <w:bookmarkEnd w:id="218"/>
      <w:r>
        <w:rPr>
          <w:rFonts w:ascii="IRNazanin" w:hAnsi="IRNazanin" w:eastAsia="IRNazanin"/>
          <w:color w:val="111111"/>
          <w:sz w:val="28"/>
          <w:sz w:val="28"/>
          <w:szCs w:val="28"/>
          <w:rtl w:val="true"/>
          <w:lang w:bidi="fa-IR"/>
        </w:rPr>
        <w:t>و قس علی الواجبات المحرّمات فلا یلزم التخصیص المستهجن</w:t>
      </w:r>
    </w:p>
    <w:p>
      <w:pPr>
        <w:pStyle w:val="Heading4"/>
        <w:numPr>
          <w:ilvl w:val="3"/>
          <w:numId w:val="1"/>
        </w:numPr>
        <w:rPr/>
      </w:pPr>
      <w:bookmarkStart w:id="219" w:name="__RefHeading___Toc2826011_3804643083"/>
      <w:bookmarkStart w:id="220" w:name="_Toc86"/>
      <w:bookmarkEnd w:id="219"/>
      <w:r>
        <w:rPr>
          <w:rtl w:val="true"/>
        </w:rPr>
        <w:t>التنبیه الرابع</w:t>
      </w:r>
      <w:r>
        <w:rPr>
          <w:rtl w:val="true"/>
        </w:rPr>
        <w:t xml:space="preserve">: </w:t>
      </w:r>
      <w:r>
        <w:rPr>
          <w:rtl w:val="true"/>
        </w:rPr>
        <w:t>ان النسبة بین هذه القاعدة و الأدلّة الدالّة بعمومها علی تشریع الحکم الضرریّ هی العموم من وجه</w:t>
      </w:r>
      <w:bookmarkEnd w:id="220"/>
    </w:p>
    <w:p>
      <w:pPr>
        <w:pStyle w:val="BookText"/>
        <w:rPr/>
      </w:pPr>
      <w:r>
        <w:rPr>
          <w:rFonts w:ascii="IRNazanin" w:hAnsi="IRNazanin" w:eastAsia="IRNazanin"/>
          <w:color w:val="111111"/>
          <w:sz w:val="28"/>
          <w:sz w:val="28"/>
          <w:szCs w:val="28"/>
          <w:rtl w:val="true"/>
          <w:lang w:bidi="fa-IR"/>
        </w:rPr>
        <w:t>فان مقتضی اطلاق دلیل وجوب الوضوء مثلا وجوبه حتی فی حال الضرر، و اطلاق دلیل لا ضرر ینفی وجوبه حال الضرر فالوضوء الضرری یکون مورد الاجتماع، فیقع التعارض بینهما فیه و القاعدة فی التعارض لیست تقدیم أحد الدلیلین بلا وجه بل لا بدّ من الملاحظة بینهما فان کانت دلالة أحد الدلیلین بالوضع و دلالة الآخر بالاطلاق یقدم ما بالوضع علی ما بالاطلاق، و ان کانت کلیهما بالوضع فلا بدّ من الرجوع الی الأدلة العلاجیة، و ان کانت دلالة کلیهما بالاطلاق ففیه خلاف و التفصیل موکول الی محله، و دلالة دلیل لا ضرر بالنسبة الی موارده بالاطلاق کما ذکرنا فما الوجه فی تقدیمه علی أدلّة بقیة الأحکام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انه بناء علی ما اخترناه من ان المستفاد منه هو النهی و الحرمة، فلا وجه و لا مورد لهذا البحث، لأنه لا تعارض بقیّة الأدلة فانه ینهی عن الضرر و الضرار فلا یعارضه شی‌ء، فکلما صدق الضرر و الضرار فهو منهی عنه و أما بناء علی ما سلکه القوم فالأمر کما ذکر، و یقع التعارض بینه و بین سائر الأدلة و ما قیل أو یمکن أن یقال فی وجه</w:t>
      </w:r>
    </w:p>
    <w:p>
      <w:pPr>
        <w:pStyle w:val="BookText"/>
        <w:rPr/>
      </w:pPr>
      <w:r>
        <w:rPr>
          <w:rFonts w:ascii="IRNazanin" w:hAnsi="IRNazanin" w:eastAsia="IRNazanin"/>
          <w:color w:val="111111"/>
          <w:sz w:val="28"/>
          <w:sz w:val="28"/>
          <w:szCs w:val="28"/>
          <w:rtl w:val="true"/>
          <w:lang w:bidi="fa-IR"/>
        </w:rPr>
        <w:t>التقدیم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بینه و بین سائر الأدلة لیست هی العموم من وجه، بل عموم مطلقا بمعنی ان هذه القاعدة تعارض جمیع الأدلة فهذه من جانب و بقیّة الأدلة من جانب آخر، فأدلة الأحکام أعم من دلیل القاعدة فدلیل القاعدة یخص تلک الأدلة علی ما هو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الکلام لا طائل تحته فان العرف یحاسب هذه القاعدة مع کل واحد من الأدلة لا مع 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بین أدلة الأحکام الدالّة بعمومها علی جعل الحکم الضرری بمعنی تقدیمها فی بعض الموارد و تقدیم أدلة الأحکام فی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جمع تبرعیّ لا دلیل علیه و لازمه سدّ باب التعارض للتالی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أدلة الأحکام الضرریّة علی الحکم الاقتضائی و حمل القاعدة علی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الظاهر فان أدلة الأحکام ظاهرة فی الأحکام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هذه القاعدة بعد التعارض بعمل الأصحاب بها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مجرد الفتوی لا یدل علی العمل، و ثانیا</w:t>
      </w:r>
      <w:bookmarkStart w:id="221" w:name="pg2364_24229"/>
    </w:p>
    <w:p>
      <w:pPr>
        <w:pStyle w:val="BookText"/>
        <w:rPr/>
      </w:pPr>
      <w:bookmarkEnd w:id="221"/>
      <w:r>
        <w:rPr>
          <w:rFonts w:ascii="IRNazanin" w:hAnsi="IRNazanin" w:eastAsia="IRNazanin"/>
          <w:color w:val="111111"/>
          <w:sz w:val="28"/>
          <w:sz w:val="28"/>
          <w:szCs w:val="28"/>
          <w:rtl w:val="true"/>
          <w:lang w:bidi="fa-IR"/>
        </w:rPr>
        <w:t>ان عملهم لا یکون جابرا للسند، فکیف بالدلالة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الدلیلین اذا تعارضا و کانا بحیث لو قدم أحدهما علی الآخر لم یبق للآخر مورد، فلا بدّ من تقدیم ما کان بهذه الصفة لئلّا یلزم اللغویّة فی کلام الحکیم مثلا اذا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حیوان محرّم الأکل فبوله و خرؤه نجس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یطیر بجناحیه فلا بأس بخرئه و بوله فیتعارضان فی مورد الطائر المحرم الأکل، فلا بدّ من الأخذ بالثانی أی کل ما یطیر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اذا عملنا بالأول لم یبق له مورد بخلاف ما اذا عملنا بالثانی فانه یبقی للأول موارد کثیرة کالحیوانات غیر الطائر و المقام کذلک، فانا لو قدمنا أدلة الأحکام لم یبق لهذه القاعدة مورد بخلاف ما اذا قدمناها فانه یبقی موارد کثیرة لأدلّة الأحکام و هی موارد غیر الضرریة و هذا الجمع لا بأس به فی حد نفسه، و ان قیل بأنه لم یرتض به جمع من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لا ضرر حاکم علی الأدلة الأحکام و من الظاهر ان دلیل الحاکم مهما کان ضعیفا من حیث الدلالة یقدم علی دلیل المحکوم، و لو کان أقوی دلالة من دلیل الحاکم و المقام کذلک، اذ علی مسلک القوم یکون دلیل القاعدة ناظرا الی أدلة الأحکام، و هذا الوجه متین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2826013_3804643083"/>
      <w:bookmarkStart w:id="223" w:name="_Toc87"/>
      <w:bookmarkEnd w:id="222"/>
      <w:r>
        <w:rPr>
          <w:rtl w:val="true"/>
        </w:rPr>
        <w:t>التنبیه الخامس</w:t>
      </w:r>
      <w:r>
        <w:rPr>
          <w:rtl w:val="true"/>
        </w:rPr>
        <w:t xml:space="preserve">: </w:t>
      </w:r>
      <w:r>
        <w:rPr>
          <w:rtl w:val="true"/>
        </w:rPr>
        <w:t>ان الألفاظ مطلقا وضعت للمعانی الواقعیّة و لیس للعلم و الجهل فیها دخل،</w:t>
      </w:r>
      <w:bookmarkEnd w:id="223"/>
    </w:p>
    <w:p>
      <w:pPr>
        <w:pStyle w:val="BookText"/>
        <w:rPr/>
      </w:pPr>
      <w:r>
        <w:rPr>
          <w:rFonts w:ascii="IRNazanin" w:hAnsi="IRNazanin" w:eastAsia="IRNazanin"/>
          <w:color w:val="111111"/>
          <w:sz w:val="28"/>
          <w:sz w:val="28"/>
          <w:szCs w:val="28"/>
          <w:rtl w:val="true"/>
          <w:lang w:bidi="fa-IR"/>
        </w:rPr>
        <w:t>و المقام داخل فی هذه الکبری الکلیّة فالضرر ملحوظ بما هو أعمّ من أن یکون مجهولا و معلوما، و لذلک وقع بعض الفروع الفقهیّة محلّا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الفقهاء رضوان اللّه علیهم أفتوا بأن المشتری مع العلم بالغبن لو أقدم علی البیع الغبنیّ لا یثبت له الخیار و الحال ان مقتضی ما ذکرناه ان الشارع لا یحکم باللزوم مع انّهم التزموا باللزوم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الأستاذ بأن المدرک للخیار لیس قاعدة لا ضرر بل المدرک هو الاشتراط الارتکازی و حیث ان الشرط مع العلم بالغبن لا یتحقّق یکون العقد لازما، و هذا هو السرّ فی اللزوم و أما لو کان المدرک القاعدة لما کان اقدام المکلّف سببا للزوم البیع، لأن حکم الشارع لا یکون تابعا لإرادة المکلف، هذا کلامه دام ظلّه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یقع البحث فی کون المدرک ما هو و أخری فی انه علی تقدیر کونه القاعدة للحکم فما هو مقتضاها فی المقام؟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انه لیس المدرک هی</w:t>
      </w:r>
    </w:p>
    <w:p>
      <w:pPr>
        <w:pStyle w:val="BookText"/>
        <w:rPr/>
      </w:pPr>
      <w:r>
        <w:rPr>
          <w:rFonts w:ascii="IRNazanin" w:hAnsi="IRNazanin" w:eastAsia="IRNazanin"/>
          <w:color w:val="111111"/>
          <w:sz w:val="28"/>
          <w:sz w:val="28"/>
          <w:szCs w:val="28"/>
          <w:rtl w:val="true"/>
          <w:lang w:bidi="fa-IR"/>
        </w:rPr>
        <w:t>القاعدة و قلنا بأنه لو کان القاعدة مدرکا لکان مقتضاها البطلان لا الصحّة و الجواز</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الجهة الثانیة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هو الجواز فی مفروض الکلام، اذ المستفاد من القاعدة نفی الحکم الضرری امتنانا، و من الظاهر ان الحکم بالجواز یوافق الامتنان فلا یکون علمه بالضرر مانعا من شمول القاعدة، و لکن حیث ان القاعدة لیست مدرکا فلا مجال لهذا البحث اما علی مسلک القوم فقد ظهر و أما علی مسلکنا فقد ذکرنا ان حرمة الاضرار منصرفة عن الاضرار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التزموا بصحّة الوضوء الضرری مع جهل المکلّف بالضرر مع ان المفروض ان الضرر موجودا واقعا و مقتضی ما تقدم هو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المحقّق النائینی قده بأن الضرر المنفی هو الضرر الناشی عن الحکم الشرعی، و فی المقام الضرر مستند الی المکلّف و لذا لو لم یکن الوضوء واجبا لکان المکلّف واقعا فی الضرر أیضا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سیّد الأستاذ عن المحقّق المذکور ان الاعتبار فی دلیل نفی الضرر انما هو بکون الحکم بنفسه أو بمتعلقه</w:t>
      </w:r>
    </w:p>
    <w:p>
      <w:pPr>
        <w:pStyle w:val="BookText"/>
        <w:rPr/>
      </w:pPr>
      <w:r>
        <w:rPr>
          <w:rFonts w:ascii="IRNazanin" w:hAnsi="IRNazanin" w:eastAsia="IRNazanin"/>
          <w:color w:val="111111"/>
          <w:sz w:val="28"/>
          <w:sz w:val="28"/>
          <w:szCs w:val="28"/>
          <w:rtl w:val="true"/>
          <w:lang w:bidi="fa-IR"/>
        </w:rPr>
        <w:t>ضرریّا و لا ینظر الی الضرر المتحقّق فی الخارج، و انه نشأ من أیّ سبب و من الظاهر ان الطهارة المائیّة مع کونها ضرریّة لو کانت واجبة فی الشریعة یصدق ان الحکم الضرری مجعول فیها من قبل الشارع، و علیه فدلیل نفی الضرر ینفی وجوبها و الصحیح فی الجواب أن یقال ان دلیل لا ضرر ورد فی مقام الامتنان علی الأمة الاسلامیّة فکل مورد یکون نفی الحکم فیه منافیا للامتنان لا یکون مشمولا لدلیل لا ضرر، و من المعلوم ان الحکم ببطلان الطهارة المائیة الضرریة الصادرة حال الجهل بکونها ضرریّة و الأمر بالتیمم و باعادة العبادات الواقعة منها مخالف للامتنان فلا یشمله دلیل لا ضرر، بل الحکم بصحّة الطهارة المائیة المذکورة و بصحّة العبادات الواقعة معها هو المطابق للامتنان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بصورة العلم، فانه لو حکم بالبطلان ربّما یکون خلاف الامتنان للمکلّف کما لو کان تحمّل الضرر أهون علیه من الذهاب الی مکان یمکن فیه التیمّم، و لو کان المناط لحاظ الضیق و التوسعة بالنسبة الی کلّ مکلّف فردا فردا یلزم مثل هذا اللازم و نظائره کثیرة، و هو کما تری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المیزان صدق الضرر و صدق الامتنان فی</w:t>
      </w:r>
    </w:p>
    <w:p>
      <w:pPr>
        <w:pStyle w:val="BookText"/>
        <w:rPr/>
      </w:pPr>
      <w:r>
        <w:rPr>
          <w:rFonts w:ascii="IRNazanin" w:hAnsi="IRNazanin" w:eastAsia="IRNazanin"/>
          <w:color w:val="111111"/>
          <w:sz w:val="28"/>
          <w:sz w:val="28"/>
          <w:szCs w:val="28"/>
          <w:rtl w:val="true"/>
          <w:lang w:bidi="fa-IR"/>
        </w:rPr>
        <w:t>رفعه بحسب الطبع و لا شبهة فی صدق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لا تحکم بالبطلان بل تحکم برفع الوجوب فلا یکون الأمر بالوضوء موجودا فینقلب التکلیف الی التیمّم فالمأمور به هو التیمّم فاذا توضؤ لا یکون الوضوء مأمورا به فلا ینطبق المأتی به علی المأمور به و العقل یحکم علیه بالبطلان، فان بطلان العمل معناه عدم انطباق الوظیفة المقرّرة علیه فعلی مسلک القوم لا بدّ من القول بالبطلان، و أما ما أفید من التسالم علی فرض تسلّمه فلا یکون أقوی من الاجماع الذی لا یکون حجّة مضافا الی ان التسالم محل الکلام و احتاط بعض محشّی العروة بالاعادة أو التیمّم و نحن أیضا کتبنا فی الهامش بأنه یلزم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اذا امّا الأخذ بالروایات الخاصّة أو العمل علی القاعدة و مقتضاها البطلان علی ما مرّ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لا ضرر رفع الحکم فی مقام الامتنان فنسأل الحکم الذی یرفع فیه اقتضاء أولا فان لم یکن فیه اقتضاء فلا منّة فی رفعه و ان کان فیه اقتضاء فهل هو مقرون بالمانع أو لا؟ فان کان مقرونا بالمانع فلا وجه و لا موقع للأمر، فلا امتنان أیضا، و ان لم یکن مقرونا بالمانع فمعناه ان الفعل محبوب للشارع فلا محذور من صدق لا ضرر، و صحّة الفعل کالوضوء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الأستاذ أفاد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اذا کان المکلف جاهلا بالضرر، و أما مع العلم به فهل یحکم بصحّته الطهارة المائیّة أم بفسادها؟ أفتی السیّد فی العروة بالفساد و فصل بین العلم بالضرر و العلم بالحرج، فحکم بالفساد فی الأول و بالصحة فی الثانی و المحشون کذلک فیما رأیناه من الحواشی الا المحقّق النائینی ره فاختار عدم الصحّة فی المقامین، و سنذکر الوجه لما ذکره، و الکلام فیه فالأقوال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بصحّة الطهارة المائیة مع العلم بالضرر و العلم بالحرج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بالفساد فی المقامین، کما اختاره المحقّق النائینی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العلم بالضرر فیحکم بالفساد، و بین العلم بالحرج فیحکم بالصحّة کما اختاره فی العروة و لعله المشهور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هو القول الأول، و الحکم بالصحّة فی المقامین لکن فی خصوص الغسل و الوضوء دون غیرهما من العبادات و اجزائها فانه یحکم بالفساد فی غیر الوضوء و الغسل، مع العلم بالحرج، علی ما نشیر الیه قریبا، إن شاء اللّه تعالی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ان الغسل مستحب لنفسه، و کذا</w:t>
      </w:r>
    </w:p>
    <w:p>
      <w:pPr>
        <w:pStyle w:val="BookText"/>
        <w:rPr/>
      </w:pPr>
      <w:r>
        <w:rPr>
          <w:rFonts w:ascii="IRNazanin" w:hAnsi="IRNazanin" w:eastAsia="IRNazanin"/>
          <w:color w:val="111111"/>
          <w:sz w:val="28"/>
          <w:sz w:val="28"/>
          <w:szCs w:val="28"/>
          <w:rtl w:val="true"/>
          <w:lang w:bidi="fa-IR"/>
        </w:rPr>
        <w:t>الوضوء، و قد تقدم ان دلیل لا ضرر حاکم علی الأدلة الدالة علی الأحکام الالزامیة دون الأدلة الدالة علی الأحکام غیر الالزامیة کالاستحباب و الاباحة باعتبار ان دلیل لا ضرر ناظر الی نفی الضرر من قبل الشارع، و الضرر فی موارد الاباحة و الاستحباب مستند الی اختیار المکلف و ارادته لا الی الشارع فالأحکام غیر الالزامیة باقیة بحالها و ان کانت متعلقاتها ضرریة، فالوضوء الضرری و ان کان وجوبه مرفوعا بأدلة نفی الضرر، الا ان استجابه باق بحاله، فصح الاتیان بالوضوء الضرری بداعی استحبابه النفسی أو لغایة مستحبّة، و تحصل له الطهارة من الحدث، و بعد حصولها لا مانع من الصلاة معها لحصول شرطها، و هی الطهارة،، و کذا الحال فی الغسل الضرری فیجری فیه ما ذکرناه فی الوضوء بلا حاجة الی الاعادة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نقول بالصحّة فی غیر الوضوء و الغسل، کما اذا کان القیام حال القراءة ضرریّا أو حرجیّا، فانه تجب الصلاة جالسا، فلو قام فی الصلاة مع العلم بالضرر أو الحرج نحکم ببطلان الصلاة فی کلا المقامین لعدم الأمر بالقیام حینئذ، و ان لم نقل بحرمة الاضرار بالنفس و عدم الأمر کاف فی الحکم بالبطلان، و لذا نحکم بالبطلان مع العلم بالحرج أیضا، کالعلم بالضرر لعدم الأمر فی کلیهما بدلیل لا ضرر و لا حرج</w:t>
      </w:r>
    </w:p>
    <w:p>
      <w:pPr>
        <w:pStyle w:val="BookText"/>
        <w:rPr/>
      </w:pPr>
      <w:r>
        <w:rPr>
          <w:rFonts w:ascii="IRNazanin" w:hAnsi="IRNazanin" w:eastAsia="IRNazanin"/>
          <w:color w:val="111111"/>
          <w:sz w:val="28"/>
          <w:sz w:val="28"/>
          <w:szCs w:val="28"/>
          <w:rtl w:val="true"/>
          <w:lang w:bidi="fa-IR"/>
        </w:rPr>
        <w:t>فلا یبقی مقتضی للصحّة بعد عدم تعلق الأمر و وجود الملاک أیضا غیر محرز، لما ذکرناه سابقا من انه لا سبیل لنا الی احراز الملاک الا الأمر، فمع عدمه لا یحرز وجود الملاک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بالفساد مع العلم بالضرر و العلم بالحرج فهو مبنی علی ما ذکره فی بحث الترتب من ان المکلف منقسم بحسب الأدلة الی واجد الماء فیتوضّأ و الی فاقده فیتیمّم، و التقسیم قاطع للشرکة فلا یمکن الحکم بصحّة الطهارة المائیّة فی ظرف الحکم بصحّة الطهارة الترابیة علی ما هو المفروض فان الحکم بصحّة الوضوء عند الحکم بصحّة التیمّم یستلزم تخییر المکلّف بینهما و هو یشبه الجمع بین النقیضین، لأن الأمر بالتیمم مشروط بعدم وجدان الماء علی ما فی الآیة الشریفة، و الأمر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بالوجدان، فالحکم؟ بصحّة الوضوء و التیمّم یستلزم کون المکلّف واجدا للماء و فاقدا له و هو محال، و حیث ان الحکم بصحّة الطهارة الترابیة فی محل الکلام مفروغ عنه و لیس محلّا للإشکال، فلا مناص من الحکم ببطلان الطهارة المائیّة، بلا فرق بین العلم بالضرر و العلم بالحرج</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المعلق علی عدم وجدان الماء فی الآیة الشریفة هو وجوب التیمّم تعیینا، و کذلک المعلّق علی وجدان الشریفة هو وجوب التیمّم تعیینا، و کذلک المعلّق علی وجدان الماء هو وجوب الوضوء تعیینا و لیس فیها دلالة علی انحصار</w:t>
      </w:r>
    </w:p>
    <w:p>
      <w:pPr>
        <w:pStyle w:val="BookText"/>
        <w:rPr/>
      </w:pPr>
      <w:r>
        <w:rPr>
          <w:rFonts w:ascii="IRNazanin" w:hAnsi="IRNazanin" w:eastAsia="IRNazanin"/>
          <w:color w:val="111111"/>
          <w:sz w:val="28"/>
          <w:sz w:val="28"/>
          <w:szCs w:val="28"/>
          <w:rtl w:val="true"/>
          <w:lang w:bidi="fa-IR"/>
        </w:rPr>
        <w:t>مشروعیة التیمّم بموارد فقدان الماء فبعد رفع وجوب الوضوء لأدلة نفی الضرر أو أدلة نفی الحرج یبقی استحبابه بحاله لما تقدم من عدم حکومة أدلّة نفی الضرر و نفی الحرج الا علی الأحکام الالزامیّة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مما ذکرناه ان هذا النوع من الواجد، أی الذی یکون الوضوء ضررا أو حرجا علیه، یجوز له التیمم ارفاقا له من قبل الشارع و امتنانا علیه، و یجوز له الوضوء أیضا نظرا الی استحبابه النفسی فتکون النتیجة هی التخییر بین الوضوء و التیمّم، 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المکلف واجد للماء، و فاقد له حتی یلزم اجتماع النقیضین،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واجد للماء، و لکن أجاز له الشارع أن یتیمّم ارفاقا له من جهة کون الوضوء ضررا أو حرجا علیه فان جواز التیمم مع کون المکلف واجدا للماء قد ثبت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آوی الی فراشه، فذکر انه غیر متوضئ، فیجوز له التیمّم مع کونه واجدا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أراد أن یصلی علی المیّت فیجوز له التیمّم مع وجدان الماء و ان وقع الخلاف بینهم من حیث انه مختص بما اذا خاف عدم ادراک الصلاة أو یعم غیره أیضا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القرح و الجرح، فیما اذا لم تکن علیهما جبیرة، و کانا عاریین، فانه ان کانت علیهما جبیرة لا اشکال</w:t>
      </w:r>
    </w:p>
    <w:p>
      <w:pPr>
        <w:pStyle w:val="BookText"/>
        <w:rPr/>
      </w:pPr>
      <w:r>
        <w:rPr>
          <w:rFonts w:ascii="IRNazanin" w:hAnsi="IRNazanin" w:eastAsia="IRNazanin"/>
          <w:color w:val="111111"/>
          <w:sz w:val="28"/>
          <w:sz w:val="28"/>
          <w:szCs w:val="28"/>
          <w:rtl w:val="true"/>
          <w:lang w:bidi="fa-IR"/>
        </w:rPr>
        <w:t>فی وجوب المسح علیها، و أما ان کانا عاریین فقد تعارضت فی حکمه الأخبار، ففی بعضها انه یغتسل و یغسل ما حول القرح و الجرح، کما ذکره فی الوسائل فی باب الجبیره، و فی بعضها ان علیه التیمم کما ذکره فی الوسائل أیضا فی باب التیمم، و مقتضی الجمع بینها هو الحکم بالتخییر بین الغسل و التیمم، فیجوز له التیمم مع کونه واجدا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العروة من التفصیل بین العلم بالضرر و العلم بالحرج و الحکم بالفساد فی الأول و بالصحّة فی الثانی فهو مبنی علی ما هو المشهور بین المتأخرین من حرمة الاضرار بالنفس، فیکون المکلف غیر قادر علی استعمال الماء شرعا و الممنوع شرعا کالممتنع عقلا، فتکون الطهارة المائیه مبغوضة باطلة، و یجب علیه التیمم و هذا هو الوجه فی التفکیک بین الضرر و الحرج، و لا یمکن تصحیح الطهارة المائیة علی القول بحرمة الاضرار بالنفس، سواء قلنا بسرایة الحرمة من المسبب، و هو الاضرار، الی السبب، و هو الطهارة المائیة، أم لم نقل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فواضح لکون الطهارة المائیة حینئذ محرمة لا یمکن التقرب بها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الثانی فلان حرمة المعلول و ان لم تکن مسریة الی العلة، الا انه لا یمکن کون العلة واجبا بالفعل مع</w:t>
      </w:r>
    </w:p>
    <w:p>
      <w:pPr>
        <w:pStyle w:val="BookText"/>
        <w:rPr/>
      </w:pPr>
      <w:r>
        <w:rPr>
          <w:rFonts w:ascii="IRNazanin" w:hAnsi="IRNazanin" w:eastAsia="IRNazanin"/>
          <w:color w:val="111111"/>
          <w:sz w:val="28"/>
          <w:sz w:val="28"/>
          <w:szCs w:val="28"/>
          <w:rtl w:val="true"/>
          <w:lang w:bidi="fa-IR"/>
        </w:rPr>
        <w:t>حرمة المعلول، للزوم التکلیف بما لا یطاق لعدم قدرة المکلّف علی امتثال کلیهما، فیکون من قبیل التزاحم، و من المعلوم عدم کون کلا التکلیفین فعلیّا فی باب التزاحم و محل الکلام انما هو صورة العلم بالضرر لا صورة الجهل به، حتی نحکم بصحّة أحد المتزاحمین مع الجهل بالآخر کما تقدم فلا یمکن القول بوجوب الطهارة المائیة فعلا مع حرمة الاضرار بالنفس، لما یلزم من التکلیف بما لا یطاق، فلا أمر بالطهارة المائیّة فتکون باطلة لا محالة، و لا یمکن تصحیحها علی القول بالترتب أیضا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الترتب انما یتصور فیما اذا کان المتزاحمان عرضیین، بحیث یمکن الالتزام بفعلیة أحدهما فی ظرف عصیان الآخر، کوجوب الازالة و الصلاة و المقام لیس کذلک، فانه بعد وقوع التزاحم بین وجوب الطهارة المائیّة و حرمة الاضرار بالنفس لا یمکن الالتزام بوجوب الطهارة المائیة بعد تحقّق عصیان حرمة الاضرار لأن العصیان و الاضرار انما یتحقّقان بنفس الطهارة المائیة لکونها علة للإضرار، فکیف یمکن الالتزام بوجوب الطهارة المائیة بعد عصیان حرمة الاضرار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الترتب انما هو فیما اذا کان الملاک تامّا فی کلا الحکمین و المانع عن فعلیة کلیهما انما هو عجز المکلف عن امتثالهما معا و علیه لا یصح الترتب فی باب الطهارات</w:t>
      </w:r>
    </w:p>
    <w:p>
      <w:pPr>
        <w:pStyle w:val="BookText"/>
        <w:rPr/>
      </w:pPr>
      <w:r>
        <w:rPr>
          <w:rFonts w:ascii="IRNazanin" w:hAnsi="IRNazanin" w:eastAsia="IRNazanin"/>
          <w:color w:val="111111"/>
          <w:sz w:val="28"/>
          <w:sz w:val="28"/>
          <w:szCs w:val="28"/>
          <w:rtl w:val="true"/>
          <w:lang w:bidi="fa-IR"/>
        </w:rPr>
        <w:t>لکونها مشروطة بالقدرة الشرعیة، فمع حرمة الاضرار بالنفس لا یمکن القول بصحّة الطهارة المائیّة لفقدان الشرط، و هو عدم المنع الشرعی، و قد تقدم تفصیل ذلک فی بحث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انه علی القول بحرمة الاضرار بالنفس لا مناص من الالتزام ببطلان الطهارة المائیّة مع العلم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عدم حرمة الاضرار بالنفس، و قد تقدم الکلام فیه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ذکرناه من عدم الفرق بین الضرر و الحرج و الحکم بصحّة الطهارة المائیة مع العلم بالضرر کما فی صورة العلم بالحرج</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الاستحباب یرتفع بالقاعدة، بل قلنا ان الاباحة أیضا ترتفع بها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رفعه خلاف الامتنان، کما ان رفع الاباحة خلافه، و لذا قلنا ان القاعدة لا تقتضی حرمة الاضرار بالنفس برفع الاباحة، و لکن هذا الایراد فی المقام غیر وارد، اذ لا وجه لمنافاته للامتنان الّا سدّ وصول المکلف الی الدرجة العالیة و حرمانه من النیل الی الثواب، و حیث انه لا یحرم برفع الاستحباب بل یمکنه الوصول الی تلک الدرجة بواسطة الملاک الکائن فی الفعل فلا یکون</w:t>
      </w:r>
    </w:p>
    <w:p>
      <w:pPr>
        <w:pStyle w:val="BookText"/>
        <w:rPr/>
      </w:pPr>
      <w:r>
        <w:rPr>
          <w:rFonts w:ascii="IRNazanin" w:hAnsi="IRNazanin" w:eastAsia="IRNazanin"/>
          <w:color w:val="111111"/>
          <w:sz w:val="28"/>
          <w:sz w:val="28"/>
          <w:szCs w:val="28"/>
          <w:rtl w:val="true"/>
          <w:lang w:bidi="fa-IR"/>
        </w:rPr>
        <w:t>الرفع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الامتنان تمامیة الملاک، فانه لو تمّ الملاک لا معنی للمنّة و مع وجود الملاک یمکن للعبد الاتیان بالفعل لکونه ذا ملاک و صفوة القول انه لا اشکال فی ان التکلیف الندبی نحو کلفة و برفعه یکون المکلف فی سعة و مع ذلک لا یکون المکلف محروما من الوصول الی السعادة لإمکان الاتیان بالفعل بداعی کونه محبوبا للمولی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من البطلان فی بقیة الموارد لا وجه له اذ الظاهر من رفع الضرر علی مسلک الشیخ و من تبعه، و منهم الأستاذ ان المقتضی للوضع موجود و الشارع یرفع الحکم منة علی العبد فیمکن ان یتقرب بالفعل الذی تکون المصلحة 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انه علی مذهب الأستاذ یلزم صحة العمل مطلقا لما ذکروا ما علی مسلکنا فلا مقتضی للفساد بلحاظ نفی الضرر فلو کان الوضوء ضرریّا یجب لعدم حرمة الاضرار بالنفس، و أمّا لو کان حرجیا لا یجب لرفع الوجوب لکن یصح</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انه علی ما ذکرنا یکون الوضوء فی کلا الموردین صحیحا غایة الأمر انه لو کان ضرریّا یجب، و أما لو کان حرجیّا لا یجب لکن یصح لوجود الملاک، هذا ما تقتضیه القاعدة الأولیة، مع قطع النظر عن الروایات الخاصة و أما بلحاظها</w:t>
      </w:r>
    </w:p>
    <w:p>
      <w:pPr>
        <w:pStyle w:val="BookText"/>
        <w:rPr/>
      </w:pPr>
      <w:r>
        <w:rPr>
          <w:rFonts w:ascii="IRNazanin" w:hAnsi="IRNazanin" w:eastAsia="IRNazanin"/>
          <w:color w:val="111111"/>
          <w:sz w:val="28"/>
          <w:sz w:val="28"/>
          <w:szCs w:val="28"/>
          <w:rtl w:val="true"/>
          <w:lang w:bidi="fa-IR"/>
        </w:rPr>
        <w:t>یجوز للمکلّف أن یتیمّم اذا کان الماء مضرّا به کما انه یجوز له الجبیرة اذا کان استعمال الماء یضرّ بعضوه للجرح أو الکسر فمن الروایات الدالة علی الموضع الأول ما رواه محمد بن مسلم انه سأل أبا جعفر علیه السلام عن الرجل یکون به القروح و الجراحات فیجنب؟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یتیمّم و لا یغتسل</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من الروایات الدالّة علی الموضع الثانی، ما رواه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عن الکسیر تکون علیه الجبائر، أو تکون به الجراحة کیف یصنع بالوضوء، و عند غسل الجنابة، و غسل الجنابة؟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وصل الیه الغسل ممّا ظهر مما لیس علیه الجبائر، و یدع ما سوی ذلک ممّا لا یستطیع غسله و لا ینزع الجبائر، و یعبث بجراحته</w:t>
      </w:r>
      <w:r>
        <w:rPr>
          <w:rStyle w:val="FootnoteAnchor"/>
          <w:rtl w:val="true"/>
        </w:rPr>
        <w:footnoteReference w:id="158"/>
      </w:r>
      <w:r>
        <w:rPr>
          <w:rFonts w:ascii="IRNazanin" w:hAnsi="IRNazanin" w:eastAsia="IRNazanin"/>
          <w:color w:val="111111"/>
          <w:sz w:val="28"/>
          <w:sz w:val="28"/>
          <w:szCs w:val="28"/>
          <w:rtl w:val="true"/>
          <w:lang w:bidi="fa-IR"/>
        </w:rPr>
        <w:t>بل یستفاد من بعض الروایات حرمة الغسل اذا کان موجبا للضرر الشدید لاحظ ما رواه محمد بن مسکین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أصابته جنابة و هو مجدور فغسلوه فمات، فقال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قتلوه الا سألوا؟ الا یمّموه؟ ان شفاء العیّ السؤال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اعتقد المکلّف ان الماء غیر موجود فی الخارج و هو لا یقدر علی الوضوء فتیمّم و صلی ثم انکشف الخلاف فهل صلاته صحیحة أم لا؟ و الکلام فی هذه المسألة یقع تارة فی انکشاف الخلاف بعد مضی الوقت، و أخری فی أثناء الوقت، أما علی الأول فالظاهر ان صلاته صحیحة، و لا وجه للإعادة، اذ الموضوع للتیمّم تحقّق، و هو عدم القدرة علی الطهارة المائیّة، فان من الظاهر ان القاطع بعدم وجود شی‌ء لا یقدر علیه، و لیس المیزان فی وجوب التیمّم عدم الماء فی الخارج فان الماء لا زال موجود فی الخارج، بل موضوع الوجوب عدم القدرة علی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بجواز البدار لذوی الأعذار و ان عدم القدرة فی جزء من الوقت یکفی لصحّة التیمّم فلا اشکال، و أما لو قلنا ان استیعاب العذر تمام الوقت شرط فمع القطع ببقاء العذر یجوز البدار کما انه فی صورة الشک أیضا یجوز الاستصحاب الاستقبالی، و بعد انکشاف الخلاف لا بدّ من الاعادة الّا علی القول بأن الأمر الظاهری یجزی عن الواقع، و تفصیل الحال موکول الی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یعتقد عدم الماء</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فرع آخر، و هو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الضرر، فان قلنا بأن الاضرار بالنفس لیس حراما، فلا وجه للصحّة علی القاعدة</w:t>
      </w:r>
      <w:bookmarkStart w:id="224" w:name="pg2364_24244"/>
    </w:p>
    <w:p>
      <w:pPr>
        <w:pStyle w:val="BookText"/>
        <w:rPr/>
      </w:pPr>
      <w:bookmarkEnd w:id="224"/>
      <w:r>
        <w:rPr>
          <w:rFonts w:ascii="IRNazanin" w:hAnsi="IRNazanin" w:eastAsia="IRNazanin"/>
          <w:color w:val="111111"/>
          <w:sz w:val="28"/>
          <w:sz w:val="28"/>
          <w:szCs w:val="28"/>
          <w:rtl w:val="true"/>
          <w:lang w:bidi="fa-IR"/>
        </w:rPr>
        <w:t>الّا ان هناک روایات تدل علی صحّة التیمّم مع خوف الضرر فمع القطع بالضرر بطریق أولی، و تفصیل الکلام موکول الی الفقه، و أما لو قلنا بحرمة الاضرار بالنفس فمع الاعتقاد بالضرر یکون غیر متمکن من الوضوء</w:t>
      </w:r>
      <w:r>
        <w:rPr>
          <w:rFonts w:eastAsia="IRNazanin" w:cs="IRNazanin"/>
          <w:color w:val="111111"/>
          <w:sz w:val="28"/>
          <w:szCs w:val="28"/>
          <w:rtl w:val="true"/>
          <w:lang w:bidi="fa-IR"/>
        </w:rPr>
        <w:t>.</w:t>
      </w:r>
    </w:p>
    <w:p>
      <w:pPr>
        <w:pStyle w:val="Heading4"/>
        <w:numPr>
          <w:ilvl w:val="3"/>
          <w:numId w:val="1"/>
        </w:numPr>
        <w:rPr/>
      </w:pPr>
      <w:bookmarkStart w:id="225" w:name="__RefHeading___Toc2826015_3804643083"/>
      <w:bookmarkStart w:id="226" w:name="_Toc88"/>
      <w:bookmarkEnd w:id="225"/>
      <w:r>
        <w:rPr>
          <w:rtl w:val="true"/>
        </w:rPr>
        <w:t>التنبیه السادس</w:t>
      </w:r>
      <w:r>
        <w:rPr>
          <w:rtl w:val="true"/>
        </w:rPr>
        <w:t xml:space="preserve">: </w:t>
      </w:r>
      <w:r>
        <w:rPr>
          <w:rtl w:val="true"/>
        </w:rPr>
        <w:t>انه وقع الکلام بینهم فی ان حدیث لا ضرر کما یرفع الأحکام الوجودیة کذلک یرفع الأحکام العدمیة،</w:t>
      </w:r>
      <w:bookmarkEnd w:id="226"/>
    </w:p>
    <w:p>
      <w:pPr>
        <w:pStyle w:val="BookText"/>
        <w:rPr/>
      </w:pPr>
      <w:r>
        <w:rPr>
          <w:rFonts w:ascii="IRNazanin" w:hAnsi="IRNazanin" w:eastAsia="IRNazanin"/>
          <w:color w:val="111111"/>
          <w:sz w:val="28"/>
          <w:sz w:val="28"/>
          <w:szCs w:val="28"/>
          <w:rtl w:val="true"/>
          <w:lang w:bidi="fa-IR"/>
        </w:rPr>
        <w:t>ربما یقال بأنه یرفع الحکم العدمی کما یرفع الحکم الوجودی فلو حبس شخص غیره و فی أثره شرد دابته یلزم الحکم بضمان الحابس فان عدم الحکم بالضمان حکم ضرری فیکون منفیّا بالحدیث و أیضا لو لم یدفع الزوج نفقة زوجته فلم یحکم بجواز الطلاق یکون ضررا بالنسبة الی الزوجة فیلزم الحکم بجواز الطلاق، فان مقتضی عدم العدم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النقاش فیه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ان الحکم أمر وجودی و عدم الحکم لیس حکما کی یرتفع، و أفاد سیّدنا الأستاذ بأنه اذا کان المورد قابلا للحکم فکما ان الحکم قابل للجعل یکون العدم أیضا قابلا له سیّما بملاحظة ما ورد من انه لیس شی‌ء الّا و قد بیّن الشارع حکمه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ان کل موضوع یکون محکوما بحکم وجودی یکون محکوما بالأحکام 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أکل التفاح مستحب،</w:t>
      </w:r>
    </w:p>
    <w:p>
      <w:pPr>
        <w:pStyle w:val="BookText"/>
        <w:rPr/>
      </w:pPr>
      <w:r>
        <w:rPr>
          <w:rFonts w:ascii="IRNazanin" w:hAnsi="IRNazanin" w:eastAsia="IRNazanin"/>
          <w:color w:val="111111"/>
          <w:sz w:val="28"/>
          <w:sz w:val="28"/>
          <w:szCs w:val="28"/>
          <w:rtl w:val="true"/>
          <w:lang w:bidi="fa-IR"/>
        </w:rPr>
        <w:t>و لیس واجبا و لیس حراما، و هکذا و الحال انه لیس محکوما بالأحکام العدمیّة هذا أولا،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الضمان و أمثاله لا یحتاج الی الجعل مثلا لو أتلف أحد مال الغیر فالضمان من قبل المولی یتحقق لحکمه بالضمان، و أما عدم الضمان فلا یحتاج الی جعل و لا یترتّب علی العدم أی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من ان کل شی‌ء له حکم معناه ان کل فعل من أفعال العبد محکوم بأحد الأحکام الخمسة، و أما اتلاف مال الغیر فلا بدّ من انه اما یحکم علیه بالضمان أو یحکم علیه بعدم الضمان فلا دلیل علیه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أغمض عن الوجه الأول نقول یرد فیه الاشکال من ناحیة أخری و الاشکال عبارة عن ان مفاد الحدیث نفی الحکم الضرری لا تدارک الضرر الموجود و بعبارة أخری لا یتوجّه ضرر الی أحد من ناحیة الشارع لا ان الشارع متدارک الضرر الموجود من ناحیة أخری، و فی المقام الضرر یتوجّه الی المحبوس من ناحیة الحابس، کما ان الضرر یتوجّه الی الزوجة من ناحیة الزوج فانه یمسک عن الانفاق، و أما الزوجیة فهی تحقّق من ناحیة الزوجة، و أما الطلاق فبید الزوج و لا یترتّب علیه ضرر، بل الضرر من امساک الزوج فبدلیل لا ضرر لا یمکن رفع الید عن لزوم کون الطلاق بید الزوج مضافا الی ان حکم الشارع بضمان الحابس ضرر علیه، کما ان تجویز طلاق</w:t>
      </w:r>
      <w:bookmarkStart w:id="227" w:name="pg2364_24246"/>
    </w:p>
    <w:p>
      <w:pPr>
        <w:pStyle w:val="BookText"/>
        <w:rPr/>
      </w:pPr>
      <w:bookmarkEnd w:id="227"/>
      <w:r>
        <w:rPr>
          <w:rFonts w:ascii="IRNazanin" w:hAnsi="IRNazanin" w:eastAsia="IRNazanin"/>
          <w:color w:val="111111"/>
          <w:sz w:val="28"/>
          <w:sz w:val="28"/>
          <w:szCs w:val="28"/>
          <w:rtl w:val="true"/>
          <w:lang w:bidi="fa-IR"/>
        </w:rPr>
        <w:t>المرأة ضرر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الحابس و الزوج أقدما علی الضرر، فلا یشملهما الدلیل؟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أقدما علی الاضرار بالغیر لا علی الاضرار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روایات تدل علی جواز تصدی الحاکم الشرعی للطلاق و البحث فقهیّ موکول الی محلّه، هذا کله علی مسلک الشیخ، و أما علی ما مسلکنا فلا مجال لهذا البحث کما هو ظاهر</w:t>
      </w:r>
      <w:r>
        <w:rPr>
          <w:rFonts w:eastAsia="IRNazanin" w:cs="IRNazanin"/>
          <w:color w:val="111111"/>
          <w:sz w:val="28"/>
          <w:szCs w:val="28"/>
          <w:rtl w:val="true"/>
          <w:lang w:bidi="fa-IR"/>
        </w:rPr>
        <w:t>.</w:t>
      </w:r>
    </w:p>
    <w:p>
      <w:pPr>
        <w:pStyle w:val="Heading4"/>
        <w:numPr>
          <w:ilvl w:val="3"/>
          <w:numId w:val="1"/>
        </w:numPr>
        <w:rPr/>
      </w:pPr>
      <w:bookmarkStart w:id="228" w:name="__RefHeading___Toc2826017_3804643083"/>
      <w:bookmarkStart w:id="229" w:name="_Toc89"/>
      <w:bookmarkEnd w:id="228"/>
      <w:r>
        <w:rPr>
          <w:rtl w:val="true"/>
        </w:rPr>
        <w:t>التنبیه السابع</w:t>
      </w:r>
      <w:r>
        <w:rPr>
          <w:rtl w:val="true"/>
        </w:rPr>
        <w:t xml:space="preserve">: </w:t>
      </w:r>
      <w:r>
        <w:rPr>
          <w:rtl w:val="true"/>
        </w:rPr>
        <w:t>فی تعارض الضررین</w:t>
      </w:r>
      <w:bookmarkEnd w:id="229"/>
    </w:p>
    <w:p>
      <w:pPr>
        <w:pStyle w:val="Heading5"/>
        <w:numPr>
          <w:ilvl w:val="4"/>
          <w:numId w:val="1"/>
        </w:numPr>
        <w:rPr/>
      </w:pPr>
      <w:bookmarkStart w:id="230" w:name="__RefHeading___Toc2826019_3804643083"/>
      <w:bookmarkStart w:id="231" w:name="_Toc90"/>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و یقع الکلام فی تحقیقه فی ضمن ثلاث مسائل</w:t>
      </w:r>
      <w:r>
        <w:rPr>
          <w:rFonts w:eastAsia="IRNazanin" w:cs="IRNazanin"/>
          <w:color w:val="111111"/>
          <w:sz w:val="28"/>
          <w:szCs w:val="28"/>
          <w:rtl w:val="true"/>
          <w:lang w:bidi="fa-IR"/>
        </w:rPr>
        <w:t>:</w:t>
      </w:r>
    </w:p>
    <w:p>
      <w:pPr>
        <w:pStyle w:val="Heading5"/>
        <w:numPr>
          <w:ilvl w:val="4"/>
          <w:numId w:val="1"/>
        </w:numPr>
        <w:rPr/>
      </w:pPr>
      <w:bookmarkStart w:id="232" w:name="__RefHeading___Toc2826021_3804643083"/>
      <w:bookmarkStart w:id="233" w:name="_Toc91"/>
      <w:bookmarkEnd w:id="232"/>
      <w:r>
        <w:rPr>
          <w:rtl w:val="true"/>
        </w:rPr>
        <w:t>المسألة الأولی</w:t>
      </w:r>
      <w:r>
        <w:rPr>
          <w:rtl w:val="true"/>
        </w:rPr>
        <w:t xml:space="preserve">: </w:t>
      </w:r>
      <w:r>
        <w:rPr>
          <w:rtl w:val="true"/>
        </w:rPr>
        <w:t>انه لو دار أمر المکلّف بین ضررین،</w:t>
      </w:r>
      <w:bookmarkEnd w:id="233"/>
    </w:p>
    <w:p>
      <w:pPr>
        <w:pStyle w:val="Heading6"/>
        <w:numPr>
          <w:ilvl w:val="5"/>
          <w:numId w:val="1"/>
        </w:numPr>
        <w:rPr/>
      </w:pPr>
      <w:bookmarkStart w:id="234" w:name="__RefHeading___Toc2826023_3804643083"/>
      <w:bookmarkStart w:id="235" w:name="_Toc92"/>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و لها صور ثلاث</w:t>
      </w:r>
      <w:r>
        <w:rPr>
          <w:rFonts w:eastAsia="IRNazanin" w:cs="IRNazanin"/>
          <w:color w:val="111111"/>
          <w:sz w:val="28"/>
          <w:szCs w:val="28"/>
          <w:rtl w:val="true"/>
          <w:lang w:bidi="fa-IR"/>
        </w:rPr>
        <w:t>:</w:t>
      </w:r>
    </w:p>
    <w:p>
      <w:pPr>
        <w:pStyle w:val="Heading6"/>
        <w:numPr>
          <w:ilvl w:val="5"/>
          <w:numId w:val="1"/>
        </w:numPr>
        <w:rPr/>
      </w:pPr>
      <w:bookmarkStart w:id="236" w:name="__RefHeading___Toc2826025_3804643083"/>
      <w:bookmarkStart w:id="237" w:name="_Toc93"/>
      <w:bookmarkEnd w:id="236"/>
      <w:r>
        <w:rPr>
          <w:rtl w:val="true"/>
        </w:rPr>
        <w:t>الأولی</w:t>
      </w:r>
      <w:r>
        <w:rPr>
          <w:rtl w:val="true"/>
        </w:rPr>
        <w:t xml:space="preserve">: </w:t>
      </w:r>
      <w:r>
        <w:rPr>
          <w:rtl w:val="true"/>
        </w:rPr>
        <w:t>انه ما لو تردد بین ضررین مباحین و حکمه ظاهر</w:t>
      </w:r>
      <w:bookmarkEnd w:id="237"/>
    </w:p>
    <w:p>
      <w:pPr>
        <w:pStyle w:val="BookText"/>
        <w:rPr/>
      </w:pPr>
      <w:r>
        <w:rPr>
          <w:rFonts w:ascii="IRNazanin" w:hAnsi="IRNazanin" w:eastAsia="IRNazanin"/>
          <w:color w:val="111111"/>
          <w:sz w:val="28"/>
          <w:sz w:val="28"/>
          <w:szCs w:val="28"/>
          <w:rtl w:val="true"/>
          <w:lang w:bidi="fa-IR"/>
        </w:rPr>
        <w:t>فانه مخیر بلا اشکال</w:t>
      </w:r>
      <w:r>
        <w:rPr>
          <w:rFonts w:eastAsia="IRNazanin" w:cs="IRNazanin"/>
          <w:color w:val="111111"/>
          <w:sz w:val="28"/>
          <w:szCs w:val="28"/>
          <w:rtl w:val="true"/>
          <w:lang w:bidi="fa-IR"/>
        </w:rPr>
        <w:t>.</w:t>
      </w:r>
    </w:p>
    <w:p>
      <w:pPr>
        <w:pStyle w:val="Heading6"/>
        <w:numPr>
          <w:ilvl w:val="5"/>
          <w:numId w:val="1"/>
        </w:numPr>
        <w:rPr/>
      </w:pPr>
      <w:bookmarkStart w:id="238" w:name="__RefHeading___Toc2826027_3804643083"/>
      <w:bookmarkStart w:id="239" w:name="_Toc94"/>
      <w:bookmarkEnd w:id="238"/>
      <w:r>
        <w:rPr>
          <w:rtl w:val="true"/>
        </w:rPr>
        <w:t>الثانیة</w:t>
      </w:r>
      <w:r>
        <w:rPr>
          <w:rtl w:val="true"/>
        </w:rPr>
        <w:t xml:space="preserve">: </w:t>
      </w:r>
      <w:r>
        <w:rPr>
          <w:rtl w:val="true"/>
        </w:rPr>
        <w:t>ما لو تردّد بین ضرر حرام و ضرر مباح</w:t>
      </w:r>
      <w:bookmarkEnd w:id="239"/>
    </w:p>
    <w:p>
      <w:pPr>
        <w:pStyle w:val="BookText"/>
        <w:rPr/>
      </w:pPr>
      <w:r>
        <w:rPr>
          <w:rFonts w:ascii="IRNazanin" w:hAnsi="IRNazanin" w:eastAsia="IRNazanin"/>
          <w:color w:val="111111"/>
          <w:sz w:val="28"/>
          <w:sz w:val="28"/>
          <w:szCs w:val="28"/>
          <w:rtl w:val="true"/>
          <w:lang w:bidi="fa-IR"/>
        </w:rPr>
        <w:t>و حکمه أیضا ظاهر</w:t>
      </w:r>
      <w:r>
        <w:rPr>
          <w:rFonts w:eastAsia="IRNazanin" w:cs="IRNazanin"/>
          <w:color w:val="111111"/>
          <w:sz w:val="28"/>
          <w:szCs w:val="28"/>
          <w:rtl w:val="true"/>
          <w:lang w:bidi="fa-IR"/>
        </w:rPr>
        <w:t>.</w:t>
      </w:r>
    </w:p>
    <w:p>
      <w:pPr>
        <w:pStyle w:val="Heading6"/>
        <w:numPr>
          <w:ilvl w:val="5"/>
          <w:numId w:val="1"/>
        </w:numPr>
        <w:rPr/>
      </w:pPr>
      <w:bookmarkStart w:id="240" w:name="__RefHeading___Toc2826029_3804643083"/>
      <w:bookmarkStart w:id="241" w:name="_Toc95"/>
      <w:bookmarkEnd w:id="240"/>
      <w:r>
        <w:rPr>
          <w:rtl w:val="true"/>
        </w:rPr>
        <w:t>الثالثة</w:t>
      </w:r>
      <w:r>
        <w:rPr>
          <w:rtl w:val="true"/>
        </w:rPr>
        <w:t xml:space="preserve">: </w:t>
      </w:r>
      <w:r>
        <w:rPr>
          <w:rtl w:val="true"/>
        </w:rPr>
        <w:t>ما لو دار أمره بین ضررین محرمین</w:t>
      </w:r>
      <w:bookmarkEnd w:id="241"/>
    </w:p>
    <w:p>
      <w:pPr>
        <w:pStyle w:val="BookText"/>
        <w:rPr/>
      </w:pPr>
      <w:r>
        <w:rPr>
          <w:rFonts w:ascii="IRNazanin" w:hAnsi="IRNazanin" w:eastAsia="IRNazanin"/>
          <w:color w:val="111111"/>
          <w:sz w:val="28"/>
          <w:sz w:val="28"/>
          <w:szCs w:val="28"/>
          <w:rtl w:val="true"/>
          <w:lang w:bidi="fa-IR"/>
        </w:rPr>
        <w:t>فطبعا یکون من صغریات باب التزاحم</w:t>
      </w:r>
      <w:r>
        <w:rPr>
          <w:rFonts w:eastAsia="IRNazanin" w:cs="IRNazanin"/>
          <w:color w:val="111111"/>
          <w:sz w:val="28"/>
          <w:szCs w:val="28"/>
          <w:rtl w:val="true"/>
          <w:lang w:bidi="fa-IR"/>
        </w:rPr>
        <w:t>.</w:t>
      </w:r>
    </w:p>
    <w:p>
      <w:pPr>
        <w:pStyle w:val="Heading5"/>
        <w:numPr>
          <w:ilvl w:val="4"/>
          <w:numId w:val="1"/>
        </w:numPr>
        <w:rPr/>
      </w:pPr>
      <w:bookmarkStart w:id="242" w:name="__RefHeading___Toc2826031_3804643083"/>
      <w:bookmarkStart w:id="243" w:name="_Toc96"/>
      <w:bookmarkEnd w:id="242"/>
      <w:r>
        <w:rPr>
          <w:rtl w:val="true"/>
        </w:rPr>
        <w:t>المسألة الثانیة</w:t>
      </w:r>
      <w:r>
        <w:rPr>
          <w:rtl w:val="true"/>
        </w:rPr>
        <w:t xml:space="preserve">: </w:t>
      </w:r>
      <w:r>
        <w:rPr>
          <w:rtl w:val="true"/>
        </w:rPr>
        <w:t>ما لو دار الضرر بین شخصین،</w:t>
      </w:r>
      <w:bookmarkEnd w:id="24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w:t>
      </w:r>
      <w:bookmarkStart w:id="244" w:name="pg2364_24247"/>
    </w:p>
    <w:p>
      <w:pPr>
        <w:pStyle w:val="BookText"/>
        <w:rPr/>
      </w:pPr>
      <w:bookmarkEnd w:id="244"/>
      <w:r>
        <w:rPr>
          <w:rFonts w:ascii="IRNazanin" w:hAnsi="IRNazanin" w:eastAsia="IRNazanin"/>
          <w:color w:val="111111"/>
          <w:sz w:val="28"/>
          <w:sz w:val="28"/>
          <w:szCs w:val="28"/>
          <w:rtl w:val="true"/>
          <w:lang w:bidi="fa-IR"/>
        </w:rPr>
        <w:t>دخل رأس دابة زید فی قدر بکر فیلزم اما کسر القدر، أو ذبح الدابة، و لهذه المسألة أیضا ثلاثة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بفعل أحد المالکین، ففی هذا الفرض یجب علیه ایصال المال الی صاحبه، و لو باتلاف 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بفعل شخص ثالث أفاد سیّدنا الأستاذ بأنه یتخیّر فی مثله، و لیس الأمر کذلک بل یلزم اختیار ما یکون أقلّ ضررا لحرمة الاسراف، و یمکن تقریب المدّعی ببیان آخر، و هو انه یکون المقام داخلا فی کبری التزاحم و العقل یلزم الأخذ بما یکون أقل ضررا فان الأهمیة فی طرف الآخر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بآفة مساویة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الأخذ بأقل ضررا، و ضمانه علی الآخر، و لا وجه لهذا القول و القول بأن کل الناس بمنزلة شخص واحد فالضرر المتوجّه الی أحد الشخصین کأحد الضررین المتوجّه الی شخص واحد مع انه باطل فی حدّ نفسه لا یثبت هذا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یراجع الی الحاکم الشرعی، و هو یتصدی الأمر، و یوقع الضرر علی کلیهما بقاعدة العدل و الانصاف</w:t>
      </w:r>
      <w:r>
        <w:rPr>
          <w:rFonts w:eastAsia="IRNazanin" w:cs="IRNazanin"/>
          <w:color w:val="111111"/>
          <w:sz w:val="28"/>
          <w:szCs w:val="28"/>
          <w:rtl w:val="true"/>
          <w:lang w:bidi="fa-IR"/>
        </w:rPr>
        <w:t>.</w:t>
      </w:r>
    </w:p>
    <w:p>
      <w:pPr>
        <w:pStyle w:val="Heading5"/>
        <w:numPr>
          <w:ilvl w:val="4"/>
          <w:numId w:val="1"/>
        </w:numPr>
        <w:rPr/>
      </w:pPr>
      <w:bookmarkStart w:id="245" w:name="__RefHeading___Toc2826033_3804643083"/>
      <w:bookmarkStart w:id="246" w:name="_Toc97"/>
      <w:bookmarkEnd w:id="245"/>
      <w:r>
        <w:rPr>
          <w:rtl w:val="true"/>
        </w:rPr>
        <w:t>المسألة الثالثة</w:t>
      </w:r>
      <w:r>
        <w:rPr>
          <w:rtl w:val="true"/>
        </w:rPr>
        <w:t xml:space="preserve">: </w:t>
      </w:r>
      <w:r>
        <w:rPr>
          <w:rtl w:val="true"/>
        </w:rPr>
        <w:t>ما اذا دار الأمر بین تضرّر شخص و الاضرار بالغیر من جهة التصرّف فی ملکه،</w:t>
      </w:r>
      <w:bookmarkEnd w:id="2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کمن حفر فی داره</w:t>
      </w:r>
    </w:p>
    <w:p>
      <w:pPr>
        <w:pStyle w:val="BookText"/>
        <w:rPr/>
      </w:pPr>
      <w:r>
        <w:rPr>
          <w:rFonts w:ascii="IRNazanin" w:hAnsi="IRNazanin" w:eastAsia="IRNazanin"/>
          <w:color w:val="111111"/>
          <w:sz w:val="28"/>
          <w:sz w:val="28"/>
          <w:szCs w:val="28"/>
          <w:rtl w:val="true"/>
          <w:lang w:bidi="fa-IR"/>
        </w:rPr>
        <w:t>بالوعة أو بئرا یکون موجبا للضرر علی الجار مثلا و توضیح ذلک یقتضی ذکر أقسام تصرّف المالک فی ملکه الموجب للإضرار بالجار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تصرفه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المالک بتصرّفه قاصدا لإضرار الجار من دون أن یکون فیه نفع له أو فی ترکه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مع کون الداعی الی التصرّف مجرّد البعث و المیل النفسانی لا الاضرار بالجار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التصرّف بداعی المنفعة بأن یکون فی ترکه فوات منفعة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الداعی التحرّز عن الضرر بأن یکون فی ترکه ضرر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المنسوب الی المشهور جواز التصرّف و عدم الضمان فی الصورتین الأخیرتین بعد التسالم علی الحرمة و الضمان فی الصورتین الأولیین اما وجه الحرمة و الضمان فی الصورتین الأولیین فظاهر، فانه لا اشکال فی حرمة الاضرار بالغیر و لا سیّما الجار، و المفروض انه لا یکون فیهما شی‌ء ترتفع به حرمة الاضرار بالغیر، و أما الوجه لجواز التصرّف و عدم الضمان فی الصورتین الأخیرتین فقد استدلّ له بأن منع المالک عن التصرف فی ملکه حرج علیه و دلیل نفی الحرج حاکم علی أدلة نفی الضرر، کما انه حاکم علی الأدلّة المثبتة للأحکام، و هذا الدلیل ممنوع صغری و کبری، أما</w:t>
      </w:r>
    </w:p>
    <w:p>
      <w:pPr>
        <w:pStyle w:val="BookText"/>
        <w:rPr/>
      </w:pPr>
      <w:r>
        <w:rPr>
          <w:rFonts w:ascii="IRNazanin" w:hAnsi="IRNazanin" w:eastAsia="IRNazanin"/>
          <w:color w:val="111111"/>
          <w:sz w:val="28"/>
          <w:sz w:val="28"/>
          <w:szCs w:val="28"/>
          <w:rtl w:val="true"/>
          <w:lang w:bidi="fa-IR"/>
        </w:rPr>
        <w:t>الصغری فلعدم کون منع المالک عن التصرف فی ملکه حرجا علیه مطلقا، فان الحرج المنفی فی الشریعة المقدسة انما هو بمعنی المشقّة التی لا تتحمّل عادة و من الظاهر ان منع المالک عن التصرّف فی ملکه لا یکون موجبا للمشقّة التی لا تتحمل عادة مطلقا، بل قد یکون و قد لا یکون، و لیس الحرج المنفی فی الشریعة المقدّسة بمعنی مطلق الکلفة و الّا کان جمیع التکالیف حرجیّة فانها کلفة و منافیة لحریّة الانسان، و للعمل بما تشتهی الأنفس، و أما الکبری فلأنه لا وجه لحکومة أدلّة نفی الحرج علی أدلّة نفی الضرر، فان کل واحد منهما ناظر الی الأدلة الدالة علی الأحکام الأولیة، و یقیّدها بغیر موارد الحرج و الضرر فی مرتبة واحدة فلا وجه لحکومته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أفاد سیّدنا الأستاذ، و هو صحیح، لکن الاشکال فی أصل المبنی، فانا ذکرنا ان المستفاد من دلیل لا ضرر النهی عن الضرر، و لیس المستفاد منه نفی الأحکام علی ما هو المشهور بین القوم، فدلیل حرمة الاضرار بالغیر یبقی علی حاله و یقتضی الحرمة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الامساک عن التصرّف حرجیّا و فرض ذلک و قلنا ان دلیل نفی الحرج یرفع الأحکام الالزامیّة حتی فی موارد توجه ضرر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نضائق</w:t>
      </w:r>
    </w:p>
    <w:p>
      <w:pPr>
        <w:pStyle w:val="BookText"/>
        <w:rPr/>
      </w:pPr>
      <w:r>
        <w:rPr>
          <w:rFonts w:ascii="IRNazanin" w:hAnsi="IRNazanin" w:eastAsia="IRNazanin"/>
          <w:color w:val="111111"/>
          <w:sz w:val="28"/>
          <w:sz w:val="28"/>
          <w:szCs w:val="28"/>
          <w:rtl w:val="true"/>
          <w:lang w:bidi="fa-IR"/>
        </w:rPr>
        <w:t>من القول بالجواز غایة الأمر لو توجّه ضرر الی الغیر و تلف منه شی‌ء یکون المتلف ضامنا، اذ لا تنافی بین رفع الحکم الالزامی بدلیل لا حرج، و اثبات الضمان بدلیل من أتلف، فان دلیل من أتلف یقتضی الضمان بالاتلاف، و لو کان الاتلاف جائزا و لذا لو أتلف مال الغیر غفلة أو اکراها أو فی حال النوم یکون ضامنا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قاعدة لا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الحاجیانی الدشتی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آداب القضاء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صفحة </w:t>
      </w:r>
      <w:r>
        <w:rPr>
          <w:rFonts w:eastAsia="IRNazanin" w:cs="IRNazanin"/>
          <w:b w:val="false"/>
          <w:bCs w:val="false"/>
          <w:i w:val="false"/>
          <w:iCs w:val="false"/>
          <w:color w:val="333333"/>
          <w:sz w:val="20"/>
          <w:szCs w:val="20"/>
        </w:rPr>
        <w:t>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28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صفحة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الی الحج و غیره،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الحدیث </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الحدیث </w:t>
      </w:r>
      <w:r>
        <w:rPr>
          <w:rFonts w:eastAsia="IRNazanin" w:cs="IRNazanin"/>
          <w:b w:val="false"/>
          <w:bCs w:val="false"/>
          <w:i w:val="false"/>
          <w:iCs w:val="false"/>
          <w:color w:val="333333"/>
          <w:sz w:val="20"/>
          <w:szCs w:val="20"/>
        </w:rPr>
        <w:t>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من أبواب ما یکتب به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ح </w:t>
      </w:r>
      <w:r>
        <w:rPr>
          <w:rFonts w:eastAsia="IRNazanin" w:cs="IRNazanin"/>
          <w:b w:val="false"/>
          <w:bCs w:val="false"/>
          <w:i w:val="false"/>
          <w:iCs w:val="false"/>
          <w:color w:val="333333"/>
          <w:sz w:val="20"/>
          <w:szCs w:val="20"/>
        </w:rPr>
        <w:t>14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ح </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ح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ح </w:t>
      </w:r>
      <w:r>
        <w:rPr>
          <w:rFonts w:eastAsia="IRNazanin" w:cs="IRNazanin"/>
          <w:b w:val="false"/>
          <w:bCs w:val="false"/>
          <w:i w:val="false"/>
          <w:iCs w:val="false"/>
          <w:color w:val="333333"/>
          <w:sz w:val="20"/>
          <w:szCs w:val="20"/>
        </w:rPr>
        <w:t>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الوصیة، حدیث </w:t>
      </w:r>
      <w:r>
        <w:rPr>
          <w:rFonts w:eastAsia="IRNazanin" w:cs="IRNazanin"/>
          <w:b w:val="false"/>
          <w:bCs w:val="false"/>
          <w:i w:val="false"/>
          <w:iCs w:val="false"/>
          <w:color w:val="333333"/>
          <w:sz w:val="20"/>
          <w:szCs w:val="20"/>
        </w:rPr>
        <w:t>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حدیث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ح </w:t>
      </w:r>
      <w:r>
        <w:rPr>
          <w:rFonts w:eastAsia="IRNazanin" w:cs="IRNazanin"/>
          <w:b w:val="false"/>
          <w:bCs w:val="false"/>
          <w:i w:val="false"/>
          <w:iCs w:val="false"/>
          <w:color w:val="333333"/>
          <w:sz w:val="20"/>
          <w:szCs w:val="20"/>
        </w:rPr>
        <w:t>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ح </w:t>
      </w:r>
      <w:r>
        <w:rPr>
          <w:rFonts w:eastAsia="IRNazanin" w:cs="IRNazanin"/>
          <w:b w:val="false"/>
          <w:bCs w:val="false"/>
          <w:i w:val="false"/>
          <w:iCs w:val="false"/>
          <w:color w:val="333333"/>
          <w:sz w:val="20"/>
          <w:szCs w:val="20"/>
        </w:rPr>
        <w:t>14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ح </w:t>
      </w:r>
      <w:r>
        <w:rPr>
          <w:rFonts w:eastAsia="IRNazanin" w:cs="IRNazanin"/>
          <w:b w:val="false"/>
          <w:bCs w:val="false"/>
          <w:i w:val="false"/>
          <w:iCs w:val="false"/>
          <w:color w:val="333333"/>
          <w:sz w:val="20"/>
          <w:szCs w:val="20"/>
        </w:rPr>
        <w:t>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الشفعة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احیاء الموات ح </w:t>
      </w:r>
      <w:r>
        <w:rPr>
          <w:rFonts w:eastAsia="IRNazanin" w:cs="IRNazanin"/>
          <w:b w:val="false"/>
          <w:bCs w:val="false"/>
          <w:i w:val="false"/>
          <w:iCs w:val="false"/>
          <w:color w:val="333333"/>
          <w:sz w:val="20"/>
          <w:szCs w:val="20"/>
        </w:rPr>
        <w:t>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الأعظم فی الرسائل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رسالة المعمولة بها فی قاعدة لا ضرر المطبوعة فی آخر المکاسب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فیهما عن فخر الدین و أمضاه و المحقق الخراسانی فی الکفایة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النراقی فی العوائد حکاه عن فخر الدین و لم یردّ علیه و سیدنا الأستاذ فی 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المعاصرین فی القواعد الفقهیّة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سلّم تواتره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الحکیم فی حقائق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رحمة اللّه، و مصباح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لیس بین الرجل و ولده ربا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صفحة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مناجشة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رهبانیّة فی الإسلام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رهب</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طبع رحمة اللّه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556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25872</Words>
  <Characters>104115</Characters>
  <CharactersWithSpaces>129120</CharactersWithSpaces>
  <Paragraphs>1125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2026-08-17T07:14:37Z</dcterms:created>
  <dc:creator>ghaemiyeh.com</dc:creator>
  <dc:description/>
  <dc:language>en-US</dc:language>
  <cp:lastModifiedBy/>
  <dcterms:modified xsi:type="dcterms:W3CDTF">2026-08-17T10:44:41Z</dcterms:modified>
  <cp:revision>1</cp:revision>
  <dc:subject/>
  <dc:title>رسائل ثلاث العداله التوبه قاعده لاضرر</dc:title>
</cp:coreProperties>
</file>

<file path=docProps/custom.xml><?xml version="1.0" encoding="utf-8"?>
<Properties xmlns="http://schemas.openxmlformats.org/officeDocument/2006/custom-properties" xmlns:vt="http://schemas.openxmlformats.org/officeDocument/2006/docPropsVTypes"/>
</file>