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تهذیب طریق الوصول الی علم الاصول للعلامه الحلی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2396_380464308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92398_3804643083">
            <w:r>
              <w:rPr>
                <w:webHidden/>
                <w:rStyle w:val="IndexLink"/>
                <w:rtl w:val="true"/>
              </w:rPr>
              <w:t>مقدّمة التحقیق</w:t>
            </w:r>
            <w:r>
              <w:rPr>
                <w:rStyle w:val="IndexLink"/>
                <w:rtl w:val="true"/>
              </w:rPr>
              <w:t>:</w:t>
              <w:tab/>
            </w:r>
            <w:r>
              <w:rPr>
                <w:rStyle w:val="IndexLink"/>
              </w:rPr>
              <w:t>8</w:t>
            </w:r>
          </w:hyperlink>
        </w:p>
        <w:p>
          <w:pPr>
            <w:pStyle w:val="Contents3"/>
            <w:tabs>
              <w:tab w:val="clear" w:pos="8459"/>
              <w:tab w:val="right" w:pos="9026" w:leader="dot"/>
            </w:tabs>
            <w:rPr/>
          </w:pPr>
          <w:hyperlink w:anchor="__RefHeading___Toc2792400_380464308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792402_380464308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792404_3804643083">
            <w:r>
              <w:rPr>
                <w:webHidden/>
                <w:rStyle w:val="IndexLink"/>
                <w:rtl w:val="true"/>
              </w:rPr>
              <w:t>مصنّفاته فی اصول الفقه</w:t>
            </w:r>
            <w:r>
              <w:rPr>
                <w:rStyle w:val="IndexLink"/>
                <w:rtl w:val="true"/>
              </w:rPr>
              <w:t>:</w:t>
              <w:tab/>
            </w:r>
            <w:r>
              <w:rPr>
                <w:rStyle w:val="IndexLink"/>
              </w:rPr>
              <w:t>18</w:t>
            </w:r>
          </w:hyperlink>
        </w:p>
        <w:p>
          <w:pPr>
            <w:pStyle w:val="Contents3"/>
            <w:tabs>
              <w:tab w:val="clear" w:pos="8459"/>
              <w:tab w:val="right" w:pos="9026" w:leader="dot"/>
            </w:tabs>
            <w:rPr/>
          </w:pPr>
          <w:hyperlink w:anchor="__RefHeading___Toc2792406_3804643083">
            <w:r>
              <w:rPr>
                <w:webHidden/>
                <w:rStyle w:val="IndexLink"/>
                <w:rtl w:val="true"/>
              </w:rPr>
              <w:t>و قد اعتمدت فی تحقیق الکتاب علی النسخ الخطیّة التالیة</w:t>
            </w:r>
            <w:r>
              <w:rPr>
                <w:rStyle w:val="IndexLink"/>
                <w:rtl w:val="true"/>
              </w:rPr>
              <w:t>:</w:t>
              <w:tab/>
            </w:r>
            <w:r>
              <w:rPr>
                <w:rStyle w:val="IndexLink"/>
              </w:rPr>
              <w:t>24</w:t>
            </w:r>
          </w:hyperlink>
        </w:p>
        <w:p>
          <w:pPr>
            <w:pStyle w:val="Contents3"/>
            <w:tabs>
              <w:tab w:val="clear" w:pos="8459"/>
              <w:tab w:val="right" w:pos="9026" w:leader="dot"/>
            </w:tabs>
            <w:rPr/>
          </w:pPr>
          <w:hyperlink w:anchor="__RefHeading___Toc2792408_3804643083">
            <w:r>
              <w:rPr>
                <w:webHidden/>
                <w:rStyle w:val="IndexLink"/>
                <w:rtl w:val="true"/>
              </w:rPr>
              <w:t>منهج التحقیق</w:t>
            </w:r>
            <w:r>
              <w:rPr>
                <w:rStyle w:val="IndexLink"/>
                <w:rtl w:val="true"/>
              </w:rPr>
              <w:t>:</w:t>
              <w:tab/>
            </w:r>
            <w:r>
              <w:rPr>
                <w:rStyle w:val="IndexLink"/>
              </w:rPr>
              <w:t>26</w:t>
            </w:r>
          </w:hyperlink>
        </w:p>
        <w:p>
          <w:pPr>
            <w:pStyle w:val="Contents3"/>
            <w:tabs>
              <w:tab w:val="clear" w:pos="8459"/>
              <w:tab w:val="right" w:pos="9026" w:leader="dot"/>
            </w:tabs>
            <w:rPr/>
          </w:pPr>
          <w:hyperlink w:anchor="__RefHeading___Toc2792410_3804643083">
            <w:r>
              <w:rPr>
                <w:webHidden/>
                <w:rStyle w:val="IndexLink"/>
                <w:rtl w:val="true"/>
              </w:rPr>
              <w:t>المصادر لترجمة المصنّف و لکل ما جاء فی المقدّمة</w:t>
            </w:r>
            <w:r>
              <w:rPr>
                <w:rStyle w:val="IndexLink"/>
                <w:rtl w:val="true"/>
              </w:rPr>
              <w:tab/>
            </w:r>
            <w:r>
              <w:rPr>
                <w:rStyle w:val="IndexLink"/>
              </w:rPr>
              <w:t>28</w:t>
            </w:r>
          </w:hyperlink>
        </w:p>
        <w:p>
          <w:pPr>
            <w:pStyle w:val="Contents3"/>
            <w:tabs>
              <w:tab w:val="clear" w:pos="8459"/>
              <w:tab w:val="right" w:pos="9026" w:leader="dot"/>
            </w:tabs>
            <w:rPr/>
          </w:pPr>
          <w:hyperlink w:anchor="__RefHeading___Toc2792412_3804643083">
            <w:r>
              <w:rPr>
                <w:webHidden/>
                <w:rStyle w:val="IndexLink"/>
                <w:rtl w:val="true"/>
              </w:rPr>
              <w:t>نماذج مصوّرة من النسخ الخطّیة</w:t>
            </w:r>
            <w:r>
              <w:rPr>
                <w:rStyle w:val="IndexLink"/>
                <w:rtl w:val="true"/>
              </w:rPr>
              <w:tab/>
            </w:r>
            <w:r>
              <w:rPr>
                <w:rStyle w:val="IndexLink"/>
              </w:rPr>
              <w:t>31</w:t>
            </w:r>
          </w:hyperlink>
        </w:p>
        <w:p>
          <w:pPr>
            <w:pStyle w:val="Contents2"/>
            <w:tabs>
              <w:tab w:val="clear" w:pos="8743"/>
              <w:tab w:val="right" w:pos="9026" w:leader="dot"/>
            </w:tabs>
            <w:rPr/>
          </w:pPr>
          <w:hyperlink w:anchor="__RefHeading___Toc2792414_3804643083">
            <w:r>
              <w:rPr>
                <w:webHidden/>
                <w:rStyle w:val="IndexLink"/>
                <w:rtl w:val="true"/>
              </w:rPr>
              <w:t>[</w:t>
            </w:r>
            <w:r>
              <w:rPr>
                <w:rStyle w:val="IndexLink"/>
                <w:rtl w:val="true"/>
              </w:rPr>
              <w:t>مقدمة المصنف</w:t>
            </w:r>
            <w:r>
              <w:rPr>
                <w:rStyle w:val="IndexLink"/>
                <w:rtl w:val="true"/>
              </w:rPr>
              <w:t>]</w:t>
              <w:tab/>
            </w:r>
            <w:r>
              <w:rPr>
                <w:rStyle w:val="IndexLink"/>
              </w:rPr>
              <w:t>44</w:t>
            </w:r>
          </w:hyperlink>
        </w:p>
        <w:p>
          <w:pPr>
            <w:pStyle w:val="Contents2"/>
            <w:tabs>
              <w:tab w:val="clear" w:pos="8743"/>
              <w:tab w:val="right" w:pos="9026" w:leader="dot"/>
            </w:tabs>
            <w:rPr/>
          </w:pPr>
          <w:hyperlink w:anchor="__RefHeading___Toc2792416_3804643083">
            <w:r>
              <w:rPr>
                <w:webHidden/>
                <w:rStyle w:val="IndexLink"/>
                <w:rtl w:val="true"/>
              </w:rPr>
              <w:t>المقصد الأوّل فی المقدّمات و فیه فصول</w:t>
            </w:r>
            <w:r>
              <w:rPr>
                <w:rStyle w:val="IndexLink"/>
                <w:rtl w:val="true"/>
              </w:rPr>
              <w:tab/>
            </w:r>
            <w:r>
              <w:rPr>
                <w:rStyle w:val="IndexLink"/>
              </w:rPr>
              <w:t>46</w:t>
            </w:r>
          </w:hyperlink>
        </w:p>
        <w:p>
          <w:pPr>
            <w:pStyle w:val="Contents3"/>
            <w:tabs>
              <w:tab w:val="clear" w:pos="8459"/>
              <w:tab w:val="right" w:pos="9026" w:leader="dot"/>
            </w:tabs>
            <w:rPr/>
          </w:pPr>
          <w:hyperlink w:anchor="__RefHeading___Toc2792418_380464308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2792420_3804643083">
            <w:r>
              <w:rPr>
                <w:webHidden/>
                <w:rStyle w:val="IndexLink"/>
                <w:rtl w:val="true"/>
              </w:rPr>
              <w:t>الأوّل</w:t>
            </w:r>
            <w:r>
              <w:rPr>
                <w:rStyle w:val="IndexLink"/>
                <w:rtl w:val="true"/>
              </w:rPr>
              <w:t xml:space="preserve">: </w:t>
            </w:r>
            <w:r>
              <w:rPr>
                <w:rStyle w:val="IndexLink"/>
                <w:rtl w:val="true"/>
              </w:rPr>
              <w:t>فی مباحث مهمة</w:t>
            </w:r>
            <w:r>
              <w:rPr>
                <w:rStyle w:val="IndexLink"/>
                <w:rtl w:val="true"/>
              </w:rPr>
              <w:tab/>
            </w:r>
            <w:r>
              <w:rPr>
                <w:rStyle w:val="IndexLink"/>
              </w:rPr>
              <w:t>47</w:t>
            </w:r>
          </w:hyperlink>
        </w:p>
        <w:p>
          <w:pPr>
            <w:pStyle w:val="Contents3"/>
            <w:tabs>
              <w:tab w:val="clear" w:pos="8459"/>
              <w:tab w:val="right" w:pos="9026" w:leader="dot"/>
            </w:tabs>
            <w:rPr/>
          </w:pPr>
          <w:hyperlink w:anchor="__RefHeading___Toc2792422_3804643083">
            <w:r>
              <w:rPr>
                <w:webHidden/>
                <w:rStyle w:val="IndexLink"/>
                <w:rtl w:val="true"/>
              </w:rPr>
              <w:t>الفصل الثانی</w:t>
            </w:r>
            <w:r>
              <w:rPr>
                <w:rStyle w:val="IndexLink"/>
                <w:rtl w:val="true"/>
              </w:rPr>
              <w:t xml:space="preserve">: </w:t>
            </w:r>
            <w:r>
              <w:rPr>
                <w:rStyle w:val="IndexLink"/>
                <w:rtl w:val="true"/>
              </w:rPr>
              <w:t>فی الحکم الشرعی</w:t>
            </w:r>
            <w:r>
              <w:rPr>
                <w:rStyle w:val="IndexLink"/>
                <w:rtl w:val="true"/>
              </w:rPr>
              <w:tab/>
            </w:r>
            <w:r>
              <w:rPr>
                <w:rStyle w:val="IndexLink"/>
              </w:rPr>
              <w:t>50</w:t>
            </w:r>
          </w:hyperlink>
        </w:p>
        <w:p>
          <w:pPr>
            <w:pStyle w:val="Contents3"/>
            <w:tabs>
              <w:tab w:val="clear" w:pos="8459"/>
              <w:tab w:val="right" w:pos="9026" w:leader="dot"/>
            </w:tabs>
            <w:rPr/>
          </w:pPr>
          <w:hyperlink w:anchor="__RefHeading___Toc2792424_3804643083">
            <w:r>
              <w:rPr>
                <w:webHidden/>
                <w:rStyle w:val="IndexLink"/>
                <w:rtl w:val="true"/>
              </w:rPr>
              <w:t>الفصل الثالث</w:t>
            </w:r>
            <w:r>
              <w:rPr>
                <w:rStyle w:val="IndexLink"/>
                <w:rtl w:val="true"/>
              </w:rPr>
              <w:t xml:space="preserve">: </w:t>
            </w:r>
            <w:r>
              <w:rPr>
                <w:rStyle w:val="IndexLink"/>
                <w:rtl w:val="true"/>
              </w:rPr>
              <w:t>فی تقسیم الفعل</w:t>
            </w:r>
            <w:r>
              <w:rPr>
                <w:rStyle w:val="IndexLink"/>
                <w:rtl w:val="true"/>
              </w:rPr>
              <w:tab/>
            </w:r>
            <w:r>
              <w:rPr>
                <w:rStyle w:val="IndexLink"/>
              </w:rPr>
              <w:t>52</w:t>
            </w:r>
          </w:hyperlink>
        </w:p>
        <w:p>
          <w:pPr>
            <w:pStyle w:val="Contents3"/>
            <w:tabs>
              <w:tab w:val="clear" w:pos="8459"/>
              <w:tab w:val="right" w:pos="9026" w:leader="dot"/>
            </w:tabs>
            <w:rPr/>
          </w:pPr>
          <w:hyperlink w:anchor="__RefHeading___Toc2792426_3804643083">
            <w:r>
              <w:rPr>
                <w:webHidden/>
                <w:rStyle w:val="IndexLink"/>
                <w:rtl w:val="true"/>
              </w:rPr>
              <w:t>تذنیبان</w:t>
            </w:r>
            <w:r>
              <w:rPr>
                <w:rStyle w:val="IndexLink"/>
                <w:rtl w:val="true"/>
              </w:rPr>
              <w:tab/>
            </w:r>
            <w:r>
              <w:rPr>
                <w:rStyle w:val="IndexLink"/>
              </w:rPr>
              <w:t>54</w:t>
            </w:r>
          </w:hyperlink>
        </w:p>
        <w:p>
          <w:pPr>
            <w:pStyle w:val="Contents2"/>
            <w:tabs>
              <w:tab w:val="clear" w:pos="8743"/>
              <w:tab w:val="right" w:pos="9026" w:leader="dot"/>
            </w:tabs>
            <w:rPr/>
          </w:pPr>
          <w:hyperlink w:anchor="__RefHeading___Toc2792428_3804643083">
            <w:r>
              <w:rPr>
                <w:webHidden/>
                <w:rStyle w:val="IndexLink"/>
                <w:rtl w:val="true"/>
              </w:rPr>
              <w:t>المقصد الثّانی فی اللّغات و فیه فصول</w:t>
            </w:r>
            <w:r>
              <w:rPr>
                <w:rStyle w:val="IndexLink"/>
                <w:rtl w:val="true"/>
              </w:rPr>
              <w:tab/>
            </w:r>
            <w:r>
              <w:rPr>
                <w:rStyle w:val="IndexLink"/>
              </w:rPr>
              <w:t>59</w:t>
            </w:r>
          </w:hyperlink>
        </w:p>
        <w:p>
          <w:pPr>
            <w:pStyle w:val="Contents3"/>
            <w:tabs>
              <w:tab w:val="clear" w:pos="8459"/>
              <w:tab w:val="right" w:pos="9026" w:leader="dot"/>
            </w:tabs>
            <w:rPr/>
          </w:pPr>
          <w:hyperlink w:anchor="__RefHeading___Toc2792430_380464308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2792432_3804643083">
            <w:r>
              <w:rPr>
                <w:webHidden/>
                <w:rStyle w:val="IndexLink"/>
                <w:rtl w:val="true"/>
              </w:rPr>
              <w:t>الأوّل</w:t>
            </w:r>
            <w:r>
              <w:rPr>
                <w:rStyle w:val="IndexLink"/>
                <w:rtl w:val="true"/>
              </w:rPr>
              <w:t xml:space="preserve">: </w:t>
            </w:r>
            <w:r>
              <w:rPr>
                <w:rStyle w:val="IndexLink"/>
                <w:rtl w:val="true"/>
              </w:rPr>
              <w:t>فی الواضع</w:t>
            </w:r>
            <w:r>
              <w:rPr>
                <w:rStyle w:val="IndexLink"/>
                <w:rtl w:val="true"/>
              </w:rPr>
              <w:tab/>
            </w:r>
            <w:r>
              <w:rPr>
                <w:rStyle w:val="IndexLink"/>
              </w:rPr>
              <w:t>60</w:t>
            </w:r>
          </w:hyperlink>
        </w:p>
        <w:p>
          <w:pPr>
            <w:pStyle w:val="Contents3"/>
            <w:tabs>
              <w:tab w:val="clear" w:pos="8459"/>
              <w:tab w:val="right" w:pos="9026" w:leader="dot"/>
            </w:tabs>
            <w:rPr/>
          </w:pPr>
          <w:hyperlink w:anchor="__RefHeading___Toc2792434_3804643083">
            <w:r>
              <w:rPr>
                <w:webHidden/>
                <w:rStyle w:val="IndexLink"/>
                <w:rtl w:val="true"/>
              </w:rPr>
              <w:t>الفصل الثانی</w:t>
            </w:r>
            <w:r>
              <w:rPr>
                <w:rStyle w:val="IndexLink"/>
                <w:rtl w:val="true"/>
              </w:rPr>
              <w:t xml:space="preserve">: </w:t>
            </w:r>
            <w:r>
              <w:rPr>
                <w:rStyle w:val="IndexLink"/>
                <w:rtl w:val="true"/>
              </w:rPr>
              <w:t>فی الموضوع له</w:t>
            </w:r>
            <w:r>
              <w:rPr>
                <w:rStyle w:val="IndexLink"/>
                <w:rtl w:val="true"/>
              </w:rPr>
              <w:tab/>
            </w:r>
            <w:r>
              <w:rPr>
                <w:rStyle w:val="IndexLink"/>
              </w:rPr>
              <w:t>62</w:t>
            </w:r>
          </w:hyperlink>
        </w:p>
        <w:p>
          <w:pPr>
            <w:pStyle w:val="Contents3"/>
            <w:tabs>
              <w:tab w:val="clear" w:pos="8459"/>
              <w:tab w:val="right" w:pos="9026" w:leader="dot"/>
            </w:tabs>
            <w:rPr/>
          </w:pPr>
          <w:hyperlink w:anchor="__RefHeading___Toc2792436_3804643083">
            <w:r>
              <w:rPr>
                <w:webHidden/>
                <w:rStyle w:val="IndexLink"/>
                <w:rtl w:val="true"/>
              </w:rPr>
              <w:t>الفصل الثالث</w:t>
            </w:r>
            <w:r>
              <w:rPr>
                <w:rStyle w:val="IndexLink"/>
                <w:rtl w:val="true"/>
              </w:rPr>
              <w:t xml:space="preserve">: </w:t>
            </w:r>
            <w:r>
              <w:rPr>
                <w:rStyle w:val="IndexLink"/>
                <w:rtl w:val="true"/>
              </w:rPr>
              <w:t>فی تقسیم الألفاظ و هو من وجوه</w:t>
            </w:r>
            <w:r>
              <w:rPr>
                <w:rStyle w:val="IndexLink"/>
                <w:rtl w:val="true"/>
              </w:rPr>
              <w:t>:</w:t>
              <w:tab/>
            </w:r>
            <w:r>
              <w:rPr>
                <w:rStyle w:val="IndexLink"/>
              </w:rPr>
              <w:t>63</w:t>
            </w:r>
          </w:hyperlink>
        </w:p>
        <w:p>
          <w:pPr>
            <w:pStyle w:val="Contents3"/>
            <w:tabs>
              <w:tab w:val="clear" w:pos="8459"/>
              <w:tab w:val="right" w:pos="9026" w:leader="dot"/>
            </w:tabs>
            <w:rPr/>
          </w:pPr>
          <w:hyperlink w:anchor="__RefHeading___Toc2792438_3804643083">
            <w:r>
              <w:rPr>
                <w:webHidden/>
                <w:rStyle w:val="IndexLink"/>
                <w:rtl w:val="true"/>
              </w:rPr>
              <w:t>الفصل الرابع</w:t>
            </w:r>
            <w:r>
              <w:rPr>
                <w:rStyle w:val="IndexLink"/>
                <w:rtl w:val="true"/>
              </w:rPr>
              <w:t xml:space="preserve">: </w:t>
            </w:r>
            <w:r>
              <w:rPr>
                <w:rStyle w:val="IndexLink"/>
                <w:rtl w:val="true"/>
              </w:rPr>
              <w:t>فی الأسماء المشتقة</w:t>
            </w:r>
            <w:r>
              <w:rPr>
                <w:rStyle w:val="IndexLink"/>
                <w:rtl w:val="true"/>
              </w:rPr>
              <w:tab/>
            </w:r>
            <w:r>
              <w:rPr>
                <w:rStyle w:val="IndexLink"/>
              </w:rPr>
              <w:t>66</w:t>
            </w:r>
          </w:hyperlink>
        </w:p>
        <w:p>
          <w:pPr>
            <w:pStyle w:val="Contents3"/>
            <w:tabs>
              <w:tab w:val="clear" w:pos="8459"/>
              <w:tab w:val="right" w:pos="9026" w:leader="dot"/>
            </w:tabs>
            <w:rPr/>
          </w:pPr>
          <w:hyperlink w:anchor="__RefHeading___Toc2792440_3804643083">
            <w:r>
              <w:rPr>
                <w:webHidden/>
                <w:rStyle w:val="IndexLink"/>
                <w:rtl w:val="true"/>
              </w:rPr>
              <w:t>الفصل الخامس</w:t>
            </w:r>
            <w:r>
              <w:rPr>
                <w:rStyle w:val="IndexLink"/>
                <w:rtl w:val="true"/>
              </w:rPr>
              <w:t xml:space="preserve">: </w:t>
            </w:r>
            <w:r>
              <w:rPr>
                <w:rStyle w:val="IndexLink"/>
                <w:rtl w:val="true"/>
              </w:rPr>
              <w:t>فی المترادف</w:t>
            </w:r>
            <w:r>
              <w:rPr>
                <w:rStyle w:val="IndexLink"/>
                <w:rtl w:val="true"/>
              </w:rPr>
              <w:tab/>
            </w:r>
            <w:r>
              <w:rPr>
                <w:rStyle w:val="IndexLink"/>
              </w:rPr>
              <w:t>68</w:t>
            </w:r>
          </w:hyperlink>
        </w:p>
        <w:p>
          <w:pPr>
            <w:pStyle w:val="Contents3"/>
            <w:tabs>
              <w:tab w:val="clear" w:pos="8459"/>
              <w:tab w:val="right" w:pos="9026" w:leader="dot"/>
            </w:tabs>
            <w:rPr/>
          </w:pPr>
          <w:hyperlink w:anchor="__RefHeading___Toc2792442_3804643083">
            <w:r>
              <w:rPr>
                <w:webHidden/>
                <w:rStyle w:val="IndexLink"/>
                <w:rtl w:val="true"/>
              </w:rPr>
              <w:t>الفصل السادس</w:t>
            </w:r>
            <w:r>
              <w:rPr>
                <w:rStyle w:val="IndexLink"/>
                <w:rtl w:val="true"/>
              </w:rPr>
              <w:t xml:space="preserve">: </w:t>
            </w:r>
            <w:r>
              <w:rPr>
                <w:rStyle w:val="IndexLink"/>
                <w:rtl w:val="true"/>
              </w:rPr>
              <w:t>فی الاشتراک و فیه مباحث</w:t>
            </w:r>
            <w:r>
              <w:rPr>
                <w:rStyle w:val="IndexLink"/>
                <w:rtl w:val="true"/>
              </w:rPr>
              <w:t>:</w:t>
              <w:tab/>
            </w:r>
            <w:r>
              <w:rPr>
                <w:rStyle w:val="IndexLink"/>
              </w:rPr>
              <w:t>69</w:t>
            </w:r>
          </w:hyperlink>
        </w:p>
        <w:p>
          <w:pPr>
            <w:pStyle w:val="Contents4"/>
            <w:tabs>
              <w:tab w:val="clear" w:pos="8176"/>
              <w:tab w:val="right" w:pos="9026" w:leader="dot"/>
            </w:tabs>
            <w:rPr/>
          </w:pPr>
          <w:hyperlink w:anchor="__RefHeading___Toc2792444_380464308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w:t>
              <w:tab/>
            </w:r>
            <w:r>
              <w:rPr>
                <w:rStyle w:val="IndexLink"/>
              </w:rPr>
              <w:t>69</w:t>
            </w:r>
          </w:hyperlink>
        </w:p>
        <w:p>
          <w:pPr>
            <w:pStyle w:val="Contents4"/>
            <w:tabs>
              <w:tab w:val="clear" w:pos="8176"/>
              <w:tab w:val="right" w:pos="9026" w:leader="dot"/>
            </w:tabs>
            <w:rPr/>
          </w:pPr>
          <w:hyperlink w:anchor="__RefHeading___Toc2792446_3804643083">
            <w:r>
              <w:rPr>
                <w:webHidden/>
                <w:rStyle w:val="IndexLink"/>
                <w:rtl w:val="true"/>
              </w:rPr>
              <w:t>البحث الثانی</w:t>
            </w:r>
            <w:r>
              <w:rPr>
                <w:rStyle w:val="IndexLink"/>
                <w:rtl w:val="true"/>
              </w:rPr>
              <w:t xml:space="preserve">: </w:t>
            </w:r>
            <w:r>
              <w:rPr>
                <w:rStyle w:val="IndexLink"/>
                <w:rtl w:val="true"/>
              </w:rPr>
              <w:t>فی أقسامه</w:t>
            </w:r>
            <w:r>
              <w:rPr>
                <w:rStyle w:val="IndexLink"/>
                <w:rtl w:val="true"/>
              </w:rPr>
              <w:tab/>
            </w:r>
            <w:r>
              <w:rPr>
                <w:rStyle w:val="IndexLink"/>
              </w:rPr>
              <w:t>70</w:t>
            </w:r>
          </w:hyperlink>
        </w:p>
        <w:p>
          <w:pPr>
            <w:pStyle w:val="Contents3"/>
            <w:tabs>
              <w:tab w:val="clear" w:pos="8459"/>
              <w:tab w:val="right" w:pos="9026" w:leader="dot"/>
            </w:tabs>
            <w:rPr/>
          </w:pPr>
          <w:hyperlink w:anchor="__RefHeading___Toc2792448_3804643083">
            <w:r>
              <w:rPr>
                <w:webHidden/>
                <w:rStyle w:val="IndexLink"/>
                <w:rtl w:val="true"/>
              </w:rPr>
              <w:t>الفصل السابع</w:t>
            </w:r>
            <w:r>
              <w:rPr>
                <w:rStyle w:val="IndexLink"/>
                <w:rtl w:val="true"/>
              </w:rPr>
              <w:t xml:space="preserve">: </w:t>
            </w:r>
            <w:r>
              <w:rPr>
                <w:rStyle w:val="IndexLink"/>
                <w:rtl w:val="true"/>
              </w:rPr>
              <w:t>فی الحقیقة و المجاز</w:t>
            </w:r>
            <w:r>
              <w:rPr>
                <w:rStyle w:val="IndexLink"/>
                <w:rtl w:val="true"/>
              </w:rPr>
              <w:tab/>
            </w:r>
            <w:r>
              <w:rPr>
                <w:rStyle w:val="IndexLink"/>
              </w:rPr>
              <w:t>74</w:t>
            </w:r>
          </w:hyperlink>
        </w:p>
        <w:p>
          <w:pPr>
            <w:pStyle w:val="Contents4"/>
            <w:tabs>
              <w:tab w:val="clear" w:pos="8176"/>
              <w:tab w:val="right" w:pos="9026" w:leader="dot"/>
            </w:tabs>
            <w:rPr/>
          </w:pPr>
          <w:hyperlink w:anchor="__RefHeading___Toc2792450_3804643083">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792452_380464308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w:t>
              <w:tab/>
            </w:r>
            <w:r>
              <w:rPr>
                <w:rStyle w:val="IndexLink"/>
              </w:rPr>
              <w:t>74</w:t>
            </w:r>
          </w:hyperlink>
        </w:p>
        <w:p>
          <w:pPr>
            <w:pStyle w:val="Contents4"/>
            <w:tabs>
              <w:tab w:val="clear" w:pos="8176"/>
              <w:tab w:val="right" w:pos="9026" w:leader="dot"/>
            </w:tabs>
            <w:rPr/>
          </w:pPr>
          <w:hyperlink w:anchor="__RefHeading___Toc2792454_3804643083">
            <w:r>
              <w:rPr>
                <w:webHidden/>
                <w:rStyle w:val="IndexLink"/>
                <w:rtl w:val="true"/>
              </w:rPr>
              <w:t>البحث الثانی</w:t>
            </w:r>
            <w:r>
              <w:rPr>
                <w:rStyle w:val="IndexLink"/>
                <w:rtl w:val="true"/>
              </w:rPr>
              <w:t xml:space="preserve">: </w:t>
            </w:r>
            <w:r>
              <w:rPr>
                <w:rStyle w:val="IndexLink"/>
                <w:rtl w:val="true"/>
              </w:rPr>
              <w:t>فی الحقیقة الشرعیة</w:t>
            </w:r>
            <w:r>
              <w:rPr>
                <w:rStyle w:val="IndexLink"/>
                <w:rtl w:val="true"/>
              </w:rPr>
              <w:tab/>
            </w:r>
            <w:r>
              <w:rPr>
                <w:rStyle w:val="IndexLink"/>
              </w:rPr>
              <w:t>74</w:t>
            </w:r>
          </w:hyperlink>
        </w:p>
        <w:p>
          <w:pPr>
            <w:pStyle w:val="Contents4"/>
            <w:tabs>
              <w:tab w:val="clear" w:pos="8176"/>
              <w:tab w:val="right" w:pos="9026" w:leader="dot"/>
            </w:tabs>
            <w:rPr/>
          </w:pPr>
          <w:hyperlink w:anchor="__RefHeading___Toc2792456_3804643083">
            <w:r>
              <w:rPr>
                <w:webHidden/>
                <w:rStyle w:val="IndexLink"/>
                <w:rtl w:val="true"/>
              </w:rPr>
              <w:t>البحث الثالث</w:t>
            </w:r>
            <w:r>
              <w:rPr>
                <w:rStyle w:val="IndexLink"/>
                <w:rtl w:val="true"/>
              </w:rPr>
              <w:t xml:space="preserve">: </w:t>
            </w:r>
            <w:r>
              <w:rPr>
                <w:rStyle w:val="IndexLink"/>
                <w:rtl w:val="true"/>
              </w:rPr>
              <w:t>النقل علی خلاف الأصل، عملا بالاستصحاب،</w:t>
            </w:r>
            <w:r>
              <w:rPr>
                <w:rStyle w:val="IndexLink"/>
                <w:rtl w:val="true"/>
              </w:rPr>
              <w:tab/>
            </w:r>
            <w:r>
              <w:rPr>
                <w:rStyle w:val="IndexLink"/>
              </w:rPr>
              <w:t>75</w:t>
            </w:r>
          </w:hyperlink>
        </w:p>
        <w:p>
          <w:pPr>
            <w:pStyle w:val="Contents4"/>
            <w:tabs>
              <w:tab w:val="clear" w:pos="8176"/>
              <w:tab w:val="right" w:pos="9026" w:leader="dot"/>
            </w:tabs>
            <w:rPr/>
          </w:pPr>
          <w:hyperlink w:anchor="__RefHeading___Toc2792458_3804643083">
            <w:r>
              <w:rPr>
                <w:webHidden/>
                <w:rStyle w:val="IndexLink"/>
                <w:rtl w:val="true"/>
              </w:rPr>
              <w:t>البحث الرابع</w:t>
            </w:r>
            <w:r>
              <w:rPr>
                <w:rStyle w:val="IndexLink"/>
                <w:rtl w:val="true"/>
              </w:rPr>
              <w:t xml:space="preserve">: </w:t>
            </w:r>
            <w:r>
              <w:rPr>
                <w:rStyle w:val="IndexLink"/>
                <w:rtl w:val="true"/>
              </w:rPr>
              <w:t>فی الفرق بین الحقیقة و المجاز، و هو من وجوه</w:t>
            </w:r>
            <w:r>
              <w:rPr>
                <w:rStyle w:val="IndexLink"/>
                <w:rtl w:val="true"/>
              </w:rPr>
              <w:t>:</w:t>
              <w:tab/>
            </w:r>
            <w:r>
              <w:rPr>
                <w:rStyle w:val="IndexLink"/>
              </w:rPr>
              <w:t>76</w:t>
            </w:r>
          </w:hyperlink>
        </w:p>
        <w:p>
          <w:pPr>
            <w:pStyle w:val="Contents3"/>
            <w:tabs>
              <w:tab w:val="clear" w:pos="8459"/>
              <w:tab w:val="right" w:pos="9026" w:leader="dot"/>
            </w:tabs>
            <w:rPr/>
          </w:pPr>
          <w:hyperlink w:anchor="__RefHeading___Toc2792460_3804643083">
            <w:r>
              <w:rPr>
                <w:webHidden/>
                <w:rStyle w:val="IndexLink"/>
                <w:rtl w:val="true"/>
              </w:rPr>
              <w:t>الفصل الثامن</w:t>
            </w:r>
            <w:r>
              <w:rPr>
                <w:rStyle w:val="IndexLink"/>
                <w:rtl w:val="true"/>
              </w:rPr>
              <w:t xml:space="preserve">: </w:t>
            </w:r>
            <w:r>
              <w:rPr>
                <w:rStyle w:val="IndexLink"/>
                <w:rtl w:val="true"/>
              </w:rPr>
              <w:t>فی تعارض الأحوال</w:t>
            </w:r>
            <w:r>
              <w:rPr>
                <w:rStyle w:val="IndexLink"/>
                <w:rtl w:val="true"/>
              </w:rPr>
              <w:tab/>
            </w:r>
            <w:r>
              <w:rPr>
                <w:rStyle w:val="IndexLink"/>
              </w:rPr>
              <w:t>80</w:t>
            </w:r>
          </w:hyperlink>
        </w:p>
        <w:p>
          <w:pPr>
            <w:pStyle w:val="Contents3"/>
            <w:tabs>
              <w:tab w:val="clear" w:pos="8459"/>
              <w:tab w:val="right" w:pos="9026" w:leader="dot"/>
            </w:tabs>
            <w:rPr/>
          </w:pPr>
          <w:hyperlink w:anchor="__RefHeading___Toc2792462_3804643083">
            <w:r>
              <w:rPr>
                <w:webHidden/>
                <w:rStyle w:val="IndexLink"/>
                <w:rtl w:val="true"/>
              </w:rPr>
              <w:t>الفصل التاسع</w:t>
            </w:r>
            <w:r>
              <w:rPr>
                <w:rStyle w:val="IndexLink"/>
                <w:rtl w:val="true"/>
              </w:rPr>
              <w:t xml:space="preserve">: </w:t>
            </w:r>
            <w:r>
              <w:rPr>
                <w:rStyle w:val="IndexLink"/>
                <w:rtl w:val="true"/>
              </w:rPr>
              <w:t>فی تفسیر حروف یحتاج إلیها</w:t>
            </w:r>
            <w:r>
              <w:rPr>
                <w:rStyle w:val="IndexLink"/>
                <w:rtl w:val="true"/>
              </w:rPr>
              <w:tab/>
            </w:r>
            <w:r>
              <w:rPr>
                <w:rStyle w:val="IndexLink"/>
              </w:rPr>
              <w:t>82</w:t>
            </w:r>
          </w:hyperlink>
        </w:p>
        <w:p>
          <w:pPr>
            <w:pStyle w:val="Contents3"/>
            <w:tabs>
              <w:tab w:val="clear" w:pos="8459"/>
              <w:tab w:val="right" w:pos="9026" w:leader="dot"/>
            </w:tabs>
            <w:rPr/>
          </w:pPr>
          <w:hyperlink w:anchor="__RefHeading___Toc2792464_3804643083">
            <w:r>
              <w:rPr>
                <w:webHidden/>
                <w:rStyle w:val="IndexLink"/>
                <w:rtl w:val="true"/>
              </w:rPr>
              <w:t>الفصل العاشر</w:t>
            </w:r>
            <w:r>
              <w:rPr>
                <w:rStyle w:val="IndexLink"/>
                <w:rtl w:val="true"/>
              </w:rPr>
              <w:t xml:space="preserve">: </w:t>
            </w:r>
            <w:r>
              <w:rPr>
                <w:rStyle w:val="IndexLink"/>
                <w:rtl w:val="true"/>
              </w:rPr>
              <w:t>فی الخطاب</w:t>
            </w:r>
            <w:r>
              <w:rPr>
                <w:rStyle w:val="IndexLink"/>
                <w:rtl w:val="true"/>
              </w:rPr>
              <w:tab/>
            </w:r>
            <w:r>
              <w:rPr>
                <w:rStyle w:val="IndexLink"/>
              </w:rPr>
              <w:t>86</w:t>
            </w:r>
          </w:hyperlink>
        </w:p>
        <w:p>
          <w:pPr>
            <w:pStyle w:val="Contents4"/>
            <w:tabs>
              <w:tab w:val="clear" w:pos="8176"/>
              <w:tab w:val="right" w:pos="9026" w:leader="dot"/>
            </w:tabs>
            <w:rPr/>
          </w:pPr>
          <w:hyperlink w:anchor="__RefHeading___Toc2792466_380464308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792468_3804643083">
            <w:r>
              <w:rPr>
                <w:webHidden/>
                <w:rStyle w:val="IndexLink"/>
                <w:rtl w:val="true"/>
              </w:rPr>
              <w:t>الأوّل</w:t>
            </w:r>
            <w:r>
              <w:rPr>
                <w:rStyle w:val="IndexLink"/>
                <w:rtl w:val="true"/>
              </w:rPr>
              <w:t xml:space="preserve">: </w:t>
            </w:r>
            <w:r>
              <w:rPr>
                <w:rStyle w:val="IndexLink"/>
                <w:rtl w:val="true"/>
              </w:rPr>
              <w:t>الخطاب هو الکلام المقصود به الإفهام،</w:t>
            </w:r>
            <w:r>
              <w:rPr>
                <w:rStyle w:val="IndexLink"/>
                <w:rtl w:val="true"/>
              </w:rPr>
              <w:tab/>
            </w:r>
            <w:r>
              <w:rPr>
                <w:rStyle w:val="IndexLink"/>
              </w:rPr>
              <w:t>86</w:t>
            </w:r>
          </w:hyperlink>
        </w:p>
        <w:p>
          <w:pPr>
            <w:pStyle w:val="Contents4"/>
            <w:tabs>
              <w:tab w:val="clear" w:pos="8176"/>
              <w:tab w:val="right" w:pos="9026" w:leader="dot"/>
            </w:tabs>
            <w:rPr/>
          </w:pPr>
          <w:hyperlink w:anchor="__RefHeading___Toc2792470_3804643083">
            <w:r>
              <w:rPr>
                <w:webHidden/>
                <w:rStyle w:val="IndexLink"/>
                <w:rtl w:val="true"/>
              </w:rPr>
              <w:t>البحث الثانی</w:t>
            </w:r>
            <w:r>
              <w:rPr>
                <w:rStyle w:val="IndexLink"/>
                <w:rtl w:val="true"/>
              </w:rPr>
              <w:t xml:space="preserve">: </w:t>
            </w:r>
            <w:r>
              <w:rPr>
                <w:rStyle w:val="IndexLink"/>
                <w:rtl w:val="true"/>
              </w:rPr>
              <w:t>یمتنع أن یخاطب اللّه بشی‌ء و یرید خلاف ظاهره من دون البیان،</w:t>
            </w:r>
            <w:r>
              <w:rPr>
                <w:rStyle w:val="IndexLink"/>
                <w:rtl w:val="true"/>
              </w:rPr>
              <w:tab/>
            </w:r>
            <w:r>
              <w:rPr>
                <w:rStyle w:val="IndexLink"/>
              </w:rPr>
              <w:t>86</w:t>
            </w:r>
          </w:hyperlink>
        </w:p>
        <w:p>
          <w:pPr>
            <w:pStyle w:val="Contents4"/>
            <w:tabs>
              <w:tab w:val="clear" w:pos="8176"/>
              <w:tab w:val="right" w:pos="9026" w:leader="dot"/>
            </w:tabs>
            <w:rPr/>
          </w:pPr>
          <w:hyperlink w:anchor="__RefHeading___Toc2792472_3804643083">
            <w:r>
              <w:rPr>
                <w:webHidden/>
                <w:rStyle w:val="IndexLink"/>
                <w:rtl w:val="true"/>
              </w:rPr>
              <w:t>البحث الثالث</w:t>
            </w:r>
            <w:r>
              <w:rPr>
                <w:rStyle w:val="IndexLink"/>
                <w:rtl w:val="true"/>
              </w:rPr>
              <w:t xml:space="preserve">: </w:t>
            </w:r>
            <w:r>
              <w:rPr>
                <w:rStyle w:val="IndexLink"/>
                <w:rtl w:val="true"/>
              </w:rPr>
              <w:t>قیل</w:t>
            </w:r>
            <w:r>
              <w:rPr>
                <w:rStyle w:val="IndexLink"/>
                <w:rtl w:val="true"/>
              </w:rPr>
              <w:t xml:space="preserve">: </w:t>
            </w:r>
            <w:r>
              <w:rPr>
                <w:rStyle w:val="IndexLink"/>
                <w:rtl w:val="true"/>
              </w:rPr>
              <w:t>الدلائل اللفظیة ظنیة،</w:t>
            </w:r>
            <w:r>
              <w:rPr>
                <w:rStyle w:val="IndexLink"/>
                <w:rtl w:val="true"/>
              </w:rPr>
              <w:tab/>
            </w:r>
            <w:r>
              <w:rPr>
                <w:rStyle w:val="IndexLink"/>
              </w:rPr>
              <w:t>87</w:t>
            </w:r>
          </w:hyperlink>
        </w:p>
        <w:p>
          <w:pPr>
            <w:pStyle w:val="Contents4"/>
            <w:tabs>
              <w:tab w:val="clear" w:pos="8176"/>
              <w:tab w:val="right" w:pos="9026" w:leader="dot"/>
            </w:tabs>
            <w:rPr/>
          </w:pPr>
          <w:hyperlink w:anchor="__RefHeading___Toc2792474_3804643083">
            <w:r>
              <w:rPr>
                <w:webHidden/>
                <w:rStyle w:val="IndexLink"/>
                <w:rtl w:val="true"/>
              </w:rPr>
              <w:t>البحث الرابع</w:t>
            </w:r>
            <w:r>
              <w:rPr>
                <w:rStyle w:val="IndexLink"/>
                <w:rtl w:val="true"/>
              </w:rPr>
              <w:t xml:space="preserve">: </w:t>
            </w:r>
            <w:r>
              <w:rPr>
                <w:rStyle w:val="IndexLink"/>
                <w:rtl w:val="true"/>
              </w:rPr>
              <w:t>خطاب اللّه تعالی یحمل علی الحقیقة الشرعیة إن وجدت،</w:t>
            </w:r>
            <w:r>
              <w:rPr>
                <w:rStyle w:val="IndexLink"/>
                <w:rtl w:val="true"/>
              </w:rPr>
              <w:tab/>
            </w:r>
            <w:r>
              <w:rPr>
                <w:rStyle w:val="IndexLink"/>
              </w:rPr>
              <w:t>87</w:t>
            </w:r>
          </w:hyperlink>
        </w:p>
        <w:p>
          <w:pPr>
            <w:pStyle w:val="Contents2"/>
            <w:tabs>
              <w:tab w:val="clear" w:pos="8743"/>
              <w:tab w:val="right" w:pos="9026" w:leader="dot"/>
            </w:tabs>
            <w:rPr/>
          </w:pPr>
          <w:hyperlink w:anchor="__RefHeading___Toc2792476_3804643083">
            <w:r>
              <w:rPr>
                <w:webHidden/>
                <w:rStyle w:val="IndexLink"/>
                <w:rtl w:val="true"/>
              </w:rPr>
              <w:t>المقصد الثّالث فی الأمر و النّهی و فیه فصول</w:t>
            </w:r>
            <w:r>
              <w:rPr>
                <w:rStyle w:val="IndexLink"/>
                <w:rtl w:val="true"/>
              </w:rPr>
              <w:tab/>
            </w:r>
            <w:r>
              <w:rPr>
                <w:rStyle w:val="IndexLink"/>
              </w:rPr>
              <w:t>89</w:t>
            </w:r>
          </w:hyperlink>
        </w:p>
        <w:p>
          <w:pPr>
            <w:pStyle w:val="Contents3"/>
            <w:tabs>
              <w:tab w:val="clear" w:pos="8459"/>
              <w:tab w:val="right" w:pos="9026" w:leader="dot"/>
            </w:tabs>
            <w:rPr/>
          </w:pPr>
          <w:hyperlink w:anchor="__RefHeading___Toc2792478_380464308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792480_3804643083">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حقیقة الأمر</w:t>
            </w:r>
            <w:r>
              <w:rPr>
                <w:rStyle w:val="IndexLink"/>
                <w:rtl w:val="true"/>
              </w:rPr>
              <w:tab/>
            </w:r>
            <w:r>
              <w:rPr>
                <w:rStyle w:val="IndexLink"/>
              </w:rPr>
              <w:t>90</w:t>
            </w:r>
          </w:hyperlink>
        </w:p>
        <w:p>
          <w:pPr>
            <w:pStyle w:val="Contents4"/>
            <w:tabs>
              <w:tab w:val="clear" w:pos="8176"/>
              <w:tab w:val="right" w:pos="9026" w:leader="dot"/>
            </w:tabs>
            <w:rPr/>
          </w:pPr>
          <w:hyperlink w:anchor="__RefHeading___Toc2792482_380464308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2792484_3804643083">
            <w:r>
              <w:rPr>
                <w:webHidden/>
                <w:rStyle w:val="IndexLink"/>
                <w:rtl w:val="true"/>
              </w:rPr>
              <w:t>الأوّل</w:t>
            </w:r>
            <w:r>
              <w:rPr>
                <w:rStyle w:val="IndexLink"/>
                <w:rtl w:val="true"/>
              </w:rPr>
              <w:t xml:space="preserve">: </w:t>
            </w:r>
            <w:r>
              <w:rPr>
                <w:rStyle w:val="IndexLink"/>
                <w:rtl w:val="true"/>
              </w:rPr>
              <w:t>الأمر حقیقة فی القول، و مجاز فی الفعل</w:t>
            </w:r>
            <w:r>
              <w:rPr>
                <w:rStyle w:val="IndexLink"/>
                <w:rtl w:val="true"/>
              </w:rPr>
              <w:t>.</w:t>
              <w:tab/>
            </w:r>
            <w:r>
              <w:rPr>
                <w:rStyle w:val="IndexLink"/>
              </w:rPr>
              <w:t>90</w:t>
            </w:r>
          </w:hyperlink>
        </w:p>
        <w:p>
          <w:pPr>
            <w:pStyle w:val="Contents4"/>
            <w:tabs>
              <w:tab w:val="clear" w:pos="8176"/>
              <w:tab w:val="right" w:pos="9026" w:leader="dot"/>
            </w:tabs>
            <w:rPr/>
          </w:pPr>
          <w:hyperlink w:anchor="__RefHeading___Toc2792486_3804643083">
            <w:r>
              <w:rPr>
                <w:webHidden/>
                <w:rStyle w:val="IndexLink"/>
                <w:rtl w:val="true"/>
              </w:rPr>
              <w:t>البحث الثانی</w:t>
            </w:r>
            <w:r>
              <w:rPr>
                <w:rStyle w:val="IndexLink"/>
                <w:rtl w:val="true"/>
              </w:rPr>
              <w:t xml:space="preserve">: </w:t>
            </w:r>
            <w:r>
              <w:rPr>
                <w:rStyle w:val="IndexLink"/>
                <w:rtl w:val="true"/>
              </w:rPr>
              <w:t>فی حدّه</w:t>
            </w:r>
            <w:r>
              <w:rPr>
                <w:rStyle w:val="IndexLink"/>
                <w:rtl w:val="true"/>
              </w:rPr>
              <w:tab/>
            </w:r>
            <w:r>
              <w:rPr>
                <w:rStyle w:val="IndexLink"/>
              </w:rPr>
              <w:t>90</w:t>
            </w:r>
          </w:hyperlink>
        </w:p>
        <w:p>
          <w:pPr>
            <w:pStyle w:val="Contents3"/>
            <w:tabs>
              <w:tab w:val="clear" w:pos="8459"/>
              <w:tab w:val="right" w:pos="9026" w:leader="dot"/>
            </w:tabs>
            <w:rPr/>
          </w:pPr>
          <w:hyperlink w:anchor="__RefHeading___Toc2792488_3804643083">
            <w:r>
              <w:rPr>
                <w:webHidden/>
                <w:rStyle w:val="IndexLink"/>
                <w:rtl w:val="true"/>
              </w:rPr>
              <w:t>الفصل الثانی</w:t>
            </w:r>
            <w:r>
              <w:rPr>
                <w:rStyle w:val="IndexLink"/>
                <w:rtl w:val="true"/>
              </w:rPr>
              <w:t xml:space="preserve">: </w:t>
            </w:r>
            <w:r>
              <w:rPr>
                <w:rStyle w:val="IndexLink"/>
                <w:rtl w:val="true"/>
              </w:rPr>
              <w:t>فی مدلول الصیغة</w:t>
            </w:r>
            <w:r>
              <w:rPr>
                <w:rStyle w:val="IndexLink"/>
                <w:rtl w:val="true"/>
              </w:rPr>
              <w:tab/>
            </w:r>
            <w:r>
              <w:rPr>
                <w:rStyle w:val="IndexLink"/>
              </w:rPr>
              <w:t>93</w:t>
            </w:r>
          </w:hyperlink>
        </w:p>
        <w:p>
          <w:pPr>
            <w:pStyle w:val="Contents4"/>
            <w:tabs>
              <w:tab w:val="clear" w:pos="8176"/>
              <w:tab w:val="right" w:pos="9026" w:leader="dot"/>
            </w:tabs>
            <w:rPr/>
          </w:pPr>
          <w:hyperlink w:anchor="__RefHeading___Toc2792490_380464308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792492_3804643083">
            <w:r>
              <w:rPr>
                <w:webHidden/>
                <w:rStyle w:val="IndexLink"/>
                <w:rtl w:val="true"/>
              </w:rPr>
              <w:t>الأوّل</w:t>
            </w:r>
            <w:r>
              <w:rPr>
                <w:rStyle w:val="IndexLink"/>
                <w:rtl w:val="true"/>
              </w:rPr>
              <w:t xml:space="preserve">: </w:t>
            </w:r>
            <w:r>
              <w:rPr>
                <w:rStyle w:val="IndexLink"/>
                <w:rtl w:val="true"/>
              </w:rPr>
              <w:t>فی أنّ الأمر للوجوب</w:t>
            </w:r>
            <w:r>
              <w:rPr>
                <w:rStyle w:val="IndexLink"/>
                <w:rtl w:val="true"/>
              </w:rPr>
              <w:t>.</w:t>
              <w:tab/>
            </w:r>
            <w:r>
              <w:rPr>
                <w:rStyle w:val="IndexLink"/>
              </w:rPr>
              <w:t>93</w:t>
            </w:r>
          </w:hyperlink>
        </w:p>
        <w:p>
          <w:pPr>
            <w:pStyle w:val="Contents5"/>
            <w:tabs>
              <w:tab w:val="clear" w:pos="7892"/>
              <w:tab w:val="right" w:pos="9026" w:leader="dot"/>
            </w:tabs>
            <w:rPr/>
          </w:pPr>
          <w:hyperlink w:anchor="__RefHeading___Toc2792494_3804643083">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2792496_3804643083">
            <w:r>
              <w:rPr>
                <w:webHidden/>
                <w:rStyle w:val="IndexLink"/>
                <w:rtl w:val="true"/>
              </w:rPr>
              <w:t>تذنیب</w:t>
            </w:r>
            <w:r>
              <w:rPr>
                <w:rStyle w:val="IndexLink"/>
                <w:rtl w:val="true"/>
              </w:rPr>
              <w:tab/>
            </w:r>
            <w:r>
              <w:rPr>
                <w:rStyle w:val="IndexLink"/>
              </w:rPr>
              <w:t>94</w:t>
            </w:r>
          </w:hyperlink>
        </w:p>
        <w:p>
          <w:pPr>
            <w:pStyle w:val="Contents4"/>
            <w:tabs>
              <w:tab w:val="clear" w:pos="8176"/>
              <w:tab w:val="right" w:pos="9026" w:leader="dot"/>
            </w:tabs>
            <w:rPr/>
          </w:pPr>
          <w:hyperlink w:anchor="__RefHeading___Toc2792498_3804643083">
            <w:r>
              <w:rPr>
                <w:webHidden/>
                <w:rStyle w:val="IndexLink"/>
                <w:rtl w:val="true"/>
              </w:rPr>
              <w:t>البحث الثانی</w:t>
            </w:r>
            <w:r>
              <w:rPr>
                <w:rStyle w:val="IndexLink"/>
                <w:rtl w:val="true"/>
              </w:rPr>
              <w:t xml:space="preserve">: </w:t>
            </w:r>
            <w:r>
              <w:rPr>
                <w:rStyle w:val="IndexLink"/>
                <w:rtl w:val="true"/>
              </w:rPr>
              <w:t>الحق أنّ الأمر یدل علی طلب الماهیة،</w:t>
            </w:r>
            <w:r>
              <w:rPr>
                <w:rStyle w:val="IndexLink"/>
                <w:rtl w:val="true"/>
              </w:rPr>
              <w:tab/>
            </w:r>
            <w:r>
              <w:rPr>
                <w:rStyle w:val="IndexLink"/>
              </w:rPr>
              <w:t>95</w:t>
            </w:r>
          </w:hyperlink>
        </w:p>
        <w:p>
          <w:pPr>
            <w:pStyle w:val="Contents4"/>
            <w:tabs>
              <w:tab w:val="clear" w:pos="8176"/>
              <w:tab w:val="right" w:pos="9026" w:leader="dot"/>
            </w:tabs>
            <w:rPr/>
          </w:pPr>
          <w:hyperlink w:anchor="__RefHeading___Toc2792500_3804643083">
            <w:r>
              <w:rPr>
                <w:webHidden/>
                <w:rStyle w:val="IndexLink"/>
                <w:rtl w:val="true"/>
              </w:rPr>
              <w:t>البحث الثالث</w:t>
            </w:r>
            <w:r>
              <w:rPr>
                <w:rStyle w:val="IndexLink"/>
                <w:rtl w:val="true"/>
              </w:rPr>
              <w:t xml:space="preserve">: </w:t>
            </w:r>
            <w:r>
              <w:rPr>
                <w:rStyle w:val="IndexLink"/>
                <w:rtl w:val="true"/>
              </w:rPr>
              <w:t>الأمر المعلّق علی شرط أو صفة لا یتکرر بتکررهما إلّا مع العلیّة،</w:t>
            </w:r>
            <w:r>
              <w:rPr>
                <w:rStyle w:val="IndexLink"/>
                <w:rtl w:val="true"/>
              </w:rPr>
              <w:tab/>
            </w:r>
            <w:r>
              <w:rPr>
                <w:rStyle w:val="IndexLink"/>
              </w:rPr>
              <w:t>96</w:t>
            </w:r>
          </w:hyperlink>
        </w:p>
        <w:p>
          <w:pPr>
            <w:pStyle w:val="Contents4"/>
            <w:tabs>
              <w:tab w:val="clear" w:pos="8176"/>
              <w:tab w:val="right" w:pos="9026" w:leader="dot"/>
            </w:tabs>
            <w:rPr/>
          </w:pPr>
          <w:hyperlink w:anchor="__RefHeading___Toc2792502_3804643083">
            <w:r>
              <w:rPr>
                <w:webHidden/>
                <w:rStyle w:val="IndexLink"/>
                <w:rtl w:val="true"/>
              </w:rPr>
              <w:t>البحث الرابع</w:t>
            </w:r>
            <w:r>
              <w:rPr>
                <w:rStyle w:val="IndexLink"/>
                <w:rtl w:val="true"/>
              </w:rPr>
              <w:t xml:space="preserve">: </w:t>
            </w:r>
            <w:r>
              <w:rPr>
                <w:rStyle w:val="IndexLink"/>
                <w:rtl w:val="true"/>
              </w:rPr>
              <w:t>الحق أنّ الأمر لا یفید الفور و لا التراخی، لاستعماله فیهما،</w:t>
            </w:r>
            <w:r>
              <w:rPr>
                <w:rStyle w:val="IndexLink"/>
                <w:rtl w:val="true"/>
              </w:rPr>
              <w:tab/>
            </w:r>
            <w:r>
              <w:rPr>
                <w:rStyle w:val="IndexLink"/>
              </w:rPr>
              <w:t>96</w:t>
            </w:r>
          </w:hyperlink>
        </w:p>
        <w:p>
          <w:pPr>
            <w:pStyle w:val="Contents4"/>
            <w:tabs>
              <w:tab w:val="clear" w:pos="8176"/>
              <w:tab w:val="right" w:pos="9026" w:leader="dot"/>
            </w:tabs>
            <w:rPr/>
          </w:pPr>
          <w:hyperlink w:anchor="__RefHeading___Toc2792504_3804643083">
            <w:r>
              <w:rPr>
                <w:webHidden/>
                <w:rStyle w:val="IndexLink"/>
                <w:rtl w:val="true"/>
              </w:rPr>
              <w:t>البحث الخامس</w:t>
            </w:r>
            <w:r>
              <w:rPr>
                <w:rStyle w:val="IndexLink"/>
                <w:rtl w:val="true"/>
              </w:rPr>
              <w:t xml:space="preserve">: </w:t>
            </w:r>
            <w:r>
              <w:rPr>
                <w:rStyle w:val="IndexLink"/>
                <w:rtl w:val="true"/>
              </w:rPr>
              <w:t xml:space="preserve">الأمر المعلّق بکلمة </w:t>
            </w:r>
            <w:r>
              <w:rPr>
                <w:rStyle w:val="IndexLink"/>
                <w:rtl w:val="true"/>
              </w:rPr>
              <w:t>(</w:t>
            </w:r>
            <w:r>
              <w:rPr>
                <w:rStyle w:val="IndexLink"/>
                <w:rtl w:val="true"/>
              </w:rPr>
              <w:t>إن</w:t>
            </w:r>
            <w:r>
              <w:rPr>
                <w:rStyle w:val="IndexLink"/>
                <w:rtl w:val="true"/>
              </w:rPr>
              <w:t xml:space="preserve">) </w:t>
            </w:r>
            <w:r>
              <w:rPr>
                <w:rStyle w:val="IndexLink"/>
                <w:rtl w:val="true"/>
              </w:rPr>
              <w:t>عدم عند عدم الشرط،</w:t>
            </w:r>
            <w:r>
              <w:rPr>
                <w:rStyle w:val="IndexLink"/>
                <w:rtl w:val="true"/>
              </w:rPr>
              <w:tab/>
            </w:r>
            <w:r>
              <w:rPr>
                <w:rStyle w:val="IndexLink"/>
              </w:rPr>
              <w:t>97</w:t>
            </w:r>
          </w:hyperlink>
        </w:p>
        <w:p>
          <w:pPr>
            <w:pStyle w:val="Contents4"/>
            <w:tabs>
              <w:tab w:val="clear" w:pos="8176"/>
              <w:tab w:val="right" w:pos="9026" w:leader="dot"/>
            </w:tabs>
            <w:rPr/>
          </w:pPr>
          <w:hyperlink w:anchor="__RefHeading___Toc2792506_3804643083">
            <w:r>
              <w:rPr>
                <w:webHidden/>
                <w:rStyle w:val="IndexLink"/>
                <w:rtl w:val="true"/>
              </w:rPr>
              <w:t>البحث السادس</w:t>
            </w:r>
            <w:r>
              <w:rPr>
                <w:rStyle w:val="IndexLink"/>
                <w:rtl w:val="true"/>
              </w:rPr>
              <w:t xml:space="preserve">: </w:t>
            </w:r>
            <w:r>
              <w:rPr>
                <w:rStyle w:val="IndexLink"/>
                <w:rtl w:val="true"/>
              </w:rPr>
              <w:t>الحق أنّ عدم الوصف لا یقتضی عدم الأمر المعلّق به،</w:t>
            </w:r>
            <w:r>
              <w:rPr>
                <w:rStyle w:val="IndexLink"/>
                <w:rtl w:val="true"/>
              </w:rPr>
              <w:tab/>
            </w:r>
            <w:r>
              <w:rPr>
                <w:rStyle w:val="IndexLink"/>
              </w:rPr>
              <w:t>99</w:t>
            </w:r>
          </w:hyperlink>
        </w:p>
        <w:p>
          <w:pPr>
            <w:pStyle w:val="Contents5"/>
            <w:tabs>
              <w:tab w:val="clear" w:pos="7892"/>
              <w:tab w:val="right" w:pos="9026" w:leader="dot"/>
            </w:tabs>
            <w:rPr/>
          </w:pPr>
          <w:hyperlink w:anchor="__RefHeading___Toc2792508_3804643083">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2792510_3804643083">
            <w:r>
              <w:rPr>
                <w:webHidden/>
                <w:rStyle w:val="IndexLink"/>
                <w:rtl w:val="true"/>
              </w:rPr>
              <w:t>تذنیب</w:t>
            </w:r>
            <w:r>
              <w:rPr>
                <w:rStyle w:val="IndexLink"/>
                <w:rtl w:val="true"/>
              </w:rPr>
              <w:tab/>
            </w:r>
            <w:r>
              <w:rPr>
                <w:rStyle w:val="IndexLink"/>
              </w:rPr>
              <w:t>100</w:t>
            </w:r>
          </w:hyperlink>
        </w:p>
        <w:p>
          <w:pPr>
            <w:pStyle w:val="Contents4"/>
            <w:tabs>
              <w:tab w:val="clear" w:pos="8176"/>
              <w:tab w:val="right" w:pos="9026" w:leader="dot"/>
            </w:tabs>
            <w:rPr/>
          </w:pPr>
          <w:hyperlink w:anchor="__RefHeading___Toc2792512_3804643083">
            <w:r>
              <w:rPr>
                <w:webHidden/>
                <w:rStyle w:val="IndexLink"/>
                <w:rtl w:val="true"/>
              </w:rPr>
              <w:t>البحث السابع</w:t>
            </w:r>
            <w:r>
              <w:rPr>
                <w:rStyle w:val="IndexLink"/>
                <w:rtl w:val="true"/>
              </w:rPr>
              <w:t xml:space="preserve">: </w:t>
            </w:r>
            <w:r>
              <w:rPr>
                <w:rStyle w:val="IndexLink"/>
                <w:rtl w:val="true"/>
              </w:rPr>
              <w:t>الحکم المقیّد بالغایة یدل علی مخالفة ما بعد الغایة له،</w:t>
            </w:r>
            <w:r>
              <w:rPr>
                <w:rStyle w:val="IndexLink"/>
                <w:rtl w:val="true"/>
              </w:rPr>
              <w:tab/>
            </w:r>
            <w:r>
              <w:rPr>
                <w:rStyle w:val="IndexLink"/>
              </w:rPr>
              <w:t>100</w:t>
            </w:r>
          </w:hyperlink>
        </w:p>
        <w:p>
          <w:pPr>
            <w:pStyle w:val="Contents4"/>
            <w:tabs>
              <w:tab w:val="clear" w:pos="8176"/>
              <w:tab w:val="right" w:pos="9026" w:leader="dot"/>
            </w:tabs>
            <w:rPr/>
          </w:pPr>
          <w:hyperlink w:anchor="__RefHeading___Toc2792514_3804643083">
            <w:r>
              <w:rPr>
                <w:webHidden/>
                <w:rStyle w:val="IndexLink"/>
                <w:rtl w:val="true"/>
              </w:rPr>
              <w:t>البحث الثامن</w:t>
            </w:r>
            <w:r>
              <w:rPr>
                <w:rStyle w:val="IndexLink"/>
                <w:rtl w:val="true"/>
              </w:rPr>
              <w:t xml:space="preserve">: </w:t>
            </w:r>
            <w:r>
              <w:rPr>
                <w:rStyle w:val="IndexLink"/>
                <w:rtl w:val="true"/>
              </w:rPr>
              <w:t>الآمر إن نقل کلام غیره دخل فیه إن تناوله،</w:t>
            </w:r>
            <w:r>
              <w:rPr>
                <w:rStyle w:val="IndexLink"/>
                <w:rtl w:val="true"/>
              </w:rPr>
              <w:tab/>
            </w:r>
            <w:r>
              <w:rPr>
                <w:rStyle w:val="IndexLink"/>
              </w:rPr>
              <w:t>101</w:t>
            </w:r>
          </w:hyperlink>
        </w:p>
        <w:p>
          <w:pPr>
            <w:pStyle w:val="Contents3"/>
            <w:tabs>
              <w:tab w:val="clear" w:pos="8459"/>
              <w:tab w:val="right" w:pos="9026" w:leader="dot"/>
            </w:tabs>
            <w:rPr/>
          </w:pPr>
          <w:hyperlink w:anchor="__RefHeading___Toc2792516_3804643083">
            <w:r>
              <w:rPr>
                <w:webHidden/>
                <w:rStyle w:val="IndexLink"/>
                <w:rtl w:val="true"/>
              </w:rPr>
              <w:t>الفصل الثالث</w:t>
            </w:r>
            <w:r>
              <w:rPr>
                <w:rStyle w:val="IndexLink"/>
                <w:rtl w:val="true"/>
              </w:rPr>
              <w:t xml:space="preserve">: </w:t>
            </w:r>
            <w:r>
              <w:rPr>
                <w:rStyle w:val="IndexLink"/>
                <w:rtl w:val="true"/>
              </w:rPr>
              <w:t>فی الوجوب</w:t>
            </w:r>
            <w:r>
              <w:rPr>
                <w:rStyle w:val="IndexLink"/>
                <w:rtl w:val="true"/>
              </w:rPr>
              <w:tab/>
            </w:r>
            <w:r>
              <w:rPr>
                <w:rStyle w:val="IndexLink"/>
              </w:rPr>
              <w:t>102</w:t>
            </w:r>
          </w:hyperlink>
        </w:p>
        <w:p>
          <w:pPr>
            <w:pStyle w:val="Contents4"/>
            <w:tabs>
              <w:tab w:val="clear" w:pos="8176"/>
              <w:tab w:val="right" w:pos="9026" w:leader="dot"/>
            </w:tabs>
            <w:rPr/>
          </w:pPr>
          <w:hyperlink w:anchor="__RefHeading___Toc2792518_380464308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792520_3804643083">
            <w:r>
              <w:rPr>
                <w:webHidden/>
                <w:rStyle w:val="IndexLink"/>
                <w:rtl w:val="true"/>
              </w:rPr>
              <w:t>الأوّل</w:t>
            </w:r>
            <w:r>
              <w:rPr>
                <w:rStyle w:val="IndexLink"/>
                <w:rtl w:val="true"/>
              </w:rPr>
              <w:t xml:space="preserve">: </w:t>
            </w:r>
            <w:r>
              <w:rPr>
                <w:rStyle w:val="IndexLink"/>
                <w:rtl w:val="true"/>
              </w:rPr>
              <w:t>فی الواجب المخیّر</w:t>
            </w:r>
            <w:r>
              <w:rPr>
                <w:rStyle w:val="IndexLink"/>
                <w:rtl w:val="true"/>
              </w:rPr>
              <w:t>.</w:t>
              <w:tab/>
            </w:r>
            <w:r>
              <w:rPr>
                <w:rStyle w:val="IndexLink"/>
              </w:rPr>
              <w:t>102</w:t>
            </w:r>
          </w:hyperlink>
        </w:p>
        <w:p>
          <w:pPr>
            <w:pStyle w:val="Contents5"/>
            <w:tabs>
              <w:tab w:val="clear" w:pos="7892"/>
              <w:tab w:val="right" w:pos="9026" w:leader="dot"/>
            </w:tabs>
            <w:rPr/>
          </w:pPr>
          <w:hyperlink w:anchor="__RefHeading___Toc2792522_3804643083">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2792524_3804643083">
            <w:r>
              <w:rPr>
                <w:webHidden/>
                <w:rStyle w:val="IndexLink"/>
                <w:rtl w:val="true"/>
              </w:rPr>
              <w:t>تذنیب</w:t>
            </w:r>
            <w:r>
              <w:rPr>
                <w:rStyle w:val="IndexLink"/>
                <w:rtl w:val="true"/>
              </w:rPr>
              <w:tab/>
            </w:r>
            <w:r>
              <w:rPr>
                <w:rStyle w:val="IndexLink"/>
              </w:rPr>
              <w:t>104</w:t>
            </w:r>
          </w:hyperlink>
        </w:p>
        <w:p>
          <w:pPr>
            <w:pStyle w:val="Contents4"/>
            <w:tabs>
              <w:tab w:val="clear" w:pos="8176"/>
              <w:tab w:val="right" w:pos="9026" w:leader="dot"/>
            </w:tabs>
            <w:rPr/>
          </w:pPr>
          <w:hyperlink w:anchor="__RefHeading___Toc2792526_3804643083">
            <w:r>
              <w:rPr>
                <w:webHidden/>
                <w:rStyle w:val="IndexLink"/>
                <w:rtl w:val="true"/>
              </w:rPr>
              <w:t>البحث الثانی</w:t>
            </w:r>
            <w:r>
              <w:rPr>
                <w:rStyle w:val="IndexLink"/>
                <w:rtl w:val="true"/>
              </w:rPr>
              <w:t xml:space="preserve">: </w:t>
            </w:r>
            <w:r>
              <w:rPr>
                <w:rStyle w:val="IndexLink"/>
                <w:rtl w:val="true"/>
              </w:rPr>
              <w:t>فی الواجب الموسّع</w:t>
            </w:r>
            <w:r>
              <w:rPr>
                <w:rStyle w:val="IndexLink"/>
                <w:rtl w:val="true"/>
              </w:rPr>
              <w:tab/>
            </w:r>
            <w:r>
              <w:rPr>
                <w:rStyle w:val="IndexLink"/>
              </w:rPr>
              <w:t>105</w:t>
            </w:r>
          </w:hyperlink>
        </w:p>
        <w:p>
          <w:pPr>
            <w:pStyle w:val="Contents3"/>
            <w:tabs>
              <w:tab w:val="clear" w:pos="8459"/>
              <w:tab w:val="right" w:pos="9026" w:leader="dot"/>
            </w:tabs>
            <w:rPr/>
          </w:pPr>
          <w:hyperlink w:anchor="__RefHeading___Toc2792528_3804643083">
            <w:r>
              <w:rPr>
                <w:webHidden/>
                <w:rStyle w:val="IndexLink"/>
                <w:rtl w:val="true"/>
              </w:rPr>
              <w:t>الفصل الرابع</w:t>
            </w:r>
            <w:r>
              <w:rPr>
                <w:rStyle w:val="IndexLink"/>
                <w:rtl w:val="true"/>
              </w:rPr>
              <w:t xml:space="preserve">: </w:t>
            </w:r>
            <w:r>
              <w:rPr>
                <w:rStyle w:val="IndexLink"/>
                <w:rtl w:val="true"/>
              </w:rPr>
              <w:t>فی المأمور به</w:t>
            </w:r>
            <w:r>
              <w:rPr>
                <w:rStyle w:val="IndexLink"/>
                <w:rtl w:val="true"/>
              </w:rPr>
              <w:tab/>
            </w:r>
            <w:r>
              <w:rPr>
                <w:rStyle w:val="IndexLink"/>
              </w:rPr>
              <w:t>110</w:t>
            </w:r>
          </w:hyperlink>
        </w:p>
        <w:p>
          <w:pPr>
            <w:pStyle w:val="Contents4"/>
            <w:tabs>
              <w:tab w:val="clear" w:pos="8176"/>
              <w:tab w:val="right" w:pos="9026" w:leader="dot"/>
            </w:tabs>
            <w:rPr/>
          </w:pPr>
          <w:hyperlink w:anchor="__RefHeading___Toc2792530_380464308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792532_3804643083">
            <w:r>
              <w:rPr>
                <w:webHidden/>
                <w:rStyle w:val="IndexLink"/>
                <w:rtl w:val="true"/>
              </w:rPr>
              <w:t>الأوّل</w:t>
            </w:r>
            <w:r>
              <w:rPr>
                <w:rStyle w:val="IndexLink"/>
                <w:rtl w:val="true"/>
              </w:rPr>
              <w:t xml:space="preserve">: </w:t>
            </w:r>
            <w:r>
              <w:rPr>
                <w:rStyle w:val="IndexLink"/>
                <w:rtl w:val="true"/>
              </w:rPr>
              <w:t>یمتنع تکلیف ما لا یطاق لأنّه قبیح،</w:t>
            </w:r>
            <w:r>
              <w:rPr>
                <w:rStyle w:val="IndexLink"/>
                <w:rtl w:val="true"/>
              </w:rPr>
              <w:tab/>
            </w:r>
            <w:r>
              <w:rPr>
                <w:rStyle w:val="IndexLink"/>
              </w:rPr>
              <w:t>110</w:t>
            </w:r>
          </w:hyperlink>
        </w:p>
        <w:p>
          <w:pPr>
            <w:pStyle w:val="Contents4"/>
            <w:tabs>
              <w:tab w:val="clear" w:pos="8176"/>
              <w:tab w:val="right" w:pos="9026" w:leader="dot"/>
            </w:tabs>
            <w:rPr/>
          </w:pPr>
          <w:hyperlink w:anchor="__RefHeading___Toc2792534_3804643083">
            <w:r>
              <w:rPr>
                <w:webHidden/>
                <w:rStyle w:val="IndexLink"/>
                <w:rtl w:val="true"/>
              </w:rPr>
              <w:t>البحث الثانی</w:t>
            </w:r>
            <w:r>
              <w:rPr>
                <w:rStyle w:val="IndexLink"/>
                <w:rtl w:val="true"/>
              </w:rPr>
              <w:t xml:space="preserve">: </w:t>
            </w:r>
            <w:r>
              <w:rPr>
                <w:rStyle w:val="IndexLink"/>
                <w:rtl w:val="true"/>
              </w:rPr>
              <w:t>الأمر بفروع الشریعة لا یتوقف علی الإیمان،</w:t>
            </w:r>
            <w:r>
              <w:rPr>
                <w:rStyle w:val="IndexLink"/>
                <w:rtl w:val="true"/>
              </w:rPr>
              <w:tab/>
            </w:r>
            <w:r>
              <w:rPr>
                <w:rStyle w:val="IndexLink"/>
              </w:rPr>
              <w:t>111</w:t>
            </w:r>
          </w:hyperlink>
        </w:p>
        <w:p>
          <w:pPr>
            <w:pStyle w:val="Contents4"/>
            <w:tabs>
              <w:tab w:val="clear" w:pos="8176"/>
              <w:tab w:val="right" w:pos="9026" w:leader="dot"/>
            </w:tabs>
            <w:rPr/>
          </w:pPr>
          <w:hyperlink w:anchor="__RefHeading___Toc2792536_3804643083">
            <w:r>
              <w:rPr>
                <w:webHidden/>
                <w:rStyle w:val="IndexLink"/>
                <w:rtl w:val="true"/>
              </w:rPr>
              <w:t>البحث الثالث</w:t>
            </w:r>
            <w:r>
              <w:rPr>
                <w:rStyle w:val="IndexLink"/>
                <w:rtl w:val="true"/>
              </w:rPr>
              <w:t>:</w:t>
              <w:tab/>
            </w:r>
            <w:r>
              <w:rPr>
                <w:rStyle w:val="IndexLink"/>
              </w:rPr>
              <w:t>112</w:t>
            </w:r>
          </w:hyperlink>
        </w:p>
        <w:p>
          <w:pPr>
            <w:pStyle w:val="Contents4"/>
            <w:tabs>
              <w:tab w:val="clear" w:pos="8176"/>
              <w:tab w:val="right" w:pos="9026" w:leader="dot"/>
            </w:tabs>
            <w:rPr/>
          </w:pPr>
          <w:hyperlink w:anchor="__RefHeading___Toc2792538_3804643083">
            <w:r>
              <w:rPr>
                <w:webHidden/>
                <w:rStyle w:val="IndexLink"/>
                <w:rtl w:val="true"/>
              </w:rPr>
              <w:t>البحث الرابع</w:t>
            </w:r>
            <w:r>
              <w:rPr>
                <w:rStyle w:val="IndexLink"/>
                <w:rtl w:val="true"/>
              </w:rPr>
              <w:t xml:space="preserve">: </w:t>
            </w:r>
            <w:r>
              <w:rPr>
                <w:rStyle w:val="IndexLink"/>
                <w:rtl w:val="true"/>
              </w:rPr>
              <w:t>قد بیّنا أنّ الأمر لا یقتضی الفور،</w:t>
            </w:r>
            <w:r>
              <w:rPr>
                <w:rStyle w:val="IndexLink"/>
                <w:rtl w:val="true"/>
              </w:rPr>
              <w:tab/>
            </w:r>
            <w:r>
              <w:rPr>
                <w:rStyle w:val="IndexLink"/>
              </w:rPr>
              <w:t>112</w:t>
            </w:r>
          </w:hyperlink>
        </w:p>
        <w:p>
          <w:pPr>
            <w:pStyle w:val="Contents4"/>
            <w:tabs>
              <w:tab w:val="clear" w:pos="8176"/>
              <w:tab w:val="right" w:pos="9026" w:leader="dot"/>
            </w:tabs>
            <w:rPr/>
          </w:pPr>
          <w:hyperlink w:anchor="__RefHeading___Toc2792540_3804643083">
            <w:r>
              <w:rPr>
                <w:webHidden/>
                <w:rStyle w:val="IndexLink"/>
                <w:rtl w:val="true"/>
              </w:rPr>
              <w:t>البحث الخامس</w:t>
            </w:r>
            <w:r>
              <w:rPr>
                <w:rStyle w:val="IndexLink"/>
                <w:rtl w:val="true"/>
              </w:rPr>
              <w:t xml:space="preserve">: </w:t>
            </w:r>
            <w:r>
              <w:rPr>
                <w:rStyle w:val="IndexLink"/>
                <w:rtl w:val="true"/>
              </w:rPr>
              <w:t>الأمر بالکلی لیس أمرا بجزئی معین،</w:t>
            </w:r>
            <w:r>
              <w:rPr>
                <w:rStyle w:val="IndexLink"/>
                <w:rtl w:val="true"/>
              </w:rPr>
              <w:tab/>
            </w:r>
            <w:r>
              <w:rPr>
                <w:rStyle w:val="IndexLink"/>
              </w:rPr>
              <w:t>113</w:t>
            </w:r>
          </w:hyperlink>
        </w:p>
        <w:p>
          <w:pPr>
            <w:pStyle w:val="Contents4"/>
            <w:tabs>
              <w:tab w:val="clear" w:pos="8176"/>
              <w:tab w:val="right" w:pos="9026" w:leader="dot"/>
            </w:tabs>
            <w:rPr/>
          </w:pPr>
          <w:hyperlink w:anchor="__RefHeading___Toc2792542_3804643083">
            <w:r>
              <w:rPr>
                <w:webHidden/>
                <w:rStyle w:val="IndexLink"/>
                <w:rtl w:val="true"/>
              </w:rPr>
              <w:t>البحث السادس</w:t>
            </w:r>
            <w:r>
              <w:rPr>
                <w:rStyle w:val="IndexLink"/>
                <w:rtl w:val="true"/>
              </w:rPr>
              <w:t xml:space="preserve">: </w:t>
            </w:r>
            <w:r>
              <w:rPr>
                <w:rStyle w:val="IndexLink"/>
                <w:rtl w:val="true"/>
              </w:rPr>
              <w:t>المندوب لیس مأمورا به،</w:t>
            </w:r>
            <w:r>
              <w:rPr>
                <w:rStyle w:val="IndexLink"/>
                <w:rtl w:val="true"/>
              </w:rPr>
              <w:tab/>
            </w:r>
            <w:r>
              <w:rPr>
                <w:rStyle w:val="IndexLink"/>
              </w:rPr>
              <w:t>113</w:t>
            </w:r>
          </w:hyperlink>
        </w:p>
        <w:p>
          <w:pPr>
            <w:pStyle w:val="Contents3"/>
            <w:tabs>
              <w:tab w:val="clear" w:pos="8459"/>
              <w:tab w:val="right" w:pos="9026" w:leader="dot"/>
            </w:tabs>
            <w:rPr/>
          </w:pPr>
          <w:hyperlink w:anchor="__RefHeading___Toc2792544_3804643083">
            <w:r>
              <w:rPr>
                <w:webHidden/>
                <w:rStyle w:val="IndexLink"/>
                <w:rtl w:val="true"/>
              </w:rPr>
              <w:t>الفصل الخامس</w:t>
            </w:r>
            <w:r>
              <w:rPr>
                <w:rStyle w:val="IndexLink"/>
                <w:rtl w:val="true"/>
              </w:rPr>
              <w:t xml:space="preserve">: </w:t>
            </w:r>
            <w:r>
              <w:rPr>
                <w:rStyle w:val="IndexLink"/>
                <w:rtl w:val="true"/>
              </w:rPr>
              <w:t>فی المأمور</w:t>
            </w:r>
            <w:r>
              <w:rPr>
                <w:rStyle w:val="IndexLink"/>
                <w:rtl w:val="true"/>
              </w:rPr>
              <w:tab/>
            </w:r>
            <w:r>
              <w:rPr>
                <w:rStyle w:val="IndexLink"/>
              </w:rPr>
              <w:t>114</w:t>
            </w:r>
          </w:hyperlink>
        </w:p>
        <w:p>
          <w:pPr>
            <w:pStyle w:val="Contents4"/>
            <w:tabs>
              <w:tab w:val="clear" w:pos="8176"/>
              <w:tab w:val="right" w:pos="9026" w:leader="dot"/>
            </w:tabs>
            <w:rPr/>
          </w:pPr>
          <w:hyperlink w:anchor="__RefHeading___Toc2792546_380464308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792548_3804643083">
            <w:r>
              <w:rPr>
                <w:webHidden/>
                <w:rStyle w:val="IndexLink"/>
                <w:rtl w:val="true"/>
              </w:rPr>
              <w:t>الأوّل</w:t>
            </w:r>
            <w:r>
              <w:rPr>
                <w:rStyle w:val="IndexLink"/>
                <w:rtl w:val="true"/>
              </w:rPr>
              <w:t xml:space="preserve">: </w:t>
            </w:r>
            <w:r>
              <w:rPr>
                <w:rStyle w:val="IndexLink"/>
                <w:rtl w:val="true"/>
              </w:rPr>
              <w:t>المعدوم لیس بمأمور، لأنّ أمر غیر الموجود سفه،</w:t>
            </w:r>
            <w:r>
              <w:rPr>
                <w:rStyle w:val="IndexLink"/>
                <w:rtl w:val="true"/>
              </w:rPr>
              <w:tab/>
            </w:r>
            <w:r>
              <w:rPr>
                <w:rStyle w:val="IndexLink"/>
              </w:rPr>
              <w:t>114</w:t>
            </w:r>
          </w:hyperlink>
        </w:p>
        <w:p>
          <w:pPr>
            <w:pStyle w:val="Contents4"/>
            <w:tabs>
              <w:tab w:val="clear" w:pos="8176"/>
              <w:tab w:val="right" w:pos="9026" w:leader="dot"/>
            </w:tabs>
            <w:rPr/>
          </w:pPr>
          <w:hyperlink w:anchor="__RefHeading___Toc2792550_3804643083">
            <w:r>
              <w:rPr>
                <w:webHidden/>
                <w:rStyle w:val="IndexLink"/>
                <w:rtl w:val="true"/>
              </w:rPr>
              <w:t>البحث الثانی</w:t>
            </w:r>
            <w:r>
              <w:rPr>
                <w:rStyle w:val="IndexLink"/>
                <w:rtl w:val="true"/>
              </w:rPr>
              <w:t xml:space="preserve">: </w:t>
            </w:r>
            <w:r>
              <w:rPr>
                <w:rStyle w:val="IndexLink"/>
                <w:rtl w:val="true"/>
              </w:rPr>
              <w:t>الفهم شرط التکلیف،</w:t>
            </w:r>
            <w:r>
              <w:rPr>
                <w:rStyle w:val="IndexLink"/>
                <w:rtl w:val="true"/>
              </w:rPr>
              <w:tab/>
            </w:r>
            <w:r>
              <w:rPr>
                <w:rStyle w:val="IndexLink"/>
              </w:rPr>
              <w:t>114</w:t>
            </w:r>
          </w:hyperlink>
        </w:p>
        <w:p>
          <w:pPr>
            <w:pStyle w:val="Contents4"/>
            <w:tabs>
              <w:tab w:val="clear" w:pos="8176"/>
              <w:tab w:val="right" w:pos="9026" w:leader="dot"/>
            </w:tabs>
            <w:rPr/>
          </w:pPr>
          <w:hyperlink w:anchor="__RefHeading___Toc2792552_3804643083">
            <w:r>
              <w:rPr>
                <w:webHidden/>
                <w:rStyle w:val="IndexLink"/>
                <w:rtl w:val="true"/>
              </w:rPr>
              <w:t>البحث الثالث</w:t>
            </w:r>
            <w:r>
              <w:rPr>
                <w:rStyle w:val="IndexLink"/>
                <w:rtl w:val="true"/>
              </w:rPr>
              <w:t xml:space="preserve">: </w:t>
            </w:r>
            <w:r>
              <w:rPr>
                <w:rStyle w:val="IndexLink"/>
                <w:rtl w:val="true"/>
              </w:rPr>
              <w:t>تکلیف المکره قبیح،</w:t>
            </w:r>
            <w:r>
              <w:rPr>
                <w:rStyle w:val="IndexLink"/>
                <w:rtl w:val="true"/>
              </w:rPr>
              <w:tab/>
            </w:r>
            <w:r>
              <w:rPr>
                <w:rStyle w:val="IndexLink"/>
              </w:rPr>
              <w:t>115</w:t>
            </w:r>
          </w:hyperlink>
        </w:p>
        <w:p>
          <w:pPr>
            <w:pStyle w:val="Contents4"/>
            <w:tabs>
              <w:tab w:val="clear" w:pos="8176"/>
              <w:tab w:val="right" w:pos="9026" w:leader="dot"/>
            </w:tabs>
            <w:rPr/>
          </w:pPr>
          <w:hyperlink w:anchor="__RefHeading___Toc2792554_3804643083">
            <w:r>
              <w:rPr>
                <w:webHidden/>
                <w:rStyle w:val="IndexLink"/>
                <w:rtl w:val="true"/>
              </w:rPr>
              <w:t>البحث الرابع</w:t>
            </w:r>
            <w:r>
              <w:rPr>
                <w:rStyle w:val="IndexLink"/>
                <w:rtl w:val="true"/>
              </w:rPr>
              <w:t xml:space="preserve">: </w:t>
            </w:r>
            <w:r>
              <w:rPr>
                <w:rStyle w:val="IndexLink"/>
                <w:rtl w:val="true"/>
              </w:rPr>
              <w:t>الأمر یتعلق بالمکلّف،</w:t>
            </w:r>
            <w:r>
              <w:rPr>
                <w:rStyle w:val="IndexLink"/>
                <w:rtl w:val="true"/>
              </w:rPr>
              <w:tab/>
            </w:r>
            <w:r>
              <w:rPr>
                <w:rStyle w:val="IndexLink"/>
              </w:rPr>
              <w:t>116</w:t>
            </w:r>
          </w:hyperlink>
        </w:p>
        <w:p>
          <w:pPr>
            <w:pStyle w:val="Contents3"/>
            <w:tabs>
              <w:tab w:val="clear" w:pos="8459"/>
              <w:tab w:val="right" w:pos="9026" w:leader="dot"/>
            </w:tabs>
            <w:rPr/>
          </w:pPr>
          <w:hyperlink w:anchor="__RefHeading___Toc2792556_3804643083">
            <w:r>
              <w:rPr>
                <w:webHidden/>
                <w:rStyle w:val="IndexLink"/>
                <w:rtl w:val="true"/>
              </w:rPr>
              <w:t>الفصل السادس</w:t>
            </w:r>
            <w:r>
              <w:rPr>
                <w:rStyle w:val="IndexLink"/>
                <w:rtl w:val="true"/>
              </w:rPr>
              <w:t xml:space="preserve">: </w:t>
            </w:r>
            <w:r>
              <w:rPr>
                <w:rStyle w:val="IndexLink"/>
                <w:rtl w:val="true"/>
              </w:rPr>
              <w:t>فی النهی</w:t>
            </w:r>
            <w:r>
              <w:rPr>
                <w:rStyle w:val="IndexLink"/>
                <w:rtl w:val="true"/>
              </w:rPr>
              <w:tab/>
            </w:r>
            <w:r>
              <w:rPr>
                <w:rStyle w:val="IndexLink"/>
              </w:rPr>
              <w:t>118</w:t>
            </w:r>
          </w:hyperlink>
        </w:p>
        <w:p>
          <w:pPr>
            <w:pStyle w:val="Contents4"/>
            <w:tabs>
              <w:tab w:val="clear" w:pos="8176"/>
              <w:tab w:val="right" w:pos="9026" w:leader="dot"/>
            </w:tabs>
            <w:rPr/>
          </w:pPr>
          <w:hyperlink w:anchor="__RefHeading___Toc2792558_380464308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792560_3804643083">
            <w:r>
              <w:rPr>
                <w:webHidden/>
                <w:rStyle w:val="IndexLink"/>
                <w:rtl w:val="true"/>
              </w:rPr>
              <w:t>الأوّل</w:t>
            </w:r>
            <w:r>
              <w:rPr>
                <w:rStyle w:val="IndexLink"/>
                <w:rtl w:val="true"/>
              </w:rPr>
              <w:t xml:space="preserve">: </w:t>
            </w:r>
            <w:r>
              <w:rPr>
                <w:rStyle w:val="IndexLink"/>
                <w:rtl w:val="true"/>
              </w:rPr>
              <w:t>النهی یقتضی التحریم،</w:t>
            </w:r>
            <w:r>
              <w:rPr>
                <w:rStyle w:val="IndexLink"/>
                <w:rtl w:val="true"/>
              </w:rPr>
              <w:tab/>
            </w:r>
            <w:r>
              <w:rPr>
                <w:rStyle w:val="IndexLink"/>
              </w:rPr>
              <w:t>118</w:t>
            </w:r>
          </w:hyperlink>
        </w:p>
        <w:p>
          <w:pPr>
            <w:pStyle w:val="Contents4"/>
            <w:tabs>
              <w:tab w:val="clear" w:pos="8176"/>
              <w:tab w:val="right" w:pos="9026" w:leader="dot"/>
            </w:tabs>
            <w:rPr/>
          </w:pPr>
          <w:hyperlink w:anchor="__RefHeading___Toc2792562_3804643083">
            <w:r>
              <w:rPr>
                <w:webHidden/>
                <w:rStyle w:val="IndexLink"/>
                <w:rtl w:val="true"/>
              </w:rPr>
              <w:t>البحث الثانی</w:t>
            </w:r>
            <w:r>
              <w:rPr>
                <w:rStyle w:val="IndexLink"/>
                <w:rtl w:val="true"/>
              </w:rPr>
              <w:t xml:space="preserve">: </w:t>
            </w:r>
            <w:r>
              <w:rPr>
                <w:rStyle w:val="IndexLink"/>
                <w:rtl w:val="true"/>
              </w:rPr>
              <w:t>النهی یدل علی الفساد فی العبادات،</w:t>
            </w:r>
            <w:r>
              <w:rPr>
                <w:rStyle w:val="IndexLink"/>
                <w:rtl w:val="true"/>
              </w:rPr>
              <w:tab/>
            </w:r>
            <w:r>
              <w:rPr>
                <w:rStyle w:val="IndexLink"/>
              </w:rPr>
              <w:t>118</w:t>
            </w:r>
          </w:hyperlink>
        </w:p>
        <w:p>
          <w:pPr>
            <w:pStyle w:val="Contents4"/>
            <w:tabs>
              <w:tab w:val="clear" w:pos="8176"/>
              <w:tab w:val="right" w:pos="9026" w:leader="dot"/>
            </w:tabs>
            <w:rPr/>
          </w:pPr>
          <w:hyperlink w:anchor="__RefHeading___Toc2792564_3804643083">
            <w:r>
              <w:rPr>
                <w:webHidden/>
                <w:rStyle w:val="IndexLink"/>
                <w:rtl w:val="true"/>
              </w:rPr>
              <w:t>البحث الثالث</w:t>
            </w:r>
            <w:r>
              <w:rPr>
                <w:rStyle w:val="IndexLink"/>
                <w:rtl w:val="true"/>
              </w:rPr>
              <w:t xml:space="preserve">: </w:t>
            </w:r>
            <w:r>
              <w:rPr>
                <w:rStyle w:val="IndexLink"/>
                <w:rtl w:val="true"/>
              </w:rPr>
              <w:t>المکلف إن أمکن خلوّه عن کل فعل،</w:t>
            </w:r>
            <w:r>
              <w:rPr>
                <w:rStyle w:val="IndexLink"/>
                <w:rtl w:val="true"/>
              </w:rPr>
              <w:tab/>
            </w:r>
            <w:r>
              <w:rPr>
                <w:rStyle w:val="IndexLink"/>
              </w:rPr>
              <w:t>119</w:t>
            </w:r>
          </w:hyperlink>
        </w:p>
        <w:p>
          <w:pPr>
            <w:pStyle w:val="Contents2"/>
            <w:tabs>
              <w:tab w:val="clear" w:pos="8743"/>
              <w:tab w:val="right" w:pos="9026" w:leader="dot"/>
            </w:tabs>
            <w:rPr/>
          </w:pPr>
          <w:hyperlink w:anchor="__RefHeading___Toc2792566_3804643083">
            <w:r>
              <w:rPr>
                <w:webHidden/>
                <w:rStyle w:val="IndexLink"/>
                <w:rtl w:val="true"/>
              </w:rPr>
              <w:t>المقصد الرّابع فی العامّ و الخاصّ</w:t>
            </w:r>
            <w:r>
              <w:rPr>
                <w:rStyle w:val="IndexLink"/>
                <w:rtl w:val="true"/>
              </w:rPr>
              <w:tab/>
            </w:r>
            <w:r>
              <w:rPr>
                <w:rStyle w:val="IndexLink"/>
              </w:rPr>
              <w:t>121</w:t>
            </w:r>
          </w:hyperlink>
        </w:p>
        <w:p>
          <w:pPr>
            <w:pStyle w:val="Contents3"/>
            <w:tabs>
              <w:tab w:val="clear" w:pos="8459"/>
              <w:tab w:val="right" w:pos="9026" w:leader="dot"/>
            </w:tabs>
            <w:rPr/>
          </w:pPr>
          <w:hyperlink w:anchor="__RefHeading___Toc2792568_380464308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2792570_3804643083">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ألفاظ العموم</w:t>
            </w:r>
            <w:r>
              <w:rPr>
                <w:rStyle w:val="IndexLink"/>
                <w:rtl w:val="true"/>
              </w:rPr>
              <w:tab/>
            </w:r>
            <w:r>
              <w:rPr>
                <w:rStyle w:val="IndexLink"/>
              </w:rPr>
              <w:t>122</w:t>
            </w:r>
          </w:hyperlink>
        </w:p>
        <w:p>
          <w:pPr>
            <w:pStyle w:val="Contents4"/>
            <w:tabs>
              <w:tab w:val="clear" w:pos="8176"/>
              <w:tab w:val="right" w:pos="9026" w:leader="dot"/>
            </w:tabs>
            <w:rPr/>
          </w:pPr>
          <w:hyperlink w:anchor="__RefHeading___Toc2792572_3804643083">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792574_380464308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العام</w:t>
            </w:r>
            <w:r>
              <w:rPr>
                <w:rStyle w:val="IndexLink"/>
                <w:rtl w:val="true"/>
              </w:rPr>
              <w:tab/>
            </w:r>
            <w:r>
              <w:rPr>
                <w:rStyle w:val="IndexLink"/>
              </w:rPr>
              <w:t>122</w:t>
            </w:r>
          </w:hyperlink>
        </w:p>
        <w:p>
          <w:pPr>
            <w:pStyle w:val="Contents4"/>
            <w:tabs>
              <w:tab w:val="clear" w:pos="8176"/>
              <w:tab w:val="right" w:pos="9026" w:leader="dot"/>
            </w:tabs>
            <w:rPr/>
          </w:pPr>
          <w:hyperlink w:anchor="__RefHeading___Toc2792576_3804643083">
            <w:r>
              <w:rPr>
                <w:webHidden/>
                <w:rStyle w:val="IndexLink"/>
                <w:rtl w:val="true"/>
              </w:rPr>
              <w:t>البحث الثانی</w:t>
            </w:r>
            <w:r>
              <w:rPr>
                <w:rStyle w:val="IndexLink"/>
                <w:rtl w:val="true"/>
              </w:rPr>
              <w:t xml:space="preserve">: </w:t>
            </w:r>
            <w:r>
              <w:rPr>
                <w:rStyle w:val="IndexLink"/>
                <w:rtl w:val="true"/>
              </w:rPr>
              <w:t>الحق أنّ للعموم صیغة تدل علیه</w:t>
            </w:r>
            <w:r>
              <w:rPr>
                <w:rStyle w:val="IndexLink"/>
                <w:rtl w:val="true"/>
              </w:rPr>
              <w:t>.</w:t>
              <w:tab/>
            </w:r>
            <w:r>
              <w:rPr>
                <w:rStyle w:val="IndexLink"/>
              </w:rPr>
              <w:t>122</w:t>
            </w:r>
          </w:hyperlink>
        </w:p>
        <w:p>
          <w:pPr>
            <w:pStyle w:val="Contents4"/>
            <w:tabs>
              <w:tab w:val="clear" w:pos="8176"/>
              <w:tab w:val="right" w:pos="9026" w:leader="dot"/>
            </w:tabs>
            <w:rPr/>
          </w:pPr>
          <w:hyperlink w:anchor="__RefHeading___Toc2792578_3804643083">
            <w:r>
              <w:rPr>
                <w:webHidden/>
                <w:rStyle w:val="IndexLink"/>
                <w:rtl w:val="true"/>
              </w:rPr>
              <w:t>البحث الثالث</w:t>
            </w:r>
            <w:r>
              <w:rPr>
                <w:rStyle w:val="IndexLink"/>
                <w:rtl w:val="true"/>
              </w:rPr>
              <w:t xml:space="preserve">: </w:t>
            </w:r>
            <w:r>
              <w:rPr>
                <w:rStyle w:val="IndexLink"/>
                <w:rtl w:val="true"/>
              </w:rPr>
              <w:t>فی مسائل اختلف فیها</w:t>
            </w:r>
            <w:r>
              <w:rPr>
                <w:rStyle w:val="IndexLink"/>
                <w:rtl w:val="true"/>
              </w:rPr>
              <w:t>:</w:t>
              <w:tab/>
            </w:r>
            <w:r>
              <w:rPr>
                <w:rStyle w:val="IndexLink"/>
              </w:rPr>
              <w:t>124</w:t>
            </w:r>
          </w:hyperlink>
        </w:p>
        <w:p>
          <w:pPr>
            <w:pStyle w:val="Contents3"/>
            <w:tabs>
              <w:tab w:val="clear" w:pos="8459"/>
              <w:tab w:val="right" w:pos="9026" w:leader="dot"/>
            </w:tabs>
            <w:rPr/>
          </w:pPr>
          <w:hyperlink w:anchor="__RefHeading___Toc2792580_3804643083">
            <w:r>
              <w:rPr>
                <w:webHidden/>
                <w:rStyle w:val="IndexLink"/>
                <w:rtl w:val="true"/>
              </w:rPr>
              <w:t>الفصل الثانی</w:t>
            </w:r>
            <w:r>
              <w:rPr>
                <w:rStyle w:val="IndexLink"/>
                <w:rtl w:val="true"/>
              </w:rPr>
              <w:t xml:space="preserve">: </w:t>
            </w:r>
            <w:r>
              <w:rPr>
                <w:rStyle w:val="IndexLink"/>
                <w:rtl w:val="true"/>
              </w:rPr>
              <w:t>فی الخصوص</w:t>
            </w:r>
            <w:r>
              <w:rPr>
                <w:rStyle w:val="IndexLink"/>
                <w:rtl w:val="true"/>
              </w:rPr>
              <w:tab/>
            </w:r>
            <w:r>
              <w:rPr>
                <w:rStyle w:val="IndexLink"/>
              </w:rPr>
              <w:t>130</w:t>
            </w:r>
          </w:hyperlink>
        </w:p>
        <w:p>
          <w:pPr>
            <w:pStyle w:val="Contents4"/>
            <w:tabs>
              <w:tab w:val="clear" w:pos="8176"/>
              <w:tab w:val="right" w:pos="9026" w:leader="dot"/>
            </w:tabs>
            <w:rPr/>
          </w:pPr>
          <w:hyperlink w:anchor="__RefHeading___Toc2792582_3804643083">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792584_3804643083">
            <w:r>
              <w:rPr>
                <w:webHidden/>
                <w:rStyle w:val="IndexLink"/>
                <w:rtl w:val="true"/>
              </w:rPr>
              <w:t>الأوّل</w:t>
            </w:r>
            <w:r>
              <w:rPr>
                <w:rStyle w:val="IndexLink"/>
                <w:rtl w:val="true"/>
              </w:rPr>
              <w:t xml:space="preserve">: </w:t>
            </w:r>
            <w:r>
              <w:rPr>
                <w:rStyle w:val="IndexLink"/>
                <w:rtl w:val="true"/>
              </w:rPr>
              <w:t>التخصیص إخراج بعض ما یتناوله الخطاب،</w:t>
            </w:r>
            <w:r>
              <w:rPr>
                <w:rStyle w:val="IndexLink"/>
                <w:rtl w:val="true"/>
              </w:rPr>
              <w:tab/>
            </w:r>
            <w:r>
              <w:rPr>
                <w:rStyle w:val="IndexLink"/>
              </w:rPr>
              <w:t>130</w:t>
            </w:r>
          </w:hyperlink>
        </w:p>
        <w:p>
          <w:pPr>
            <w:pStyle w:val="Contents4"/>
            <w:tabs>
              <w:tab w:val="clear" w:pos="8176"/>
              <w:tab w:val="right" w:pos="9026" w:leader="dot"/>
            </w:tabs>
            <w:rPr/>
          </w:pPr>
          <w:hyperlink w:anchor="__RefHeading___Toc2792586_3804643083">
            <w:r>
              <w:rPr>
                <w:webHidden/>
                <w:rStyle w:val="IndexLink"/>
                <w:rtl w:val="true"/>
              </w:rPr>
              <w:t>البحث الثانی</w:t>
            </w:r>
            <w:r>
              <w:rPr>
                <w:rStyle w:val="IndexLink"/>
                <w:rtl w:val="true"/>
              </w:rPr>
              <w:t xml:space="preserve">: </w:t>
            </w:r>
            <w:r>
              <w:rPr>
                <w:rStyle w:val="IndexLink"/>
                <w:rtl w:val="true"/>
              </w:rPr>
              <w:t>العام المخصوص بالمتصل لیس مجازا،</w:t>
            </w:r>
            <w:r>
              <w:rPr>
                <w:rStyle w:val="IndexLink"/>
                <w:rtl w:val="true"/>
              </w:rPr>
              <w:tab/>
            </w:r>
            <w:r>
              <w:rPr>
                <w:rStyle w:val="IndexLink"/>
              </w:rPr>
              <w:t>131</w:t>
            </w:r>
          </w:hyperlink>
        </w:p>
        <w:p>
          <w:pPr>
            <w:pStyle w:val="Contents4"/>
            <w:tabs>
              <w:tab w:val="clear" w:pos="8176"/>
              <w:tab w:val="right" w:pos="9026" w:leader="dot"/>
            </w:tabs>
            <w:rPr/>
          </w:pPr>
          <w:hyperlink w:anchor="__RefHeading___Toc2792588_3804643083">
            <w:r>
              <w:rPr>
                <w:webHidden/>
                <w:rStyle w:val="IndexLink"/>
                <w:rtl w:val="true"/>
              </w:rPr>
              <w:t>البحث الثالث</w:t>
            </w:r>
            <w:r>
              <w:rPr>
                <w:rStyle w:val="IndexLink"/>
                <w:rtl w:val="true"/>
              </w:rPr>
              <w:t xml:space="preserve">: </w:t>
            </w:r>
            <w:r>
              <w:rPr>
                <w:rStyle w:val="IndexLink"/>
                <w:rtl w:val="true"/>
              </w:rPr>
              <w:t>فی الاستثناء،</w:t>
            </w:r>
            <w:r>
              <w:rPr>
                <w:rStyle w:val="IndexLink"/>
                <w:rtl w:val="true"/>
              </w:rPr>
              <w:tab/>
            </w:r>
            <w:r>
              <w:rPr>
                <w:rStyle w:val="IndexLink"/>
              </w:rPr>
              <w:t>133</w:t>
            </w:r>
          </w:hyperlink>
        </w:p>
        <w:p>
          <w:pPr>
            <w:pStyle w:val="Contents4"/>
            <w:tabs>
              <w:tab w:val="clear" w:pos="8176"/>
              <w:tab w:val="right" w:pos="9026" w:leader="dot"/>
            </w:tabs>
            <w:rPr/>
          </w:pPr>
          <w:hyperlink w:anchor="__RefHeading___Toc2792590_3804643083">
            <w:r>
              <w:rPr>
                <w:webHidden/>
                <w:rStyle w:val="IndexLink"/>
                <w:rtl w:val="true"/>
              </w:rPr>
              <w:t>البحث الرابع</w:t>
            </w:r>
            <w:r>
              <w:rPr>
                <w:rStyle w:val="IndexLink"/>
                <w:rtl w:val="true"/>
              </w:rPr>
              <w:t xml:space="preserve">: </w:t>
            </w:r>
            <w:r>
              <w:rPr>
                <w:rStyle w:val="IndexLink"/>
                <w:rtl w:val="true"/>
              </w:rPr>
              <w:t>فی أحکام الاستثناء</w:t>
            </w:r>
            <w:r>
              <w:rPr>
                <w:rStyle w:val="IndexLink"/>
                <w:rtl w:val="true"/>
              </w:rPr>
              <w:t>.</w:t>
              <w:tab/>
            </w:r>
            <w:r>
              <w:rPr>
                <w:rStyle w:val="IndexLink"/>
              </w:rPr>
              <w:t>134</w:t>
            </w:r>
          </w:hyperlink>
        </w:p>
        <w:p>
          <w:pPr>
            <w:pStyle w:val="Contents3"/>
            <w:tabs>
              <w:tab w:val="clear" w:pos="8459"/>
              <w:tab w:val="right" w:pos="9026" w:leader="dot"/>
            </w:tabs>
            <w:rPr/>
          </w:pPr>
          <w:hyperlink w:anchor="__RefHeading___Toc2792592_3804643083">
            <w:r>
              <w:rPr>
                <w:webHidden/>
                <w:rStyle w:val="IndexLink"/>
                <w:rtl w:val="true"/>
              </w:rPr>
              <w:t>الفصل الثالث</w:t>
            </w:r>
            <w:r>
              <w:rPr>
                <w:rStyle w:val="IndexLink"/>
                <w:rtl w:val="true"/>
              </w:rPr>
              <w:t xml:space="preserve">: </w:t>
            </w:r>
            <w:r>
              <w:rPr>
                <w:rStyle w:val="IndexLink"/>
                <w:rtl w:val="true"/>
              </w:rPr>
              <w:t>فی المخصوص بالمنفصل</w:t>
            </w:r>
            <w:r>
              <w:rPr>
                <w:rStyle w:val="IndexLink"/>
                <w:rtl w:val="true"/>
              </w:rPr>
              <w:tab/>
            </w:r>
            <w:r>
              <w:rPr>
                <w:rStyle w:val="IndexLink"/>
              </w:rPr>
              <w:t>140</w:t>
            </w:r>
          </w:hyperlink>
        </w:p>
        <w:p>
          <w:pPr>
            <w:pStyle w:val="Contents4"/>
            <w:tabs>
              <w:tab w:val="clear" w:pos="8176"/>
              <w:tab w:val="right" w:pos="9026" w:leader="dot"/>
            </w:tabs>
            <w:rPr/>
          </w:pPr>
          <w:hyperlink w:anchor="__RefHeading___Toc2792594_3804643083">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792596_3804643083">
            <w:r>
              <w:rPr>
                <w:webHidden/>
                <w:rStyle w:val="IndexLink"/>
                <w:rtl w:val="true"/>
              </w:rPr>
              <w:t>الأوّل</w:t>
            </w:r>
            <w:r>
              <w:rPr>
                <w:rStyle w:val="IndexLink"/>
                <w:rtl w:val="true"/>
              </w:rPr>
              <w:t xml:space="preserve">: </w:t>
            </w:r>
            <w:r>
              <w:rPr>
                <w:rStyle w:val="IndexLink"/>
                <w:rtl w:val="true"/>
              </w:rPr>
              <w:t>یجوز التخصیص بالعقل،</w:t>
            </w:r>
            <w:r>
              <w:rPr>
                <w:rStyle w:val="IndexLink"/>
                <w:rtl w:val="true"/>
              </w:rPr>
              <w:tab/>
            </w:r>
            <w:r>
              <w:rPr>
                <w:rStyle w:val="IndexLink"/>
              </w:rPr>
              <w:t>140</w:t>
            </w:r>
          </w:hyperlink>
        </w:p>
        <w:p>
          <w:pPr>
            <w:pStyle w:val="Contents4"/>
            <w:tabs>
              <w:tab w:val="clear" w:pos="8176"/>
              <w:tab w:val="right" w:pos="9026" w:leader="dot"/>
            </w:tabs>
            <w:rPr/>
          </w:pPr>
          <w:hyperlink w:anchor="__RefHeading___Toc2792598_3804643083">
            <w:r>
              <w:rPr>
                <w:webHidden/>
                <w:rStyle w:val="IndexLink"/>
                <w:rtl w:val="true"/>
              </w:rPr>
              <w:t>البحث الثانی</w:t>
            </w:r>
            <w:r>
              <w:rPr>
                <w:rStyle w:val="IndexLink"/>
                <w:rtl w:val="true"/>
              </w:rPr>
              <w:t xml:space="preserve">: </w:t>
            </w:r>
            <w:r>
              <w:rPr>
                <w:rStyle w:val="IndexLink"/>
                <w:rtl w:val="true"/>
              </w:rPr>
              <w:t>یجوز تخصیص الکتاب بالکتاب،</w:t>
            </w:r>
            <w:r>
              <w:rPr>
                <w:rStyle w:val="IndexLink"/>
                <w:rtl w:val="true"/>
              </w:rPr>
              <w:tab/>
            </w:r>
            <w:r>
              <w:rPr>
                <w:rStyle w:val="IndexLink"/>
              </w:rPr>
              <w:t>140</w:t>
            </w:r>
          </w:hyperlink>
        </w:p>
        <w:p>
          <w:pPr>
            <w:pStyle w:val="Contents4"/>
            <w:tabs>
              <w:tab w:val="clear" w:pos="8176"/>
              <w:tab w:val="right" w:pos="9026" w:leader="dot"/>
            </w:tabs>
            <w:rPr/>
          </w:pPr>
          <w:hyperlink w:anchor="__RefHeading___Toc2792600_3804643083">
            <w:r>
              <w:rPr>
                <w:webHidden/>
                <w:rStyle w:val="IndexLink"/>
                <w:rtl w:val="true"/>
              </w:rPr>
              <w:t>البحث الثالث</w:t>
            </w:r>
            <w:r>
              <w:rPr>
                <w:rStyle w:val="IndexLink"/>
                <w:rtl w:val="true"/>
              </w:rPr>
              <w:t xml:space="preserve">: </w:t>
            </w:r>
            <w:r>
              <w:rPr>
                <w:rStyle w:val="IndexLink"/>
                <w:rtl w:val="true"/>
              </w:rPr>
              <w:t>یجوز تخصیص السنة المتواترة بمثلها،</w:t>
            </w:r>
            <w:r>
              <w:rPr>
                <w:rStyle w:val="IndexLink"/>
                <w:rtl w:val="true"/>
              </w:rPr>
              <w:tab/>
            </w:r>
            <w:r>
              <w:rPr>
                <w:rStyle w:val="IndexLink"/>
              </w:rPr>
              <w:t>141</w:t>
            </w:r>
          </w:hyperlink>
        </w:p>
        <w:p>
          <w:pPr>
            <w:pStyle w:val="Contents4"/>
            <w:tabs>
              <w:tab w:val="clear" w:pos="8176"/>
              <w:tab w:val="right" w:pos="9026" w:leader="dot"/>
            </w:tabs>
            <w:rPr/>
          </w:pPr>
          <w:hyperlink w:anchor="__RefHeading___Toc2792602_3804643083">
            <w:r>
              <w:rPr>
                <w:webHidden/>
                <w:rStyle w:val="IndexLink"/>
                <w:rtl w:val="true"/>
              </w:rPr>
              <w:t>البحث الرابع</w:t>
            </w:r>
            <w:r>
              <w:rPr>
                <w:rStyle w:val="IndexLink"/>
                <w:rtl w:val="true"/>
              </w:rPr>
              <w:t xml:space="preserve">: </w:t>
            </w:r>
            <w:r>
              <w:rPr>
                <w:rStyle w:val="IndexLink"/>
                <w:rtl w:val="true"/>
              </w:rPr>
              <w:t>یجوز تخصیص الکتاب و السنة المتواترة بفعله علیه السّلام إن تناوله حکم الخطاب فی حقّه</w:t>
            </w:r>
            <w:r>
              <w:rPr>
                <w:rStyle w:val="IndexLink"/>
                <w:rtl w:val="true"/>
              </w:rPr>
              <w:t>.</w:t>
              <w:tab/>
            </w:r>
            <w:r>
              <w:rPr>
                <w:rStyle w:val="IndexLink"/>
              </w:rPr>
              <w:t>142</w:t>
            </w:r>
          </w:hyperlink>
        </w:p>
        <w:p>
          <w:pPr>
            <w:pStyle w:val="Contents5"/>
            <w:tabs>
              <w:tab w:val="clear" w:pos="7892"/>
              <w:tab w:val="right" w:pos="9026" w:leader="dot"/>
            </w:tabs>
            <w:rPr/>
          </w:pPr>
          <w:hyperlink w:anchor="__RefHeading___Toc2792604_3804643083">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2792606_3804643083">
            <w:r>
              <w:rPr>
                <w:webHidden/>
                <w:rStyle w:val="IndexLink"/>
                <w:rtl w:val="true"/>
              </w:rPr>
              <w:t>تذنیب</w:t>
            </w:r>
            <w:r>
              <w:rPr>
                <w:rStyle w:val="IndexLink"/>
                <w:rtl w:val="true"/>
              </w:rPr>
              <w:tab/>
            </w:r>
            <w:r>
              <w:rPr>
                <w:rStyle w:val="IndexLink"/>
              </w:rPr>
              <w:t>143</w:t>
            </w:r>
          </w:hyperlink>
        </w:p>
        <w:p>
          <w:pPr>
            <w:pStyle w:val="Contents4"/>
            <w:tabs>
              <w:tab w:val="clear" w:pos="8176"/>
              <w:tab w:val="right" w:pos="9026" w:leader="dot"/>
            </w:tabs>
            <w:rPr/>
          </w:pPr>
          <w:hyperlink w:anchor="__RefHeading___Toc2792608_3804643083">
            <w:r>
              <w:rPr>
                <w:webHidden/>
                <w:rStyle w:val="IndexLink"/>
                <w:rtl w:val="true"/>
              </w:rPr>
              <w:t>البحث الخامس</w:t>
            </w:r>
            <w:r>
              <w:rPr>
                <w:rStyle w:val="IndexLink"/>
                <w:rtl w:val="true"/>
              </w:rPr>
              <w:t xml:space="preserve">: </w:t>
            </w:r>
            <w:r>
              <w:rPr>
                <w:rStyle w:val="IndexLink"/>
                <w:rtl w:val="true"/>
              </w:rPr>
              <w:t>یجوز تخصیص الکتاب بخبر الواحد،</w:t>
            </w:r>
            <w:r>
              <w:rPr>
                <w:rStyle w:val="IndexLink"/>
                <w:rtl w:val="true"/>
              </w:rPr>
              <w:tab/>
            </w:r>
            <w:r>
              <w:rPr>
                <w:rStyle w:val="IndexLink"/>
              </w:rPr>
              <w:t>143</w:t>
            </w:r>
          </w:hyperlink>
        </w:p>
        <w:p>
          <w:pPr>
            <w:pStyle w:val="Contents4"/>
            <w:tabs>
              <w:tab w:val="clear" w:pos="8176"/>
              <w:tab w:val="right" w:pos="9026" w:leader="dot"/>
            </w:tabs>
            <w:rPr/>
          </w:pPr>
          <w:hyperlink w:anchor="__RefHeading___Toc2792610_3804643083">
            <w:r>
              <w:rPr>
                <w:webHidden/>
                <w:rStyle w:val="IndexLink"/>
                <w:rtl w:val="true"/>
              </w:rPr>
              <w:t>البحث السادس</w:t>
            </w:r>
            <w:r>
              <w:rPr>
                <w:rStyle w:val="IndexLink"/>
                <w:rtl w:val="true"/>
              </w:rPr>
              <w:t xml:space="preserve">: </w:t>
            </w:r>
            <w:r>
              <w:rPr>
                <w:rStyle w:val="IndexLink"/>
                <w:rtl w:val="true"/>
              </w:rPr>
              <w:t>القیاس عندنا لیس بحجة،</w:t>
            </w:r>
            <w:r>
              <w:rPr>
                <w:rStyle w:val="IndexLink"/>
                <w:rtl w:val="true"/>
              </w:rPr>
              <w:tab/>
            </w:r>
            <w:r>
              <w:rPr>
                <w:rStyle w:val="IndexLink"/>
              </w:rPr>
              <w:t>144</w:t>
            </w:r>
          </w:hyperlink>
        </w:p>
        <w:p>
          <w:pPr>
            <w:pStyle w:val="Contents4"/>
            <w:tabs>
              <w:tab w:val="clear" w:pos="8176"/>
              <w:tab w:val="right" w:pos="9026" w:leader="dot"/>
            </w:tabs>
            <w:rPr/>
          </w:pPr>
          <w:hyperlink w:anchor="__RefHeading___Toc2792612_3804643083">
            <w:r>
              <w:rPr>
                <w:webHidden/>
                <w:rStyle w:val="IndexLink"/>
                <w:rtl w:val="true"/>
              </w:rPr>
              <w:t>البحث السابع</w:t>
            </w:r>
            <w:r>
              <w:rPr>
                <w:rStyle w:val="IndexLink"/>
                <w:rtl w:val="true"/>
              </w:rPr>
              <w:t xml:space="preserve">: </w:t>
            </w:r>
            <w:r>
              <w:rPr>
                <w:rStyle w:val="IndexLink"/>
                <w:rtl w:val="true"/>
              </w:rPr>
              <w:t>العام و الخاص المتعارضان إن اقترنا کان الخاص مخصصا له، لقوّة دلالته،</w:t>
            </w:r>
            <w:r>
              <w:rPr>
                <w:rStyle w:val="IndexLink"/>
                <w:rtl w:val="true"/>
              </w:rPr>
              <w:tab/>
            </w:r>
            <w:r>
              <w:rPr>
                <w:rStyle w:val="IndexLink"/>
              </w:rPr>
              <w:t>145</w:t>
            </w:r>
          </w:hyperlink>
        </w:p>
        <w:p>
          <w:pPr>
            <w:pStyle w:val="Contents3"/>
            <w:tabs>
              <w:tab w:val="clear" w:pos="8459"/>
              <w:tab w:val="right" w:pos="9026" w:leader="dot"/>
            </w:tabs>
            <w:rPr/>
          </w:pPr>
          <w:hyperlink w:anchor="__RefHeading___Toc2792614_3804643083">
            <w:r>
              <w:rPr>
                <w:webHidden/>
                <w:rStyle w:val="IndexLink"/>
                <w:rtl w:val="true"/>
              </w:rPr>
              <w:t>الفصل الرابع</w:t>
            </w:r>
            <w:r>
              <w:rPr>
                <w:rStyle w:val="IndexLink"/>
                <w:rtl w:val="true"/>
              </w:rPr>
              <w:t xml:space="preserve">: </w:t>
            </w:r>
            <w:r>
              <w:rPr>
                <w:rStyle w:val="IndexLink"/>
                <w:rtl w:val="true"/>
              </w:rPr>
              <w:t>فیما ظن أنّه مخصص و لیس کذلک</w:t>
            </w:r>
            <w:r>
              <w:rPr>
                <w:rStyle w:val="IndexLink"/>
                <w:rtl w:val="true"/>
              </w:rPr>
              <w:tab/>
            </w:r>
            <w:r>
              <w:rPr>
                <w:rStyle w:val="IndexLink"/>
              </w:rPr>
              <w:t>146</w:t>
            </w:r>
          </w:hyperlink>
        </w:p>
        <w:p>
          <w:pPr>
            <w:pStyle w:val="Contents4"/>
            <w:tabs>
              <w:tab w:val="clear" w:pos="8176"/>
              <w:tab w:val="right" w:pos="9026" w:leader="dot"/>
            </w:tabs>
            <w:rPr/>
          </w:pPr>
          <w:hyperlink w:anchor="__RefHeading___Toc2792616_380464308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2792618_3804643083">
            <w:r>
              <w:rPr>
                <w:webHidden/>
                <w:rStyle w:val="IndexLink"/>
                <w:rtl w:val="true"/>
              </w:rPr>
              <w:t>الأوّل</w:t>
            </w:r>
            <w:r>
              <w:rPr>
                <w:rStyle w:val="IndexLink"/>
                <w:rtl w:val="true"/>
              </w:rPr>
              <w:t xml:space="preserve">: </w:t>
            </w:r>
            <w:r>
              <w:rPr>
                <w:rStyle w:val="IndexLink"/>
                <w:rtl w:val="true"/>
              </w:rPr>
              <w:t>الجواب إن لم یستقل بنفسه لذاته،</w:t>
            </w:r>
            <w:r>
              <w:rPr>
                <w:rStyle w:val="IndexLink"/>
                <w:rtl w:val="true"/>
              </w:rPr>
              <w:tab/>
            </w:r>
            <w:r>
              <w:rPr>
                <w:rStyle w:val="IndexLink"/>
              </w:rPr>
              <w:t>146</w:t>
            </w:r>
          </w:hyperlink>
        </w:p>
        <w:p>
          <w:pPr>
            <w:pStyle w:val="Contents4"/>
            <w:tabs>
              <w:tab w:val="clear" w:pos="8176"/>
              <w:tab w:val="right" w:pos="9026" w:leader="dot"/>
            </w:tabs>
            <w:rPr/>
          </w:pPr>
          <w:hyperlink w:anchor="__RefHeading___Toc2792620_3804643083">
            <w:r>
              <w:rPr>
                <w:webHidden/>
                <w:rStyle w:val="IndexLink"/>
                <w:rtl w:val="true"/>
              </w:rPr>
              <w:t>البحث الثانی</w:t>
            </w:r>
            <w:r>
              <w:rPr>
                <w:rStyle w:val="IndexLink"/>
                <w:rtl w:val="true"/>
              </w:rPr>
              <w:t xml:space="preserve">: </w:t>
            </w:r>
            <w:r>
              <w:rPr>
                <w:rStyle w:val="IndexLink"/>
                <w:rtl w:val="true"/>
              </w:rPr>
              <w:t>مذهب الراوی لیس مخصصا،</w:t>
            </w:r>
            <w:r>
              <w:rPr>
                <w:rStyle w:val="IndexLink"/>
                <w:rtl w:val="true"/>
              </w:rPr>
              <w:tab/>
            </w:r>
            <w:r>
              <w:rPr>
                <w:rStyle w:val="IndexLink"/>
              </w:rPr>
              <w:t>147</w:t>
            </w:r>
          </w:hyperlink>
        </w:p>
        <w:p>
          <w:pPr>
            <w:pStyle w:val="Contents3"/>
            <w:tabs>
              <w:tab w:val="clear" w:pos="8459"/>
              <w:tab w:val="right" w:pos="9026" w:leader="dot"/>
            </w:tabs>
            <w:rPr/>
          </w:pPr>
          <w:hyperlink w:anchor="__RefHeading___Toc2792622_3804643083">
            <w:r>
              <w:rPr>
                <w:webHidden/>
                <w:rStyle w:val="IndexLink"/>
                <w:rtl w:val="true"/>
              </w:rPr>
              <w:t>الفصل الخامس</w:t>
            </w:r>
            <w:r>
              <w:rPr>
                <w:rStyle w:val="IndexLink"/>
                <w:rtl w:val="true"/>
              </w:rPr>
              <w:t xml:space="preserve">: </w:t>
            </w:r>
            <w:r>
              <w:rPr>
                <w:rStyle w:val="IndexLink"/>
                <w:rtl w:val="true"/>
              </w:rPr>
              <w:t>فی المطلق و المقید</w:t>
            </w:r>
            <w:r>
              <w:rPr>
                <w:rStyle w:val="IndexLink"/>
                <w:rtl w:val="true"/>
              </w:rPr>
              <w:tab/>
            </w:r>
            <w:r>
              <w:rPr>
                <w:rStyle w:val="IndexLink"/>
              </w:rPr>
              <w:t>149</w:t>
            </w:r>
          </w:hyperlink>
        </w:p>
        <w:p>
          <w:pPr>
            <w:pStyle w:val="Contents2"/>
            <w:tabs>
              <w:tab w:val="clear" w:pos="8743"/>
              <w:tab w:val="right" w:pos="9026" w:leader="dot"/>
            </w:tabs>
            <w:rPr/>
          </w:pPr>
          <w:hyperlink w:anchor="__RefHeading___Toc2792624_3804643083">
            <w:r>
              <w:rPr>
                <w:webHidden/>
                <w:rStyle w:val="IndexLink"/>
                <w:rtl w:val="true"/>
              </w:rPr>
              <w:t>المقصد الخامس فی المجمل و المبیّن و فیه فصول</w:t>
            </w:r>
            <w:r>
              <w:rPr>
                <w:rStyle w:val="IndexLink"/>
                <w:rtl w:val="true"/>
              </w:rPr>
              <w:tab/>
            </w:r>
            <w:r>
              <w:rPr>
                <w:rStyle w:val="IndexLink"/>
              </w:rPr>
              <w:t>151</w:t>
            </w:r>
          </w:hyperlink>
        </w:p>
        <w:p>
          <w:pPr>
            <w:pStyle w:val="Contents3"/>
            <w:tabs>
              <w:tab w:val="clear" w:pos="8459"/>
              <w:tab w:val="right" w:pos="9026" w:leader="dot"/>
            </w:tabs>
            <w:rPr/>
          </w:pPr>
          <w:hyperlink w:anchor="__RefHeading___Toc2792626_380464308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2792628_3804643083">
            <w:r>
              <w:rPr>
                <w:webHidden/>
                <w:rStyle w:val="IndexLink"/>
                <w:rtl w:val="true"/>
              </w:rPr>
              <w:t>الأوّل</w:t>
            </w:r>
            <w:r>
              <w:rPr>
                <w:rStyle w:val="IndexLink"/>
                <w:rtl w:val="true"/>
              </w:rPr>
              <w:t xml:space="preserve">: </w:t>
            </w:r>
            <w:r>
              <w:rPr>
                <w:rStyle w:val="IndexLink"/>
                <w:rtl w:val="true"/>
              </w:rPr>
              <w:t>فی المجمل و فیه مباحث</w:t>
            </w:r>
            <w:r>
              <w:rPr>
                <w:rStyle w:val="IndexLink"/>
                <w:rtl w:val="true"/>
              </w:rPr>
              <w:t>:</w:t>
              <w:tab/>
            </w:r>
            <w:r>
              <w:rPr>
                <w:rStyle w:val="IndexLink"/>
              </w:rPr>
              <w:t>152</w:t>
            </w:r>
          </w:hyperlink>
        </w:p>
        <w:p>
          <w:pPr>
            <w:pStyle w:val="Contents4"/>
            <w:tabs>
              <w:tab w:val="clear" w:pos="8176"/>
              <w:tab w:val="right" w:pos="9026" w:leader="dot"/>
            </w:tabs>
            <w:rPr/>
          </w:pPr>
          <w:hyperlink w:anchor="__RefHeading___Toc2792630_3804643083">
            <w:r>
              <w:rPr>
                <w:webHidden/>
                <w:rStyle w:val="IndexLink"/>
                <w:rtl w:val="true"/>
              </w:rPr>
              <w:t>[</w:t>
            </w:r>
            <w:r>
              <w:rPr>
                <w:rStyle w:val="IndexLink"/>
                <w:rtl w:val="true"/>
              </w:rPr>
              <w:t xml:space="preserve">البحث الاول الإجمال قد یکون فی اللفظ إمّا حال استعماله فی موضوعه، </w:t>
            </w:r>
            <w:r>
              <w:rPr>
                <w:rStyle w:val="IndexLink"/>
                <w:rtl w:val="true"/>
              </w:rPr>
              <w:t>...]</w:t>
              <w:tab/>
            </w:r>
            <w:r>
              <w:rPr>
                <w:rStyle w:val="IndexLink"/>
              </w:rPr>
              <w:t>152</w:t>
            </w:r>
          </w:hyperlink>
        </w:p>
        <w:p>
          <w:pPr>
            <w:pStyle w:val="Contents4"/>
            <w:tabs>
              <w:tab w:val="clear" w:pos="8176"/>
              <w:tab w:val="right" w:pos="9026" w:leader="dot"/>
            </w:tabs>
            <w:rPr/>
          </w:pPr>
          <w:hyperlink w:anchor="__RefHeading___Toc2792632_3804643083">
            <w:r>
              <w:rPr>
                <w:webHidden/>
                <w:rStyle w:val="IndexLink"/>
                <w:rtl w:val="true"/>
              </w:rPr>
              <w:t>البحث الثانی</w:t>
            </w:r>
            <w:r>
              <w:rPr>
                <w:rStyle w:val="IndexLink"/>
                <w:rtl w:val="true"/>
              </w:rPr>
              <w:t xml:space="preserve">: </w:t>
            </w:r>
            <w:r>
              <w:rPr>
                <w:rStyle w:val="IndexLink"/>
                <w:rtl w:val="true"/>
              </w:rPr>
              <w:t>المجمل جائز فی الحکمة، و واقع، کالآیات المتقدمة</w:t>
            </w:r>
            <w:r>
              <w:rPr>
                <w:rStyle w:val="IndexLink"/>
                <w:rtl w:val="true"/>
              </w:rPr>
              <w:t>.</w:t>
              <w:tab/>
            </w:r>
            <w:r>
              <w:rPr>
                <w:rStyle w:val="IndexLink"/>
              </w:rPr>
              <w:t>152</w:t>
            </w:r>
          </w:hyperlink>
        </w:p>
        <w:p>
          <w:pPr>
            <w:pStyle w:val="Contents4"/>
            <w:tabs>
              <w:tab w:val="clear" w:pos="8176"/>
              <w:tab w:val="right" w:pos="9026" w:leader="dot"/>
            </w:tabs>
            <w:rPr/>
          </w:pPr>
          <w:hyperlink w:anchor="__RefHeading___Toc2792634_3804643083">
            <w:r>
              <w:rPr>
                <w:webHidden/>
                <w:rStyle w:val="IndexLink"/>
                <w:rtl w:val="true"/>
              </w:rPr>
              <w:t>البحث الثالث</w:t>
            </w:r>
            <w:r>
              <w:rPr>
                <w:rStyle w:val="IndexLink"/>
                <w:rtl w:val="true"/>
              </w:rPr>
              <w:t xml:space="preserve">: </w:t>
            </w:r>
            <w:r>
              <w:rPr>
                <w:rStyle w:val="IndexLink"/>
                <w:rtl w:val="true"/>
              </w:rPr>
              <w:t>التحلیل و التحریم المضافان إلی الأعیان لیس مجملا،</w:t>
            </w:r>
            <w:r>
              <w:rPr>
                <w:rStyle w:val="IndexLink"/>
                <w:rtl w:val="true"/>
              </w:rPr>
              <w:tab/>
            </w:r>
            <w:r>
              <w:rPr>
                <w:rStyle w:val="IndexLink"/>
              </w:rPr>
              <w:t>153</w:t>
            </w:r>
          </w:hyperlink>
        </w:p>
        <w:p>
          <w:pPr>
            <w:pStyle w:val="Contents3"/>
            <w:tabs>
              <w:tab w:val="clear" w:pos="8459"/>
              <w:tab w:val="right" w:pos="9026" w:leader="dot"/>
            </w:tabs>
            <w:rPr/>
          </w:pPr>
          <w:hyperlink w:anchor="__RefHeading___Toc2792636_3804643083">
            <w:r>
              <w:rPr>
                <w:webHidden/>
                <w:rStyle w:val="IndexLink"/>
                <w:rtl w:val="true"/>
              </w:rPr>
              <w:t>الفصل الثانی</w:t>
            </w:r>
            <w:r>
              <w:rPr>
                <w:rStyle w:val="IndexLink"/>
                <w:rtl w:val="true"/>
              </w:rPr>
              <w:t xml:space="preserve">: </w:t>
            </w:r>
            <w:r>
              <w:rPr>
                <w:rStyle w:val="IndexLink"/>
                <w:rtl w:val="true"/>
              </w:rPr>
              <w:t>فی المبیّن و فیه مباحث</w:t>
            </w:r>
            <w:r>
              <w:rPr>
                <w:rStyle w:val="IndexLink"/>
                <w:rtl w:val="true"/>
              </w:rPr>
              <w:t>:</w:t>
              <w:tab/>
            </w:r>
            <w:r>
              <w:rPr>
                <w:rStyle w:val="IndexLink"/>
              </w:rPr>
              <w:t>156</w:t>
            </w:r>
          </w:hyperlink>
        </w:p>
        <w:p>
          <w:pPr>
            <w:pStyle w:val="Contents4"/>
            <w:tabs>
              <w:tab w:val="clear" w:pos="8176"/>
              <w:tab w:val="right" w:pos="9026" w:leader="dot"/>
            </w:tabs>
            <w:rPr/>
          </w:pPr>
          <w:hyperlink w:anchor="__RefHeading___Toc2792638_3804643083">
            <w:r>
              <w:rPr>
                <w:webHidden/>
                <w:rStyle w:val="IndexLink"/>
                <w:rtl w:val="true"/>
              </w:rPr>
              <w:t>الأوّل</w:t>
            </w:r>
            <w:r>
              <w:rPr>
                <w:rStyle w:val="IndexLink"/>
                <w:rtl w:val="true"/>
              </w:rPr>
              <w:t xml:space="preserve">: </w:t>
            </w:r>
            <w:r>
              <w:rPr>
                <w:rStyle w:val="IndexLink"/>
                <w:rtl w:val="true"/>
              </w:rPr>
              <w:t>البیان قد یکون بالقول، و هو ظاهر</w:t>
            </w:r>
            <w:r>
              <w:rPr>
                <w:rStyle w:val="IndexLink"/>
                <w:rtl w:val="true"/>
              </w:rPr>
              <w:t>.</w:t>
              <w:tab/>
            </w:r>
            <w:r>
              <w:rPr>
                <w:rStyle w:val="IndexLink"/>
              </w:rPr>
              <w:t>156</w:t>
            </w:r>
          </w:hyperlink>
        </w:p>
        <w:p>
          <w:pPr>
            <w:pStyle w:val="Contents4"/>
            <w:tabs>
              <w:tab w:val="clear" w:pos="8176"/>
              <w:tab w:val="right" w:pos="9026" w:leader="dot"/>
            </w:tabs>
            <w:rPr/>
          </w:pPr>
          <w:hyperlink w:anchor="__RefHeading___Toc2792640_3804643083">
            <w:r>
              <w:rPr>
                <w:webHidden/>
                <w:rStyle w:val="IndexLink"/>
                <w:rtl w:val="true"/>
              </w:rPr>
              <w:t>البحث الثانی</w:t>
            </w:r>
            <w:r>
              <w:rPr>
                <w:rStyle w:val="IndexLink"/>
                <w:rtl w:val="true"/>
              </w:rPr>
              <w:t xml:space="preserve">: </w:t>
            </w:r>
            <w:r>
              <w:rPr>
                <w:rStyle w:val="IndexLink"/>
                <w:rtl w:val="true"/>
              </w:rPr>
              <w:t>الفعل و القول إن اتفقا، فالأوّل بیان و الثانی تأکید</w:t>
            </w:r>
            <w:r>
              <w:rPr>
                <w:rStyle w:val="IndexLink"/>
                <w:rtl w:val="true"/>
              </w:rPr>
              <w:t>.</w:t>
              <w:tab/>
            </w:r>
            <w:r>
              <w:rPr>
                <w:rStyle w:val="IndexLink"/>
              </w:rPr>
              <w:t>157</w:t>
            </w:r>
          </w:hyperlink>
        </w:p>
        <w:p>
          <w:pPr>
            <w:pStyle w:val="Contents4"/>
            <w:tabs>
              <w:tab w:val="clear" w:pos="8176"/>
              <w:tab w:val="right" w:pos="9026" w:leader="dot"/>
            </w:tabs>
            <w:rPr/>
          </w:pPr>
          <w:hyperlink w:anchor="__RefHeading___Toc2792642_3804643083">
            <w:r>
              <w:rPr>
                <w:webHidden/>
                <w:rStyle w:val="IndexLink"/>
                <w:rtl w:val="true"/>
              </w:rPr>
              <w:t>البحث الثالث</w:t>
            </w:r>
            <w:r>
              <w:rPr>
                <w:rStyle w:val="IndexLink"/>
                <w:rtl w:val="true"/>
              </w:rPr>
              <w:t xml:space="preserve">: </w:t>
            </w:r>
            <w:r>
              <w:rPr>
                <w:rStyle w:val="IndexLink"/>
                <w:rtl w:val="true"/>
              </w:rPr>
              <w:t>البیان قد یساوی المبیّن فی القوة و الضعف،</w:t>
            </w:r>
            <w:r>
              <w:rPr>
                <w:rStyle w:val="IndexLink"/>
                <w:rtl w:val="true"/>
              </w:rPr>
              <w:tab/>
            </w:r>
            <w:r>
              <w:rPr>
                <w:rStyle w:val="IndexLink"/>
              </w:rPr>
              <w:t>157</w:t>
            </w:r>
          </w:hyperlink>
        </w:p>
        <w:p>
          <w:pPr>
            <w:pStyle w:val="Contents4"/>
            <w:tabs>
              <w:tab w:val="clear" w:pos="8176"/>
              <w:tab w:val="right" w:pos="9026" w:leader="dot"/>
            </w:tabs>
            <w:rPr/>
          </w:pPr>
          <w:hyperlink w:anchor="__RefHeading___Toc2792644_3804643083">
            <w:r>
              <w:rPr>
                <w:webHidden/>
                <w:rStyle w:val="IndexLink"/>
                <w:rtl w:val="true"/>
              </w:rPr>
              <w:t>البحث الرابع</w:t>
            </w:r>
            <w:r>
              <w:rPr>
                <w:rStyle w:val="IndexLink"/>
                <w:rtl w:val="true"/>
              </w:rPr>
              <w:t xml:space="preserve">: </w:t>
            </w:r>
            <w:r>
              <w:rPr>
                <w:rStyle w:val="IndexLink"/>
                <w:rtl w:val="true"/>
              </w:rPr>
              <w:t>الإجماع علی أنّه لا یجوز تأخیر البیان عن وقت الحاجة،</w:t>
            </w:r>
            <w:r>
              <w:rPr>
                <w:rStyle w:val="IndexLink"/>
                <w:rtl w:val="true"/>
              </w:rPr>
              <w:tab/>
            </w:r>
            <w:r>
              <w:rPr>
                <w:rStyle w:val="IndexLink"/>
              </w:rPr>
              <w:t>157</w:t>
            </w:r>
          </w:hyperlink>
        </w:p>
        <w:p>
          <w:pPr>
            <w:pStyle w:val="Contents5"/>
            <w:tabs>
              <w:tab w:val="clear" w:pos="7892"/>
              <w:tab w:val="right" w:pos="9026" w:leader="dot"/>
            </w:tabs>
            <w:rPr/>
          </w:pPr>
          <w:hyperlink w:anchor="__RefHeading___Toc2792646_3804643083">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2792648_3804643083">
            <w:r>
              <w:rPr>
                <w:webHidden/>
                <w:rStyle w:val="IndexLink"/>
                <w:rtl w:val="true"/>
              </w:rPr>
              <w:t>تذنیب</w:t>
            </w:r>
            <w:r>
              <w:rPr>
                <w:rStyle w:val="IndexLink"/>
                <w:rtl w:val="true"/>
              </w:rPr>
              <w:tab/>
            </w:r>
            <w:r>
              <w:rPr>
                <w:rStyle w:val="IndexLink"/>
              </w:rPr>
              <w:t>159</w:t>
            </w:r>
          </w:hyperlink>
        </w:p>
        <w:p>
          <w:pPr>
            <w:pStyle w:val="Contents4"/>
            <w:tabs>
              <w:tab w:val="clear" w:pos="8176"/>
              <w:tab w:val="right" w:pos="9026" w:leader="dot"/>
            </w:tabs>
            <w:rPr/>
          </w:pPr>
          <w:hyperlink w:anchor="__RefHeading___Toc2792650_3804643083">
            <w:r>
              <w:rPr>
                <w:webHidden/>
                <w:rStyle w:val="IndexLink"/>
                <w:rtl w:val="true"/>
              </w:rPr>
              <w:t>البحث الخامس</w:t>
            </w:r>
            <w:r>
              <w:rPr>
                <w:rStyle w:val="IndexLink"/>
                <w:rtl w:val="true"/>
              </w:rPr>
              <w:t xml:space="preserve">: </w:t>
            </w:r>
            <w:r>
              <w:rPr>
                <w:rStyle w:val="IndexLink"/>
                <w:rtl w:val="true"/>
              </w:rPr>
              <w:t>کل من یرید اللّه تعالی إفهامه بالخطاب وجب بیانه له،</w:t>
            </w:r>
            <w:r>
              <w:rPr>
                <w:rStyle w:val="IndexLink"/>
                <w:rtl w:val="true"/>
              </w:rPr>
              <w:tab/>
            </w:r>
            <w:r>
              <w:rPr>
                <w:rStyle w:val="IndexLink"/>
              </w:rPr>
              <w:t>160</w:t>
            </w:r>
          </w:hyperlink>
        </w:p>
        <w:p>
          <w:pPr>
            <w:pStyle w:val="Contents3"/>
            <w:tabs>
              <w:tab w:val="clear" w:pos="8459"/>
              <w:tab w:val="right" w:pos="9026" w:leader="dot"/>
            </w:tabs>
            <w:rPr/>
          </w:pPr>
          <w:hyperlink w:anchor="__RefHeading___Toc2792652_3804643083">
            <w:r>
              <w:rPr>
                <w:webHidden/>
                <w:rStyle w:val="IndexLink"/>
                <w:rtl w:val="true"/>
              </w:rPr>
              <w:t>الفصل الثالث</w:t>
            </w:r>
            <w:r>
              <w:rPr>
                <w:rStyle w:val="IndexLink"/>
                <w:rtl w:val="true"/>
              </w:rPr>
              <w:t xml:space="preserve">: </w:t>
            </w:r>
            <w:r>
              <w:rPr>
                <w:rStyle w:val="IndexLink"/>
                <w:rtl w:val="true"/>
              </w:rPr>
              <w:t>فی الظاهر و المؤوّل</w:t>
            </w:r>
            <w:r>
              <w:rPr>
                <w:rStyle w:val="IndexLink"/>
                <w:rtl w:val="true"/>
              </w:rPr>
              <w:tab/>
            </w:r>
            <w:r>
              <w:rPr>
                <w:rStyle w:val="IndexLink"/>
              </w:rPr>
              <w:t>161</w:t>
            </w:r>
          </w:hyperlink>
        </w:p>
        <w:p>
          <w:pPr>
            <w:pStyle w:val="Contents2"/>
            <w:tabs>
              <w:tab w:val="clear" w:pos="8743"/>
              <w:tab w:val="right" w:pos="9026" w:leader="dot"/>
            </w:tabs>
            <w:rPr/>
          </w:pPr>
          <w:hyperlink w:anchor="__RefHeading___Toc2792654_3804643083">
            <w:r>
              <w:rPr>
                <w:webHidden/>
                <w:rStyle w:val="IndexLink"/>
                <w:rtl w:val="true"/>
              </w:rPr>
              <w:t>المقصد السّادس فی الأفعال و فیه مباحث</w:t>
            </w:r>
            <w:r>
              <w:rPr>
                <w:rStyle w:val="IndexLink"/>
                <w:rtl w:val="true"/>
              </w:rPr>
              <w:tab/>
            </w:r>
            <w:r>
              <w:rPr>
                <w:rStyle w:val="IndexLink"/>
              </w:rPr>
              <w:t>163</w:t>
            </w:r>
          </w:hyperlink>
        </w:p>
        <w:p>
          <w:pPr>
            <w:pStyle w:val="Contents3"/>
            <w:tabs>
              <w:tab w:val="clear" w:pos="8459"/>
              <w:tab w:val="right" w:pos="9026" w:leader="dot"/>
            </w:tabs>
            <w:rPr/>
          </w:pPr>
          <w:hyperlink w:anchor="__RefHeading___Toc2792656_380464308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792658_3804643083">
            <w:r>
              <w:rPr>
                <w:webHidden/>
                <w:rStyle w:val="IndexLink"/>
                <w:rtl w:val="true"/>
              </w:rPr>
              <w:t>الأوّل</w:t>
            </w:r>
            <w:r>
              <w:rPr>
                <w:rStyle w:val="IndexLink"/>
                <w:rtl w:val="true"/>
              </w:rPr>
              <w:t xml:space="preserve">: </w:t>
            </w:r>
            <w:r>
              <w:rPr>
                <w:rStyle w:val="IndexLink"/>
                <w:rtl w:val="true"/>
              </w:rPr>
              <w:t>ذهبت الإمامیة إلی امتناع صدور الذنب من الأنبیاء،</w:t>
            </w:r>
            <w:r>
              <w:rPr>
                <w:rStyle w:val="IndexLink"/>
                <w:rtl w:val="true"/>
              </w:rPr>
              <w:tab/>
            </w:r>
            <w:r>
              <w:rPr>
                <w:rStyle w:val="IndexLink"/>
              </w:rPr>
              <w:t>164</w:t>
            </w:r>
          </w:hyperlink>
        </w:p>
        <w:p>
          <w:pPr>
            <w:pStyle w:val="Contents3"/>
            <w:tabs>
              <w:tab w:val="clear" w:pos="8459"/>
              <w:tab w:val="right" w:pos="9026" w:leader="dot"/>
            </w:tabs>
            <w:rPr/>
          </w:pPr>
          <w:hyperlink w:anchor="__RefHeading___Toc2792660_3804643083">
            <w:r>
              <w:rPr>
                <w:webHidden/>
                <w:rStyle w:val="IndexLink"/>
                <w:rtl w:val="true"/>
              </w:rPr>
              <w:t>البحث الثانی</w:t>
            </w:r>
            <w:r>
              <w:rPr>
                <w:rStyle w:val="IndexLink"/>
                <w:rtl w:val="true"/>
              </w:rPr>
              <w:t xml:space="preserve">: </w:t>
            </w:r>
            <w:r>
              <w:rPr>
                <w:rStyle w:val="IndexLink"/>
                <w:rtl w:val="true"/>
              </w:rPr>
              <w:t>الحق عندی أنّ فعله علیه السّلام إذا لم یظهر فیه قصد القربة لم یدل علی حکم فی حقنا، لاحتمال الإباحة</w:t>
            </w:r>
            <w:r>
              <w:rPr>
                <w:rStyle w:val="IndexLink"/>
                <w:rtl w:val="true"/>
              </w:rPr>
              <w:t>.</w:t>
              <w:tab/>
            </w:r>
            <w:r>
              <w:rPr>
                <w:rStyle w:val="IndexLink"/>
              </w:rPr>
              <w:t>165</w:t>
            </w:r>
          </w:hyperlink>
        </w:p>
        <w:p>
          <w:pPr>
            <w:pStyle w:val="Contents3"/>
            <w:tabs>
              <w:tab w:val="clear" w:pos="8459"/>
              <w:tab w:val="right" w:pos="9026" w:leader="dot"/>
            </w:tabs>
            <w:rPr/>
          </w:pPr>
          <w:hyperlink w:anchor="__RefHeading___Toc2792662_3804643083">
            <w:r>
              <w:rPr>
                <w:webHidden/>
                <w:rStyle w:val="IndexLink"/>
                <w:rtl w:val="true"/>
              </w:rPr>
              <w:t>البحث الثالث</w:t>
            </w:r>
            <w:r>
              <w:rPr>
                <w:rStyle w:val="IndexLink"/>
                <w:rtl w:val="true"/>
              </w:rPr>
              <w:t xml:space="preserve">: </w:t>
            </w:r>
            <w:r>
              <w:rPr>
                <w:rStyle w:val="IndexLink"/>
                <w:rtl w:val="true"/>
              </w:rPr>
              <w:t>یعلم الوجه بالنص، و بوقوعه امتثالا أو بیانا</w:t>
            </w:r>
            <w:r>
              <w:rPr>
                <w:rStyle w:val="IndexLink"/>
                <w:rtl w:val="true"/>
              </w:rPr>
              <w:t>.</w:t>
              <w:tab/>
            </w:r>
            <w:r>
              <w:rPr>
                <w:rStyle w:val="IndexLink"/>
              </w:rPr>
              <w:t>167</w:t>
            </w:r>
          </w:hyperlink>
        </w:p>
        <w:p>
          <w:pPr>
            <w:pStyle w:val="Contents3"/>
            <w:tabs>
              <w:tab w:val="clear" w:pos="8459"/>
              <w:tab w:val="right" w:pos="9026" w:leader="dot"/>
            </w:tabs>
            <w:rPr/>
          </w:pPr>
          <w:hyperlink w:anchor="__RefHeading___Toc2792664_3804643083">
            <w:r>
              <w:rPr>
                <w:webHidden/>
                <w:rStyle w:val="IndexLink"/>
                <w:rtl w:val="true"/>
              </w:rPr>
              <w:t>البحث الرابع</w:t>
            </w:r>
            <w:r>
              <w:rPr>
                <w:rStyle w:val="IndexLink"/>
                <w:rtl w:val="true"/>
              </w:rPr>
              <w:t xml:space="preserve">: </w:t>
            </w:r>
            <w:r>
              <w:rPr>
                <w:rStyle w:val="IndexLink"/>
                <w:rtl w:val="true"/>
              </w:rPr>
              <w:t>الفعلان إذا تعارضا و کانا من الرسول علیه السّلام علم أنّ السابق منسوخ إذا علم تعبده علیه السّلام به ما لم ینسخ</w:t>
            </w:r>
            <w:r>
              <w:rPr>
                <w:rStyle w:val="IndexLink"/>
                <w:rtl w:val="true"/>
              </w:rPr>
              <w:t>.</w:t>
              <w:tab/>
            </w:r>
            <w:r>
              <w:rPr>
                <w:rStyle w:val="IndexLink"/>
              </w:rPr>
              <w:t>168</w:t>
            </w:r>
          </w:hyperlink>
        </w:p>
        <w:p>
          <w:pPr>
            <w:pStyle w:val="Contents3"/>
            <w:tabs>
              <w:tab w:val="clear" w:pos="8459"/>
              <w:tab w:val="right" w:pos="9026" w:leader="dot"/>
            </w:tabs>
            <w:rPr/>
          </w:pPr>
          <w:hyperlink w:anchor="__RefHeading___Toc2792666_3804643083">
            <w:r>
              <w:rPr>
                <w:webHidden/>
                <w:rStyle w:val="IndexLink"/>
                <w:rtl w:val="true"/>
              </w:rPr>
              <w:t>البحث الخامس</w:t>
            </w:r>
            <w:r>
              <w:rPr>
                <w:rStyle w:val="IndexLink"/>
                <w:rtl w:val="true"/>
              </w:rPr>
              <w:t xml:space="preserve">: </w:t>
            </w:r>
            <w:r>
              <w:rPr>
                <w:rStyle w:val="IndexLink"/>
                <w:rtl w:val="true"/>
              </w:rPr>
              <w:t>الأقرب أنّه علیه السّلام قبل النبوة لم یکن متعبدا بشرع أحد، و إلّا لاشتهر، و لافتخر به أربابها</w:t>
            </w:r>
            <w:r>
              <w:rPr>
                <w:rStyle w:val="IndexLink"/>
                <w:rtl w:val="true"/>
              </w:rPr>
              <w:t>.</w:t>
              <w:tab/>
            </w:r>
            <w:r>
              <w:rPr>
                <w:rStyle w:val="IndexLink"/>
              </w:rPr>
              <w:t>169</w:t>
            </w:r>
          </w:hyperlink>
        </w:p>
        <w:p>
          <w:pPr>
            <w:pStyle w:val="Contents2"/>
            <w:tabs>
              <w:tab w:val="clear" w:pos="8743"/>
              <w:tab w:val="right" w:pos="9026" w:leader="dot"/>
            </w:tabs>
            <w:rPr/>
          </w:pPr>
          <w:hyperlink w:anchor="__RefHeading___Toc2792668_3804643083">
            <w:r>
              <w:rPr>
                <w:webHidden/>
                <w:rStyle w:val="IndexLink"/>
                <w:rtl w:val="true"/>
              </w:rPr>
              <w:t>المقصد السّابع فی النّسخ و فیه مباحث</w:t>
            </w:r>
            <w:r>
              <w:rPr>
                <w:rStyle w:val="IndexLink"/>
                <w:rtl w:val="true"/>
              </w:rPr>
              <w:tab/>
            </w:r>
            <w:r>
              <w:rPr>
                <w:rStyle w:val="IndexLink"/>
              </w:rPr>
              <w:t>172</w:t>
            </w:r>
          </w:hyperlink>
        </w:p>
        <w:p>
          <w:pPr>
            <w:pStyle w:val="Contents3"/>
            <w:tabs>
              <w:tab w:val="clear" w:pos="8459"/>
              <w:tab w:val="right" w:pos="9026" w:leader="dot"/>
            </w:tabs>
            <w:rPr/>
          </w:pPr>
          <w:hyperlink w:anchor="__RefHeading___Toc2792670_380464308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2792672_3804643083">
            <w:r>
              <w:rPr>
                <w:webHidden/>
                <w:rStyle w:val="IndexLink"/>
                <w:rtl w:val="true"/>
              </w:rPr>
              <w:t>الأوّل</w:t>
            </w:r>
            <w:r>
              <w:rPr>
                <w:rStyle w:val="IndexLink"/>
                <w:rtl w:val="true"/>
              </w:rPr>
              <w:t xml:space="preserve">: </w:t>
            </w:r>
            <w:r>
              <w:rPr>
                <w:rStyle w:val="IndexLink"/>
                <w:rtl w:val="true"/>
              </w:rPr>
              <w:t>النسخ لغة</w:t>
            </w:r>
            <w:r>
              <w:rPr>
                <w:rStyle w:val="IndexLink"/>
                <w:rtl w:val="true"/>
              </w:rPr>
              <w:t xml:space="preserve">: </w:t>
            </w:r>
            <w:r>
              <w:rPr>
                <w:rStyle w:val="IndexLink"/>
                <w:rtl w:val="true"/>
              </w:rPr>
              <w:t>الإبطال</w:t>
            </w:r>
            <w:r>
              <w:rPr>
                <w:rStyle w:val="IndexLink"/>
                <w:rtl w:val="true"/>
              </w:rPr>
              <w:t>.</w:t>
              <w:tab/>
            </w:r>
            <w:r>
              <w:rPr>
                <w:rStyle w:val="IndexLink"/>
              </w:rPr>
              <w:t>173</w:t>
            </w:r>
          </w:hyperlink>
        </w:p>
        <w:p>
          <w:pPr>
            <w:pStyle w:val="Contents3"/>
            <w:tabs>
              <w:tab w:val="clear" w:pos="8459"/>
              <w:tab w:val="right" w:pos="9026" w:leader="dot"/>
            </w:tabs>
            <w:rPr/>
          </w:pPr>
          <w:hyperlink w:anchor="__RefHeading___Toc2792674_3804643083">
            <w:r>
              <w:rPr>
                <w:webHidden/>
                <w:rStyle w:val="IndexLink"/>
                <w:rtl w:val="true"/>
              </w:rPr>
              <w:t>البحث الثانی</w:t>
            </w:r>
            <w:r>
              <w:rPr>
                <w:rStyle w:val="IndexLink"/>
                <w:rtl w:val="true"/>
              </w:rPr>
              <w:t xml:space="preserve">: </w:t>
            </w:r>
            <w:r>
              <w:rPr>
                <w:rStyle w:val="IndexLink"/>
                <w:rtl w:val="true"/>
              </w:rPr>
              <w:t>النسخ جائز عقلا، و واقع سمعا،</w:t>
            </w:r>
            <w:r>
              <w:rPr>
                <w:rStyle w:val="IndexLink"/>
                <w:rtl w:val="true"/>
              </w:rPr>
              <w:tab/>
            </w:r>
            <w:r>
              <w:rPr>
                <w:rStyle w:val="IndexLink"/>
              </w:rPr>
              <w:t>174</w:t>
            </w:r>
          </w:hyperlink>
        </w:p>
        <w:p>
          <w:pPr>
            <w:pStyle w:val="Contents3"/>
            <w:tabs>
              <w:tab w:val="clear" w:pos="8459"/>
              <w:tab w:val="right" w:pos="9026" w:leader="dot"/>
            </w:tabs>
            <w:rPr/>
          </w:pPr>
          <w:hyperlink w:anchor="__RefHeading___Toc2792676_3804643083">
            <w:r>
              <w:rPr>
                <w:webHidden/>
                <w:rStyle w:val="IndexLink"/>
                <w:rtl w:val="true"/>
              </w:rPr>
              <w:t>البحث الثالث</w:t>
            </w:r>
            <w:r>
              <w:rPr>
                <w:rStyle w:val="IndexLink"/>
                <w:rtl w:val="true"/>
              </w:rPr>
              <w:t xml:space="preserve">: </w:t>
            </w:r>
            <w:r>
              <w:rPr>
                <w:rStyle w:val="IndexLink"/>
                <w:rtl w:val="true"/>
              </w:rPr>
              <w:t>فی القرآن ما هو منسوخ،</w:t>
            </w:r>
            <w:r>
              <w:rPr>
                <w:rStyle w:val="IndexLink"/>
                <w:rtl w:val="true"/>
              </w:rPr>
              <w:tab/>
            </w:r>
            <w:r>
              <w:rPr>
                <w:rStyle w:val="IndexLink"/>
              </w:rPr>
              <w:t>175</w:t>
            </w:r>
          </w:hyperlink>
        </w:p>
        <w:p>
          <w:pPr>
            <w:pStyle w:val="Contents3"/>
            <w:tabs>
              <w:tab w:val="clear" w:pos="8459"/>
              <w:tab w:val="right" w:pos="9026" w:leader="dot"/>
            </w:tabs>
            <w:rPr/>
          </w:pPr>
          <w:hyperlink w:anchor="__RefHeading___Toc2792678_3804643083">
            <w:r>
              <w:rPr>
                <w:webHidden/>
                <w:rStyle w:val="IndexLink"/>
                <w:rtl w:val="true"/>
              </w:rPr>
              <w:t>البحث الرابع</w:t>
            </w:r>
            <w:r>
              <w:rPr>
                <w:rStyle w:val="IndexLink"/>
                <w:rtl w:val="true"/>
              </w:rPr>
              <w:t xml:space="preserve">: </w:t>
            </w:r>
            <w:r>
              <w:rPr>
                <w:rStyle w:val="IndexLink"/>
                <w:rtl w:val="true"/>
              </w:rPr>
              <w:t>فی شرائط النسخ،</w:t>
            </w:r>
            <w:r>
              <w:rPr>
                <w:rStyle w:val="IndexLink"/>
                <w:rtl w:val="true"/>
              </w:rPr>
              <w:tab/>
            </w:r>
            <w:r>
              <w:rPr>
                <w:rStyle w:val="IndexLink"/>
              </w:rPr>
              <w:t>177</w:t>
            </w:r>
          </w:hyperlink>
        </w:p>
        <w:p>
          <w:pPr>
            <w:pStyle w:val="Contents2"/>
            <w:tabs>
              <w:tab w:val="clear" w:pos="8743"/>
              <w:tab w:val="right" w:pos="9026" w:leader="dot"/>
            </w:tabs>
            <w:rPr/>
          </w:pPr>
          <w:hyperlink w:anchor="__RefHeading___Toc2792680_3804643083">
            <w:r>
              <w:rPr>
                <w:webHidden/>
                <w:rStyle w:val="IndexLink"/>
                <w:rtl w:val="true"/>
              </w:rPr>
              <w:t>المقصد الثّامن فی الإجماع و فیه مباحث</w:t>
            </w:r>
            <w:r>
              <w:rPr>
                <w:rStyle w:val="IndexLink"/>
                <w:rtl w:val="true"/>
              </w:rPr>
              <w:tab/>
            </w:r>
            <w:r>
              <w:rPr>
                <w:rStyle w:val="IndexLink"/>
              </w:rPr>
              <w:t>191</w:t>
            </w:r>
          </w:hyperlink>
        </w:p>
        <w:p>
          <w:pPr>
            <w:pStyle w:val="Contents2"/>
            <w:tabs>
              <w:tab w:val="clear" w:pos="8743"/>
              <w:tab w:val="right" w:pos="9026" w:leader="dot"/>
            </w:tabs>
            <w:rPr/>
          </w:pPr>
          <w:hyperlink w:anchor="__RefHeading___Toc2792682_3804643083">
            <w:r>
              <w:rPr>
                <w:webHidden/>
                <w:rStyle w:val="IndexLink"/>
                <w:rtl w:val="true"/>
              </w:rPr>
              <w:t>المقصد التّاسع فی الأخبار و فیه فصول</w:t>
            </w:r>
            <w:r>
              <w:rPr>
                <w:rStyle w:val="IndexLink"/>
                <w:rtl w:val="true"/>
              </w:rPr>
              <w:tab/>
            </w:r>
            <w:r>
              <w:rPr>
                <w:rStyle w:val="IndexLink"/>
              </w:rPr>
              <w:t>206</w:t>
            </w:r>
          </w:hyperlink>
        </w:p>
        <w:p>
          <w:pPr>
            <w:pStyle w:val="Contents3"/>
            <w:tabs>
              <w:tab w:val="clear" w:pos="8459"/>
              <w:tab w:val="right" w:pos="9026" w:leader="dot"/>
            </w:tabs>
            <w:rPr/>
          </w:pPr>
          <w:hyperlink w:anchor="__RefHeading___Toc2792684_380464308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2792686_3804643083">
            <w:r>
              <w:rPr>
                <w:webHidden/>
                <w:rStyle w:val="IndexLink"/>
                <w:rtl w:val="true"/>
              </w:rPr>
              <w:t>[</w:t>
            </w:r>
            <w:r>
              <w:rPr>
                <w:rStyle w:val="IndexLink"/>
                <w:rtl w:val="true"/>
              </w:rPr>
              <w:t>الفصل</w:t>
            </w:r>
            <w:r>
              <w:rPr>
                <w:rStyle w:val="IndexLink"/>
                <w:rtl w:val="true"/>
              </w:rPr>
              <w:t xml:space="preserve">] </w:t>
            </w:r>
            <w:r>
              <w:rPr>
                <w:rStyle w:val="IndexLink"/>
                <w:rtl w:val="true"/>
              </w:rPr>
              <w:t>الأوّل فی ماهیّته و فیه مباحث</w:t>
            </w:r>
            <w:r>
              <w:rPr>
                <w:rStyle w:val="IndexLink"/>
                <w:rtl w:val="true"/>
              </w:rPr>
              <w:t>:</w:t>
              <w:tab/>
            </w:r>
            <w:r>
              <w:rPr>
                <w:rStyle w:val="IndexLink"/>
              </w:rPr>
              <w:t>207</w:t>
            </w:r>
          </w:hyperlink>
        </w:p>
        <w:p>
          <w:pPr>
            <w:pStyle w:val="Contents4"/>
            <w:tabs>
              <w:tab w:val="clear" w:pos="8176"/>
              <w:tab w:val="right" w:pos="9026" w:leader="dot"/>
            </w:tabs>
            <w:rPr/>
          </w:pPr>
          <w:hyperlink w:anchor="__RefHeading___Toc2792688_380464308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حکمت النفس بأمر علی آخر</w:t>
            </w:r>
            <w:r>
              <w:rPr>
                <w:rStyle w:val="IndexLink"/>
                <w:rtl w:val="true"/>
              </w:rPr>
              <w:t xml:space="preserve">- </w:t>
            </w:r>
            <w:r>
              <w:rPr>
                <w:rStyle w:val="IndexLink"/>
                <w:rtl w:val="true"/>
              </w:rPr>
              <w:t>إیجابا أو سلبا</w:t>
            </w:r>
            <w:r>
              <w:rPr>
                <w:rStyle w:val="IndexLink"/>
                <w:rtl w:val="true"/>
              </w:rPr>
              <w:t xml:space="preserve">- </w:t>
            </w:r>
            <w:r>
              <w:rPr>
                <w:rStyle w:val="IndexLink"/>
                <w:rtl w:val="true"/>
              </w:rPr>
              <w:t>سمّی ذلک الحکم خبرا</w:t>
            </w:r>
            <w:r>
              <w:rPr>
                <w:rStyle w:val="IndexLink"/>
                <w:rtl w:val="true"/>
              </w:rPr>
              <w:t>.</w:t>
              <w:tab/>
            </w:r>
            <w:r>
              <w:rPr>
                <w:rStyle w:val="IndexLink"/>
              </w:rPr>
              <w:t>207</w:t>
            </w:r>
          </w:hyperlink>
        </w:p>
        <w:p>
          <w:pPr>
            <w:pStyle w:val="Contents4"/>
            <w:tabs>
              <w:tab w:val="clear" w:pos="8176"/>
              <w:tab w:val="right" w:pos="9026" w:leader="dot"/>
            </w:tabs>
            <w:rPr/>
          </w:pPr>
          <w:hyperlink w:anchor="__RefHeading___Toc2792690_3804643083">
            <w:r>
              <w:rPr>
                <w:webHidden/>
                <w:rStyle w:val="IndexLink"/>
                <w:rtl w:val="true"/>
              </w:rPr>
              <w:t>البحث الثانی</w:t>
            </w:r>
            <w:r>
              <w:rPr>
                <w:rStyle w:val="IndexLink"/>
                <w:rtl w:val="true"/>
              </w:rPr>
              <w:t xml:space="preserve">: </w:t>
            </w:r>
            <w:r>
              <w:rPr>
                <w:rStyle w:val="IndexLink"/>
                <w:rtl w:val="true"/>
              </w:rPr>
              <w:t>قال السید المرتضی رضی اللّه عنه</w:t>
            </w:r>
            <w:r>
              <w:rPr>
                <w:rStyle w:val="IndexLink"/>
                <w:rtl w:val="true"/>
              </w:rPr>
              <w:t xml:space="preserve">: </w:t>
            </w:r>
            <w:r>
              <w:rPr>
                <w:rStyle w:val="IndexLink"/>
                <w:rtl w:val="true"/>
              </w:rPr>
              <w:t>لا بدّ فی کون الصیغة خبرا من قصد المخبر،</w:t>
            </w:r>
            <w:r>
              <w:rPr>
                <w:rStyle w:val="IndexLink"/>
                <w:rtl w:val="true"/>
              </w:rPr>
              <w:tab/>
            </w:r>
            <w:r>
              <w:rPr>
                <w:rStyle w:val="IndexLink"/>
              </w:rPr>
              <w:t>207</w:t>
            </w:r>
          </w:hyperlink>
        </w:p>
        <w:p>
          <w:pPr>
            <w:pStyle w:val="Contents4"/>
            <w:tabs>
              <w:tab w:val="clear" w:pos="8176"/>
              <w:tab w:val="right" w:pos="9026" w:leader="dot"/>
            </w:tabs>
            <w:rPr/>
          </w:pPr>
          <w:hyperlink w:anchor="__RefHeading___Toc2792692_3804643083">
            <w:r>
              <w:rPr>
                <w:webHidden/>
                <w:rStyle w:val="IndexLink"/>
                <w:rtl w:val="true"/>
              </w:rPr>
              <w:t>البحث الثالث</w:t>
            </w:r>
            <w:r>
              <w:rPr>
                <w:rStyle w:val="IndexLink"/>
                <w:rtl w:val="true"/>
              </w:rPr>
              <w:t xml:space="preserve">: </w:t>
            </w:r>
            <w:r>
              <w:rPr>
                <w:rStyle w:val="IndexLink"/>
                <w:rtl w:val="true"/>
              </w:rPr>
              <w:t>إذا قلنا</w:t>
            </w:r>
            <w:r>
              <w:rPr>
                <w:rStyle w:val="IndexLink"/>
                <w:rtl w:val="true"/>
              </w:rPr>
              <w:t>: (</w:t>
            </w:r>
            <w:r>
              <w:rPr>
                <w:rStyle w:val="IndexLink"/>
                <w:rtl w:val="true"/>
              </w:rPr>
              <w:t>زید قائم</w:t>
            </w:r>
            <w:r>
              <w:rPr>
                <w:rStyle w:val="IndexLink"/>
                <w:rtl w:val="true"/>
              </w:rPr>
              <w:t xml:space="preserve">) </w:t>
            </w:r>
            <w:r>
              <w:rPr>
                <w:rStyle w:val="IndexLink"/>
                <w:rtl w:val="true"/>
              </w:rPr>
              <w:t>فمدلول الخبر</w:t>
            </w:r>
            <w:r>
              <w:rPr>
                <w:rStyle w:val="IndexLink"/>
                <w:rtl w:val="true"/>
              </w:rPr>
              <w:tab/>
            </w:r>
            <w:r>
              <w:rPr>
                <w:rStyle w:val="IndexLink"/>
              </w:rPr>
              <w:t>208</w:t>
            </w:r>
          </w:hyperlink>
        </w:p>
        <w:p>
          <w:pPr>
            <w:pStyle w:val="Contents4"/>
            <w:tabs>
              <w:tab w:val="clear" w:pos="8176"/>
              <w:tab w:val="right" w:pos="9026" w:leader="dot"/>
            </w:tabs>
            <w:rPr/>
          </w:pPr>
          <w:hyperlink w:anchor="__RefHeading___Toc2792694_3804643083">
            <w:r>
              <w:rPr>
                <w:webHidden/>
                <w:rStyle w:val="IndexLink"/>
                <w:rtl w:val="true"/>
              </w:rPr>
              <w:t>البحث الرابع</w:t>
            </w:r>
            <w:r>
              <w:rPr>
                <w:rStyle w:val="IndexLink"/>
                <w:rtl w:val="true"/>
              </w:rPr>
              <w:t xml:space="preserve">: </w:t>
            </w:r>
            <w:r>
              <w:rPr>
                <w:rStyle w:val="IndexLink"/>
                <w:rtl w:val="true"/>
              </w:rPr>
              <w:t>الخبر إمّا أن یعلم صدقه، أو کذبه، أو یخفی الأمران</w:t>
            </w:r>
            <w:r>
              <w:rPr>
                <w:rStyle w:val="IndexLink"/>
                <w:rtl w:val="true"/>
              </w:rPr>
              <w:t>.</w:t>
              <w:tab/>
            </w:r>
            <w:r>
              <w:rPr>
                <w:rStyle w:val="IndexLink"/>
              </w:rPr>
              <w:t>209</w:t>
            </w:r>
          </w:hyperlink>
        </w:p>
        <w:p>
          <w:pPr>
            <w:pStyle w:val="Contents4"/>
            <w:tabs>
              <w:tab w:val="clear" w:pos="8176"/>
              <w:tab w:val="right" w:pos="9026" w:leader="dot"/>
            </w:tabs>
            <w:rPr/>
          </w:pPr>
          <w:hyperlink w:anchor="__RefHeading___Toc2792696_3804643083">
            <w:r>
              <w:rPr>
                <w:webHidden/>
                <w:rStyle w:val="IndexLink"/>
                <w:rtl w:val="true"/>
              </w:rPr>
              <w:t>البحث الخامس</w:t>
            </w:r>
            <w:r>
              <w:rPr>
                <w:rStyle w:val="IndexLink"/>
                <w:rtl w:val="true"/>
              </w:rPr>
              <w:t xml:space="preserve">: </w:t>
            </w:r>
            <w:r>
              <w:rPr>
                <w:rStyle w:val="IndexLink"/>
                <w:rtl w:val="true"/>
              </w:rPr>
              <w:t>إنکار السمّنیّة إفادة التواتر العلم، ضروری البطلان،</w:t>
            </w:r>
            <w:r>
              <w:rPr>
                <w:rStyle w:val="IndexLink"/>
                <w:rtl w:val="true"/>
              </w:rPr>
              <w:tab/>
            </w:r>
            <w:r>
              <w:rPr>
                <w:rStyle w:val="IndexLink"/>
              </w:rPr>
              <w:t>210</w:t>
            </w:r>
          </w:hyperlink>
        </w:p>
        <w:p>
          <w:pPr>
            <w:pStyle w:val="Contents4"/>
            <w:tabs>
              <w:tab w:val="clear" w:pos="8176"/>
              <w:tab w:val="right" w:pos="9026" w:leader="dot"/>
            </w:tabs>
            <w:rPr/>
          </w:pPr>
          <w:hyperlink w:anchor="__RefHeading___Toc2792698_3804643083">
            <w:r>
              <w:rPr>
                <w:webHidden/>
                <w:rStyle w:val="IndexLink"/>
                <w:rtl w:val="true"/>
              </w:rPr>
              <w:t>البحث السادس</w:t>
            </w:r>
            <w:r>
              <w:rPr>
                <w:rStyle w:val="IndexLink"/>
                <w:rtl w:val="true"/>
              </w:rPr>
              <w:t xml:space="preserve">: </w:t>
            </w:r>
            <w:r>
              <w:rPr>
                <w:rStyle w:val="IndexLink"/>
                <w:rtl w:val="true"/>
              </w:rPr>
              <w:t>یشترط فی العلم انتفاؤه اضطرارا عن السامع، لاستحالة تحصیل الحاصل</w:t>
            </w:r>
            <w:r>
              <w:rPr>
                <w:rStyle w:val="IndexLink"/>
                <w:rtl w:val="true"/>
              </w:rPr>
              <w:tab/>
            </w:r>
            <w:r>
              <w:rPr>
                <w:rStyle w:val="IndexLink"/>
              </w:rPr>
              <w:t>211</w:t>
            </w:r>
          </w:hyperlink>
        </w:p>
        <w:p>
          <w:pPr>
            <w:pStyle w:val="Contents3"/>
            <w:tabs>
              <w:tab w:val="clear" w:pos="8459"/>
              <w:tab w:val="right" w:pos="9026" w:leader="dot"/>
            </w:tabs>
            <w:rPr/>
          </w:pPr>
          <w:hyperlink w:anchor="__RefHeading___Toc2792700_3804643083">
            <w:r>
              <w:rPr>
                <w:webHidden/>
                <w:rStyle w:val="IndexLink"/>
                <w:rtl w:val="true"/>
              </w:rPr>
              <w:t>الفصل الثانی</w:t>
            </w:r>
            <w:r>
              <w:rPr>
                <w:rStyle w:val="IndexLink"/>
                <w:rtl w:val="true"/>
              </w:rPr>
              <w:t xml:space="preserve">: </w:t>
            </w:r>
            <w:r>
              <w:rPr>
                <w:rStyle w:val="IndexLink"/>
                <w:rtl w:val="true"/>
              </w:rPr>
              <w:t>فی الأخبار المعلوم صدقها أو کذبها و فیه بحثان</w:t>
            </w:r>
            <w:r>
              <w:rPr>
                <w:rStyle w:val="IndexLink"/>
                <w:rtl w:val="true"/>
              </w:rPr>
              <w:t>:</w:t>
              <w:tab/>
            </w:r>
            <w:r>
              <w:rPr>
                <w:rStyle w:val="IndexLink"/>
              </w:rPr>
              <w:t>214</w:t>
            </w:r>
          </w:hyperlink>
        </w:p>
        <w:p>
          <w:pPr>
            <w:pStyle w:val="Contents4"/>
            <w:tabs>
              <w:tab w:val="clear" w:pos="8176"/>
              <w:tab w:val="right" w:pos="9026" w:leader="dot"/>
            </w:tabs>
            <w:rPr/>
          </w:pPr>
          <w:hyperlink w:anchor="__RefHeading___Toc2792702_380464308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خبر اللّه تعالی صدق، و هو ظاهر عندنا،</w:t>
            </w:r>
            <w:r>
              <w:rPr>
                <w:rStyle w:val="IndexLink"/>
                <w:rtl w:val="true"/>
              </w:rPr>
              <w:tab/>
            </w:r>
            <w:r>
              <w:rPr>
                <w:rStyle w:val="IndexLink"/>
              </w:rPr>
              <w:t>214</w:t>
            </w:r>
          </w:hyperlink>
        </w:p>
        <w:p>
          <w:pPr>
            <w:pStyle w:val="Contents4"/>
            <w:tabs>
              <w:tab w:val="clear" w:pos="8176"/>
              <w:tab w:val="right" w:pos="9026" w:leader="dot"/>
            </w:tabs>
            <w:rPr/>
          </w:pPr>
          <w:hyperlink w:anchor="__RefHeading___Toc2792704_3804643083">
            <w:r>
              <w:rPr>
                <w:webHidden/>
                <w:rStyle w:val="IndexLink"/>
                <w:rtl w:val="true"/>
              </w:rPr>
              <w:t>البحث الثانی</w:t>
            </w:r>
            <w:r>
              <w:rPr>
                <w:rStyle w:val="IndexLink"/>
                <w:rtl w:val="true"/>
              </w:rPr>
              <w:t xml:space="preserve">: </w:t>
            </w:r>
            <w:r>
              <w:rPr>
                <w:rStyle w:val="IndexLink"/>
                <w:rtl w:val="true"/>
              </w:rPr>
              <w:t>الخبر إذا نافی مخبره وجود ما علم بالضرورة</w:t>
            </w:r>
            <w:r>
              <w:rPr>
                <w:rStyle w:val="IndexLink"/>
                <w:rtl w:val="true"/>
              </w:rPr>
              <w:t xml:space="preserve">- </w:t>
            </w:r>
            <w:r>
              <w:rPr>
                <w:rStyle w:val="IndexLink"/>
                <w:rtl w:val="true"/>
              </w:rPr>
              <w:t>حسّا أو وجدانا أو بدیهة</w:t>
            </w:r>
            <w:r>
              <w:rPr>
                <w:rStyle w:val="IndexLink"/>
                <w:rtl w:val="true"/>
              </w:rPr>
              <w:t xml:space="preserve">- </w:t>
            </w:r>
            <w:r>
              <w:rPr>
                <w:rStyle w:val="IndexLink"/>
                <w:rtl w:val="true"/>
              </w:rPr>
              <w:t>أو بالاستدلال؛ کاذب قطعا</w:t>
            </w:r>
            <w:r>
              <w:rPr>
                <w:rStyle w:val="IndexLink"/>
                <w:rtl w:val="true"/>
              </w:rPr>
              <w:t>.</w:t>
              <w:tab/>
            </w:r>
            <w:r>
              <w:rPr>
                <w:rStyle w:val="IndexLink"/>
              </w:rPr>
              <w:t>215</w:t>
            </w:r>
          </w:hyperlink>
        </w:p>
        <w:p>
          <w:pPr>
            <w:pStyle w:val="Contents3"/>
            <w:tabs>
              <w:tab w:val="clear" w:pos="8459"/>
              <w:tab w:val="right" w:pos="9026" w:leader="dot"/>
            </w:tabs>
            <w:rPr/>
          </w:pPr>
          <w:hyperlink w:anchor="__RefHeading___Toc2792706_3804643083">
            <w:r>
              <w:rPr>
                <w:webHidden/>
                <w:rStyle w:val="IndexLink"/>
                <w:rtl w:val="true"/>
              </w:rPr>
              <w:t>الفصل الثالث</w:t>
            </w:r>
            <w:r>
              <w:rPr>
                <w:rStyle w:val="IndexLink"/>
                <w:rtl w:val="true"/>
              </w:rPr>
              <w:t xml:space="preserve">: </w:t>
            </w:r>
            <w:r>
              <w:rPr>
                <w:rStyle w:val="IndexLink"/>
                <w:rtl w:val="true"/>
              </w:rPr>
              <w:t>فی خبر الواحد و فیه مباحث</w:t>
            </w:r>
            <w:r>
              <w:rPr>
                <w:rStyle w:val="IndexLink"/>
                <w:rtl w:val="true"/>
              </w:rPr>
              <w:t>:</w:t>
              <w:tab/>
            </w:r>
            <w:r>
              <w:rPr>
                <w:rStyle w:val="IndexLink"/>
              </w:rPr>
              <w:t>216</w:t>
            </w:r>
          </w:hyperlink>
        </w:p>
        <w:p>
          <w:pPr>
            <w:pStyle w:val="Contents4"/>
            <w:tabs>
              <w:tab w:val="clear" w:pos="8176"/>
              <w:tab w:val="right" w:pos="9026" w:leader="dot"/>
            </w:tabs>
            <w:rPr/>
          </w:pPr>
          <w:hyperlink w:anchor="__RefHeading___Toc2792708_3804643083">
            <w:r>
              <w:rPr>
                <w:webHidden/>
                <w:rStyle w:val="IndexLink"/>
                <w:rtl w:val="true"/>
              </w:rPr>
              <w:t>الأوّل</w:t>
            </w:r>
            <w:r>
              <w:rPr>
                <w:rStyle w:val="IndexLink"/>
                <w:rtl w:val="true"/>
              </w:rPr>
              <w:t xml:space="preserve">: </w:t>
            </w:r>
            <w:r>
              <w:rPr>
                <w:rStyle w:val="IndexLink"/>
                <w:rtl w:val="true"/>
              </w:rPr>
              <w:t>الأکثر علی جواز التعبد به</w:t>
            </w:r>
            <w:r>
              <w:rPr>
                <w:rStyle w:val="IndexLink"/>
                <w:rtl w:val="true"/>
              </w:rPr>
              <w:t>.</w:t>
              <w:tab/>
            </w:r>
            <w:r>
              <w:rPr>
                <w:rStyle w:val="IndexLink"/>
              </w:rPr>
              <w:t>216</w:t>
            </w:r>
          </w:hyperlink>
        </w:p>
        <w:p>
          <w:pPr>
            <w:pStyle w:val="Contents4"/>
            <w:tabs>
              <w:tab w:val="clear" w:pos="8176"/>
              <w:tab w:val="right" w:pos="9026" w:leader="dot"/>
            </w:tabs>
            <w:rPr/>
          </w:pPr>
          <w:hyperlink w:anchor="__RefHeading___Toc2792710_3804643083">
            <w:r>
              <w:rPr>
                <w:webHidden/>
                <w:rStyle w:val="IndexLink"/>
                <w:rtl w:val="true"/>
              </w:rPr>
              <w:t>البحث الثانی</w:t>
            </w:r>
            <w:r>
              <w:rPr>
                <w:rStyle w:val="IndexLink"/>
                <w:rtl w:val="true"/>
              </w:rPr>
              <w:t xml:space="preserve">: </w:t>
            </w:r>
            <w:r>
              <w:rPr>
                <w:rStyle w:val="IndexLink"/>
                <w:rtl w:val="true"/>
              </w:rPr>
              <w:t>یجب کون المخبر راجح الصدق عند السامع،</w:t>
            </w:r>
            <w:r>
              <w:rPr>
                <w:rStyle w:val="IndexLink"/>
                <w:rtl w:val="true"/>
              </w:rPr>
              <w:tab/>
            </w:r>
            <w:r>
              <w:rPr>
                <w:rStyle w:val="IndexLink"/>
              </w:rPr>
              <w:t>218</w:t>
            </w:r>
          </w:hyperlink>
        </w:p>
        <w:p>
          <w:pPr>
            <w:pStyle w:val="Contents4"/>
            <w:tabs>
              <w:tab w:val="clear" w:pos="8176"/>
              <w:tab w:val="right" w:pos="9026" w:leader="dot"/>
            </w:tabs>
            <w:rPr/>
          </w:pPr>
          <w:hyperlink w:anchor="__RefHeading___Toc2792712_3804643083">
            <w:r>
              <w:rPr>
                <w:webHidden/>
                <w:rStyle w:val="IndexLink"/>
                <w:rtl w:val="true"/>
              </w:rPr>
              <w:t>البحث الثالث</w:t>
            </w:r>
            <w:r>
              <w:rPr>
                <w:rStyle w:val="IndexLink"/>
                <w:rtl w:val="true"/>
              </w:rPr>
              <w:t xml:space="preserve">: </w:t>
            </w:r>
            <w:r>
              <w:rPr>
                <w:rStyle w:val="IndexLink"/>
                <w:rtl w:val="true"/>
              </w:rPr>
              <w:t>فی العدالة</w:t>
            </w:r>
            <w:r>
              <w:rPr>
                <w:rStyle w:val="IndexLink"/>
                <w:rtl w:val="true"/>
              </w:rPr>
              <w:t>.</w:t>
              <w:tab/>
            </w:r>
            <w:r>
              <w:rPr>
                <w:rStyle w:val="IndexLink"/>
              </w:rPr>
              <w:t>220</w:t>
            </w:r>
          </w:hyperlink>
        </w:p>
        <w:p>
          <w:pPr>
            <w:pStyle w:val="Contents2"/>
            <w:tabs>
              <w:tab w:val="clear" w:pos="8743"/>
              <w:tab w:val="right" w:pos="9026" w:leader="dot"/>
            </w:tabs>
            <w:rPr/>
          </w:pPr>
          <w:hyperlink w:anchor="__RefHeading___Toc2792714_3804643083">
            <w:r>
              <w:rPr>
                <w:webHidden/>
                <w:rStyle w:val="IndexLink"/>
                <w:rtl w:val="true"/>
              </w:rPr>
              <w:t>المقصد العاشر فی القیاس و فیه فصول</w:t>
            </w:r>
            <w:r>
              <w:rPr>
                <w:rStyle w:val="IndexLink"/>
                <w:rtl w:val="true"/>
              </w:rPr>
              <w:tab/>
            </w:r>
            <w:r>
              <w:rPr>
                <w:rStyle w:val="IndexLink"/>
              </w:rPr>
              <w:t>231</w:t>
            </w:r>
          </w:hyperlink>
        </w:p>
        <w:p>
          <w:pPr>
            <w:pStyle w:val="Contents3"/>
            <w:tabs>
              <w:tab w:val="clear" w:pos="8459"/>
              <w:tab w:val="right" w:pos="9026" w:leader="dot"/>
            </w:tabs>
            <w:rPr/>
          </w:pPr>
          <w:hyperlink w:anchor="__RefHeading___Toc2792716_380464308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2792718_3804643083">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 xml:space="preserve">: </w:t>
            </w:r>
            <w:r>
              <w:rPr>
                <w:rStyle w:val="IndexLink"/>
                <w:rtl w:val="true"/>
              </w:rPr>
              <w:t>فی مقدماته و فیه مباحث</w:t>
            </w:r>
            <w:r>
              <w:rPr>
                <w:rStyle w:val="IndexLink"/>
                <w:rtl w:val="true"/>
              </w:rPr>
              <w:t>:</w:t>
              <w:tab/>
            </w:r>
            <w:r>
              <w:rPr>
                <w:rStyle w:val="IndexLink"/>
              </w:rPr>
              <w:t>232</w:t>
            </w:r>
          </w:hyperlink>
        </w:p>
        <w:p>
          <w:pPr>
            <w:pStyle w:val="Contents4"/>
            <w:tabs>
              <w:tab w:val="clear" w:pos="8176"/>
              <w:tab w:val="right" w:pos="9026" w:leader="dot"/>
            </w:tabs>
            <w:rPr/>
          </w:pPr>
          <w:hyperlink w:anchor="__RefHeading___Toc2792720_380464308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فی ماهیته</w:t>
            </w:r>
            <w:r>
              <w:rPr>
                <w:rStyle w:val="IndexLink"/>
                <w:rtl w:val="true"/>
              </w:rPr>
              <w:tab/>
            </w:r>
            <w:r>
              <w:rPr>
                <w:rStyle w:val="IndexLink"/>
              </w:rPr>
              <w:t>232</w:t>
            </w:r>
          </w:hyperlink>
        </w:p>
        <w:p>
          <w:pPr>
            <w:pStyle w:val="Contents4"/>
            <w:tabs>
              <w:tab w:val="clear" w:pos="8176"/>
              <w:tab w:val="right" w:pos="9026" w:leader="dot"/>
            </w:tabs>
            <w:rPr/>
          </w:pPr>
          <w:hyperlink w:anchor="__RefHeading___Toc2792722_3804643083">
            <w:r>
              <w:rPr>
                <w:webHidden/>
                <w:rStyle w:val="IndexLink"/>
                <w:rtl w:val="true"/>
              </w:rPr>
              <w:t>البحث الثانی</w:t>
            </w:r>
            <w:r>
              <w:rPr>
                <w:rStyle w:val="IndexLink"/>
                <w:rtl w:val="true"/>
              </w:rPr>
              <w:t xml:space="preserve">: </w:t>
            </w:r>
            <w:r>
              <w:rPr>
                <w:rStyle w:val="IndexLink"/>
                <w:rtl w:val="true"/>
              </w:rPr>
              <w:t>فی أرکانه،</w:t>
            </w:r>
            <w:r>
              <w:rPr>
                <w:rStyle w:val="IndexLink"/>
                <w:rtl w:val="true"/>
              </w:rPr>
              <w:tab/>
            </w:r>
            <w:r>
              <w:rPr>
                <w:rStyle w:val="IndexLink"/>
              </w:rPr>
              <w:t>233</w:t>
            </w:r>
          </w:hyperlink>
        </w:p>
        <w:p>
          <w:pPr>
            <w:pStyle w:val="Contents4"/>
            <w:tabs>
              <w:tab w:val="clear" w:pos="8176"/>
              <w:tab w:val="right" w:pos="9026" w:leader="dot"/>
            </w:tabs>
            <w:rPr/>
          </w:pPr>
          <w:hyperlink w:anchor="__RefHeading___Toc2792724_3804643083">
            <w:r>
              <w:rPr>
                <w:webHidden/>
                <w:rStyle w:val="IndexLink"/>
                <w:rtl w:val="true"/>
              </w:rPr>
              <w:t>البحث الثالث</w:t>
            </w:r>
            <w:r>
              <w:rPr>
                <w:rStyle w:val="IndexLink"/>
                <w:rtl w:val="true"/>
              </w:rPr>
              <w:t xml:space="preserve">: </w:t>
            </w:r>
            <w:r>
              <w:rPr>
                <w:rStyle w:val="IndexLink"/>
                <w:rtl w:val="true"/>
              </w:rPr>
              <w:t>فی هل أنّه حجة؟ أم لا؟</w:t>
            </w:r>
            <w:r>
              <w:rPr>
                <w:rStyle w:val="IndexLink"/>
                <w:rtl w:val="true"/>
              </w:rPr>
              <w:t>.</w:t>
              <w:tab/>
            </w:r>
            <w:r>
              <w:rPr>
                <w:rStyle w:val="IndexLink"/>
              </w:rPr>
              <w:t>234</w:t>
            </w:r>
          </w:hyperlink>
        </w:p>
        <w:p>
          <w:pPr>
            <w:pStyle w:val="Contents3"/>
            <w:tabs>
              <w:tab w:val="clear" w:pos="8459"/>
              <w:tab w:val="right" w:pos="9026" w:leader="dot"/>
            </w:tabs>
            <w:rPr/>
          </w:pPr>
          <w:hyperlink w:anchor="__RefHeading___Toc2792726_3804643083">
            <w:r>
              <w:rPr>
                <w:webHidden/>
                <w:rStyle w:val="IndexLink"/>
                <w:rtl w:val="true"/>
              </w:rPr>
              <w:t>الفصل الثانی</w:t>
            </w:r>
            <w:r>
              <w:rPr>
                <w:rStyle w:val="IndexLink"/>
                <w:rtl w:val="true"/>
              </w:rPr>
              <w:t xml:space="preserve">: </w:t>
            </w:r>
            <w:r>
              <w:rPr>
                <w:rStyle w:val="IndexLink"/>
                <w:rtl w:val="true"/>
              </w:rPr>
              <w:t>فی طرق العلّة و فیه مباحث</w:t>
            </w:r>
            <w:r>
              <w:rPr>
                <w:rStyle w:val="IndexLink"/>
                <w:rtl w:val="true"/>
              </w:rPr>
              <w:t>:</w:t>
              <w:tab/>
            </w:r>
            <w:r>
              <w:rPr>
                <w:rStyle w:val="IndexLink"/>
              </w:rPr>
              <w:t>238</w:t>
            </w:r>
          </w:hyperlink>
        </w:p>
        <w:p>
          <w:pPr>
            <w:pStyle w:val="Contents4"/>
            <w:tabs>
              <w:tab w:val="clear" w:pos="8176"/>
              <w:tab w:val="right" w:pos="9026" w:leader="dot"/>
            </w:tabs>
            <w:rPr/>
          </w:pPr>
          <w:hyperlink w:anchor="__RefHeading___Toc2792728_3804643083">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 xml:space="preserve">: </w:t>
            </w:r>
            <w:r>
              <w:rPr>
                <w:rStyle w:val="IndexLink"/>
                <w:rtl w:val="true"/>
              </w:rPr>
              <w:t>لمّا بیّنا أنّ القیاس حجة لا مطلقا،</w:t>
            </w:r>
            <w:r>
              <w:rPr>
                <w:rStyle w:val="IndexLink"/>
                <w:rtl w:val="true"/>
              </w:rPr>
              <w:tab/>
            </w:r>
            <w:r>
              <w:rPr>
                <w:rStyle w:val="IndexLink"/>
              </w:rPr>
              <w:t>238</w:t>
            </w:r>
          </w:hyperlink>
        </w:p>
        <w:p>
          <w:pPr>
            <w:pStyle w:val="Contents4"/>
            <w:tabs>
              <w:tab w:val="clear" w:pos="8176"/>
              <w:tab w:val="right" w:pos="9026" w:leader="dot"/>
            </w:tabs>
            <w:rPr/>
          </w:pPr>
          <w:hyperlink w:anchor="__RefHeading___Toc2792730_3804643083">
            <w:r>
              <w:rPr>
                <w:webHidden/>
                <w:rStyle w:val="IndexLink"/>
                <w:rtl w:val="true"/>
              </w:rPr>
              <w:t>البحث الثانی</w:t>
            </w:r>
            <w:r>
              <w:rPr>
                <w:rStyle w:val="IndexLink"/>
                <w:rtl w:val="true"/>
              </w:rPr>
              <w:t xml:space="preserve">: </w:t>
            </w:r>
            <w:r>
              <w:rPr>
                <w:rStyle w:val="IndexLink"/>
                <w:rtl w:val="true"/>
              </w:rPr>
              <w:t>فی أنّ المناسبة لا تقتضی العلّیة</w:t>
            </w:r>
            <w:r>
              <w:rPr>
                <w:rStyle w:val="IndexLink"/>
                <w:rtl w:val="true"/>
              </w:rPr>
              <w:t>.</w:t>
              <w:tab/>
            </w:r>
            <w:r>
              <w:rPr>
                <w:rStyle w:val="IndexLink"/>
              </w:rPr>
              <w:t>240</w:t>
            </w:r>
          </w:hyperlink>
        </w:p>
        <w:p>
          <w:pPr>
            <w:pStyle w:val="Contents5"/>
            <w:tabs>
              <w:tab w:val="clear" w:pos="7892"/>
              <w:tab w:val="right" w:pos="9026" w:leader="dot"/>
            </w:tabs>
            <w:rPr/>
          </w:pPr>
          <w:hyperlink w:anchor="__RefHeading___Toc2792732_3804643083">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2792734_3804643083">
            <w:r>
              <w:rPr>
                <w:webHidden/>
                <w:rStyle w:val="IndexLink"/>
                <w:rtl w:val="true"/>
              </w:rPr>
              <w:t>تذنیب</w:t>
            </w:r>
            <w:r>
              <w:rPr>
                <w:rStyle w:val="IndexLink"/>
                <w:rtl w:val="true"/>
              </w:rPr>
              <w:tab/>
            </w:r>
            <w:r>
              <w:rPr>
                <w:rStyle w:val="IndexLink"/>
              </w:rPr>
              <w:t>242</w:t>
            </w:r>
          </w:hyperlink>
        </w:p>
        <w:p>
          <w:pPr>
            <w:pStyle w:val="Contents4"/>
            <w:tabs>
              <w:tab w:val="clear" w:pos="8176"/>
              <w:tab w:val="right" w:pos="9026" w:leader="dot"/>
            </w:tabs>
            <w:rPr/>
          </w:pPr>
          <w:hyperlink w:anchor="__RefHeading___Toc2792736_3804643083">
            <w:r>
              <w:rPr>
                <w:webHidden/>
                <w:rStyle w:val="IndexLink"/>
                <w:rtl w:val="true"/>
              </w:rPr>
              <w:t>البحث الثالث</w:t>
            </w:r>
            <w:r>
              <w:rPr>
                <w:rStyle w:val="IndexLink"/>
                <w:rtl w:val="true"/>
              </w:rPr>
              <w:t xml:space="preserve">: </w:t>
            </w:r>
            <w:r>
              <w:rPr>
                <w:rStyle w:val="IndexLink"/>
                <w:rtl w:val="true"/>
              </w:rPr>
              <w:t>فی أنّ الشبه لیس دالا علی العلّیة</w:t>
            </w:r>
            <w:r>
              <w:rPr>
                <w:rStyle w:val="IndexLink"/>
                <w:rtl w:val="true"/>
              </w:rPr>
              <w:t>.</w:t>
              <w:tab/>
            </w:r>
            <w:r>
              <w:rPr>
                <w:rStyle w:val="IndexLink"/>
              </w:rPr>
              <w:t>244</w:t>
            </w:r>
          </w:hyperlink>
        </w:p>
        <w:p>
          <w:pPr>
            <w:pStyle w:val="Contents4"/>
            <w:tabs>
              <w:tab w:val="clear" w:pos="8176"/>
              <w:tab w:val="right" w:pos="9026" w:leader="dot"/>
            </w:tabs>
            <w:rPr/>
          </w:pPr>
          <w:hyperlink w:anchor="__RefHeading___Toc2792738_3804643083">
            <w:r>
              <w:rPr>
                <w:webHidden/>
                <w:rStyle w:val="IndexLink"/>
                <w:rtl w:val="true"/>
              </w:rPr>
              <w:t>البحث الرابع</w:t>
            </w:r>
            <w:r>
              <w:rPr>
                <w:rStyle w:val="IndexLink"/>
                <w:rtl w:val="true"/>
              </w:rPr>
              <w:t xml:space="preserve">: </w:t>
            </w:r>
            <w:r>
              <w:rPr>
                <w:rStyle w:val="IndexLink"/>
                <w:rtl w:val="true"/>
              </w:rPr>
              <w:t>فی الدوران،</w:t>
            </w:r>
            <w:r>
              <w:rPr>
                <w:rStyle w:val="IndexLink"/>
                <w:rtl w:val="true"/>
              </w:rPr>
              <w:tab/>
            </w:r>
            <w:r>
              <w:rPr>
                <w:rStyle w:val="IndexLink"/>
              </w:rPr>
              <w:t>244</w:t>
            </w:r>
          </w:hyperlink>
        </w:p>
        <w:p>
          <w:pPr>
            <w:pStyle w:val="Contents4"/>
            <w:tabs>
              <w:tab w:val="clear" w:pos="8176"/>
              <w:tab w:val="right" w:pos="9026" w:leader="dot"/>
            </w:tabs>
            <w:rPr/>
          </w:pPr>
          <w:hyperlink w:anchor="__RefHeading___Toc2792740_3804643083">
            <w:r>
              <w:rPr>
                <w:webHidden/>
                <w:rStyle w:val="IndexLink"/>
                <w:rtl w:val="true"/>
              </w:rPr>
              <w:t>البحث الخامس</w:t>
            </w:r>
            <w:r>
              <w:rPr>
                <w:rStyle w:val="IndexLink"/>
                <w:rtl w:val="true"/>
              </w:rPr>
              <w:t xml:space="preserve">: </w:t>
            </w:r>
            <w:r>
              <w:rPr>
                <w:rStyle w:val="IndexLink"/>
                <w:rtl w:val="true"/>
              </w:rPr>
              <w:t>فی السبر و التقسیم</w:t>
            </w:r>
            <w:r>
              <w:rPr>
                <w:rStyle w:val="IndexLink"/>
                <w:rtl w:val="true"/>
              </w:rPr>
              <w:t>.</w:t>
              <w:tab/>
            </w:r>
            <w:r>
              <w:rPr>
                <w:rStyle w:val="IndexLink"/>
              </w:rPr>
              <w:t>245</w:t>
            </w:r>
          </w:hyperlink>
        </w:p>
        <w:p>
          <w:pPr>
            <w:pStyle w:val="Contents3"/>
            <w:tabs>
              <w:tab w:val="clear" w:pos="8459"/>
              <w:tab w:val="right" w:pos="9026" w:leader="dot"/>
            </w:tabs>
            <w:rPr/>
          </w:pPr>
          <w:hyperlink w:anchor="__RefHeading___Toc2792742_3804643083">
            <w:r>
              <w:rPr>
                <w:webHidden/>
                <w:rStyle w:val="IndexLink"/>
                <w:rtl w:val="true"/>
              </w:rPr>
              <w:t>الفصل الثالث</w:t>
            </w:r>
            <w:r>
              <w:rPr>
                <w:rStyle w:val="IndexLink"/>
                <w:rtl w:val="true"/>
              </w:rPr>
              <w:t xml:space="preserve">: </w:t>
            </w:r>
            <w:r>
              <w:rPr>
                <w:rStyle w:val="IndexLink"/>
                <w:rtl w:val="true"/>
              </w:rPr>
              <w:t>فی مبطلات العلّة و فیه مباحث</w:t>
            </w:r>
            <w:r>
              <w:rPr>
                <w:rStyle w:val="IndexLink"/>
                <w:rtl w:val="true"/>
              </w:rPr>
              <w:t>:</w:t>
              <w:tab/>
            </w:r>
            <w:r>
              <w:rPr>
                <w:rStyle w:val="IndexLink"/>
              </w:rPr>
              <w:t>246</w:t>
            </w:r>
          </w:hyperlink>
        </w:p>
        <w:p>
          <w:pPr>
            <w:pStyle w:val="Contents4"/>
            <w:tabs>
              <w:tab w:val="clear" w:pos="8176"/>
              <w:tab w:val="right" w:pos="9026" w:leader="dot"/>
            </w:tabs>
            <w:rPr/>
          </w:pPr>
          <w:hyperlink w:anchor="__RefHeading___Toc2792744_3804643083">
            <w:r>
              <w:rPr>
                <w:webHidden/>
                <w:rStyle w:val="IndexLink"/>
                <w:rtl w:val="true"/>
              </w:rPr>
              <w:t>الأوّل</w:t>
            </w:r>
            <w:r>
              <w:rPr>
                <w:rStyle w:val="IndexLink"/>
                <w:rtl w:val="true"/>
              </w:rPr>
              <w:t xml:space="preserve">: </w:t>
            </w:r>
            <w:r>
              <w:rPr>
                <w:rStyle w:val="IndexLink"/>
                <w:rtl w:val="true"/>
              </w:rPr>
              <w:t>النقض، و هو</w:t>
            </w:r>
            <w:r>
              <w:rPr>
                <w:rStyle w:val="IndexLink"/>
                <w:rtl w:val="true"/>
              </w:rPr>
              <w:t xml:space="preserve">: </w:t>
            </w:r>
            <w:r>
              <w:rPr>
                <w:rStyle w:val="IndexLink"/>
                <w:rtl w:val="true"/>
              </w:rPr>
              <w:t>وجود الوصف مع عدم الحکم</w:t>
            </w:r>
            <w:r>
              <w:rPr>
                <w:rStyle w:val="IndexLink"/>
                <w:rtl w:val="true"/>
              </w:rPr>
              <w:t>.</w:t>
              <w:tab/>
            </w:r>
            <w:r>
              <w:rPr>
                <w:rStyle w:val="IndexLink"/>
              </w:rPr>
              <w:t>246</w:t>
            </w:r>
          </w:hyperlink>
        </w:p>
        <w:p>
          <w:pPr>
            <w:pStyle w:val="Contents4"/>
            <w:tabs>
              <w:tab w:val="clear" w:pos="8176"/>
              <w:tab w:val="right" w:pos="9026" w:leader="dot"/>
            </w:tabs>
            <w:rPr/>
          </w:pPr>
          <w:hyperlink w:anchor="__RefHeading___Toc2792746_3804643083">
            <w:r>
              <w:rPr>
                <w:webHidden/>
                <w:rStyle w:val="IndexLink"/>
                <w:rtl w:val="true"/>
              </w:rPr>
              <w:t>البحث الثانی</w:t>
            </w:r>
            <w:r>
              <w:rPr>
                <w:rStyle w:val="IndexLink"/>
                <w:rtl w:val="true"/>
              </w:rPr>
              <w:t xml:space="preserve">: </w:t>
            </w:r>
            <w:r>
              <w:rPr>
                <w:rStyle w:val="IndexLink"/>
                <w:rtl w:val="true"/>
              </w:rPr>
              <w:t>عدم التأثیر</w:t>
            </w:r>
            <w:r>
              <w:rPr>
                <w:rStyle w:val="IndexLink"/>
                <w:rtl w:val="true"/>
              </w:rPr>
              <w:t>.</w:t>
              <w:tab/>
            </w:r>
            <w:r>
              <w:rPr>
                <w:rStyle w:val="IndexLink"/>
              </w:rPr>
              <w:t>247</w:t>
            </w:r>
          </w:hyperlink>
        </w:p>
        <w:p>
          <w:pPr>
            <w:pStyle w:val="Contents4"/>
            <w:tabs>
              <w:tab w:val="clear" w:pos="8176"/>
              <w:tab w:val="right" w:pos="9026" w:leader="dot"/>
            </w:tabs>
            <w:rPr/>
          </w:pPr>
          <w:hyperlink w:anchor="__RefHeading___Toc2792748_3804643083">
            <w:r>
              <w:rPr>
                <w:webHidden/>
                <w:rStyle w:val="IndexLink"/>
                <w:rtl w:val="true"/>
              </w:rPr>
              <w:t>البحث الثالث</w:t>
            </w:r>
            <w:r>
              <w:rPr>
                <w:rStyle w:val="IndexLink"/>
                <w:rtl w:val="true"/>
              </w:rPr>
              <w:t xml:space="preserve">: </w:t>
            </w:r>
            <w:r>
              <w:rPr>
                <w:rStyle w:val="IndexLink"/>
                <w:rtl w:val="true"/>
              </w:rPr>
              <w:t>القلب</w:t>
            </w:r>
            <w:r>
              <w:rPr>
                <w:rStyle w:val="IndexLink"/>
                <w:rtl w:val="true"/>
              </w:rPr>
              <w:t>.</w:t>
              <w:tab/>
            </w:r>
            <w:r>
              <w:rPr>
                <w:rStyle w:val="IndexLink"/>
              </w:rPr>
              <w:t>248</w:t>
            </w:r>
          </w:hyperlink>
        </w:p>
        <w:p>
          <w:pPr>
            <w:pStyle w:val="Contents4"/>
            <w:tabs>
              <w:tab w:val="clear" w:pos="8176"/>
              <w:tab w:val="right" w:pos="9026" w:leader="dot"/>
            </w:tabs>
            <w:rPr/>
          </w:pPr>
          <w:hyperlink w:anchor="__RefHeading___Toc2792750_3804643083">
            <w:r>
              <w:rPr>
                <w:webHidden/>
                <w:rStyle w:val="IndexLink"/>
                <w:rtl w:val="true"/>
              </w:rPr>
              <w:t>البحث الرابع</w:t>
            </w:r>
            <w:r>
              <w:rPr>
                <w:rStyle w:val="IndexLink"/>
                <w:rtl w:val="true"/>
              </w:rPr>
              <w:t xml:space="preserve">: </w:t>
            </w:r>
            <w:r>
              <w:rPr>
                <w:rStyle w:val="IndexLink"/>
                <w:rtl w:val="true"/>
              </w:rPr>
              <w:t>القول بالموجب</w:t>
            </w:r>
            <w:r>
              <w:rPr>
                <w:rStyle w:val="IndexLink"/>
                <w:rtl w:val="true"/>
              </w:rPr>
              <w:t>.</w:t>
              <w:tab/>
            </w:r>
            <w:r>
              <w:rPr>
                <w:rStyle w:val="IndexLink"/>
              </w:rPr>
              <w:t>249</w:t>
            </w:r>
          </w:hyperlink>
        </w:p>
        <w:p>
          <w:pPr>
            <w:pStyle w:val="Contents4"/>
            <w:tabs>
              <w:tab w:val="clear" w:pos="8176"/>
              <w:tab w:val="right" w:pos="9026" w:leader="dot"/>
            </w:tabs>
            <w:rPr/>
          </w:pPr>
          <w:hyperlink w:anchor="__RefHeading___Toc2792752_3804643083">
            <w:r>
              <w:rPr>
                <w:webHidden/>
                <w:rStyle w:val="IndexLink"/>
                <w:rtl w:val="true"/>
              </w:rPr>
              <w:t>البحث الخامس</w:t>
            </w:r>
            <w:r>
              <w:rPr>
                <w:rStyle w:val="IndexLink"/>
                <w:rtl w:val="true"/>
              </w:rPr>
              <w:t xml:space="preserve">: </w:t>
            </w:r>
            <w:r>
              <w:rPr>
                <w:rStyle w:val="IndexLink"/>
                <w:rtl w:val="true"/>
              </w:rPr>
              <w:t>الفرق</w:t>
            </w:r>
            <w:r>
              <w:rPr>
                <w:rStyle w:val="IndexLink"/>
                <w:rtl w:val="true"/>
              </w:rPr>
              <w:t>.</w:t>
              <w:tab/>
            </w:r>
            <w:r>
              <w:rPr>
                <w:rStyle w:val="IndexLink"/>
              </w:rPr>
              <w:t>250</w:t>
            </w:r>
          </w:hyperlink>
        </w:p>
        <w:p>
          <w:pPr>
            <w:pStyle w:val="Contents3"/>
            <w:tabs>
              <w:tab w:val="clear" w:pos="8459"/>
              <w:tab w:val="right" w:pos="9026" w:leader="dot"/>
            </w:tabs>
            <w:rPr/>
          </w:pPr>
          <w:hyperlink w:anchor="__RefHeading___Toc2792754_3804643083">
            <w:r>
              <w:rPr>
                <w:webHidden/>
                <w:rStyle w:val="IndexLink"/>
                <w:rtl w:val="true"/>
              </w:rPr>
              <w:t>الفصل الرابع</w:t>
            </w:r>
            <w:r>
              <w:rPr>
                <w:rStyle w:val="IndexLink"/>
                <w:rtl w:val="true"/>
              </w:rPr>
              <w:t xml:space="preserve">: </w:t>
            </w:r>
            <w:r>
              <w:rPr>
                <w:rStyle w:val="IndexLink"/>
                <w:rtl w:val="true"/>
              </w:rPr>
              <w:t>فی شرائط الأرکان و فیه مباحث</w:t>
            </w:r>
            <w:r>
              <w:rPr>
                <w:rStyle w:val="IndexLink"/>
                <w:rtl w:val="true"/>
              </w:rPr>
              <w:t>:</w:t>
              <w:tab/>
            </w:r>
            <w:r>
              <w:rPr>
                <w:rStyle w:val="IndexLink"/>
              </w:rPr>
              <w:t>251</w:t>
            </w:r>
          </w:hyperlink>
        </w:p>
        <w:p>
          <w:pPr>
            <w:pStyle w:val="Contents4"/>
            <w:tabs>
              <w:tab w:val="clear" w:pos="8176"/>
              <w:tab w:val="right" w:pos="9026" w:leader="dot"/>
            </w:tabs>
            <w:rPr/>
          </w:pPr>
          <w:hyperlink w:anchor="__RefHeading___Toc2792756_3804643083">
            <w:r>
              <w:rPr>
                <w:webHidden/>
                <w:rStyle w:val="IndexLink"/>
                <w:rtl w:val="true"/>
              </w:rPr>
              <w:t>الأوّل</w:t>
            </w:r>
            <w:r>
              <w:rPr>
                <w:rStyle w:val="IndexLink"/>
                <w:rtl w:val="true"/>
              </w:rPr>
              <w:t xml:space="preserve">: </w:t>
            </w:r>
            <w:r>
              <w:rPr>
                <w:rStyle w:val="IndexLink"/>
                <w:rtl w:val="true"/>
              </w:rPr>
              <w:t>یشترط فی الأصل</w:t>
            </w:r>
            <w:r>
              <w:rPr>
                <w:rStyle w:val="IndexLink"/>
                <w:rtl w:val="true"/>
              </w:rPr>
              <w:t>:</w:t>
              <w:tab/>
            </w:r>
            <w:r>
              <w:rPr>
                <w:rStyle w:val="IndexLink"/>
              </w:rPr>
              <w:t>251</w:t>
            </w:r>
          </w:hyperlink>
        </w:p>
        <w:p>
          <w:pPr>
            <w:pStyle w:val="Contents4"/>
            <w:tabs>
              <w:tab w:val="clear" w:pos="8176"/>
              <w:tab w:val="right" w:pos="9026" w:leader="dot"/>
            </w:tabs>
            <w:rPr/>
          </w:pPr>
          <w:hyperlink w:anchor="__RefHeading___Toc2792758_3804643083">
            <w:r>
              <w:rPr>
                <w:webHidden/>
                <w:rStyle w:val="IndexLink"/>
                <w:rtl w:val="true"/>
              </w:rPr>
              <w:t>البحث الثانی</w:t>
            </w:r>
            <w:r>
              <w:rPr>
                <w:rStyle w:val="IndexLink"/>
                <w:rtl w:val="true"/>
              </w:rPr>
              <w:t xml:space="preserve">: </w:t>
            </w:r>
            <w:r>
              <w:rPr>
                <w:rStyle w:val="IndexLink"/>
                <w:rtl w:val="true"/>
              </w:rPr>
              <w:t>فی شرائط الفرع</w:t>
            </w:r>
            <w:r>
              <w:rPr>
                <w:rStyle w:val="IndexLink"/>
                <w:rtl w:val="true"/>
              </w:rPr>
              <w:t>.</w:t>
              <w:tab/>
            </w:r>
            <w:r>
              <w:rPr>
                <w:rStyle w:val="IndexLink"/>
              </w:rPr>
              <w:t>253</w:t>
            </w:r>
          </w:hyperlink>
        </w:p>
        <w:p>
          <w:pPr>
            <w:pStyle w:val="Contents4"/>
            <w:tabs>
              <w:tab w:val="clear" w:pos="8176"/>
              <w:tab w:val="right" w:pos="9026" w:leader="dot"/>
            </w:tabs>
            <w:rPr/>
          </w:pPr>
          <w:hyperlink w:anchor="__RefHeading___Toc2792760_3804643083">
            <w:r>
              <w:rPr>
                <w:webHidden/>
                <w:rStyle w:val="IndexLink"/>
                <w:rtl w:val="true"/>
              </w:rPr>
              <w:t>البحث الثالث</w:t>
            </w:r>
            <w:r>
              <w:rPr>
                <w:rStyle w:val="IndexLink"/>
                <w:rtl w:val="true"/>
              </w:rPr>
              <w:t xml:space="preserve">: </w:t>
            </w:r>
            <w:r>
              <w:rPr>
                <w:rStyle w:val="IndexLink"/>
                <w:rtl w:val="true"/>
              </w:rPr>
              <w:t>فی شرائط العلّة</w:t>
            </w:r>
            <w:r>
              <w:rPr>
                <w:rStyle w:val="IndexLink"/>
                <w:rtl w:val="true"/>
              </w:rPr>
              <w:t>.</w:t>
              <w:tab/>
            </w:r>
            <w:r>
              <w:rPr>
                <w:rStyle w:val="IndexLink"/>
              </w:rPr>
              <w:t>253</w:t>
            </w:r>
          </w:hyperlink>
        </w:p>
        <w:p>
          <w:pPr>
            <w:pStyle w:val="Contents4"/>
            <w:tabs>
              <w:tab w:val="clear" w:pos="8176"/>
              <w:tab w:val="right" w:pos="9026" w:leader="dot"/>
            </w:tabs>
            <w:rPr/>
          </w:pPr>
          <w:hyperlink w:anchor="__RefHeading___Toc2792762_3804643083">
            <w:r>
              <w:rPr>
                <w:webHidden/>
                <w:rStyle w:val="IndexLink"/>
                <w:rtl w:val="true"/>
              </w:rPr>
              <w:t>البحث الرابع</w:t>
            </w:r>
            <w:r>
              <w:rPr>
                <w:rStyle w:val="IndexLink"/>
                <w:rtl w:val="true"/>
              </w:rPr>
              <w:t xml:space="preserve">: </w:t>
            </w:r>
            <w:r>
              <w:rPr>
                <w:rStyle w:val="IndexLink"/>
                <w:rtl w:val="true"/>
              </w:rPr>
              <w:t>فی شرائط الحکم</w:t>
            </w:r>
            <w:r>
              <w:rPr>
                <w:rStyle w:val="IndexLink"/>
                <w:rtl w:val="true"/>
              </w:rPr>
              <w:t>.</w:t>
              <w:tab/>
            </w:r>
            <w:r>
              <w:rPr>
                <w:rStyle w:val="IndexLink"/>
              </w:rPr>
              <w:t>255</w:t>
            </w:r>
          </w:hyperlink>
        </w:p>
        <w:p>
          <w:pPr>
            <w:pStyle w:val="Contents3"/>
            <w:tabs>
              <w:tab w:val="clear" w:pos="8459"/>
              <w:tab w:val="right" w:pos="9026" w:leader="dot"/>
            </w:tabs>
            <w:rPr/>
          </w:pPr>
          <w:hyperlink w:anchor="__RefHeading___Toc2792764_3804643083">
            <w:r>
              <w:rPr>
                <w:webHidden/>
                <w:rStyle w:val="IndexLink"/>
                <w:rtl w:val="true"/>
              </w:rPr>
              <w:t>الفصل الخامس</w:t>
            </w:r>
            <w:r>
              <w:rPr>
                <w:rStyle w:val="IndexLink"/>
                <w:rtl w:val="true"/>
              </w:rPr>
              <w:t xml:space="preserve">: </w:t>
            </w:r>
            <w:r>
              <w:rPr>
                <w:rStyle w:val="IndexLink"/>
                <w:rtl w:val="true"/>
              </w:rPr>
              <w:t>فی بقایا مباحث القیاس و هی ثلاثة</w:t>
            </w:r>
            <w:r>
              <w:rPr>
                <w:rStyle w:val="IndexLink"/>
                <w:rtl w:val="true"/>
              </w:rPr>
              <w:t>:</w:t>
              <w:tab/>
            </w:r>
            <w:r>
              <w:rPr>
                <w:rStyle w:val="IndexLink"/>
              </w:rPr>
              <w:t>258</w:t>
            </w:r>
          </w:hyperlink>
        </w:p>
        <w:p>
          <w:pPr>
            <w:pStyle w:val="Contents4"/>
            <w:tabs>
              <w:tab w:val="clear" w:pos="8176"/>
              <w:tab w:val="right" w:pos="9026" w:leader="dot"/>
            </w:tabs>
            <w:rPr/>
          </w:pPr>
          <w:hyperlink w:anchor="__RefHeading___Toc2792766_3804643083">
            <w:r>
              <w:rPr>
                <w:webHidden/>
                <w:rStyle w:val="IndexLink"/>
                <w:rtl w:val="true"/>
              </w:rPr>
              <w:t>الأوّل</w:t>
            </w:r>
            <w:r>
              <w:rPr>
                <w:rStyle w:val="IndexLink"/>
                <w:rtl w:val="true"/>
              </w:rPr>
              <w:t xml:space="preserve">: </w:t>
            </w:r>
            <w:r>
              <w:rPr>
                <w:rStyle w:val="IndexLink"/>
                <w:rtl w:val="true"/>
              </w:rPr>
              <w:t>القیاس منه جلی،</w:t>
            </w:r>
            <w:r>
              <w:rPr>
                <w:rStyle w:val="IndexLink"/>
                <w:rtl w:val="true"/>
              </w:rPr>
              <w:tab/>
            </w:r>
            <w:r>
              <w:rPr>
                <w:rStyle w:val="IndexLink"/>
              </w:rPr>
              <w:t>258</w:t>
            </w:r>
          </w:hyperlink>
        </w:p>
        <w:p>
          <w:pPr>
            <w:pStyle w:val="Contents4"/>
            <w:tabs>
              <w:tab w:val="clear" w:pos="8176"/>
              <w:tab w:val="right" w:pos="9026" w:leader="dot"/>
            </w:tabs>
            <w:rPr/>
          </w:pPr>
          <w:hyperlink w:anchor="__RefHeading___Toc2792768_3804643083">
            <w:r>
              <w:rPr>
                <w:webHidden/>
                <w:rStyle w:val="IndexLink"/>
                <w:rtl w:val="true"/>
              </w:rPr>
              <w:t>الثانی</w:t>
            </w:r>
            <w:r>
              <w:rPr>
                <w:rStyle w:val="IndexLink"/>
                <w:rtl w:val="true"/>
              </w:rPr>
              <w:t xml:space="preserve">: </w:t>
            </w:r>
            <w:r>
              <w:rPr>
                <w:rStyle w:val="IndexLink"/>
                <w:rtl w:val="true"/>
              </w:rPr>
              <w:t>لا یجوز القیاس فی جمیع الأحکام،</w:t>
            </w:r>
            <w:r>
              <w:rPr>
                <w:rStyle w:val="IndexLink"/>
                <w:rtl w:val="true"/>
              </w:rPr>
              <w:tab/>
            </w:r>
            <w:r>
              <w:rPr>
                <w:rStyle w:val="IndexLink"/>
              </w:rPr>
              <w:t>259</w:t>
            </w:r>
          </w:hyperlink>
        </w:p>
        <w:p>
          <w:pPr>
            <w:pStyle w:val="Contents4"/>
            <w:tabs>
              <w:tab w:val="clear" w:pos="8176"/>
              <w:tab w:val="right" w:pos="9026" w:leader="dot"/>
            </w:tabs>
            <w:rPr/>
          </w:pPr>
          <w:hyperlink w:anchor="__RefHeading___Toc2792770_3804643083">
            <w:r>
              <w:rPr>
                <w:webHidden/>
                <w:rStyle w:val="IndexLink"/>
                <w:rtl w:val="true"/>
              </w:rPr>
              <w:t>الثالث</w:t>
            </w:r>
            <w:r>
              <w:rPr>
                <w:rStyle w:val="IndexLink"/>
                <w:rtl w:val="true"/>
              </w:rPr>
              <w:t xml:space="preserve">: </w:t>
            </w:r>
            <w:r>
              <w:rPr>
                <w:rStyle w:val="IndexLink"/>
                <w:rtl w:val="true"/>
              </w:rPr>
              <w:t>هاهنا نوع من القیاس یسمّی قیاس الأصل علی الفرع،</w:t>
            </w:r>
            <w:r>
              <w:rPr>
                <w:rStyle w:val="IndexLink"/>
                <w:rtl w:val="true"/>
              </w:rPr>
              <w:tab/>
            </w:r>
            <w:r>
              <w:rPr>
                <w:rStyle w:val="IndexLink"/>
              </w:rPr>
              <w:t>259</w:t>
            </w:r>
          </w:hyperlink>
        </w:p>
        <w:p>
          <w:pPr>
            <w:pStyle w:val="Contents2"/>
            <w:tabs>
              <w:tab w:val="clear" w:pos="8743"/>
              <w:tab w:val="right" w:pos="9026" w:leader="dot"/>
            </w:tabs>
            <w:rPr/>
          </w:pPr>
          <w:hyperlink w:anchor="__RefHeading___Toc2792772_3804643083">
            <w:r>
              <w:rPr>
                <w:webHidden/>
                <w:rStyle w:val="IndexLink"/>
                <w:rtl w:val="true"/>
              </w:rPr>
              <w:t>المقصد الحادی عشر فی التّعادل و التّراجیح و فیه مباحث</w:t>
            </w:r>
            <w:r>
              <w:rPr>
                <w:rStyle w:val="IndexLink"/>
                <w:rtl w:val="true"/>
              </w:rPr>
              <w:tab/>
            </w:r>
            <w:r>
              <w:rPr>
                <w:rStyle w:val="IndexLink"/>
              </w:rPr>
              <w:t>261</w:t>
            </w:r>
          </w:hyperlink>
        </w:p>
        <w:p>
          <w:pPr>
            <w:pStyle w:val="Contents3"/>
            <w:tabs>
              <w:tab w:val="clear" w:pos="8459"/>
              <w:tab w:val="right" w:pos="9026" w:leader="dot"/>
            </w:tabs>
            <w:rPr/>
          </w:pPr>
          <w:hyperlink w:anchor="__RefHeading___Toc2792774_380464308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2792776_3804643083">
            <w:r>
              <w:rPr>
                <w:webHidden/>
                <w:rStyle w:val="IndexLink"/>
                <w:rtl w:val="true"/>
              </w:rPr>
              <w:t>الأوّل</w:t>
            </w:r>
            <w:r>
              <w:rPr>
                <w:rStyle w:val="IndexLink"/>
                <w:rtl w:val="true"/>
              </w:rPr>
              <w:t xml:space="preserve">: </w:t>
            </w:r>
            <w:r>
              <w:rPr>
                <w:rStyle w:val="IndexLink"/>
                <w:rtl w:val="true"/>
              </w:rPr>
              <w:t>فی التعادل</w:t>
            </w:r>
            <w:r>
              <w:rPr>
                <w:rStyle w:val="IndexLink"/>
                <w:rtl w:val="true"/>
              </w:rPr>
              <w:t>.</w:t>
              <w:tab/>
            </w:r>
            <w:r>
              <w:rPr>
                <w:rStyle w:val="IndexLink"/>
              </w:rPr>
              <w:t>262</w:t>
            </w:r>
          </w:hyperlink>
        </w:p>
        <w:p>
          <w:pPr>
            <w:pStyle w:val="Contents3"/>
            <w:tabs>
              <w:tab w:val="clear" w:pos="8459"/>
              <w:tab w:val="right" w:pos="9026" w:leader="dot"/>
            </w:tabs>
            <w:rPr/>
          </w:pPr>
          <w:hyperlink w:anchor="__RefHeading___Toc2792778_3804643083">
            <w:r>
              <w:rPr>
                <w:webHidden/>
                <w:rStyle w:val="IndexLink"/>
                <w:rtl w:val="true"/>
              </w:rPr>
              <w:t>البحث الثانی</w:t>
            </w:r>
            <w:r>
              <w:rPr>
                <w:rStyle w:val="IndexLink"/>
                <w:rtl w:val="true"/>
              </w:rPr>
              <w:t xml:space="preserve">: </w:t>
            </w:r>
            <w:r>
              <w:rPr>
                <w:rStyle w:val="IndexLink"/>
                <w:rtl w:val="true"/>
              </w:rPr>
              <w:t>إذا تعارض الدلیلان</w:t>
            </w:r>
            <w:r>
              <w:rPr>
                <w:rStyle w:val="IndexLink"/>
                <w:rtl w:val="true"/>
              </w:rPr>
              <w:t>:</w:t>
              <w:tab/>
            </w:r>
            <w:r>
              <w:rPr>
                <w:rStyle w:val="IndexLink"/>
              </w:rPr>
              <w:t>263</w:t>
            </w:r>
          </w:hyperlink>
        </w:p>
        <w:p>
          <w:pPr>
            <w:pStyle w:val="Contents3"/>
            <w:tabs>
              <w:tab w:val="clear" w:pos="8459"/>
              <w:tab w:val="right" w:pos="9026" w:leader="dot"/>
            </w:tabs>
            <w:rPr/>
          </w:pPr>
          <w:hyperlink w:anchor="__RefHeading___Toc2792780_3804643083">
            <w:r>
              <w:rPr>
                <w:webHidden/>
                <w:rStyle w:val="IndexLink"/>
                <w:rtl w:val="true"/>
              </w:rPr>
              <w:t>البحث الثالث</w:t>
            </w:r>
            <w:r>
              <w:rPr>
                <w:rStyle w:val="IndexLink"/>
                <w:rtl w:val="true"/>
              </w:rPr>
              <w:t xml:space="preserve">: </w:t>
            </w:r>
            <w:r>
              <w:rPr>
                <w:rStyle w:val="IndexLink"/>
                <w:rtl w:val="true"/>
              </w:rPr>
              <w:t>إذا تعارض نقلیان رجّح</w:t>
            </w:r>
            <w:r>
              <w:rPr>
                <w:rStyle w:val="IndexLink"/>
                <w:rtl w:val="true"/>
              </w:rPr>
              <w:tab/>
            </w:r>
            <w:r>
              <w:rPr>
                <w:rStyle w:val="IndexLink"/>
              </w:rPr>
              <w:t>263</w:t>
            </w:r>
          </w:hyperlink>
        </w:p>
        <w:p>
          <w:pPr>
            <w:pStyle w:val="Contents2"/>
            <w:tabs>
              <w:tab w:val="clear" w:pos="8743"/>
              <w:tab w:val="right" w:pos="9026" w:leader="dot"/>
            </w:tabs>
            <w:rPr/>
          </w:pPr>
          <w:hyperlink w:anchor="__RefHeading___Toc2792782_3804643083">
            <w:r>
              <w:rPr>
                <w:webHidden/>
                <w:rStyle w:val="IndexLink"/>
                <w:rtl w:val="true"/>
              </w:rPr>
              <w:t>المقصد الثّانی عشر فی الاجتهاد فصول</w:t>
            </w:r>
            <w:r>
              <w:rPr>
                <w:rStyle w:val="IndexLink"/>
                <w:rtl w:val="true"/>
              </w:rPr>
              <w:tab/>
            </w:r>
            <w:r>
              <w:rPr>
                <w:rStyle w:val="IndexLink"/>
              </w:rPr>
              <w:t>266</w:t>
            </w:r>
          </w:hyperlink>
        </w:p>
        <w:p>
          <w:pPr>
            <w:pStyle w:val="Contents3"/>
            <w:tabs>
              <w:tab w:val="clear" w:pos="8459"/>
              <w:tab w:val="right" w:pos="9026" w:leader="dot"/>
            </w:tabs>
            <w:rPr/>
          </w:pPr>
          <w:hyperlink w:anchor="__RefHeading___Toc2792784_380464308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2792786_3804643083">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المجتهد و فیه مباحث</w:t>
            </w:r>
            <w:r>
              <w:rPr>
                <w:rStyle w:val="IndexLink"/>
                <w:rtl w:val="true"/>
              </w:rPr>
              <w:t>:</w:t>
              <w:tab/>
            </w:r>
            <w:r>
              <w:rPr>
                <w:rStyle w:val="IndexLink"/>
              </w:rPr>
              <w:t>267</w:t>
            </w:r>
          </w:hyperlink>
        </w:p>
        <w:p>
          <w:pPr>
            <w:pStyle w:val="Contents4"/>
            <w:tabs>
              <w:tab w:val="clear" w:pos="8176"/>
              <w:tab w:val="right" w:pos="9026" w:leader="dot"/>
            </w:tabs>
            <w:rPr/>
          </w:pPr>
          <w:hyperlink w:anchor="__RefHeading___Toc2792788_3804643083">
            <w:r>
              <w:rPr>
                <w:webHidden/>
                <w:rStyle w:val="IndexLink"/>
                <w:rtl w:val="true"/>
              </w:rPr>
              <w:t>الأوّل</w:t>
            </w:r>
            <w:r>
              <w:rPr>
                <w:rStyle w:val="IndexLink"/>
                <w:rtl w:val="true"/>
              </w:rPr>
              <w:t xml:space="preserve">: </w:t>
            </w:r>
            <w:r>
              <w:rPr>
                <w:rStyle w:val="IndexLink"/>
                <w:rtl w:val="true"/>
              </w:rPr>
              <w:t>الاجتهاد</w:t>
            </w:r>
            <w:r>
              <w:rPr>
                <w:rStyle w:val="IndexLink"/>
                <w:rtl w:val="true"/>
              </w:rPr>
              <w:tab/>
            </w:r>
            <w:r>
              <w:rPr>
                <w:rStyle w:val="IndexLink"/>
              </w:rPr>
              <w:t>267</w:t>
            </w:r>
          </w:hyperlink>
        </w:p>
        <w:p>
          <w:pPr>
            <w:pStyle w:val="Contents4"/>
            <w:tabs>
              <w:tab w:val="clear" w:pos="8176"/>
              <w:tab w:val="right" w:pos="9026" w:leader="dot"/>
            </w:tabs>
            <w:rPr/>
          </w:pPr>
          <w:hyperlink w:anchor="__RefHeading___Toc2792790_3804643083">
            <w:r>
              <w:rPr>
                <w:webHidden/>
                <w:rStyle w:val="IndexLink"/>
                <w:rtl w:val="true"/>
              </w:rPr>
              <w:t>البحث الثانی</w:t>
            </w:r>
            <w:r>
              <w:rPr>
                <w:rStyle w:val="IndexLink"/>
                <w:rtl w:val="true"/>
              </w:rPr>
              <w:t xml:space="preserve">: </w:t>
            </w:r>
            <w:r>
              <w:rPr>
                <w:rStyle w:val="IndexLink"/>
                <w:rtl w:val="true"/>
              </w:rPr>
              <w:t>الحق أنّه علیه السّلام لم یکن متعبدا بالاجتهاد،</w:t>
            </w:r>
            <w:r>
              <w:rPr>
                <w:rStyle w:val="IndexLink"/>
                <w:rtl w:val="true"/>
              </w:rPr>
              <w:tab/>
            </w:r>
            <w:r>
              <w:rPr>
                <w:rStyle w:val="IndexLink"/>
              </w:rPr>
              <w:t>267</w:t>
            </w:r>
          </w:hyperlink>
        </w:p>
        <w:p>
          <w:pPr>
            <w:pStyle w:val="Contents4"/>
            <w:tabs>
              <w:tab w:val="clear" w:pos="8176"/>
              <w:tab w:val="right" w:pos="9026" w:leader="dot"/>
            </w:tabs>
            <w:rPr/>
          </w:pPr>
          <w:hyperlink w:anchor="__RefHeading___Toc2792792_3804643083">
            <w:r>
              <w:rPr>
                <w:webHidden/>
                <w:rStyle w:val="IndexLink"/>
                <w:rtl w:val="true"/>
              </w:rPr>
              <w:t>البحث الثالث</w:t>
            </w:r>
            <w:r>
              <w:rPr>
                <w:rStyle w:val="IndexLink"/>
                <w:rtl w:val="true"/>
              </w:rPr>
              <w:t xml:space="preserve">: </w:t>
            </w:r>
            <w:r>
              <w:rPr>
                <w:rStyle w:val="IndexLink"/>
                <w:rtl w:val="true"/>
              </w:rPr>
              <w:t>فی شرائط المجتهد</w:t>
            </w:r>
            <w:r>
              <w:rPr>
                <w:rStyle w:val="IndexLink"/>
                <w:rtl w:val="true"/>
              </w:rPr>
              <w:t>.</w:t>
              <w:tab/>
            </w:r>
            <w:r>
              <w:rPr>
                <w:rStyle w:val="IndexLink"/>
              </w:rPr>
              <w:t>268</w:t>
            </w:r>
          </w:hyperlink>
        </w:p>
        <w:p>
          <w:pPr>
            <w:pStyle w:val="Contents3"/>
            <w:tabs>
              <w:tab w:val="clear" w:pos="8459"/>
              <w:tab w:val="right" w:pos="9026" w:leader="dot"/>
            </w:tabs>
            <w:rPr/>
          </w:pPr>
          <w:hyperlink w:anchor="__RefHeading___Toc2792794_3804643083">
            <w:r>
              <w:rPr>
                <w:webHidden/>
                <w:rStyle w:val="IndexLink"/>
                <w:rtl w:val="true"/>
              </w:rPr>
              <w:t>الفصل الثانی</w:t>
            </w:r>
            <w:r>
              <w:rPr>
                <w:rStyle w:val="IndexLink"/>
                <w:rtl w:val="true"/>
              </w:rPr>
              <w:t xml:space="preserve">: </w:t>
            </w:r>
            <w:r>
              <w:rPr>
                <w:rStyle w:val="IndexLink"/>
                <w:rtl w:val="true"/>
              </w:rPr>
              <w:t>فی المجتهد فیه</w:t>
            </w:r>
            <w:r>
              <w:rPr>
                <w:rStyle w:val="IndexLink"/>
                <w:rtl w:val="true"/>
              </w:rPr>
              <w:tab/>
            </w:r>
            <w:r>
              <w:rPr>
                <w:rStyle w:val="IndexLink"/>
              </w:rPr>
              <w:t>270</w:t>
            </w:r>
          </w:hyperlink>
        </w:p>
        <w:p>
          <w:pPr>
            <w:pStyle w:val="Contents3"/>
            <w:tabs>
              <w:tab w:val="clear" w:pos="8459"/>
              <w:tab w:val="right" w:pos="9026" w:leader="dot"/>
            </w:tabs>
            <w:rPr/>
          </w:pPr>
          <w:hyperlink w:anchor="__RefHeading___Toc2792796_3804643083">
            <w:r>
              <w:rPr>
                <w:webHidden/>
                <w:rStyle w:val="IndexLink"/>
                <w:rtl w:val="true"/>
              </w:rPr>
              <w:t>الفصل الثالث</w:t>
            </w:r>
            <w:r>
              <w:rPr>
                <w:rStyle w:val="IndexLink"/>
                <w:rtl w:val="true"/>
              </w:rPr>
              <w:t xml:space="preserve">: </w:t>
            </w:r>
            <w:r>
              <w:rPr>
                <w:rStyle w:val="IndexLink"/>
                <w:rtl w:val="true"/>
              </w:rPr>
              <w:t>فی أحکام الاجتهاد و فیه مباحث</w:t>
            </w:r>
            <w:r>
              <w:rPr>
                <w:rStyle w:val="IndexLink"/>
                <w:rtl w:val="true"/>
              </w:rPr>
              <w:t>:</w:t>
              <w:tab/>
            </w:r>
            <w:r>
              <w:rPr>
                <w:rStyle w:val="IndexLink"/>
              </w:rPr>
              <w:t>270</w:t>
            </w:r>
          </w:hyperlink>
        </w:p>
        <w:p>
          <w:pPr>
            <w:pStyle w:val="Contents4"/>
            <w:tabs>
              <w:tab w:val="clear" w:pos="8176"/>
              <w:tab w:val="right" w:pos="9026" w:leader="dot"/>
            </w:tabs>
            <w:rPr/>
          </w:pPr>
          <w:hyperlink w:anchor="__RefHeading___Toc2792798_3804643083">
            <w:r>
              <w:rPr>
                <w:webHidden/>
                <w:rStyle w:val="IndexLink"/>
                <w:rtl w:val="true"/>
              </w:rPr>
              <w:t>الأوّل</w:t>
            </w:r>
            <w:r>
              <w:rPr>
                <w:rStyle w:val="IndexLink"/>
                <w:rtl w:val="true"/>
              </w:rPr>
              <w:t xml:space="preserve">: </w:t>
            </w:r>
            <w:r>
              <w:rPr>
                <w:rStyle w:val="IndexLink"/>
                <w:rtl w:val="true"/>
              </w:rPr>
              <w:t>أجمعت العلماء علی أنّ المصیب فی العقلیات واحد،</w:t>
            </w:r>
            <w:r>
              <w:rPr>
                <w:rStyle w:val="IndexLink"/>
                <w:rtl w:val="true"/>
              </w:rPr>
              <w:tab/>
            </w:r>
            <w:r>
              <w:rPr>
                <w:rStyle w:val="IndexLink"/>
              </w:rPr>
              <w:t>270</w:t>
            </w:r>
          </w:hyperlink>
        </w:p>
        <w:p>
          <w:pPr>
            <w:pStyle w:val="Contents4"/>
            <w:tabs>
              <w:tab w:val="clear" w:pos="8176"/>
              <w:tab w:val="right" w:pos="9026" w:leader="dot"/>
            </w:tabs>
            <w:rPr/>
          </w:pPr>
          <w:hyperlink w:anchor="__RefHeading___Toc2792800_3804643083">
            <w:r>
              <w:rPr>
                <w:webHidden/>
                <w:rStyle w:val="IndexLink"/>
                <w:rtl w:val="true"/>
              </w:rPr>
              <w:t>البحث الثانی</w:t>
            </w:r>
            <w:r>
              <w:rPr>
                <w:rStyle w:val="IndexLink"/>
                <w:rtl w:val="true"/>
              </w:rPr>
              <w:t xml:space="preserve">: </w:t>
            </w:r>
            <w:r>
              <w:rPr>
                <w:rStyle w:val="IndexLink"/>
                <w:rtl w:val="true"/>
              </w:rPr>
              <w:t>الحادثة إن نزلت بالمجتهد فی نفسه،</w:t>
            </w:r>
            <w:r>
              <w:rPr>
                <w:rStyle w:val="IndexLink"/>
                <w:rtl w:val="true"/>
              </w:rPr>
              <w:tab/>
            </w:r>
            <w:r>
              <w:rPr>
                <w:rStyle w:val="IndexLink"/>
              </w:rPr>
              <w:t>272</w:t>
            </w:r>
          </w:hyperlink>
        </w:p>
        <w:p>
          <w:pPr>
            <w:pStyle w:val="Contents4"/>
            <w:tabs>
              <w:tab w:val="clear" w:pos="8176"/>
              <w:tab w:val="right" w:pos="9026" w:leader="dot"/>
            </w:tabs>
            <w:rPr/>
          </w:pPr>
          <w:hyperlink w:anchor="__RefHeading___Toc2792802_3804643083">
            <w:r>
              <w:rPr>
                <w:webHidden/>
                <w:rStyle w:val="IndexLink"/>
                <w:rtl w:val="true"/>
              </w:rPr>
              <w:t>البحث الثالث</w:t>
            </w:r>
            <w:r>
              <w:rPr>
                <w:rStyle w:val="IndexLink"/>
                <w:rtl w:val="true"/>
              </w:rPr>
              <w:t xml:space="preserve">: </w:t>
            </w:r>
            <w:r>
              <w:rPr>
                <w:rStyle w:val="IndexLink"/>
                <w:rtl w:val="true"/>
              </w:rPr>
              <w:t>المجتهد إن ذکر دلیل فتیاه أوّلا لم یجب تکرار الاجتهاد،</w:t>
            </w:r>
            <w:r>
              <w:rPr>
                <w:rStyle w:val="IndexLink"/>
                <w:rtl w:val="true"/>
              </w:rPr>
              <w:tab/>
            </w:r>
            <w:r>
              <w:rPr>
                <w:rStyle w:val="IndexLink"/>
              </w:rPr>
              <w:t>273</w:t>
            </w:r>
          </w:hyperlink>
        </w:p>
        <w:p>
          <w:pPr>
            <w:pStyle w:val="Contents3"/>
            <w:tabs>
              <w:tab w:val="clear" w:pos="8459"/>
              <w:tab w:val="right" w:pos="9026" w:leader="dot"/>
            </w:tabs>
            <w:rPr/>
          </w:pPr>
          <w:hyperlink w:anchor="__RefHeading___Toc2792804_3804643083">
            <w:r>
              <w:rPr>
                <w:webHidden/>
                <w:rStyle w:val="IndexLink"/>
                <w:rtl w:val="true"/>
              </w:rPr>
              <w:t>الفصل الرابع</w:t>
            </w:r>
            <w:r>
              <w:rPr>
                <w:rStyle w:val="IndexLink"/>
                <w:rtl w:val="true"/>
              </w:rPr>
              <w:t xml:space="preserve">: </w:t>
            </w:r>
            <w:r>
              <w:rPr>
                <w:rStyle w:val="IndexLink"/>
                <w:rtl w:val="true"/>
              </w:rPr>
              <w:t>فی المفتی و المستفتی</w:t>
            </w:r>
            <w:r>
              <w:rPr>
                <w:rStyle w:val="IndexLink"/>
                <w:rtl w:val="true"/>
              </w:rPr>
              <w:t xml:space="preserve">. </w:t>
            </w:r>
            <w:r>
              <w:rPr>
                <w:rStyle w:val="IndexLink"/>
                <w:rtl w:val="true"/>
              </w:rPr>
              <w:t>و فیه مباحث</w:t>
            </w:r>
            <w:r>
              <w:rPr>
                <w:rStyle w:val="IndexLink"/>
                <w:rtl w:val="true"/>
              </w:rPr>
              <w:t>:</w:t>
              <w:tab/>
            </w:r>
            <w:r>
              <w:rPr>
                <w:rStyle w:val="IndexLink"/>
              </w:rPr>
              <w:t>273</w:t>
            </w:r>
          </w:hyperlink>
        </w:p>
        <w:p>
          <w:pPr>
            <w:pStyle w:val="Contents4"/>
            <w:tabs>
              <w:tab w:val="clear" w:pos="8176"/>
              <w:tab w:val="right" w:pos="9026" w:leader="dot"/>
            </w:tabs>
            <w:rPr/>
          </w:pPr>
          <w:hyperlink w:anchor="__RefHeading___Toc2792806_3804643083">
            <w:r>
              <w:rPr>
                <w:webHidden/>
                <w:rStyle w:val="IndexLink"/>
                <w:rtl w:val="true"/>
              </w:rPr>
              <w:t>الأوّل</w:t>
            </w:r>
            <w:r>
              <w:rPr>
                <w:rStyle w:val="IndexLink"/>
                <w:rtl w:val="true"/>
              </w:rPr>
              <w:t xml:space="preserve">: </w:t>
            </w:r>
            <w:r>
              <w:rPr>
                <w:rStyle w:val="IndexLink"/>
                <w:rtl w:val="true"/>
              </w:rPr>
              <w:t>یشترط فی المفتی و الحاکم</w:t>
            </w:r>
            <w:r>
              <w:rPr>
                <w:rStyle w:val="IndexLink"/>
                <w:rtl w:val="true"/>
              </w:rPr>
              <w:t>:</w:t>
              <w:tab/>
            </w:r>
            <w:r>
              <w:rPr>
                <w:rStyle w:val="IndexLink"/>
              </w:rPr>
              <w:t>273</w:t>
            </w:r>
          </w:hyperlink>
        </w:p>
        <w:p>
          <w:pPr>
            <w:pStyle w:val="Contents4"/>
            <w:tabs>
              <w:tab w:val="clear" w:pos="8176"/>
              <w:tab w:val="right" w:pos="9026" w:leader="dot"/>
            </w:tabs>
            <w:rPr/>
          </w:pPr>
          <w:hyperlink w:anchor="__RefHeading___Toc2792808_3804643083">
            <w:r>
              <w:rPr>
                <w:webHidden/>
                <w:rStyle w:val="IndexLink"/>
                <w:rtl w:val="true"/>
              </w:rPr>
              <w:t>البحث الثانی</w:t>
            </w:r>
            <w:r>
              <w:rPr>
                <w:rStyle w:val="IndexLink"/>
                <w:rtl w:val="true"/>
              </w:rPr>
              <w:t xml:space="preserve">: </w:t>
            </w:r>
            <w:r>
              <w:rPr>
                <w:rStyle w:val="IndexLink"/>
                <w:rtl w:val="true"/>
              </w:rPr>
              <w:t>الحق أنّه یجوز للعامی أن یقلّد المجتهد فی فروع الشرع،</w:t>
            </w:r>
            <w:r>
              <w:rPr>
                <w:rStyle w:val="IndexLink"/>
                <w:rtl w:val="true"/>
              </w:rPr>
              <w:tab/>
            </w:r>
            <w:r>
              <w:rPr>
                <w:rStyle w:val="IndexLink"/>
              </w:rPr>
              <w:t>274</w:t>
            </w:r>
          </w:hyperlink>
        </w:p>
        <w:p>
          <w:pPr>
            <w:pStyle w:val="Contents4"/>
            <w:tabs>
              <w:tab w:val="clear" w:pos="8176"/>
              <w:tab w:val="right" w:pos="9026" w:leader="dot"/>
            </w:tabs>
            <w:rPr/>
          </w:pPr>
          <w:hyperlink w:anchor="__RefHeading___Toc2792810_3804643083">
            <w:r>
              <w:rPr>
                <w:webHidden/>
                <w:rStyle w:val="IndexLink"/>
                <w:rtl w:val="true"/>
              </w:rPr>
              <w:t>البحث الثالث</w:t>
            </w:r>
            <w:r>
              <w:rPr>
                <w:rStyle w:val="IndexLink"/>
                <w:rtl w:val="true"/>
              </w:rPr>
              <w:t xml:space="preserve">: </w:t>
            </w:r>
            <w:r>
              <w:rPr>
                <w:rStyle w:val="IndexLink"/>
                <w:rtl w:val="true"/>
              </w:rPr>
              <w:t>العامی یجب علیه التقلید فی الفروع إذا لم یتمکن من الاجتهاد</w:t>
            </w:r>
            <w:r>
              <w:rPr>
                <w:rStyle w:val="IndexLink"/>
                <w:rtl w:val="true"/>
              </w:rPr>
              <w:t>.</w:t>
              <w:tab/>
            </w:r>
            <w:r>
              <w:rPr>
                <w:rStyle w:val="IndexLink"/>
              </w:rPr>
              <w:t>275</w:t>
            </w:r>
          </w:hyperlink>
        </w:p>
        <w:p>
          <w:pPr>
            <w:pStyle w:val="Contents3"/>
            <w:tabs>
              <w:tab w:val="clear" w:pos="8459"/>
              <w:tab w:val="right" w:pos="9026" w:leader="dot"/>
            </w:tabs>
            <w:rPr/>
          </w:pPr>
          <w:hyperlink w:anchor="__RefHeading___Toc2792812_3804643083">
            <w:r>
              <w:rPr>
                <w:webHidden/>
                <w:rStyle w:val="IndexLink"/>
                <w:rtl w:val="true"/>
              </w:rPr>
              <w:t>الفصل الخامس</w:t>
            </w:r>
            <w:r>
              <w:rPr>
                <w:rStyle w:val="IndexLink"/>
                <w:rtl w:val="true"/>
              </w:rPr>
              <w:t xml:space="preserve">: </w:t>
            </w:r>
            <w:r>
              <w:rPr>
                <w:rStyle w:val="IndexLink"/>
                <w:rtl w:val="true"/>
              </w:rPr>
              <w:t>فی طرق اختلف المجتهدون فیها و فیه مباحث</w:t>
            </w:r>
            <w:r>
              <w:rPr>
                <w:rStyle w:val="IndexLink"/>
                <w:rtl w:val="true"/>
              </w:rPr>
              <w:t>:</w:t>
              <w:tab/>
            </w:r>
            <w:r>
              <w:rPr>
                <w:rStyle w:val="IndexLink"/>
              </w:rPr>
              <w:t>277</w:t>
            </w:r>
          </w:hyperlink>
        </w:p>
        <w:p>
          <w:pPr>
            <w:pStyle w:val="Contents4"/>
            <w:tabs>
              <w:tab w:val="clear" w:pos="8176"/>
              <w:tab w:val="right" w:pos="9026" w:leader="dot"/>
            </w:tabs>
            <w:rPr/>
          </w:pPr>
          <w:hyperlink w:anchor="__RefHeading___Toc2792814_3804643083">
            <w:r>
              <w:rPr>
                <w:webHidden/>
                <w:rStyle w:val="IndexLink"/>
                <w:rtl w:val="true"/>
              </w:rPr>
              <w:t>الأوّل</w:t>
            </w:r>
            <w:r>
              <w:rPr>
                <w:rStyle w:val="IndexLink"/>
                <w:rtl w:val="true"/>
              </w:rPr>
              <w:t xml:space="preserve">: </w:t>
            </w:r>
            <w:r>
              <w:rPr>
                <w:rStyle w:val="IndexLink"/>
                <w:rtl w:val="true"/>
              </w:rPr>
              <w:t>استصحاب الحال حجة،</w:t>
            </w:r>
            <w:r>
              <w:rPr>
                <w:rStyle w:val="IndexLink"/>
                <w:rtl w:val="true"/>
              </w:rPr>
              <w:tab/>
            </w:r>
            <w:r>
              <w:rPr>
                <w:rStyle w:val="IndexLink"/>
              </w:rPr>
              <w:t>277</w:t>
            </w:r>
          </w:hyperlink>
        </w:p>
        <w:p>
          <w:pPr>
            <w:pStyle w:val="Contents4"/>
            <w:tabs>
              <w:tab w:val="clear" w:pos="8176"/>
              <w:tab w:val="right" w:pos="9026" w:leader="dot"/>
            </w:tabs>
            <w:rPr/>
          </w:pPr>
          <w:hyperlink w:anchor="__RefHeading___Toc2792816_3804643083">
            <w:r>
              <w:rPr>
                <w:webHidden/>
                <w:rStyle w:val="IndexLink"/>
                <w:rtl w:val="true"/>
              </w:rPr>
              <w:t>البحث الثانی</w:t>
            </w:r>
            <w:r>
              <w:rPr>
                <w:rStyle w:val="IndexLink"/>
                <w:rtl w:val="true"/>
              </w:rPr>
              <w:t xml:space="preserve">: </w:t>
            </w:r>
            <w:r>
              <w:rPr>
                <w:rStyle w:val="IndexLink"/>
                <w:rtl w:val="true"/>
              </w:rPr>
              <w:t>الاستحسان</w:t>
            </w:r>
            <w:r>
              <w:rPr>
                <w:rStyle w:val="IndexLink"/>
                <w:rtl w:val="true"/>
              </w:rPr>
              <w:t>.</w:t>
              <w:tab/>
            </w:r>
            <w:r>
              <w:rPr>
                <w:rStyle w:val="IndexLink"/>
              </w:rPr>
              <w:t>278</w:t>
            </w:r>
          </w:hyperlink>
        </w:p>
        <w:p>
          <w:pPr>
            <w:pStyle w:val="Contents4"/>
            <w:tabs>
              <w:tab w:val="clear" w:pos="8176"/>
              <w:tab w:val="right" w:pos="9026" w:leader="dot"/>
            </w:tabs>
            <w:rPr/>
          </w:pPr>
          <w:hyperlink w:anchor="__RefHeading___Toc2792818_3804643083">
            <w:r>
              <w:rPr>
                <w:webHidden/>
                <w:rStyle w:val="IndexLink"/>
                <w:rtl w:val="true"/>
              </w:rPr>
              <w:t>البحث الثالث</w:t>
            </w:r>
            <w:r>
              <w:rPr>
                <w:rStyle w:val="IndexLink"/>
                <w:rtl w:val="true"/>
              </w:rPr>
              <w:t xml:space="preserve">: </w:t>
            </w:r>
            <w:r>
              <w:rPr>
                <w:rStyle w:val="IndexLink"/>
                <w:rtl w:val="true"/>
              </w:rPr>
              <w:t>مذهب الصحابی لیس حجة،</w:t>
            </w:r>
            <w:r>
              <w:rPr>
                <w:rStyle w:val="IndexLink"/>
                <w:rtl w:val="true"/>
              </w:rPr>
              <w:tab/>
            </w:r>
            <w:r>
              <w:rPr>
                <w:rStyle w:val="IndexLink"/>
              </w:rPr>
              <w:t>279</w:t>
            </w:r>
          </w:hyperlink>
        </w:p>
        <w:p>
          <w:pPr>
            <w:pStyle w:val="Contents4"/>
            <w:tabs>
              <w:tab w:val="clear" w:pos="8176"/>
              <w:tab w:val="right" w:pos="9026" w:leader="dot"/>
            </w:tabs>
            <w:rPr/>
          </w:pPr>
          <w:hyperlink w:anchor="__RefHeading___Toc2792820_3804643083">
            <w:r>
              <w:rPr>
                <w:webHidden/>
                <w:rStyle w:val="IndexLink"/>
                <w:rtl w:val="true"/>
              </w:rPr>
              <w:t>البحث الرابع</w:t>
            </w:r>
            <w:r>
              <w:rPr>
                <w:rStyle w:val="IndexLink"/>
                <w:rtl w:val="true"/>
              </w:rPr>
              <w:t xml:space="preserve">: </w:t>
            </w:r>
            <w:r>
              <w:rPr>
                <w:rStyle w:val="IndexLink"/>
                <w:rtl w:val="true"/>
              </w:rPr>
              <w:t>فی کیفیّة الاستدلال</w:t>
            </w:r>
            <w:r>
              <w:rPr>
                <w:rStyle w:val="IndexLink"/>
                <w:rtl w:val="true"/>
              </w:rPr>
              <w:t>.</w:t>
              <w:tab/>
            </w:r>
            <w:r>
              <w:rPr>
                <w:rStyle w:val="IndexLink"/>
              </w:rPr>
              <w:t>280</w:t>
            </w:r>
          </w:hyperlink>
        </w:p>
        <w:p>
          <w:pPr>
            <w:pStyle w:val="Contents2"/>
            <w:tabs>
              <w:tab w:val="clear" w:pos="8743"/>
              <w:tab w:val="right" w:pos="9026" w:leader="dot"/>
            </w:tabs>
            <w:rPr/>
          </w:pPr>
          <w:hyperlink w:anchor="__RefHeading___Toc2792822_3804643083">
            <w:r>
              <w:rPr>
                <w:webHidden/>
                <w:rStyle w:val="IndexLink"/>
                <w:rtl w:val="true"/>
              </w:rPr>
              <w:t>الفهارس</w:t>
            </w:r>
            <w:r>
              <w:rPr>
                <w:rStyle w:val="IndexLink"/>
                <w:rtl w:val="true"/>
              </w:rPr>
              <w:tab/>
            </w:r>
            <w:r>
              <w:rPr>
                <w:rStyle w:val="IndexLink"/>
              </w:rPr>
              <w:t>284</w:t>
            </w:r>
          </w:hyperlink>
        </w:p>
        <w:p>
          <w:pPr>
            <w:pStyle w:val="Contents3"/>
            <w:tabs>
              <w:tab w:val="clear" w:pos="8459"/>
              <w:tab w:val="right" w:pos="9026" w:leader="dot"/>
            </w:tabs>
            <w:rPr/>
          </w:pPr>
          <w:hyperlink w:anchor="__RefHeading___Toc2792824_3804643083">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2792826_3804643083">
            <w:r>
              <w:rPr>
                <w:webHidden/>
                <w:rStyle w:val="IndexLink"/>
                <w:rtl w:val="true"/>
              </w:rPr>
              <w:t>فهرس الآیات الشریفة المذکورة و المشار إلیها مرتبة حسب موضعها فی المصحف</w:t>
            </w:r>
            <w:r>
              <w:rPr>
                <w:rStyle w:val="IndexLink"/>
                <w:rtl w:val="true"/>
              </w:rPr>
              <w:tab/>
            </w:r>
            <w:r>
              <w:rPr>
                <w:rStyle w:val="IndexLink"/>
              </w:rPr>
              <w:t>285</w:t>
            </w:r>
          </w:hyperlink>
        </w:p>
        <w:p>
          <w:pPr>
            <w:pStyle w:val="Contents3"/>
            <w:tabs>
              <w:tab w:val="clear" w:pos="8459"/>
              <w:tab w:val="right" w:pos="9026" w:leader="dot"/>
            </w:tabs>
            <w:rPr/>
          </w:pPr>
          <w:hyperlink w:anchor="__RefHeading___Toc2792828_3804643083">
            <w:r>
              <w:rPr>
                <w:webHidden/>
                <w:rStyle w:val="IndexLink"/>
                <w:rtl w:val="true"/>
              </w:rPr>
              <w:t xml:space="preserve">فهرس أحادیث النبی </w:t>
            </w:r>
            <w:r>
              <w:rPr>
                <w:rStyle w:val="IndexLink"/>
                <w:rtl w:val="true"/>
              </w:rPr>
              <w:t>(</w:t>
            </w:r>
            <w:r>
              <w:rPr>
                <w:rStyle w:val="IndexLink"/>
                <w:rtl w:val="true"/>
              </w:rPr>
              <w:t>ص</w:t>
            </w:r>
            <w:r>
              <w:rPr>
                <w:rStyle w:val="IndexLink"/>
                <w:rtl w:val="true"/>
              </w:rPr>
              <w:t xml:space="preserve">) </w:t>
            </w:r>
            <w:r>
              <w:rPr>
                <w:rStyle w:val="IndexLink"/>
                <w:rtl w:val="true"/>
              </w:rPr>
              <w:t>و أقوال الصحابة و ما یلحق بذلک</w:t>
            </w:r>
            <w:r>
              <w:rPr>
                <w:rStyle w:val="IndexLink"/>
                <w:rtl w:val="true"/>
              </w:rPr>
              <w:tab/>
            </w:r>
            <w:r>
              <w:rPr>
                <w:rStyle w:val="IndexLink"/>
              </w:rPr>
              <w:t>296</w:t>
            </w:r>
          </w:hyperlink>
        </w:p>
        <w:p>
          <w:pPr>
            <w:pStyle w:val="Contents3"/>
            <w:tabs>
              <w:tab w:val="clear" w:pos="8459"/>
              <w:tab w:val="right" w:pos="9026" w:leader="dot"/>
            </w:tabs>
            <w:rPr/>
          </w:pPr>
          <w:hyperlink w:anchor="__RefHeading___Toc2792830_3804643083">
            <w:r>
              <w:rPr>
                <w:webHidden/>
                <w:rStyle w:val="IndexLink"/>
                <w:rtl w:val="true"/>
              </w:rPr>
              <w:t>فهرس مواضع تراجم الاعلام</w:t>
            </w:r>
            <w:r>
              <w:rPr>
                <w:rStyle w:val="IndexLink"/>
                <w:rtl w:val="true"/>
              </w:rPr>
              <w:tab/>
            </w:r>
            <w:r>
              <w:rPr>
                <w:rStyle w:val="IndexLink"/>
              </w:rPr>
              <w:t>301</w:t>
            </w:r>
          </w:hyperlink>
        </w:p>
        <w:p>
          <w:pPr>
            <w:pStyle w:val="Contents3"/>
            <w:tabs>
              <w:tab w:val="clear" w:pos="8459"/>
              <w:tab w:val="right" w:pos="9026" w:leader="dot"/>
            </w:tabs>
            <w:rPr/>
          </w:pPr>
          <w:hyperlink w:anchor="__RefHeading___Toc2792832_3804643083">
            <w:r>
              <w:rPr>
                <w:webHidden/>
                <w:rStyle w:val="IndexLink"/>
                <w:rtl w:val="true"/>
              </w:rPr>
              <w:t>مصادر التحقیق</w:t>
            </w:r>
            <w:r>
              <w:rPr>
                <w:rStyle w:val="IndexLink"/>
                <w:rtl w:val="true"/>
              </w:rPr>
              <w:tab/>
            </w:r>
            <w:r>
              <w:rPr>
                <w:rStyle w:val="IndexLink"/>
              </w:rPr>
              <w:t>304</w:t>
            </w:r>
          </w:hyperlink>
        </w:p>
        <w:p>
          <w:pPr>
            <w:pStyle w:val="Contents3"/>
            <w:tabs>
              <w:tab w:val="clear" w:pos="8459"/>
              <w:tab w:val="right" w:pos="9026" w:leader="dot"/>
            </w:tabs>
            <w:rPr/>
          </w:pPr>
          <w:hyperlink w:anchor="__RefHeading___Toc2792834_3804643083">
            <w:r>
              <w:rPr>
                <w:webHidden/>
                <w:rStyle w:val="IndexLink"/>
                <w:rtl w:val="true"/>
              </w:rPr>
              <w:t>فهرس الموضوعات</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60_36915"/>
      <w:bookmarkStart w:id="1" w:name="pg2360_36915"/>
      <w:bookmarkEnd w:id="1"/>
    </w:p>
    <w:p>
      <w:pPr>
        <w:pStyle w:val="Heading2"/>
        <w:numPr>
          <w:ilvl w:val="1"/>
          <w:numId w:val="1"/>
        </w:numPr>
        <w:rPr/>
      </w:pPr>
      <w:bookmarkStart w:id="2" w:name="pg2360_36915"/>
      <w:bookmarkStart w:id="3" w:name="__RefHeading___Toc2792396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 یوسف، ق</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طریق الوصول الی علم الاصول للعلامه الحلی جمال‌الدین ابی‌منصور الحسن‌بن یوسف‌بن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محمدحسین الرضوی الکشمیری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طریق الوصول الی علم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کشمیری، محمدحسین،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۱۸۲۰۹</w:t>
      </w:r>
    </w:p>
    <w:p>
      <w:pPr>
        <w:pStyle w:val="Heading2"/>
        <w:numPr>
          <w:ilvl w:val="1"/>
          <w:numId w:val="1"/>
        </w:numPr>
        <w:rPr/>
      </w:pPr>
      <w:bookmarkStart w:id="5" w:name="__RefHeading___Toc2792398_3804643083"/>
      <w:bookmarkStart w:id="6" w:name="_Toc2"/>
      <w:bookmarkEnd w:id="5"/>
      <w:r>
        <w:rPr>
          <w:rtl w:val="true"/>
        </w:rPr>
        <w:t>مقدّمة التحقیق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92400_3804643083"/>
      <w:bookmarkStart w:id="8" w:name="_Toc3"/>
      <w:bookmarkEnd w:id="7"/>
      <w:r>
        <w:rPr>
          <w:rtl w:val="true"/>
        </w:rPr>
        <w:t>اشارة</w:t>
      </w:r>
      <w:bookmarkStart w:id="9" w:name="pg2360_36921"/>
      <w:bookmarkEnd w:id="8"/>
    </w:p>
    <w:p>
      <w:pPr>
        <w:pStyle w:val="Heading3"/>
        <w:numPr>
          <w:ilvl w:val="2"/>
          <w:numId w:val="1"/>
        </w:numPr>
        <w:rPr/>
      </w:pPr>
      <w:bookmarkStart w:id="10" w:name="__RefHeading___Toc2792402_3804643083"/>
      <w:bookmarkStart w:id="11" w:name="_Toc4"/>
      <w:bookmarkEnd w:id="9"/>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حبیب إله العالمین، خاتم الأنبیاء و المرسلین، أبی القاسم محمّد، و علی آله الطیبین الطاهرین، الغرّ المیامین، سیّما بقیّة اللّه فی الأرضین، و اللعن الدائم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یسرّنی أن اقدم إلی أهل العلم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مصحّحا علی خمس نسخ خطیة، مطبوعا بالکیفیة اللائقة به، مع إخراج فنّی أنیق، لیأخذ مکانه و محلّه المناسب فی المکتبة الإسلامیة إلی جنب ما یوازنه من المؤلّفات و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اللّه تعالی و أشکره کثیرا علی أن وفقنی لإنجازه بعد أن کان ذلک حلما و امنیة تراودنی منذ أکثر من 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توفیق عظیم و نعمة کبری لا یطیق اللسان ثناءها و لا الجوارح شکرها، و أحسب أنّ لی الفخر و الشرف بأن اعدّ فی خدّام العلّامة و تراثه، لا لشی‌ء إلّا لأنّه من أظهر مصادیق ما رواه ابن جمهور الأحسائی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الإمام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آبائه، عن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من یتم الیتیم الذی انقطع من أبیه یتم یتیم انقطع عن إمامه، و لا یقدر علی الوصول إلیه، و لا یدری کیف حکمه فیما یبتلی من شرایع دینه؛ ألا فمن کان من شیعتنا عالما بعلومنا، و هدی الجاهل بشریعتنا، کان معنا فی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بین یدی القارئ الکریم أحد مصنّفات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الاسم المیمون، المبارک، الذی یتفاءل به طلاب العلم کلّ الخیر و البرکة و التوفیق</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الاسم الذی یبتهج له طلّاب العلم و یأنسون به، فهو انشودتهم، و هو جرس</w:t>
      </w:r>
    </w:p>
    <w:p>
      <w:pPr>
        <w:pStyle w:val="BookText"/>
        <w:rPr/>
      </w:pPr>
      <w:r>
        <w:rPr>
          <w:rFonts w:ascii="IRNazanin" w:hAnsi="IRNazanin" w:eastAsia="IRNazanin"/>
          <w:color w:val="111111"/>
          <w:sz w:val="28"/>
          <w:sz w:val="28"/>
          <w:szCs w:val="28"/>
          <w:rtl w:val="true"/>
          <w:lang w:bidi="fa-IR"/>
        </w:rPr>
        <w:t>الدرس فإذا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الدرس، و إذا ما ختم کلامه انتهی الدرس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یصک مسامع المحصّلین و المشتغلین کلّ صباح و 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یواکب طلّاب العلوم الدینیة من أوّل یوم رحلتهم المدرسیّة إلی نهایتها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المبتدئ الحوزة العلمیة فیحلّ منذ یومه الأول ضیفا علی هذا الاسم، و یجلس علی مائدة هذا العلم، و ینهل من عذب هذا المعین و یتربّی فی حجر هذا الأب، فاتحا الصفحة الاولی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یبقی هذا الاسم لا یبارحه، و هذا النشید لا یفارقه، و هذه النغمة لا تنفک عنه، فإذا ما فرغ من التبصرة تقدّم علی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 موائده المتعددة الکثیرة التی اعدت للمتوسطین، و إذا به یتغذّی بالجوهر النضید، و بشرح التجرید، و بالقواعد، و الإرشاد، و التحریر، و النهایة، و المبادئ، و التهذیب، حتی إذا اجتاز مرحلة التوسط، فبلغ رتبة المنتهی، عاد مرّة اخری إلی أحضان العلّامة لیعوم فی بحره الهیاج و یفوج فی المختلف، و المنتهی، و التذکرة، و نهایة الاصول و غیرها من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یردده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المبتدی، و المتوسط،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یردده طالب العلم کل ساعة، رغم تبدل المادّة الدراسیة و المقرر العلمی، فهو الصوت الذی یعلو به صوت مدرّس الفقه، و مدرّس اصول الفقه، و مدرّس المنطق، و مدرّس علم الکلام، و مدرّس علم الرجال، و غیرهم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عن الماضی، و إنّما هو حدیث عن الحاضر، فهو القلب النابض للحوزة العلمیة الآن، و هو الدم الجاری فی عروق الحرکة الفکریة المعاصرة، فما من فقیه یرید الاستنباط فی فرع فقهی إلّا و یتوجب علیه التعرّف علی رأی العلّامة فی المسألة، و ما من باحث فی الدروس العالیة یهدأ له بال إلّا بعد استعراض رأی العلّامة فی المسألة و نقده أو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الفکر الجوّال الذی</w:t>
      </w:r>
    </w:p>
    <w:p>
      <w:pPr>
        <w:pStyle w:val="BookText"/>
        <w:rPr/>
      </w:pPr>
      <w:r>
        <w:rPr>
          <w:rFonts w:ascii="IRNazanin" w:hAnsi="IRNazanin" w:eastAsia="IRNazanin"/>
          <w:color w:val="111111"/>
          <w:sz w:val="28"/>
          <w:sz w:val="28"/>
          <w:szCs w:val="28"/>
          <w:rtl w:val="true"/>
          <w:lang w:bidi="fa-IR"/>
        </w:rPr>
        <w:t>یأبی التوقف و 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الهمّة، بعید النظر، شدید المثابرة، لم یفرّط بفرصة من فرص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عرف أنّ ثمن بدنه الجنة فلم یبخسها ثمنها، و عرف طریق الخلود فی الحیاة فسلکه و نجح فیه أیّما نجاح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بل صفة و منصب، تعنی الدعم الغیبی و التوفیق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منزلة یتمنّاها و یتلهّف إلیها بل إلی بعض أبعادها أکابر الفقهاء، فهذا الفقیه المعظم الشیخ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اوتی من التوفیق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عند ذکر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رشحة من رشحات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المشتغلون یلوذون بالتوسّل بروحه إذا صعب علیهم الورود و تعسر المنهل و استغلق الفهم، فهذا یهدی إلی روحه ثواب قراءة الفاتحة، و آخر یعقد جلسة بحثه فی الحجرة التی تضمّ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الحجرة لا تغیب عن خاطری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تغیب و هی من ذکریات صبای و مرافقتی لأبی الذی کان یأخذ تلامیذه إلیها و یعقد مجلس درسه فیها، و یقرأ الفاتحة و یأمرنی و إیاهم بقراءتها و إهدائها إلی روح العلّامة، تلک الحجرة المنیرة التی تعلوها إحدی مئذنتی الحرم العلوی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أعادنا اللّه تعالی إلی التشرّف بزیارته و جواره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بل رتبة علمیة یتطلّع إلیها الأکابر و یرنو إلیها طرف کل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سما فی الشموخ حتی أتعب من بعده، و تألّق فی سماء المعارف الإلهیة حتی وصل إلی منزلة إطراء السید بحر العلوم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العالم، و فخر نوع بنی آدم، أعظم العلماء شأنا، و أعلاهم برهانا، سحاب الفضل الهاطل، و بحر العلم الذی لیس له ساحل، جمع من العلوم ما تفرّق فی جمیع الناس، و أحاط من الفنون بما لا یحیط به القیاس، مروّج المذهب و الشریعة فی المائة السابعة، و رئیس علماء الشیعة من غیر مدافعة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فی کل علم کتبا، و آتاه اللّه من کل شی‌ء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الفقه فهو أبو عذرته و خوّاض بحره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الاصول و الرجال فإلیه فیهما تشدّ الرحال و به تبلغ الآمال و هو ابن بجدتها و مالک أزمّتها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المنطق و الکلام فهو الشیخ الرئیس فیها 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أوسمة الشرف هذه، و المؤثر و الفضائل و الدرجات الرفیعة التی یعجب المرء من اجتماعها فی رجل واحد، هی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منصور، جمال الدین، الحسن بن یوسف بن علی بن المطهّر الحلّی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المولود فی الحلّة الفیحاء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هو عن والده تسجیله لتاریخ ولادته فی جوابه للسید المهنا بن سنان المدنی و قد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مولد العبد فالذی وجدته بخط والدی قدّس اللّه روحه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ولدی المبارک أبو منصور الحسن بن یوسف بن مطهّر لیلة الجمعة فی الثلث الأخیر من اللیل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 إلی الرفیق الأعلی فی شهر محرّم الحرام یوم السبت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النجف الأشرف فدفن فی حجرة عن یمین الداخل إلی الحضرة الشریفة من جهة الشمال، و قبره ظاهر معروف مزور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اسرته من قبل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اسرة عربیة عریقة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القبائل العربیة فی الحلّة عدّة و عددا، و فیهم الإمارة و لهم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نبغ من هذه القبیلة رجال لهم شأن فی مجالات الحیاة العلمیة و العملیة، فمنهم الامراء المزیدیین، و هم مؤسسو الحلّة الفیحاء علی أنقاض بابل مهد الحضارات ذات الشأن فی تاریخ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الوزیر مؤید الدین محمد بن العلقمی الذی لمع نجمه فی أوائل القرن السابع فتولّی عدّة مناصب، آخرها استادیّة الدار، و بعدها تولّی الوزارة 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فکان آخر الوزراء لأخیر الخلفاء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هؤلاء من الامراء و العلماء و ذوی النباهة و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وصفه بالأسدی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 فی الوافی، و ابن حجر العسقلانی فی الدرر، و غیرهما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قبل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فأسرته هی 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اسرة عربیة أیضا ترجع إلی هذیل فی انتسابها، حازت من المفاخر أکثر ممّا حازته اسر اخری علمیة، لقوّة نفوذها</w:t>
      </w:r>
    </w:p>
    <w:p>
      <w:pPr>
        <w:pStyle w:val="BookText"/>
        <w:rPr/>
      </w:pPr>
      <w:r>
        <w:rPr>
          <w:rFonts w:ascii="IRNazanin" w:hAnsi="IRNazanin" w:eastAsia="IRNazanin"/>
          <w:color w:val="111111"/>
          <w:sz w:val="28"/>
          <w:sz w:val="28"/>
          <w:szCs w:val="28"/>
          <w:rtl w:val="true"/>
          <w:lang w:bidi="fa-IR"/>
        </w:rPr>
        <w:t>الروحی و مکانتها فی عالم التألیف و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العلّامة فی مختلف العلوم علی عدد کبیر من علماء عصره،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الشیخ سدید الدین یوسف بن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ابن داود فی رجاله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محقّقا،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الشهید فی إجازته لابن الخازن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الکرکی فی إجازته للشیخ علی المیسی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السعید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بفضله و تدبیره و تفانیه نجت الکوفة و الحلّة و کربلا و النجف من فتک التتار حین غزوهم العراق بقیادة هولاکو، فی قصّة حکاها عنه العلّامة 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نجم الدین جعفر بن الحسن بن یحیی بن سعید الهذلی، صاحب الشرائع، المعروف بالمحقق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الخواجة نصیر الدین محمد بن الحسن الطوسی، و الشیخ کمال الدین میثم البحرانی، و الشیخ نجم الدین علی بن عمر الکاتب القزوینی الشافعی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الشیخ شمس الدین محمد بن محمد بن أحمد الکیشی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بسبب اجتماع عناصر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الإلهی، و الأساتذة العظام، و الاستعداد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آیة فی 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العلّامة المرتبة الرفیعة فی العلم، التی شهد له بها کلّ من ترجم له، و هم کبار الفقهاء و عظماء المحققین، و لا یسع المجال لاستعراض کلماتهم فیه و نقل جمل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مضی من کلام السید بحر العلوم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حاجة لذلک فالشهادة إنّما تکون لإثبات الغائب و المجهول، أمّا علم العلّامة فحاضر معلوم، فهذه کتبه و مصنّفاته فی أیدی العلماء یعکفون علیها، و هذه آراؤه حیّة فی نوادی العلم ینهال علیها أهله فهما و تفهیما و استعراضا و نقدا أو تأییدا، و لکن اخترت منها شهادتین لکل منهما میزة و خصوصیة لا أحسبها تخفی علی القارئ الفهیم، إحداهما لابن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 فقد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الطائفة، و علّامة وقته، و صاحب التحقیق و التدقیق، کثیر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رئاسة الإمامیة إلیه فی المعقول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الاخری لصلاح الدین الصفدی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العصر و أعوان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فی مکتبة عاطف أفندی باستانبول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یصنّف و هو راکب، و یزاحم بعظمته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 نجمه، و ارتفع اسمه، و صار محور الإمامیّة و رکنهم، حتی قال عنه ابن حجر العسقلانی فی لسان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الشیعة، و إمامهم، و مصنّفهم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بارح التحقیق و التدقیق حتی احتکر لنفسه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 القرون، قال السید الأمین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علی الإطلاق، الذی طار صیته فی الآفاق، و لم یتفق لأحد من علماء الإمامیّة أن لقّب بالعلّامة علی الإطلاق غیره، و یطلق علیه العلماء أیضا آیة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تمثّل نشاطه العلمی فی مجالین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التدریس و إعداد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تتلمذ و تخرّج علیه جمّ غفیر من العلماء الفحول، حتی قال الصفدی فی الوافی بالوفیات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به أقوام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ابن حجر العسقلانی فی الدرر الکامنة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به جماعة فی عدّة 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تصدّی المحقق الجلیل السید محمد مهدی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مقدّمته لکتاب 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 أسماء المبرّزین منهم فنصّ علی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الحقائق الراهنة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ممّن ترجمته فی هذه المائة کانوا من تلامیذه و المجازین منه أو المعاصرین المستفیدین من علومه، فلیرجع إلی تلک التراجم حتی یحصل الجزم بصدق ما قیل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فی عصره فی الحلّة أربعمائة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بهذا یفنّد تشکیک السید الأمین فی العدد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رأس قائمة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ولده فخر المحققین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ابنا اخته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عمید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فی حلّ مشکلات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ضیاء الدین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الجرجانی، و الشیخ قطب الدین محمد بن محمد الرازی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اینعت ثمار المدرسة السیّارة التی انشئت</w:t>
      </w:r>
    </w:p>
    <w:p>
      <w:pPr>
        <w:pStyle w:val="BookText"/>
        <w:rPr/>
      </w:pPr>
      <w:r>
        <w:rPr>
          <w:rFonts w:ascii="IRNazanin" w:hAnsi="IRNazanin" w:eastAsia="IRNazanin"/>
          <w:color w:val="111111"/>
          <w:sz w:val="28"/>
          <w:sz w:val="28"/>
          <w:szCs w:val="28"/>
          <w:rtl w:val="true"/>
          <w:lang w:bidi="fa-IR"/>
        </w:rPr>
        <w:t>باقتراحه لتحقیق غرضین و الجمع بین رغبتین،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السلطان محمد اولجایتو بعدم مفارقة العلّامة له، و رغبة العلّامة فی مزاولة التدریس و النشاط العلمی، و کانت مؤلّفة من أربعة أواوین و عدّة غرف من الکرباس و مدارس هی مواضع للدراسة کلها مکوّنة من الخیام الکرباسیة، فهی مضارب تأوی إلیها الطلبة و المدرسون، و کانت تحمل مع السلطان و تطوف معه، ترحل برحیله و تنزل بنزوله، و کان العضد الایجی و بدر الدین الشوشتری من المدرّسین فیها أیضا، و ما یقرب من مائة طالب علم یقیمون فیها مکفولی الملبس و المأکل و الدواب و جمیع ما یحتاجون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 و التصنیف فی مختلف علوم الدین، من الکلام، و الحکمة، و الحدیث، و الرجال، و الفقه الإمامی، و الفقه المقارن، و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عنه الصفدی فی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التصانیف التی اشتهرت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ذکر ابن حجر العسقلانی فی لسان المیزان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حظیت تصانیفه بالحظ الأوفر فی الاشتهار و المدارسة و المحوریة، و أکبّ أهل العلم علیها منذ تألیفها حتی یومنا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محلّ مراجعة جمیع أهل النظر، فلم یقتصر قرّاؤها علی أبناء المذهب، فهذا القاضی البیضاوی یمعن النظر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للمترجم له، و تستوقفه إحدی فتاوی العلّامة، فحمل القرطاس یکتب إلیه إشکاله و اعتراضه، فقد نقل أنّه لمّا وقف علی ما أفاده العلّامة الحلّی فی بحث الطهارة من القواعد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تیقّنهما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المتأخر، فإن لم یعلم حاله قبل زمانهما تطهّر و إلّا استصحب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القاضی بخطه إلی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مولانا جمال الدین أدام اللّه فواضلک أنت إمام المجتهدین فی علم الاصول و قد تقرر فی الاصول مسألة إجماعیة،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حجّة ما لم یظهر دلیل علی رفعه، و معه لا یبقی حجّة، بل یصیر خلافه هو الحجّة، لأنّ خلاف الظاهر إذا عضده دلیل صار هو الحجّة، و هو ظاهر، و الحالة السابقة علی حالة الشک قد انتقضت بضدها، فإن کان متطهّرا فقد ظهر أنّه أحدث حدثا ینقض تلک الطهارة،</w:t>
      </w:r>
    </w:p>
    <w:p>
      <w:pPr>
        <w:pStyle w:val="BookText"/>
        <w:rPr/>
      </w:pPr>
      <w:r>
        <w:rPr>
          <w:rFonts w:ascii="IRNazanin" w:hAnsi="IRNazanin" w:eastAsia="IRNazanin"/>
          <w:color w:val="111111"/>
          <w:sz w:val="28"/>
          <w:sz w:val="28"/>
          <w:szCs w:val="28"/>
          <w:rtl w:val="true"/>
          <w:lang w:bidi="fa-IR"/>
        </w:rPr>
        <w:t>ثمّ حصل الشک فی رفع هذا الحدث فیعمل علی بقاء الحدث بأصالة الاستصحاب، و بطل الاستصحاب الأوّل، و إن کان محدثا فقد ظهر ارتفاع حدثه بطهارته المتأخرة عنه، ثمّ حصل الشک فی ناقض هذه الطهارة، و الأصل فیها البقاء، و کان الواجب علی القانون الکلی الاصولی أن یبقی علی ضد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العلّامة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إفادة مولانا الإمام أدام اللّه فضائله و أسبغ علیه فواضله، و تعجبت من صدور هذا الاعتراض عنه، فإنّ العبد ما استدل بالاستصحاب، بل استدل بقیاس مرکّب من منفصلة مانعة الخلوّ بالمعنی الأعم عنادیة و حملیتین،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فی الحالة السابقة متطهرا فالواقع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الطهارة، و هی سابقة علی الحدث، أو الحدث الرافع للطهارة فتکون الطهارة الثانیة بعده، و لا یخلو الأمر منهما، لأنّه صدر منه طهارة واحدة رافعة للحدث فی الحالة الثانیة، و حدث واحد رافع للطهارة، و امتناع الخلوّ بین أن یکون السابقة الطهارة الثانیة أو الحدث ظاهرا، و یمتنع أن یکون الطهارة السابقة، و إلّا کانت طهارة عقیب الطهارة، فلا تکون طهارة رافعة للحدث، فإذا امتنع تقدمها علی الحدث وجب تأخرها عنه، و إن کان فی الحالة السابقة محدثا فعلی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السابق الحدث أو الطهارة، و الأوّل محال، و إلّا کان حدث عقیب حدث، فلم یکن رافعا للطهارة، و التقدیر أنّ الصادر حدث واحد رافع للطهارة، فتعین أن یکون السابق هو الطهارة، و المتأخر هو الحدث، فیکون محدثا، فقد ثبت بهذا البرهان أنّ حکمه فی هذه الحالة موافق للحکم فی الحالة الاولی بهذا الدلیل، لا بالاستصحاب، و العبد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عمل بمثل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أنفذه إلیه إلی شیراز، فلما وقف القاضی البیضاوی علی هذا الجواب استحسنه جدّا و أثنی علی العلّامة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مصنّفاته فی الإمامة فقد وقعت کصاعقة علی رءوس النواصب و المعادین لأهل بیت النبی صلّی اللّه علیه و آله فهذا ابن تیمیة یؤلّف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للردّ علی بعضها، و لمّا أنّه رأی ردّه قاصرا عن النهوض بالمهمّة، و أجوبته لا تغنی و لا تسمن من جوع،</w:t>
      </w:r>
    </w:p>
    <w:p>
      <w:pPr>
        <w:pStyle w:val="BookText"/>
        <w:rPr/>
      </w:pPr>
      <w:r>
        <w:rPr>
          <w:rFonts w:ascii="IRNazanin" w:hAnsi="IRNazanin" w:eastAsia="IRNazanin"/>
          <w:color w:val="111111"/>
          <w:sz w:val="28"/>
          <w:sz w:val="28"/>
          <w:szCs w:val="28"/>
          <w:rtl w:val="true"/>
          <w:lang w:bidi="fa-IR"/>
        </w:rPr>
        <w:t>و ما هی إلّا مغالطات و مکابرات و افتراءات و وجدها لا تشفی غلیله؛ عمد لإثلاج صدره بالفحش و الشتم، فراح یسمّی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عنه الصفدی فی الوافی و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المنجّس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عدد تلک المؤلّفات و المصنّفات التی زیّن بها المکتبة الإسلامیة، کما زوّدها بشتّی صنوف المراجع لشتی فنون العلم؛ فلم یضبط بسبب تلف و ضیاع قسم مهمّ منها، قال ابن حجر العسقلانی فی الدرر الکامنة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تصانیفه مائة و عشرین مجلدة فیما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اللؤلؤة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وزّع تصنیف العلّامة علی أیّام عمره من ولادته إلی موته فکان قسط کل یوم کرّاسا، مع ما کان علیه من الأشغال بالإفادة و الاستفادة و التدریس و الأسفار و الحضور عند الملوک و المباحثات مع الجمهور و نحو ذلک، و هذا هو العجب العجاب الذی لا شک فیه و 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المحققون لتتبع کتبه و ضبطها متحملین جهودا مضنیّة، فکانت حصیلة تتبّع المحقق الجلیل السید الخرسان قائمة ضمّت مائة عنوان 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عن مؤسسة آل البیت علیهم السّلام لإحیاء التراث کتابا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مجموعة أوراق و مسوّدات ترکها المرحوم المحقق الجلیل السید عبد العزیز الطباطبائی حیث لم یمهله الأجل لتحقیقها و تبییضها و إعادة النظر و التأمّل فیها، و قد ضمّ الکتاب مائة و عشرین عنوانا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طلیعتها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النضید فی شرح منطق التجرید، کشف المراد فی شرح تجرید الاعتقاد، أربعون مسألة فی اصول الدین، کشف الیقین فی فضائل أمیر المؤمنین علیه السّلام، الألفین الفارق بین الصدق و المین، الأدعیة الفاخرة المنقولة عن الأئمة الطاهرة، نهایة المرام فی علم الکلام، نهج الحق و کشف الصدق، إیضاح المقاصد من حکمة عین القواعد، أنوار الملکوت، خلاصة الأقوال، إیضاح الاشتباه فی أسماء الرواة، تبصرة المتعلمین فی أحکام الدین، تحریر الأحکام الشرعیة علی مذهب الإمامیة، قواعد الأحکام فی معرفة الحلال و الحرام، نهایة الإحکام فی معرفة</w:t>
      </w:r>
      <w:bookmarkStart w:id="12" w:name="pg2360_36930"/>
    </w:p>
    <w:p>
      <w:pPr>
        <w:pStyle w:val="BookText"/>
        <w:rPr/>
      </w:pPr>
      <w:bookmarkEnd w:id="12"/>
      <w:r>
        <w:rPr>
          <w:rFonts w:ascii="IRNazanin" w:hAnsi="IRNazanin" w:eastAsia="IRNazanin"/>
          <w:color w:val="111111"/>
          <w:sz w:val="28"/>
          <w:sz w:val="28"/>
          <w:szCs w:val="28"/>
          <w:rtl w:val="true"/>
          <w:lang w:bidi="fa-IR"/>
        </w:rPr>
        <w:t>الأحکام، إرشاد الأذهان إلی أحکام الإیمان، مختلف الشیعة، منتهی المطلب، تذکرة الفقهاء، مبادئ الوصول إلی علم الاصول، تهذیب الوصول إلی علم الاصول، نهایة الوصول إلی علم الاصول، واجب الاعتقاد علی جمیع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یقتصر نشاط العلّامة فی نصرة المذهب و إحقاق الحق علی التألیف و إعداد المجتهدین بل شمّر عن ساعد الجدّ و راح یناظر أرباب المذاهب فی مجلس السلطان محمّد اولجایتو خان المغولی الملقّب ب خدابنده، حتی نصره اللّه علیهم و اعترفوا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واقعة مفصّلة أوردها العدید ممّن ترجموا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العلّامة فیها أحقیة المذهب الإمامی الاثنی عشری بالبراهین و الأدلّة القاطعة، و ظهر ذلک للحاضرین بحیث لم یبق موضع للشک، ممّا جعل السلطان المذکور یعدل عمّا کان علیه من المذهب إلی التشیع و یعلن ذلک و یخطب بأسماء الأئمة الاثنی عشر فی جمیع بلاده، و أمر فضربت السکّة بأسمائهم و أمر بکتابتها علی المساجد و المشاهد، و أصبح التشیّع هو المذهب الرسمی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ببرکة هذا العالم المبارک</w:t>
      </w:r>
      <w:r>
        <w:rPr>
          <w:rFonts w:eastAsia="IRNazanin" w:cs="IRNazanin"/>
          <w:color w:val="111111"/>
          <w:sz w:val="28"/>
          <w:szCs w:val="28"/>
          <w:rtl w:val="true"/>
          <w:lang w:bidi="fa-IR"/>
        </w:rPr>
        <w:t>.</w:t>
      </w:r>
    </w:p>
    <w:p>
      <w:pPr>
        <w:pStyle w:val="Heading3"/>
        <w:numPr>
          <w:ilvl w:val="2"/>
          <w:numId w:val="1"/>
        </w:numPr>
        <w:rPr/>
      </w:pPr>
      <w:bookmarkStart w:id="13" w:name="__RefHeading___Toc2792404_3804643083"/>
      <w:bookmarkStart w:id="14" w:name="_Toc5"/>
      <w:bookmarkEnd w:id="13"/>
      <w:r>
        <w:rPr>
          <w:rtl w:val="true"/>
        </w:rPr>
        <w:t>مصنّفاته فی اصول الفقه</w:t>
      </w:r>
      <w:r>
        <w:rPr>
          <w:rtl w:val="true"/>
        </w:rPr>
        <w:t>:</w:t>
      </w:r>
      <w:bookmarkEnd w:id="14"/>
    </w:p>
    <w:p>
      <w:pPr>
        <w:pStyle w:val="BookText"/>
        <w:rPr/>
      </w:pPr>
      <w:r>
        <w:rPr>
          <w:rFonts w:ascii="IRNazanin" w:hAnsi="IRNazanin" w:eastAsia="IRNazanin"/>
          <w:color w:val="111111"/>
          <w:sz w:val="28"/>
          <w:sz w:val="28"/>
          <w:szCs w:val="28"/>
          <w:rtl w:val="true"/>
          <w:lang w:bidi="fa-IR"/>
        </w:rPr>
        <w:t>تقدّم أنّه صنّف و ألّف فی مختلف علوم الدین، و منها علم اصول الفقه، فقد اتحف المکتبة الاصولیة بعدّة آثار،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الوصول و إیضاح السبل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منتهی الوصول و الأمل فی علمی الاصول و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الحاجب المتوفی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المصنف لنفسه فی الخلاصة و فی إجازته للسید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أطراه ابن حجر فی لسان المیزان فی ترجمته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مختصر ابن الحاجب شرحا جیّدا، سهل المأخذ، غایة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فی الدرر الکامنة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شرحه علی مختصر ابن الحاجب فی غایة الحسن فی حلّ ألفاظه و تقریر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الوافی فی ترجمته،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مختصر ابن الحاجب، و هو مشهور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 ذلک فی أعیان العصر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حاجی خلیفة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له فیه تسع نسخ خطیة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الوصول إلی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المصنّف لنفسه فی الخلاصة و فی إجازته للسید 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لتلمیذه الشیخ تقی الدین إبراهیم بن محمد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له فیه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خطّیة و ستة 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بتحقیق المرحوم الشیخ عبد الحسین محمد علی البقّال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الوصول إلی علمی الکلام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المصنّف فی الخلاصة و فی إجازته للسید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المصنّف یوم الجمعة سادس عشر جمادی الاولی سنة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له فیه ثلاث مخطوطات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الوصول إلی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المصنّف فی إجازته للسید مهنّا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الوصول فی علم الاصول، و هو کتاب جامع فی اصول الفقه لم یسبقه أحد فیه، فیه ما ذکره المتقدمون و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بالتماس ولده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له فیه تسع 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قید التحقیق فی مؤسسة آل البیت علیهم السّلام لإحیاء التراث، زاد اللّه تعالی فی عطائها و بارک بعمر مؤسسها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الوصول إلی علم الاصول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المصنّف فی إجازته للسید مهنّا، 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علی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اللؤلؤة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وفقنی 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اللّه علی سابغ نعمته و سائغ 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له فیه نسخة خطیة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الوصول إلی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کتابنا هذا الماثل بین یدی القارئ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المصنّف لنفسه فی إجازته للسید مهنّا، 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طریق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له فیه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خطیة، کما ورد بهذا الاسم فی مصادر اخری فی ترجمة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لمّا أنّ المصنّف نفسه ذکره بهذا الاسم فی الإجازة و الخلاصة و فی جمیع النسخ الخطیة المعتمدة فی التحقیق للکتاب نفسه، و کذا فی الطبعة الحجریة منه عام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فتعیّن أنّه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یسمّی اختصارا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 إلی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المبادی؛ و قد یطلق علیه من باب الاختصار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بهذا النحو علی النسخة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المصنّف باسم ولده فخر المحققین کما ورد فی دیباجته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انفرد هذا الکتاب من بین مصنّفات العلّامة الاصولیة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أودع فیه عصارة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لباب النهایة، و صرّح فی الخلاصة بأنّه مختصر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تأخّر تألیفه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کتب المصنّف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یضفی علیه أهمیة خاصّة، حتی یمکن القول بأنّ التعرّف علی الرأی النهائی و الأخیر للعلّامة فی مسائل الاصول یتوقف علی الرجوع إلیه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المرجع لدی المتأخّرین عن المصنّف للوقوف علی رأیه، و هو المصدر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یراجع کتب الاصول للعلماء المتأخّرین عن العلّامة یکاد أن لا یعرف للعلّامة کتابا فی الاصول غیر التهذیب، لأنّه یجدهم عند نقل آراء العلّامة فی المسائل الاصولیة یعتمدون دائما علی هذا الکتاب دون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نادرا ما ینقلون عن</w:t>
      </w:r>
    </w:p>
    <w:p>
      <w:pPr>
        <w:pStyle w:val="BookText"/>
        <w:rPr/>
      </w:pPr>
      <w:r>
        <w:rPr>
          <w:rFonts w:ascii="IRNazanin" w:hAnsi="IRNazanin" w:eastAsia="IRNazanin"/>
          <w:color w:val="111111"/>
          <w:sz w:val="28"/>
          <w:sz w:val="28"/>
          <w:szCs w:val="28"/>
          <w:rtl w:val="true"/>
          <w:lang w:bidi="fa-IR"/>
        </w:rPr>
        <w:t>النهایة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هذین الکتابین فلا أتذکر أنّی رأیت موضعا فی کتب الاصول ینقل شی‌ء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علیه مدار التدریس فی الحوزات العلمیة للشیعة الإمامیة، فهو المقرر الدراسی لطلاب العلوم الدینیة لمادة اصول الفقه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بذلک عدّة ممّن ترجم للمصنّف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دلالة واضحة کثرة الشروح و التعلیقات علیه بأقسامها المتنوعة، فمنها المطوّلة و منها المختصرة، و منها الاعتراضیّة و منها التوضیحیة، و التوضیحیة منها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هو توضیح للمطلب نفسه حیث تکون عبارة المصنّف مختصرة، و منها ما هو توضیح للعبارة عند ما تکون عبارة المصنّف مغلقة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شی‌ء من القسم الأخیر فی ثلاث من النسخ الخطیة المعتمدة فی تحقیقنا للکتاب، و هی النسخ التی نشیر الیها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البحّاثة الجلیل المحقق المنقّب صاحب الخدمات الجلیلة الشیخ الطهرانی،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الشروح و التعلیقات و الحواشی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المحقّق المیرزا أبی القاسم بن الحسن الشفتی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أواخر الأوامر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أحمد بن محمد علی البلاغی، تلمیذ السید عبد اللّه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السید محمد معصوم فی ترجمة السید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 تلامیذ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الشیخ محمّد بن یونس الشویهی عند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 المعاصرین للشاه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إلی أواسط العام و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السید جمال الدین بن عبد اللّه بن محمد بن الحسن الجرجانی، کما فی کشف الحجب، ألّفه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السید حسین العمیدی النجفی، من أواخر القرن العاشر، شیخ</w:t>
      </w:r>
    </w:p>
    <w:p>
      <w:pPr>
        <w:pStyle w:val="BookText"/>
        <w:rPr/>
      </w:pPr>
      <w:r>
        <w:rPr>
          <w:rFonts w:ascii="IRNazanin" w:hAnsi="IRNazanin" w:eastAsia="IRNazanin"/>
          <w:color w:val="111111"/>
          <w:sz w:val="28"/>
          <w:sz w:val="28"/>
          <w:szCs w:val="28"/>
          <w:rtl w:val="true"/>
          <w:lang w:bidi="fa-IR"/>
        </w:rPr>
        <w:t>مشایخ السید حسین بن حیدر الکرکی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المولی کمال الدین حسین بن عبد الحق الإلهی المتوفی عام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فی الریاض عن تحفة السامی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حسین بن عبد الصمد الحارثی العاملی، هو إصلاح للشرح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محمد رضا الهمدانی،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بخطّه فی مکتبة الخوانساری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المولی شاه طاهر بن رضی الدین الإسماعیلی الحسینی الکاشانی، تلمیذ المحقق الخفری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السید مجد الدین عباد،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السید ضیاء الدین عبد اللّه بن مجد الدین أبی الفوارس، ابن اخت العلّامة،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الشهید مع شرح أخیه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السید عمید الدین عبد المطلب، الأخ الاکبر للسید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مخالف مع شرح السید ضیاء الدین عبارة و مطلبا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 توجد فی الخزانة 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عبد النبی بن سعد الجزائری،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علی بن الحسین الأعسم،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محمد علی بن عباس البلاغی،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 ولده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محمد علی المذکور، المختصر من شرحه الأوّل،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المطارح</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السید جمال الدین محمد الحسینی الاسترابادی، ذکره فی کشف الحجب مع ذکره شرح جمال الدین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w:t>
      </w:r>
    </w:p>
    <w:p>
      <w:pPr>
        <w:pStyle w:val="BookText"/>
        <w:rPr/>
      </w:pPr>
      <w:r>
        <w:rPr>
          <w:rFonts w:ascii="IRNazanin" w:hAnsi="IRNazanin" w:eastAsia="IRNazanin"/>
          <w:color w:val="111111"/>
          <w:sz w:val="28"/>
          <w:sz w:val="28"/>
          <w:szCs w:val="28"/>
          <w:rtl w:val="true"/>
          <w:lang w:bidi="fa-IR"/>
        </w:rPr>
        <w:t>تعددهما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محمد،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الشیخ محمد بن یونس الشویهی،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السید صفی الدین محمد بن جمال الدین الحسینی الاسترابادی، تلمیذ المحقق الکرکی، کما یظهر من کلام السید حسین بن حیدر الکرکی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الحسن،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السئول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السعید محمد بن مکی، الشهید فی عام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شرحی 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اخت العلّامة الحلّی، جمعهما و میّزهما بعلامة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لعمید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لضیاء الدین، و زاد من نفسه زیادات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محمد بن یونس الشویهی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منصور بن عبد اللّه الشیرازی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المنصوریة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السید محمد الجواد العاملی الحسینی، صاحب مفتاح الکرامة، المتوفی عام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قطعة من أوائله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علی بن الحسن الحائری، علی نسخة کتبها بخطّه فی عام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قرأها علی شیخه الشیخ علی بن عبد الجلیل الحائری فی عام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کتب علیها الحواشی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محمد بن الحسن، سبط الشهید، المتوفی عام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الشیخ شرف الدین المازندرانی کثیرا من فوائدها فی مجموعته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الشیخ محمد بن علی 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إجازته للشیخ محمد بن صالح الغروی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السید القاضی نور اللّه، الشهید فی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التستری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فی فهرس تصانیفه</w:t>
      </w:r>
      <w:r>
        <w:rPr>
          <w:rFonts w:eastAsia="IRNazanin" w:cs="IRNazanin"/>
          <w:color w:val="111111"/>
          <w:sz w:val="28"/>
          <w:szCs w:val="28"/>
          <w:rtl w:val="true"/>
          <w:lang w:bidi="fa-IR"/>
        </w:rPr>
        <w:t>.</w:t>
      </w:r>
      <w:bookmarkStart w:id="15" w:name="pg2360_36936"/>
    </w:p>
    <w:p>
      <w:pPr>
        <w:pStyle w:val="Heading3"/>
        <w:numPr>
          <w:ilvl w:val="2"/>
          <w:numId w:val="1"/>
        </w:numPr>
        <w:rPr/>
      </w:pPr>
      <w:bookmarkStart w:id="16" w:name="__RefHeading___Toc2792406_3804643083"/>
      <w:bookmarkStart w:id="17" w:name="_Toc6"/>
      <w:bookmarkEnd w:id="15"/>
      <w:bookmarkEnd w:id="16"/>
      <w:r>
        <w:rPr>
          <w:rtl w:val="true"/>
        </w:rPr>
        <w:t>و قد اعتمدت فی تحقیق الکتاب علی النسخ الخطیّة التالیة</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محفوظة برقم </w:t>
      </w:r>
      <w:r>
        <w:rPr>
          <w:rFonts w:eastAsia="IRNazanin" w:cs="IRNazanin"/>
          <w:color w:val="111111"/>
          <w:sz w:val="28"/>
          <w:szCs w:val="28"/>
          <w:rtl w:val="true"/>
          <w:lang w:bidi="fa-IR"/>
        </w:rPr>
        <w:t>(</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کاتبها من کتابتها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دون أن یسجّل اسمه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قابلها و صحّحها علی بن أحمد بن حمدان فی سنة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الورقة علی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بخط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بعض الحواشی التوضیحیة، و تصحیحات، و تملّکات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تمتاز هذه النسخة بالقدم و القرب من زمن المصنّف، فقد کتبت بعد وفاته بأقلّ من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رمزنا لها عند الإشارة إلیها فی الهوامش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محفوظة برقم </w:t>
      </w:r>
      <w:r>
        <w:rPr>
          <w:rFonts w:eastAsia="IRNazanin" w:cs="IRNazanin"/>
          <w:color w:val="111111"/>
          <w:sz w:val="28"/>
          <w:szCs w:val="28"/>
          <w:rtl w:val="true"/>
          <w:lang w:bidi="fa-IR"/>
        </w:rPr>
        <w:t>(</w:t>
      </w:r>
      <w:r>
        <w:rPr>
          <w:rFonts w:eastAsia="IRNazanin" w:cs="IRNazanin"/>
          <w:color w:val="111111"/>
          <w:sz w:val="28"/>
          <w:szCs w:val="28"/>
          <w:lang w:bidi="fa-IR"/>
        </w:rPr>
        <w:t>13974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کتابتها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بالمشهد المقدس الحسینی ثمّ قرأها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الجلیل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له الإنهاء فی آخرها بتاریخ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عام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الورقة علی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بخط النسخ و علیها حواش و تعلیقات کثیرة و مطوّلة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تملّکات متعددة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محفوظة برقم </w:t>
      </w:r>
      <w:r>
        <w:rPr>
          <w:rFonts w:eastAsia="IRNazanin" w:cs="IRNazanin"/>
          <w:color w:val="111111"/>
          <w:sz w:val="28"/>
          <w:szCs w:val="28"/>
          <w:rtl w:val="true"/>
          <w:lang w:bidi="fa-IR"/>
        </w:rPr>
        <w:t>(</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کتابتها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 جمادی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حائر الحسین علیه أفضل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تحتوی الورقة منها علی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بخط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العناوین مکتوبة بالشنجرف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حواش سیّما بدایتها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بعض التصحیحات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محفوظة برقم </w:t>
      </w:r>
      <w:r>
        <w:rPr>
          <w:rFonts w:eastAsia="IRNazanin" w:cs="IRNazanin"/>
          <w:color w:val="111111"/>
          <w:sz w:val="28"/>
          <w:szCs w:val="28"/>
          <w:rtl w:val="true"/>
          <w:lang w:bidi="fa-IR"/>
        </w:rPr>
        <w:t>(</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جعفر بن محمد بن علی بن محمد بن علی بن إبراهیم بن داود الشهیر بالنّجار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منها فی</w:t>
      </w:r>
    </w:p>
    <w:p>
      <w:pPr>
        <w:pStyle w:val="BookText"/>
        <w:rPr/>
      </w:pPr>
      <w:r>
        <w:rPr>
          <w:rFonts w:ascii="IRNazanin" w:hAnsi="IRNazanin" w:eastAsia="IRNazanin"/>
          <w:color w:val="111111"/>
          <w:sz w:val="28"/>
          <w:sz w:val="28"/>
          <w:szCs w:val="28"/>
          <w:rtl w:val="true"/>
          <w:lang w:bidi="fa-IR"/>
        </w:rPr>
        <w:t xml:space="preserve">یوم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المشهد المقدس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الورقة علی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بخط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توقیعات و خطوط و تملّکات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ملیئة بالحواشی و التعلیقات المذیّلة برموز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الثلث الأخیر منها تقلّ فیه الحواشی و التعلیقات و یتغیّر فیه حجم الخط فقد کتب بحجم أکبر بسبب قلّة التعلیقات و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محفوظة برقم </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منها الورقة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بخط حسین ابن شیخ شمس المؤذّن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منها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أملی علیه الطبع الحلّی المرهف أن یذیّلها ببیتین من الشعر،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ستبقی خطوطی برهة بعد موتتی‌إلا إنّها تبقی و تفنی أناملی</w:t>
      </w:r>
    </w:p>
    <w:p>
      <w:pPr>
        <w:pStyle w:val="BookText"/>
        <w:rPr/>
      </w:pPr>
      <w:r>
        <w:rPr>
          <w:rFonts w:ascii="IRNazanin" w:hAnsi="IRNazanin" w:eastAsia="IRNazanin"/>
          <w:color w:val="111111"/>
          <w:sz w:val="28"/>
          <w:sz w:val="28"/>
          <w:szCs w:val="28"/>
          <w:rtl w:val="true"/>
          <w:lang w:bidi="fa-IR"/>
        </w:rPr>
        <w:t>فیا ناظرا فیها سل اللّه رحمةلکاتبها المدفون تحت الجنادل</w:t>
      </w:r>
    </w:p>
    <w:p>
      <w:pPr>
        <w:pStyle w:val="BookText"/>
        <w:rPr/>
      </w:pP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الورقة علی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أسطر بخط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 و تعلیقات کثیرة و مطوّلة، سیّما بدایتها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مذیّلة برموز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اشیر فی بعض الموارد فیها إلی اختلاف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تمتاز هذه النسخ بحسن الخط و وضوحه، و بالاهتمام و العنایة البالغین من نسّاخها بها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علاوة علی النسخة المطبوعة علی الحجر بطهران عام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bookmarkStart w:id="18" w:name="pg2360_36938"/>
    </w:p>
    <w:p>
      <w:pPr>
        <w:pStyle w:val="Heading3"/>
        <w:numPr>
          <w:ilvl w:val="2"/>
          <w:numId w:val="1"/>
        </w:numPr>
        <w:rPr/>
      </w:pPr>
      <w:bookmarkStart w:id="19" w:name="__RefHeading___Toc2792408_3804643083"/>
      <w:bookmarkStart w:id="20" w:name="_Toc7"/>
      <w:bookmarkEnd w:id="18"/>
      <w:bookmarkEnd w:id="19"/>
      <w:r>
        <w:rPr>
          <w:rtl w:val="true"/>
        </w:rPr>
        <w:t>منهج التحقیق</w:t>
      </w:r>
      <w:r>
        <w:rPr>
          <w:rtl w:val="true"/>
        </w:rPr>
        <w:t>:</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 النسخ بعضها ببعض، و اتبعت طریقة التلفیق بینها فی اختیار النصّ المثبت فی المتن، فعند اختلاف النسخ أثبتّ الصواب أو الأصوب فی المتن، و أوردت فی الهامش ما فی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أشرت فی الهامش إلی اختلاف النسخ فی الزیادة و النقیصة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ذکر ما اختلفت فیه النسخ تذکیرا و تأنیثا، و ما احتوته من أخطاء لغویة و إعرابیة و إملائیة، فأوردت النص علی وفق القواعد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أهملت الإشارة إلی ما اختلفت فیه النسخ فی إیراد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لفظ الجلالة، و اختلافها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النبی، و اختلافها فی الترضّی و الترحّم بعد ذکر بعض العلماء کالسید المرتضی و غیره، فأثبتّ فی المتن ما ورد فی أکثر النسخ و لم اشر فی الهامش إلی اختلافها فی مثل هذه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بتقطیع النصّ، و وضع علامات الترقیم، وفقا لما تملیه مادة البحث، کیلا یجد المراجع مشقة عند مطالعة الکتاب و مراجعته و العثور علی مورد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وضعت العناوین علی حدة بحروف متمیّزة، و وضعت علی رأس سطر العبارات التی یبدأ بها البحث عن مسألة جدیدة أو یبدأ بها الاستدلال و ما أشبه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الآیات القرآنیة و أثبتّ فی الهامش رقمها و اسم السورة التی وردت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الأحادیث الشریفة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 فقد احتوی غالب ما ورد فی کتابنا من أحادیث، فهو کتاب یجمع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فی الهامش موضع وجود الحدیث فیه کما أشرت إلی اختلاف لفظ الحدیث إن وجد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یلاحظ أنّ الأحادیث التی وردت فی کتابنا هی التی تداولتها معظم کتب الاصول المتقدمة التصنیف علی زمان المصنّف، فقد وردت فی تلک الکتب إما للتمثیل بها أو للاستدلال أو لکون مدلولها هو محل البحث و هو موضوع المسألة کما یجد القارئ ذلک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عدّة قلیلة من الأحادیث لم أعثر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p>
    <w:p>
      <w:pPr>
        <w:pStyle w:val="BookText"/>
        <w:rPr/>
      </w:pP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استخرجتها من مصادر حدیثیة اخری کما سیلاحظه القارئ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النصوص و العبارات المنقولة عن الکتب الاصولیة و غیرها، و مقابلتها مع ما جاء فی تلک الکتب، و الإشارة إلی الاختلاف إن وجد، و الإشارة إلی موضع وجودها فی المصدر المنقول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الآراء و الأدلة المنسوبة إلی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قمت بالبحث عن الآراء و الأدلّة و استخراجها إمّا من کتب أصحابها إن کان لصاحب القول أو الدلیل کتاب فی متناول الید، و إمّا من الکتب الاصولیة الناقلة لها ممّا هی متقدّمة زمانا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نقل المصنّف قولا أو استدلالا لابن سریج مثلا فإنّی اشیر فی الهامش إلی المصنّفات الاصولیة السابقة علی زمان المصنّف الناقلة له، و ربّما اوردت فی الهامش عددا کثیرا من المصادر، و ذلک لاحتمال أن یکون کل منها هو المصدر الذی اعتمده المصنّف فی نقل ذلک القول أو الدلیل، مرتّبا لها عند ذکرها بحسب تاریخ وفاة أصحابها و طبقاتهم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الأقوال و الأدلّة لأصحابها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نجد المصنّف أحیانا یذکر رأیا أو دلیلا دون تعیین القائل، و إنّما یذکره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یذکر الدلیل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بحثت فی کتب الاصول عنها فإن وجدت القائل و المستدل ذکرته، و إلّا أشرت فی الهامش إلی موضع وجود تلک الأقوال و الأدلّة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 آخر الکتاب أسماء المصادر التی رجعت إلیها فی التحقیق لإیضاح تفاصیل الطبعات التی اعتمدت علیها و تعیین النسخة من کل کتاب رجعت إلیه، نظرا لتعدد طبعات الکتاب الواحد، فربّما اقتنی المراجع لکتابنا نسخة مطبوعة غیر التی اعتمدناها فتصبح الإرجاعات المذکورة فی الهامش عدیمة الفائدة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ابن المرحوم العلّامة السید علی نقی نجل الحجّة العلم صاحب الکرامات المشهورة آیة اللّه المقدس الحاج السید مرتضی الرضوی الکشمیری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شعبان المعظم من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1" w:name="pg2360_36940"/>
    </w:p>
    <w:p>
      <w:pPr>
        <w:pStyle w:val="Heading3"/>
        <w:numPr>
          <w:ilvl w:val="2"/>
          <w:numId w:val="1"/>
        </w:numPr>
        <w:rPr/>
      </w:pPr>
      <w:bookmarkStart w:id="22" w:name="__RefHeading___Toc2792410_3804643083"/>
      <w:bookmarkStart w:id="23" w:name="_Toc8"/>
      <w:bookmarkEnd w:id="21"/>
      <w:bookmarkEnd w:id="22"/>
      <w:r>
        <w:rPr>
          <w:rtl w:val="true"/>
        </w:rPr>
        <w:t>المصادر لترجمة المصنّف و لکل ما جاء فی المقدّمة</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للشیخ 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السابعة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الألفین للعلّامة الحلّی بتقدیم المحقق الجلیل السید محمد مهدی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منشورات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الجنان للیافعی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الطبعة الثانیة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فی النجف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لمیرزا عبد اللّه الأفندی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مطبعة خیّام عام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للشیخ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فی النجف الأشرف عام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البحرین للشیخ یوسف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مطبعة النعمان فی النجف الأشرف سنة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الآمال للحاج الملّا علی العلیاری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 للشیخ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الحیدریة فی النجف عام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للسید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فی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دار التعارف للمطبوعات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 للصفدی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عام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لابن حجر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الطبعة الثانیة فی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الزاهرة لأبی المحاسن تغری بردی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بلا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السابعة فی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 لعمر رضا کحالة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بلا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للخوانساری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 منشورات اسماعیلیان بلا تاریخ</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للطریحی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السید أحمد الحسینی الطبعة الثانیة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الجزء الثالث من طبقات أعلام الشیعة للمحقق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مصوّرة عن ط بیروت عام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 للمحقق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 مؤسسة اسماعیلیان بلا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العلّامة الحلّی تألیف المحقق الخبیر المرحوم السید عبد العزیز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 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الرجالیة للسید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طهران عام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شمسی مصوّرة عن طبعة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للعلّامة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المطبعة الإسلامیة بطهران عام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العالم فی شرح خطبة المعالم للسید جعفر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مکتبة الصادق بطهران الطبعة الثانیة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شمسی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للتفرشی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مؤسسة آل البیت علیهم السّلام لإحیاء التراث ط قم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مستدرک الوسائل بتحقیق مؤسسة آل البیت علیهم السّلام لإحیاء التراث ط قم عام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الراهنة للمحقق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 مصوّرة بلا تاریخ</w:t>
      </w:r>
      <w:r>
        <w:rPr>
          <w:rFonts w:eastAsia="IRNazanin" w:cs="IRNazanin"/>
          <w:color w:val="111111"/>
          <w:sz w:val="28"/>
          <w:szCs w:val="28"/>
          <w:rtl w:val="true"/>
          <w:lang w:bidi="fa-IR"/>
        </w:rPr>
        <w:t>.</w:t>
      </w:r>
      <w:bookmarkStart w:id="24" w:name="pg2360_36943"/>
    </w:p>
    <w:p>
      <w:pPr>
        <w:pStyle w:val="Heading3"/>
        <w:numPr>
          <w:ilvl w:val="2"/>
          <w:numId w:val="1"/>
        </w:numPr>
        <w:rPr/>
      </w:pPr>
      <w:bookmarkStart w:id="25" w:name="__RefHeading___Toc2792412_3804643083"/>
      <w:bookmarkStart w:id="26" w:name="_Toc9"/>
      <w:bookmarkEnd w:id="24"/>
      <w:bookmarkEnd w:id="25"/>
      <w:r>
        <w:rPr>
          <w:rtl w:val="true"/>
        </w:rPr>
        <w:t>نماذج مصوّرة من النسخ الخطّیة</w:t>
      </w:r>
      <w:bookmarkEnd w:id="2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نسخة أ</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نسخة أ</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نسخة ب</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نسخة ب</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نسخة ج</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نسخة ج</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نسخة 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نسخة 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نسخة 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نسخة 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نسخة ط</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نسخة ط</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الوصول الی علم الاصول للعلّامة الحلّی جمال الدّین أبی منصور الحسن بن یوسف بن المطهّر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محمّد حسین الرّضویّ الکشمیری</w:t>
      </w:r>
      <w:bookmarkStart w:id="27" w:name="pg2360_36957"/>
    </w:p>
    <w:p>
      <w:pPr>
        <w:pStyle w:val="Heading2"/>
        <w:numPr>
          <w:ilvl w:val="1"/>
          <w:numId w:val="1"/>
        </w:numPr>
        <w:rPr/>
      </w:pPr>
      <w:bookmarkStart w:id="28" w:name="__RefHeading___Toc2792414_3804643083"/>
      <w:bookmarkStart w:id="29" w:name="_Toc10"/>
      <w:bookmarkEnd w:id="27"/>
      <w:bookmarkEnd w:id="28"/>
      <w:r>
        <w:rPr>
          <w:rtl w:val="true"/>
        </w:rPr>
        <w:t>[</w:t>
      </w:r>
      <w:r>
        <w:rPr>
          <w:rtl w:val="true"/>
        </w:rPr>
        <w:t>مقدمة المصنف</w:t>
      </w:r>
      <w:r>
        <w:rPr>
          <w:rtl w:val="true"/>
        </w:rPr>
        <w:t>]</w:t>
      </w:r>
      <w:bookmarkEnd w:id="29"/>
    </w:p>
    <w:p>
      <w:pPr>
        <w:pStyle w:val="BookText"/>
        <w:rPr/>
      </w:pPr>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الحمد للّه رافع درجات العارفین</w:t>
      </w:r>
      <w:r>
        <w:rPr>
          <w:rStyle w:val="FootnoteAnchor"/>
          <w:rtl w:val="true"/>
        </w:rPr>
        <w:footnoteReference w:id="3"/>
      </w:r>
      <w:r>
        <w:rPr>
          <w:rFonts w:ascii="IRNazanin" w:hAnsi="IRNazanin" w:eastAsia="IRNazanin"/>
          <w:color w:val="111111"/>
          <w:sz w:val="28"/>
          <w:sz w:val="28"/>
          <w:szCs w:val="28"/>
          <w:rtl w:val="true"/>
          <w:lang w:bidi="fa-IR"/>
        </w:rPr>
        <w:t>إلی ذروة العلاء، و مهبط منازل الجاهلین إلی أسفل درک الشقاء، و مفضّل مداد العلماء علی دماء الشهداء؛ إذ بأنوار مصابیح أفکارهم تنجلی</w:t>
      </w:r>
      <w:r>
        <w:rPr>
          <w:rStyle w:val="FootnoteAnchor"/>
          <w:rtl w:val="true"/>
        </w:rPr>
        <w:footnoteReference w:id="4"/>
      </w:r>
      <w:r>
        <w:rPr>
          <w:rFonts w:ascii="IRNazanin" w:hAnsi="IRNazanin" w:eastAsia="IRNazanin"/>
          <w:color w:val="111111"/>
          <w:sz w:val="28"/>
          <w:sz w:val="28"/>
          <w:szCs w:val="28"/>
          <w:rtl w:val="true"/>
          <w:lang w:bidi="fa-IR"/>
        </w:rPr>
        <w:t>غیاهب الظلماء، و بنتائج أبکار أذهانهم تنکشف جلابیب الغماء، أحمده علی ترادف الآلاء، و تواتر النعماء</w:t>
      </w:r>
      <w:r>
        <w:rPr>
          <w:rStyle w:val="FootnoteAnchor"/>
          <w:rtl w:val="true"/>
        </w:rPr>
        <w:footnoteReference w:id="5"/>
      </w:r>
      <w:r>
        <w:rPr>
          <w:rFonts w:ascii="IRNazanin" w:hAnsi="IRNazanin" w:eastAsia="IRNazanin"/>
          <w:color w:val="111111"/>
          <w:sz w:val="28"/>
          <w:sz w:val="28"/>
          <w:szCs w:val="28"/>
          <w:rtl w:val="true"/>
          <w:lang w:bidi="fa-IR"/>
        </w:rPr>
        <w:t>، و صلّی اللّه علی سید الأنبیاء</w:t>
      </w:r>
      <w:r>
        <w:rPr>
          <w:rStyle w:val="FootnoteAnchor"/>
          <w:rtl w:val="true"/>
        </w:rPr>
        <w:footnoteReference w:id="6"/>
      </w:r>
      <w:r>
        <w:rPr>
          <w:rStyle w:val="FootnoteAnchor"/>
          <w:rtl w:val="true"/>
        </w:rPr>
        <w:footnoteReference w:id="7"/>
      </w:r>
      <w:r>
        <w:rPr>
          <w:rFonts w:ascii="IRNazanin" w:hAnsi="IRNazanin" w:eastAsia="IRNazanin"/>
          <w:color w:val="111111"/>
          <w:sz w:val="28"/>
          <w:sz w:val="28"/>
          <w:szCs w:val="28"/>
          <w:rtl w:val="true"/>
          <w:lang w:bidi="fa-IR"/>
        </w:rPr>
        <w:t>محمّد المصطفی و عترته الأئمّة الأتقیاء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w:t>
      </w:r>
      <w:r>
        <w:rPr>
          <w:rStyle w:val="FootnoteAnchor"/>
          <w:rtl w:val="true"/>
        </w:rPr>
        <w:footnoteReference w:id="9"/>
      </w:r>
      <w:r>
        <w:rPr>
          <w:rFonts w:ascii="IRNazanin" w:hAnsi="IRNazanin" w:eastAsia="IRNazanin"/>
          <w:color w:val="111111"/>
          <w:sz w:val="28"/>
          <w:sz w:val="28"/>
          <w:szCs w:val="28"/>
          <w:rtl w:val="true"/>
          <w:lang w:bidi="fa-IR"/>
        </w:rPr>
        <w:t>تهذیب الوصول إلی علم الاصول، حررت فیه</w:t>
      </w:r>
    </w:p>
    <w:p>
      <w:pPr>
        <w:pStyle w:val="BookText"/>
        <w:rPr/>
      </w:pPr>
      <w:r>
        <w:rPr>
          <w:rFonts w:ascii="IRNazanin" w:hAnsi="IRNazanin" w:eastAsia="IRNazanin"/>
          <w:color w:val="111111"/>
          <w:sz w:val="28"/>
          <w:sz w:val="28"/>
          <w:szCs w:val="28"/>
          <w:rtl w:val="true"/>
          <w:lang w:bidi="fa-IR"/>
        </w:rPr>
        <w:t>طرق</w:t>
      </w:r>
      <w:r>
        <w:rPr>
          <w:rStyle w:val="FootnoteAnchor"/>
          <w:rtl w:val="true"/>
        </w:rPr>
        <w:footnoteReference w:id="10"/>
      </w:r>
      <w:r>
        <w:rPr>
          <w:rFonts w:ascii="IRNazanin" w:hAnsi="IRNazanin" w:eastAsia="IRNazanin"/>
          <w:color w:val="111111"/>
          <w:sz w:val="28"/>
          <w:sz w:val="28"/>
          <w:szCs w:val="28"/>
          <w:rtl w:val="true"/>
          <w:lang w:bidi="fa-IR"/>
        </w:rPr>
        <w:t>الأحکام علی الإجمال، من غیر تطویل و لا إخلال، إجابة لالتماس ولدی</w:t>
      </w:r>
      <w:r>
        <w:rPr>
          <w:rStyle w:val="FootnoteAnchor"/>
          <w:rtl w:val="true"/>
        </w:rPr>
        <w:footnoteReference w:id="11"/>
      </w:r>
      <w:r>
        <w:rPr>
          <w:rFonts w:ascii="IRNazanin" w:hAnsi="IRNazanin" w:eastAsia="IRNazanin"/>
          <w:color w:val="111111"/>
          <w:sz w:val="28"/>
          <w:sz w:val="28"/>
          <w:szCs w:val="28"/>
          <w:rtl w:val="true"/>
          <w:lang w:bidi="fa-IR"/>
        </w:rPr>
        <w:t>محمّد جعلنی اللّه فداه من کل محذور</w:t>
      </w:r>
      <w:r>
        <w:rPr>
          <w:rStyle w:val="FootnoteAnchor"/>
          <w:rtl w:val="true"/>
        </w:rPr>
        <w:footnoteReference w:id="12"/>
      </w:r>
      <w:r>
        <w:rPr>
          <w:rFonts w:ascii="IRNazanin" w:hAnsi="IRNazanin" w:eastAsia="IRNazanin"/>
          <w:color w:val="111111"/>
          <w:sz w:val="28"/>
          <w:sz w:val="28"/>
          <w:szCs w:val="28"/>
          <w:rtl w:val="true"/>
          <w:lang w:bidi="fa-IR"/>
        </w:rPr>
        <w:t>، و کساه اللّه تعالی</w:t>
      </w:r>
      <w:r>
        <w:rPr>
          <w:rStyle w:val="FootnoteAnchor"/>
          <w:rtl w:val="true"/>
        </w:rPr>
        <w:footnoteReference w:id="13"/>
      </w:r>
      <w:r>
        <w:rPr>
          <w:rFonts w:ascii="IRNazanin" w:hAnsi="IRNazanin" w:eastAsia="IRNazanin"/>
          <w:color w:val="111111"/>
          <w:sz w:val="28"/>
          <w:sz w:val="28"/>
          <w:szCs w:val="28"/>
          <w:rtl w:val="true"/>
          <w:lang w:bidi="fa-IR"/>
        </w:rPr>
        <w:t>ثوب السرور فی کل الامور، و أمدّه</w:t>
      </w:r>
      <w:r>
        <w:rPr>
          <w:rStyle w:val="FootnoteAnchor"/>
          <w:rtl w:val="true"/>
        </w:rPr>
        <w:footnoteReference w:id="14"/>
      </w:r>
      <w:r>
        <w:rPr>
          <w:rFonts w:ascii="IRNazanin" w:hAnsi="IRNazanin" w:eastAsia="IRNazanin"/>
          <w:color w:val="111111"/>
          <w:sz w:val="28"/>
          <w:sz w:val="28"/>
          <w:szCs w:val="28"/>
          <w:rtl w:val="true"/>
          <w:lang w:bidi="fa-IR"/>
        </w:rPr>
        <w:t>بالسعادات</w:t>
      </w:r>
      <w:r>
        <w:rPr>
          <w:rStyle w:val="FootnoteAnchor"/>
          <w:rtl w:val="true"/>
        </w:rPr>
        <w:footnoteReference w:id="15"/>
      </w:r>
      <w:r>
        <w:rPr>
          <w:rFonts w:ascii="IRNazanin" w:hAnsi="IRNazanin" w:eastAsia="IRNazanin"/>
          <w:color w:val="111111"/>
          <w:sz w:val="28"/>
          <w:sz w:val="28"/>
          <w:szCs w:val="28"/>
          <w:rtl w:val="true"/>
          <w:lang w:bidi="fa-IR"/>
        </w:rPr>
        <w:t>الأبدیة، و أیّده</w:t>
      </w:r>
      <w:r>
        <w:rPr>
          <w:rStyle w:val="FootnoteAnchor"/>
          <w:rtl w:val="true"/>
        </w:rPr>
        <w:footnoteReference w:id="16"/>
      </w:r>
      <w:r>
        <w:rPr>
          <w:rFonts w:ascii="IRNazanin" w:hAnsi="IRNazanin" w:eastAsia="IRNazanin"/>
          <w:color w:val="111111"/>
          <w:sz w:val="28"/>
          <w:sz w:val="28"/>
          <w:szCs w:val="28"/>
          <w:rtl w:val="true"/>
          <w:lang w:bidi="fa-IR"/>
        </w:rPr>
        <w:t>بالعنایات الأزلیّة، بمحمّد و آله الطاهرین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رتبت هذا الکتاب علی مقاصد</w:t>
      </w:r>
      <w:r>
        <w:rPr>
          <w:rFonts w:eastAsia="IRNazanin" w:cs="IRNazanin"/>
          <w:color w:val="111111"/>
          <w:sz w:val="28"/>
          <w:szCs w:val="28"/>
          <w:rtl w:val="true"/>
          <w:lang w:bidi="fa-IR"/>
        </w:rPr>
        <w:t>:</w:t>
      </w:r>
      <w:bookmarkStart w:id="30" w:name="pg2360_36959"/>
    </w:p>
    <w:p>
      <w:pPr>
        <w:pStyle w:val="Heading2"/>
        <w:numPr>
          <w:ilvl w:val="1"/>
          <w:numId w:val="1"/>
        </w:numPr>
        <w:rPr/>
      </w:pPr>
      <w:bookmarkStart w:id="31" w:name="__RefHeading___Toc2792416_3804643083"/>
      <w:bookmarkStart w:id="32" w:name="_Toc11"/>
      <w:bookmarkEnd w:id="30"/>
      <w:bookmarkEnd w:id="31"/>
      <w:r>
        <w:rPr>
          <w:rtl w:val="true"/>
        </w:rPr>
        <w:t>المقصد الأوّل فی المقدّمات و فیه فصول</w:t>
      </w:r>
      <w:bookmarkEnd w:id="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792418_3804643083"/>
      <w:bookmarkStart w:id="34" w:name="_Toc12"/>
      <w:bookmarkEnd w:id="33"/>
      <w:r>
        <w:rPr>
          <w:rtl w:val="true"/>
        </w:rPr>
        <w:t>اشارة</w:t>
      </w:r>
      <w:bookmarkStart w:id="35" w:name="pg2360_36961"/>
      <w:bookmarkEnd w:id="34"/>
    </w:p>
    <w:p>
      <w:pPr>
        <w:pStyle w:val="Heading3"/>
        <w:numPr>
          <w:ilvl w:val="2"/>
          <w:numId w:val="1"/>
        </w:numPr>
        <w:rPr/>
      </w:pPr>
      <w:bookmarkStart w:id="36" w:name="__RefHeading___Toc2792420_3804643083"/>
      <w:bookmarkStart w:id="37" w:name="_Toc13"/>
      <w:bookmarkEnd w:id="35"/>
      <w:bookmarkEnd w:id="36"/>
      <w:r>
        <w:rPr>
          <w:rtl w:val="true"/>
        </w:rPr>
        <w:t>الأوّل</w:t>
      </w:r>
      <w:r>
        <w:rPr>
          <w:rtl w:val="true"/>
        </w:rPr>
        <w:t xml:space="preserve">: </w:t>
      </w:r>
      <w:r>
        <w:rPr>
          <w:rtl w:val="true"/>
        </w:rPr>
        <w:t>فی مباحث مهمة</w:t>
      </w:r>
      <w:bookmarkEnd w:id="37"/>
    </w:p>
    <w:p>
      <w:pPr>
        <w:pStyle w:val="BookText"/>
        <w:rPr/>
      </w:pPr>
      <w:r>
        <w:rPr>
          <w:rFonts w:ascii="IRNazanin" w:hAnsi="IRNazanin" w:eastAsia="IRNazanin"/>
          <w:color w:val="111111"/>
          <w:sz w:val="28"/>
          <w:sz w:val="28"/>
          <w:szCs w:val="28"/>
          <w:rtl w:val="true"/>
          <w:lang w:bidi="fa-IR"/>
        </w:rPr>
        <w:t>تصور المرکب یستلزم تصور مفرداته، لا مطلقا، بل من حیث</w:t>
      </w:r>
      <w:r>
        <w:rPr>
          <w:rStyle w:val="FootnoteAnchor"/>
          <w:rtl w:val="true"/>
        </w:rPr>
        <w:footnoteReference w:id="17"/>
      </w:r>
      <w:r>
        <w:rPr>
          <w:rFonts w:ascii="IRNazanin" w:hAnsi="IRNazanin" w:eastAsia="IRNazanin"/>
          <w:color w:val="111111"/>
          <w:sz w:val="28"/>
          <w:sz w:val="28"/>
          <w:szCs w:val="28"/>
          <w:rtl w:val="true"/>
          <w:lang w:bidi="fa-IR"/>
        </w:rPr>
        <w:t>هی صالحة للترکیب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فالاصول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یبنی علیها غیرها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الفقه</w:t>
      </w:r>
      <w:r>
        <w:rPr>
          <w:rStyle w:val="FootnoteAnchor"/>
          <w:rtl w:val="true"/>
        </w:rPr>
        <w:footnoteReference w:id="19"/>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بالأحکام الشرعیة الفرعیة المستدل علی أعیانها، بحیث</w:t>
      </w:r>
      <w:r>
        <w:rPr>
          <w:rStyle w:val="FootnoteAnchor"/>
          <w:rtl w:val="true"/>
        </w:rPr>
        <w:footnoteReference w:id="20"/>
      </w:r>
      <w:r>
        <w:rPr>
          <w:rFonts w:ascii="IRNazanin" w:hAnsi="IRNazanin" w:eastAsia="IRNazanin"/>
          <w:color w:val="111111"/>
          <w:sz w:val="28"/>
          <w:sz w:val="28"/>
          <w:szCs w:val="28"/>
          <w:rtl w:val="true"/>
          <w:lang w:bidi="fa-IR"/>
        </w:rPr>
        <w:t>لا یعلم کونها من الدین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بالذوات، و بالأحکام العقلیة، و کون الإجماع و خبر الواحد و نظائرهما حجة، و علم</w:t>
      </w:r>
      <w:r>
        <w:rPr>
          <w:rStyle w:val="FootnoteAnchor"/>
          <w:rtl w:val="true"/>
        </w:rPr>
        <w:footnoteReference w:id="21"/>
      </w:r>
      <w:r>
        <w:rPr>
          <w:rFonts w:ascii="IRNazanin" w:hAnsi="IRNazanin" w:eastAsia="IRNazanin"/>
          <w:color w:val="111111"/>
          <w:sz w:val="28"/>
          <w:sz w:val="28"/>
          <w:szCs w:val="28"/>
          <w:rtl w:val="true"/>
          <w:lang w:bidi="fa-IR"/>
        </w:rPr>
        <w:t>المقلّد، و الاصول الضروریة کالصلاة 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ظنیة الطریق لا تنافی علمیة الحکم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العلم بالجمیع فعلا، بل قوة قریبة منه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إضافة اسم المعنی تفید اختصاصه</w:t>
      </w:r>
      <w:r>
        <w:rPr>
          <w:rStyle w:val="FootnoteAnchor"/>
          <w:rtl w:val="true"/>
        </w:rPr>
        <w:footnoteReference w:id="23"/>
      </w:r>
      <w:r>
        <w:rPr>
          <w:rFonts w:ascii="IRNazanin" w:hAnsi="IRNazanin" w:eastAsia="IRNazanin"/>
          <w:color w:val="111111"/>
          <w:sz w:val="28"/>
          <w:sz w:val="28"/>
          <w:szCs w:val="28"/>
          <w:rtl w:val="true"/>
          <w:lang w:bidi="fa-IR"/>
        </w:rPr>
        <w:t>بالمضاف إلیه، فاصول</w:t>
      </w:r>
      <w:r>
        <w:rPr>
          <w:rStyle w:val="FootnoteAnchor"/>
          <w:rtl w:val="true"/>
        </w:rPr>
        <w:footnoteReference w:id="24"/>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طرق</w:t>
      </w:r>
      <w:r>
        <w:rPr>
          <w:rStyle w:val="FootnoteAnchor"/>
          <w:rtl w:val="true"/>
        </w:rPr>
        <w:footnoteReference w:id="25"/>
      </w:r>
      <w:r>
        <w:rPr>
          <w:rFonts w:ascii="IRNazanin" w:hAnsi="IRNazanin" w:eastAsia="IRNazanin"/>
          <w:color w:val="111111"/>
          <w:sz w:val="28"/>
          <w:sz w:val="28"/>
          <w:szCs w:val="28"/>
          <w:rtl w:val="true"/>
          <w:lang w:bidi="fa-IR"/>
        </w:rPr>
        <w:t>الفقه علی الإجمال، و کیفیة الاستدلال بها، و کیفیة حال المستدل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بالقواعد التی تستنبط</w:t>
      </w:r>
      <w:r>
        <w:rPr>
          <w:rStyle w:val="FootnoteAnchor"/>
          <w:rtl w:val="true"/>
        </w:rPr>
        <w:footnoteReference w:id="26"/>
      </w:r>
      <w:r>
        <w:rPr>
          <w:rFonts w:ascii="IRNazanin" w:hAnsi="IRNazanin" w:eastAsia="IRNazanin"/>
          <w:color w:val="111111"/>
          <w:sz w:val="28"/>
          <w:sz w:val="28"/>
          <w:szCs w:val="28"/>
          <w:rtl w:val="true"/>
          <w:lang w:bidi="fa-IR"/>
        </w:rPr>
        <w:t>منها</w:t>
      </w:r>
      <w:r>
        <w:rPr>
          <w:rStyle w:val="FootnoteAnchor"/>
          <w:rtl w:val="true"/>
        </w:rPr>
        <w:footnoteReference w:id="27"/>
      </w:r>
      <w:r>
        <w:rPr>
          <w:rFonts w:ascii="IRNazanin" w:hAnsi="IRNazanin" w:eastAsia="IRNazanin"/>
          <w:color w:val="111111"/>
          <w:sz w:val="28"/>
          <w:sz w:val="28"/>
          <w:szCs w:val="28"/>
          <w:rtl w:val="true"/>
          <w:lang w:bidi="fa-IR"/>
        </w:rPr>
        <w:t>الأحکام الشرعیة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معرفته واجبة علی الکفایة، لتوقف العلم بالأحکام الواجبة کذلک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الکلام، و اللغة، و النحو، و التصریف</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أحکام اللّه تعالی، لتحصیل</w:t>
      </w:r>
      <w:r>
        <w:rPr>
          <w:rStyle w:val="FootnoteAnchor"/>
          <w:rtl w:val="true"/>
        </w:rPr>
        <w:footnoteReference w:id="29"/>
      </w:r>
      <w:r>
        <w:rPr>
          <w:rFonts w:ascii="Amiri" w:hAnsi="Amiri" w:eastAsia="Amiri" w:cs="Amiri"/>
          <w:color w:val="111111"/>
          <w:sz w:val="28"/>
          <w:sz w:val="28"/>
          <w:szCs w:val="28"/>
          <w:rtl w:val="true"/>
          <w:lang w:bidi="ar-SA"/>
        </w:rPr>
        <w:t>السعادة</w:t>
      </w:r>
      <w:r>
        <w:rPr>
          <w:rStyle w:val="FootnoteAnchor"/>
          <w:rtl w:val="true"/>
        </w:rPr>
        <w:footnoteReference w:id="30"/>
      </w:r>
      <w:r>
        <w:rPr>
          <w:rFonts w:ascii="IRNazanin" w:hAnsi="IRNazanin" w:eastAsia="IRNazanin"/>
          <w:color w:val="111111"/>
          <w:sz w:val="28"/>
          <w:sz w:val="28"/>
          <w:szCs w:val="28"/>
          <w:rtl w:val="true"/>
          <w:lang w:bidi="fa-IR"/>
        </w:rPr>
        <w:t>الأبدیة بامتثالها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مبادئه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و اللغة و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2"/>
      </w:r>
      <w:r>
        <w:rPr>
          <w:rFonts w:ascii="IRNazanin" w:hAnsi="IRNazanin" w:eastAsia="IRNazanin"/>
          <w:color w:val="111111"/>
          <w:sz w:val="28"/>
          <w:sz w:val="28"/>
          <w:szCs w:val="28"/>
          <w:rtl w:val="true"/>
          <w:lang w:bidi="fa-IR"/>
        </w:rPr>
        <w:t>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الفقه علی الإجمال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المثبتة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تفید معرفته العلم بشی‌ء آخر، إثباتا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تفید</w:t>
      </w:r>
      <w:r>
        <w:rPr>
          <w:rStyle w:val="FootnoteAnchor"/>
          <w:rtl w:val="true"/>
        </w:rPr>
        <w:footnoteReference w:id="33"/>
      </w:r>
      <w:r>
        <w:rPr>
          <w:rFonts w:ascii="IRNazanin" w:hAnsi="IRNazanin" w:eastAsia="IRNazanin"/>
          <w:color w:val="111111"/>
          <w:sz w:val="28"/>
          <w:sz w:val="28"/>
          <w:szCs w:val="28"/>
          <w:rtl w:val="true"/>
          <w:lang w:bidi="fa-IR"/>
        </w:rPr>
        <w:t>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 و إلّا جاء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امور ذهنیة لیتوصل بها إلی أمر</w:t>
      </w:r>
      <w:r>
        <w:rPr>
          <w:rStyle w:val="FootnoteAnchor"/>
          <w:rtl w:val="true"/>
        </w:rPr>
        <w:footnoteReference w:id="34"/>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راجح یجوز معه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الاعتقادین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مع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للاعتقاد</w:t>
      </w:r>
      <w:r>
        <w:rPr>
          <w:rStyle w:val="FootnoteAnchor"/>
          <w:rtl w:val="true"/>
        </w:rPr>
        <w:footnoteReference w:id="35"/>
      </w:r>
      <w:r>
        <w:rPr>
          <w:rFonts w:ascii="IRNazanin" w:hAnsi="IRNazanin" w:eastAsia="IRNazanin"/>
          <w:color w:val="111111"/>
          <w:sz w:val="28"/>
          <w:sz w:val="28"/>
          <w:szCs w:val="28"/>
          <w:rtl w:val="true"/>
          <w:lang w:bidi="fa-IR"/>
        </w:rPr>
        <w:t>الراجح الخالی عن الجزم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یستجمع العلم الجزم و المطابقة و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ینتقض</w:t>
      </w:r>
      <w:r>
        <w:rPr>
          <w:rStyle w:val="FootnoteAnchor"/>
          <w:rtl w:val="true"/>
        </w:rPr>
        <w:footnoteReference w:id="36"/>
      </w:r>
      <w:r>
        <w:rPr>
          <w:rFonts w:ascii="IRNazanin" w:hAnsi="IRNazanin" w:eastAsia="IRNazanin"/>
          <w:color w:val="111111"/>
          <w:sz w:val="28"/>
          <w:sz w:val="28"/>
          <w:szCs w:val="28"/>
          <w:rtl w:val="true"/>
          <w:lang w:bidi="fa-IR"/>
        </w:rPr>
        <w:t>بالعادیات، لحصول الجزم و إمکان النقیض باعتبارین</w:t>
      </w:r>
      <w:r>
        <w:rPr>
          <w:rFonts w:eastAsia="IRNazanin" w:cs="IRNazanin"/>
          <w:color w:val="111111"/>
          <w:sz w:val="28"/>
          <w:szCs w:val="28"/>
          <w:rtl w:val="true"/>
          <w:lang w:bidi="fa-IR"/>
        </w:rPr>
        <w:t>.</w:t>
      </w:r>
      <w:bookmarkStart w:id="38" w:name="pg2360_36964"/>
    </w:p>
    <w:p>
      <w:pPr>
        <w:pStyle w:val="Heading3"/>
        <w:numPr>
          <w:ilvl w:val="2"/>
          <w:numId w:val="1"/>
        </w:numPr>
        <w:rPr/>
      </w:pPr>
      <w:bookmarkStart w:id="39" w:name="__RefHeading___Toc2792422_3804643083"/>
      <w:bookmarkStart w:id="40" w:name="_Toc14"/>
      <w:bookmarkEnd w:id="38"/>
      <w:bookmarkEnd w:id="39"/>
      <w:r>
        <w:rPr>
          <w:rtl w:val="true"/>
        </w:rPr>
        <w:t>الفصل الثانی</w:t>
      </w:r>
      <w:r>
        <w:rPr>
          <w:rtl w:val="true"/>
        </w:rPr>
        <w:t xml:space="preserve">: </w:t>
      </w:r>
      <w:r>
        <w:rPr>
          <w:rtl w:val="true"/>
        </w:rPr>
        <w:t>فی الحکم الشرعی</w:t>
      </w:r>
      <w:bookmarkEnd w:id="40"/>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الشرع</w:t>
      </w:r>
      <w:r>
        <w:rPr>
          <w:rStyle w:val="FootnoteAnchor"/>
          <w:rtl w:val="true"/>
        </w:rPr>
        <w:footnoteReference w:id="37"/>
      </w:r>
      <w:r>
        <w:rPr>
          <w:rFonts w:ascii="IRNazanin" w:hAnsi="IRNazanin" w:eastAsia="IRNazanin"/>
          <w:color w:val="111111"/>
          <w:sz w:val="28"/>
          <w:sz w:val="28"/>
          <w:szCs w:val="28"/>
          <w:rtl w:val="true"/>
          <w:lang w:bidi="fa-IR"/>
        </w:rPr>
        <w:t>المتعلق بأفعال المکلفین بالاقتضاء، أو التخییر، أو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الاقتضاء</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للوجود مع المنع من</w:t>
      </w:r>
      <w:r>
        <w:rPr>
          <w:rStyle w:val="FootnoteAnchor"/>
          <w:rtl w:val="true"/>
        </w:rPr>
        <w:footnoteReference w:id="39"/>
      </w:r>
      <w:r>
        <w:rPr>
          <w:rFonts w:ascii="IRNazanin" w:hAnsi="IRNazanin" w:eastAsia="IRNazanin"/>
          <w:color w:val="111111"/>
          <w:sz w:val="28"/>
          <w:sz w:val="28"/>
          <w:szCs w:val="28"/>
          <w:rtl w:val="true"/>
          <w:lang w:bidi="fa-IR"/>
        </w:rPr>
        <w:t>النقیض</w:t>
      </w:r>
      <w:r>
        <w:rPr>
          <w:rStyle w:val="FootnoteAnchor"/>
          <w:rtl w:val="true"/>
        </w:rPr>
        <w:footnoteReference w:id="40"/>
      </w:r>
      <w:r>
        <w:rPr>
          <w:rFonts w:ascii="IRNazanin" w:hAnsi="IRNazanin" w:eastAsia="IRNazanin"/>
          <w:color w:val="111111"/>
          <w:sz w:val="28"/>
          <w:sz w:val="28"/>
          <w:szCs w:val="28"/>
          <w:rtl w:val="true"/>
          <w:lang w:bidi="fa-IR"/>
        </w:rPr>
        <w:t>، فیکون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معه، فیکون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للعدم مع المنع من النقیض،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معه، فیکون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Style w:val="FootnoteAnchor"/>
          <w:rtl w:val="true"/>
        </w:rPr>
        <w:footnoteReference w:id="42"/>
      </w:r>
      <w:r>
        <w:rPr>
          <w:rFonts w:ascii="IRNazanin" w:hAnsi="IRNazanin" w:eastAsia="IRNazanin"/>
          <w:color w:val="111111"/>
          <w:sz w:val="28"/>
          <w:sz w:val="28"/>
          <w:szCs w:val="28"/>
          <w:rtl w:val="true"/>
          <w:lang w:bidi="fa-IR"/>
        </w:rPr>
        <w:t>علی الوصف بکونه شرطا، أو سببا، أو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رجع</w:t>
      </w:r>
      <w:r>
        <w:rPr>
          <w:rStyle w:val="FootnoteAnchor"/>
          <w:rtl w:val="true"/>
        </w:rPr>
        <w:footnoteReference w:id="43"/>
      </w:r>
      <w:r>
        <w:rPr>
          <w:rFonts w:ascii="IRNazanin" w:hAnsi="IRNazanin" w:eastAsia="IRNazanin"/>
          <w:color w:val="111111"/>
          <w:sz w:val="28"/>
          <w:sz w:val="28"/>
          <w:szCs w:val="28"/>
          <w:rtl w:val="true"/>
          <w:lang w:bidi="fa-IR"/>
        </w:rPr>
        <w:t>بنوع من الاعتبار إلی الأوّل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یذم تارکه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المخیّر، و الموسّع، و الکفایة، لأن الواجب فی</w:t>
      </w:r>
    </w:p>
    <w:p>
      <w:pPr>
        <w:pStyle w:val="BookText"/>
        <w:rPr/>
      </w:pPr>
      <w:r>
        <w:rPr>
          <w:rFonts w:ascii="Amiri" w:hAnsi="Amiri" w:eastAsia="Amiri" w:cs="Amiri"/>
          <w:color w:val="111111"/>
          <w:sz w:val="28"/>
          <w:sz w:val="28"/>
          <w:szCs w:val="28"/>
          <w:rtl w:val="true"/>
          <w:lang w:bidi="ar-SA"/>
        </w:rPr>
        <w:t>المخیّر و الموسّع الأمر</w:t>
      </w:r>
      <w:r>
        <w:rPr>
          <w:rStyle w:val="FootnoteAnchor"/>
          <w:rtl w:val="true"/>
        </w:rPr>
        <w:footnoteReference w:id="44"/>
      </w:r>
      <w:r>
        <w:rPr>
          <w:rFonts w:ascii="IRNazanin" w:hAnsi="IRNazanin" w:eastAsia="IRNazanin"/>
          <w:color w:val="111111"/>
          <w:sz w:val="28"/>
          <w:sz w:val="28"/>
          <w:szCs w:val="28"/>
          <w:rtl w:val="true"/>
          <w:lang w:bidi="fa-IR"/>
        </w:rPr>
        <w:t>الکلی، و فی الکفایة فعل کل واحد یقوم مقام الآخر</w:t>
      </w:r>
      <w:r>
        <w:rPr>
          <w:rStyle w:val="FootnoteAnchor"/>
          <w:rtl w:val="true"/>
        </w:rPr>
        <w:footnoteReference w:id="45"/>
      </w:r>
      <w:r>
        <w:rPr>
          <w:rFonts w:ascii="IRNazanin" w:hAnsi="IRNazanin" w:eastAsia="IRNazanin"/>
          <w:color w:val="111111"/>
          <w:sz w:val="28"/>
          <w:sz w:val="28"/>
          <w:szCs w:val="28"/>
          <w:rtl w:val="true"/>
          <w:lang w:bidi="fa-IR"/>
        </w:rPr>
        <w:t>، فکأنّ التارک فاعل</w:t>
      </w:r>
      <w:r>
        <w:rPr>
          <w:rStyle w:val="FootnoteAnchor"/>
          <w:rtl w:val="true"/>
        </w:rPr>
        <w:footnoteReference w:id="46"/>
      </w:r>
      <w:r>
        <w:rPr>
          <w:rFonts w:ascii="IRNazanin" w:hAnsi="IRNazanin" w:eastAsia="IRNazanin"/>
          <w:color w:val="111111"/>
          <w:sz w:val="28"/>
          <w:sz w:val="28"/>
          <w:szCs w:val="28"/>
          <w:rtl w:val="true"/>
          <w:lang w:bidi="fa-IR"/>
        </w:rPr>
        <w:t>، أو یزاد فی الحدّ</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یرادفه الفرض، و المحتوم، و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48"/>
      </w:r>
      <w:r>
        <w:rPr>
          <w:rFonts w:ascii="IRNazanin" w:hAnsi="IRNazanin" w:eastAsia="IRNazanin"/>
          <w:color w:val="111111"/>
          <w:sz w:val="28"/>
          <w:sz w:val="28"/>
          <w:szCs w:val="28"/>
          <w:rtl w:val="true"/>
          <w:lang w:bidi="fa-IR"/>
        </w:rPr>
        <w:t>الذی یذم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یرادفه الحرام، و المزجور عنه، و المعصیة، و الذنب، و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الراجح فعله مع جواز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المرغب فیه، و النافلة، و المستحب، و التطوع</w:t>
      </w:r>
      <w:r>
        <w:rPr>
          <w:rStyle w:val="FootnoteAnchor"/>
          <w:rtl w:val="true"/>
        </w:rPr>
        <w:footnoteReference w:id="49"/>
      </w:r>
      <w:r>
        <w:rPr>
          <w:rFonts w:ascii="Amiri" w:hAnsi="Amiri" w:eastAsia="Amiri" w:cs="Amiri"/>
          <w:color w:val="111111"/>
          <w:sz w:val="28"/>
          <w:sz w:val="28"/>
          <w:szCs w:val="28"/>
          <w:rtl w:val="true"/>
          <w:lang w:bidi="ar-SA"/>
        </w:rPr>
        <w:t>، و السنة، و الإحسان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تساوی وجوده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الجائز، و الحلال، و المطلق</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الراجح ترکه، و لا عقاب علی فعله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علی الحرام و ترک الأولی بالاشتراک</w:t>
      </w:r>
      <w:r>
        <w:rPr>
          <w:rFonts w:eastAsia="IRNazanin" w:cs="IRNazanin"/>
          <w:color w:val="111111"/>
          <w:sz w:val="28"/>
          <w:szCs w:val="28"/>
          <w:rtl w:val="true"/>
          <w:lang w:bidi="fa-IR"/>
        </w:rPr>
        <w:t>.</w:t>
      </w:r>
      <w:bookmarkStart w:id="41" w:name="pg2360_36966"/>
    </w:p>
    <w:p>
      <w:pPr>
        <w:pStyle w:val="Heading3"/>
        <w:numPr>
          <w:ilvl w:val="2"/>
          <w:numId w:val="1"/>
        </w:numPr>
        <w:rPr/>
      </w:pPr>
      <w:bookmarkStart w:id="42" w:name="__RefHeading___Toc2792424_3804643083"/>
      <w:bookmarkStart w:id="43" w:name="_Toc15"/>
      <w:bookmarkEnd w:id="41"/>
      <w:bookmarkEnd w:id="42"/>
      <w:r>
        <w:rPr>
          <w:rtl w:val="true"/>
        </w:rPr>
        <w:t>الفصل الثالث</w:t>
      </w:r>
      <w:r>
        <w:rPr>
          <w:rtl w:val="true"/>
        </w:rPr>
        <w:t xml:space="preserve">: </w:t>
      </w:r>
      <w:r>
        <w:rPr>
          <w:rtl w:val="true"/>
        </w:rPr>
        <w:t>فی تقسیم الفعل</w:t>
      </w:r>
      <w:bookmarkEnd w:id="43"/>
    </w:p>
    <w:p>
      <w:pPr>
        <w:pStyle w:val="BookText"/>
        <w:rPr/>
      </w:pPr>
      <w:r>
        <w:rPr>
          <w:rFonts w:ascii="IRNazanin" w:hAnsi="IRNazanin" w:eastAsia="IRNazanin"/>
          <w:color w:val="111111"/>
          <w:sz w:val="28"/>
          <w:sz w:val="28"/>
          <w:szCs w:val="28"/>
          <w:rtl w:val="true"/>
          <w:lang w:bidi="fa-IR"/>
        </w:rPr>
        <w:t>و هو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قد یوصف بالصحة، و هو فی العبادات</w:t>
      </w:r>
      <w:r>
        <w:rPr>
          <w:rStyle w:val="FootnoteAnchor"/>
          <w:rtl w:val="true"/>
        </w:rPr>
        <w:footnoteReference w:id="52"/>
      </w:r>
      <w:r>
        <w:rPr>
          <w:rFonts w:ascii="IRNazanin" w:hAnsi="IRNazanin" w:eastAsia="IRNazanin"/>
          <w:color w:val="111111"/>
          <w:sz w:val="28"/>
          <w:sz w:val="28"/>
          <w:szCs w:val="28"/>
          <w:rtl w:val="true"/>
          <w:lang w:bidi="fa-IR"/>
        </w:rPr>
        <w:t>ما وافق الشریعة</w:t>
      </w:r>
      <w:r>
        <w:rPr>
          <w:rStyle w:val="FootnoteAnchor"/>
          <w:rtl w:val="true"/>
        </w:rPr>
        <w:footnoteReference w:id="53"/>
      </w:r>
      <w:r>
        <w:rPr>
          <w:rFonts w:ascii="IRNazanin" w:hAnsi="IRNazanin" w:eastAsia="IRNazanin"/>
          <w:color w:val="111111"/>
          <w:sz w:val="28"/>
          <w:sz w:val="28"/>
          <w:szCs w:val="28"/>
          <w:rtl w:val="true"/>
          <w:lang w:bidi="fa-IR"/>
        </w:rPr>
        <w:t>، و عند الفقهاء ما أسقط القضاء، فصلاة من ظن الطهارة صحیحة علی الأوّل خاصة</w:t>
      </w:r>
      <w:r>
        <w:rPr>
          <w:rStyle w:val="FootnoteAnchor"/>
          <w:rtl w:val="true"/>
        </w:rPr>
        <w:footnoteReference w:id="54"/>
      </w:r>
      <w:r>
        <w:rPr>
          <w:rFonts w:ascii="IRNazanin" w:hAnsi="IRNazanin" w:eastAsia="IRNazanin"/>
          <w:color w:val="111111"/>
          <w:sz w:val="28"/>
          <w:sz w:val="28"/>
          <w:szCs w:val="28"/>
          <w:rtl w:val="true"/>
          <w:lang w:bidi="fa-IR"/>
        </w:rPr>
        <w:t>، و فی العقود ما</w:t>
      </w:r>
      <w:r>
        <w:rPr>
          <w:rStyle w:val="FootnoteAnchor"/>
          <w:rtl w:val="true"/>
        </w:rPr>
        <w:footnoteReference w:id="55"/>
      </w:r>
      <w:r>
        <w:rPr>
          <w:rFonts w:ascii="IRNazanin" w:hAnsi="IRNazanin" w:eastAsia="IRNazanin"/>
          <w:color w:val="111111"/>
          <w:sz w:val="28"/>
          <w:sz w:val="28"/>
          <w:szCs w:val="28"/>
          <w:rtl w:val="true"/>
          <w:lang w:bidi="fa-IR"/>
        </w:rPr>
        <w:t>ترتب</w:t>
      </w:r>
      <w:r>
        <w:rPr>
          <w:rStyle w:val="FootnoteAnchor"/>
          <w:rtl w:val="true"/>
        </w:rPr>
        <w:footnoteReference w:id="56"/>
      </w:r>
      <w:r>
        <w:rPr>
          <w:rFonts w:ascii="IRNazanin" w:hAnsi="IRNazanin" w:eastAsia="IRNazanin"/>
          <w:color w:val="111111"/>
          <w:sz w:val="28"/>
          <w:sz w:val="28"/>
          <w:szCs w:val="28"/>
          <w:rtl w:val="true"/>
          <w:lang w:bidi="fa-IR"/>
        </w:rPr>
        <w:t>أثر السبب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یوصف بالبطلان، و هو ما قابل الاعتبارین، و هو یرادف</w:t>
      </w:r>
      <w:r>
        <w:rPr>
          <w:rStyle w:val="FootnoteAnchor"/>
          <w:rtl w:val="true"/>
        </w:rPr>
        <w:footnoteReference w:id="57"/>
      </w:r>
      <w:r>
        <w:rPr>
          <w:rFonts w:ascii="IRNazanin" w:hAnsi="IRNazanin" w:eastAsia="IRNazanin"/>
          <w:color w:val="111111"/>
          <w:sz w:val="28"/>
          <w:sz w:val="28"/>
          <w:szCs w:val="28"/>
          <w:rtl w:val="true"/>
          <w:lang w:bidi="fa-IR"/>
        </w:rPr>
        <w:t>الفاسد، خلافا للحنفیة حیث جعلوا الفاسد مختصا بالمنعقد بأصله دون وصفه، کالربا المشروع من حیث إنه بیع، الممنوع من حیث الزیادة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قد یکون حسنا، و هو ما للفاعل القادر علیه</w:t>
      </w:r>
      <w:r>
        <w:rPr>
          <w:rStyle w:val="FootnoteAnchor"/>
          <w:rtl w:val="true"/>
        </w:rPr>
        <w:footnoteReference w:id="59"/>
      </w:r>
      <w:r>
        <w:rPr>
          <w:rFonts w:ascii="IRNazanin" w:hAnsi="IRNazanin" w:eastAsia="IRNazanin"/>
          <w:color w:val="111111"/>
          <w:sz w:val="28"/>
          <w:sz w:val="28"/>
          <w:szCs w:val="28"/>
          <w:rtl w:val="true"/>
          <w:lang w:bidi="fa-IR"/>
        </w:rPr>
        <w:t>العالم به أن یفعله، أو الذی لم یکن علی صفة تؤثر فی استحقاق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قبیحا، و هو الذی لیس له فعله، أو الذی علی صفة لها تأثیر فی استحقاق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60"/>
      </w:r>
      <w:r>
        <w:rPr>
          <w:rFonts w:ascii="IRNazanin" w:hAnsi="IRNazanin" w:eastAsia="IRNazanin"/>
          <w:color w:val="111111"/>
          <w:sz w:val="28"/>
          <w:sz w:val="28"/>
          <w:szCs w:val="28"/>
          <w:rtl w:val="true"/>
          <w:lang w:bidi="fa-IR"/>
        </w:rPr>
        <w:t>قول، أو فعل، أو ترک قول، أو ترک فعل ینبئ عن اتضاع حال</w:t>
      </w:r>
      <w:r>
        <w:rPr>
          <w:rStyle w:val="FootnoteAnchor"/>
          <w:rtl w:val="true"/>
        </w:rPr>
        <w:footnoteReference w:id="61"/>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أنهما عقلیان، خلافا للأشاعرة</w:t>
      </w:r>
      <w:r>
        <w:rPr>
          <w:rStyle w:val="FootnoteAnchor"/>
          <w:rtl w:val="true"/>
        </w:rPr>
        <w:footnoteReference w:id="62"/>
      </w:r>
      <w:r>
        <w:rPr>
          <w:rFonts w:ascii="IRNazanin" w:hAnsi="IRNazanin" w:eastAsia="IRNazanin"/>
          <w:color w:val="111111"/>
          <w:sz w:val="28"/>
          <w:sz w:val="28"/>
          <w:szCs w:val="28"/>
          <w:rtl w:val="true"/>
          <w:lang w:bidi="fa-IR"/>
        </w:rPr>
        <w:t>، للعلم الضروری بقبح الظلم و الکذب الضار و الجهل، و حسن الصدق النافع و الإحسان و العلم، و لهذا یحکم به من لا یتدین بالشرائع، و لأنه لو لا ذلک لصح</w:t>
      </w:r>
      <w:r>
        <w:rPr>
          <w:rStyle w:val="FootnoteAnchor"/>
          <w:rtl w:val="true"/>
        </w:rPr>
        <w:footnoteReference w:id="63"/>
      </w:r>
      <w:r>
        <w:rPr>
          <w:rFonts w:ascii="IRNazanin" w:hAnsi="IRNazanin" w:eastAsia="IRNazanin"/>
          <w:color w:val="111111"/>
          <w:sz w:val="28"/>
          <w:sz w:val="28"/>
          <w:szCs w:val="28"/>
          <w:rtl w:val="true"/>
          <w:lang w:bidi="fa-IR"/>
        </w:rPr>
        <w:t>إظهار المعجز</w:t>
      </w:r>
      <w:r>
        <w:rPr>
          <w:rStyle w:val="FootnoteAnchor"/>
          <w:rtl w:val="true"/>
        </w:rPr>
        <w:footnoteReference w:id="64"/>
      </w:r>
      <w:r>
        <w:rPr>
          <w:rFonts w:ascii="IRNazanin" w:hAnsi="IRNazanin" w:eastAsia="IRNazanin"/>
          <w:color w:val="111111"/>
          <w:sz w:val="28"/>
          <w:sz w:val="28"/>
          <w:szCs w:val="28"/>
          <w:rtl w:val="true"/>
          <w:lang w:bidi="fa-IR"/>
        </w:rPr>
        <w:t>علی ید الکاذب، فیمتنع العلم بصدق المحق، فتنتفی فائدة النبوّة</w:t>
      </w:r>
      <w:r>
        <w:rPr>
          <w:rStyle w:val="FootnoteAnchor"/>
          <w:rtl w:val="true"/>
        </w:rPr>
        <w:footnoteReference w:id="65"/>
      </w:r>
      <w:r>
        <w:rPr>
          <w:rFonts w:ascii="IRNazanin" w:hAnsi="IRNazanin" w:eastAsia="IRNazanin"/>
          <w:color w:val="111111"/>
          <w:sz w:val="28"/>
          <w:sz w:val="28"/>
          <w:szCs w:val="28"/>
          <w:rtl w:val="true"/>
          <w:lang w:bidi="fa-IR"/>
        </w:rPr>
        <w:t>، و لجاز الکذب علیه</w:t>
      </w:r>
      <w:r>
        <w:rPr>
          <w:rStyle w:val="FootnoteAnchor"/>
          <w:rtl w:val="true"/>
        </w:rPr>
        <w:footnoteReference w:id="66"/>
      </w:r>
      <w:r>
        <w:rPr>
          <w:rFonts w:ascii="IRNazanin" w:hAnsi="IRNazanin" w:eastAsia="IRNazanin"/>
          <w:color w:val="111111"/>
          <w:sz w:val="28"/>
          <w:sz w:val="28"/>
          <w:szCs w:val="28"/>
          <w:rtl w:val="true"/>
          <w:lang w:bidi="fa-IR"/>
        </w:rPr>
        <w:t>تعالی، فینتفی الوثوق بوعده و وعیده، فتنتفی فائدة التکلیف، و لأنه یؤدی إلی إفحام الأنبیاء، و لأنا نعلم قطعا اختیار العاقل الصدق لو خیّر بینه و بین الکذب مع تساویهما</w:t>
      </w:r>
      <w:r>
        <w:rPr>
          <w:rStyle w:val="FootnoteAnchor"/>
          <w:rtl w:val="true"/>
        </w:rPr>
        <w:footnoteReference w:id="67"/>
      </w:r>
      <w:r>
        <w:rPr>
          <w:rFonts w:ascii="IRNazanin" w:hAnsi="IRNazanin" w:eastAsia="IRNazanin"/>
          <w:color w:val="111111"/>
          <w:sz w:val="28"/>
          <w:sz w:val="28"/>
          <w:szCs w:val="28"/>
          <w:rtl w:val="true"/>
          <w:lang w:bidi="fa-IR"/>
        </w:rPr>
        <w:t>من کل جهة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 العباد اضطراریة، فینتفی الحسن و القبح العقلیان، و ب</w:t>
      </w:r>
      <w:r>
        <w:rPr>
          <w:rFonts w:eastAsia="IRNazanin" w:cs="IRNazanin"/>
          <w:color w:val="111111"/>
          <w:sz w:val="28"/>
          <w:szCs w:val="28"/>
          <w:rtl w:val="true"/>
          <w:lang w:bidi="fa-IR"/>
        </w:rPr>
        <w:t>:</w:t>
      </w:r>
      <w:bookmarkStart w:id="44" w:name="pg2360_36968"/>
    </w:p>
    <w:p>
      <w:pPr>
        <w:pStyle w:val="BookText"/>
        <w:rPr/>
      </w:pPr>
      <w:bookmarkEnd w:id="44"/>
      <w:r>
        <w:rPr>
          <w:rFonts w:ascii="IRNazanin" w:hAnsi="IRNazanin" w:eastAsia="IRNazanin"/>
          <w:color w:val="111111"/>
          <w:sz w:val="28"/>
          <w:sz w:val="28"/>
          <w:szCs w:val="28"/>
          <w:rtl w:val="true"/>
          <w:lang w:bidi="fa-IR"/>
        </w:rPr>
        <w:t>قوله</w:t>
      </w:r>
      <w:r>
        <w:rPr>
          <w:rStyle w:val="FootnoteAnchor"/>
          <w:rtl w:val="true"/>
        </w:rPr>
        <w:footnoteReference w:id="68"/>
      </w:r>
      <w:r>
        <w:rPr>
          <w:rFonts w:ascii="Amiri" w:hAnsi="Amiri" w:eastAsia="Amiri" w:cs="Amiri"/>
          <w:color w:val="111111"/>
          <w:sz w:val="28"/>
          <w:sz w:val="28"/>
          <w:szCs w:val="28"/>
          <w:rtl w:val="true"/>
          <w:lang w:bidi="ar-SA"/>
        </w:rPr>
        <w:t>تعالی وَ ما کُنَّا مُعَذِّبِینَ حَتَّی نَبْعَثَ رَسُولًا</w:t>
      </w:r>
      <w:r>
        <w:rPr>
          <w:rStyle w:val="FootnoteAnchor"/>
          <w:rtl w:val="true"/>
        </w:rPr>
        <w:footnoteReference w:id="69"/>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صغری القیاس، و قد کذّبناها فی کتبنا الکلامیة</w:t>
      </w:r>
      <w:r>
        <w:rPr>
          <w:rStyle w:val="FootnoteAnchor"/>
          <w:rtl w:val="true"/>
        </w:rPr>
        <w:footnoteReference w:id="71"/>
      </w:r>
      <w:r>
        <w:rPr>
          <w:rFonts w:ascii="IRNazanin" w:hAnsi="IRNazanin" w:eastAsia="IRNazanin"/>
          <w:color w:val="111111"/>
          <w:sz w:val="28"/>
          <w:sz w:val="28"/>
          <w:szCs w:val="28"/>
          <w:rtl w:val="true"/>
          <w:lang w:bidi="fa-IR"/>
        </w:rPr>
        <w:t>، و السمع متأول بما ذکرناه فی</w:t>
      </w:r>
      <w:r>
        <w:rPr>
          <w:rStyle w:val="FootnoteAnchor"/>
          <w:rtl w:val="true"/>
        </w:rPr>
        <w:footnoteReference w:id="72"/>
      </w:r>
      <w:r>
        <w:rPr>
          <w:rFonts w:ascii="IRNazanin" w:hAnsi="IRNazanin" w:eastAsia="IRNazanin"/>
          <w:color w:val="111111"/>
          <w:sz w:val="28"/>
          <w:sz w:val="28"/>
          <w:szCs w:val="28"/>
          <w:rtl w:val="true"/>
          <w:lang w:bidi="fa-IR"/>
        </w:rPr>
        <w:t>نهایة الوصول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792426_3804643083"/>
      <w:bookmarkStart w:id="46" w:name="_Toc16"/>
      <w:bookmarkEnd w:id="45"/>
      <w:r>
        <w:rPr>
          <w:rtl w:val="true"/>
        </w:rPr>
        <w:t>تذنیبان</w:t>
      </w:r>
      <w:bookmarkEnd w:id="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شکر المنعم عقلا بالضرورة لم تجب المعرفة، لعدم الفرق بینهما عقلا، و التالی</w:t>
      </w:r>
      <w:r>
        <w:rPr>
          <w:rStyle w:val="FootnoteAnchor"/>
          <w:rtl w:val="true"/>
        </w:rPr>
        <w:footnoteReference w:id="74"/>
      </w:r>
      <w:r>
        <w:rPr>
          <w:rFonts w:ascii="IRNazanin" w:hAnsi="IRNazanin" w:eastAsia="IRNazanin"/>
          <w:color w:val="111111"/>
          <w:sz w:val="28"/>
          <w:sz w:val="28"/>
          <w:szCs w:val="28"/>
          <w:rtl w:val="true"/>
          <w:lang w:bidi="fa-IR"/>
        </w:rPr>
        <w:t>باطل، و إلّا لزم إفحام الأنبیاء؛ فالمقدم مثله، و لأنه معلوم بالضرورة للعقلاء، و لأنه دافع للخوف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احتجت الأشاعرة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لا لفائدة عبث، و الفائدة إن کانت عاجلة فهی منتفیة</w:t>
      </w:r>
      <w:r>
        <w:rPr>
          <w:rStyle w:val="FootnoteAnchor"/>
          <w:rtl w:val="true"/>
        </w:rPr>
        <w:footnoteReference w:id="75"/>
      </w:r>
      <w:r>
        <w:rPr>
          <w:rFonts w:ascii="IRNazanin" w:hAnsi="IRNazanin" w:eastAsia="IRNazanin"/>
          <w:color w:val="111111"/>
          <w:sz w:val="28"/>
          <w:sz w:val="28"/>
          <w:szCs w:val="28"/>
          <w:rtl w:val="true"/>
          <w:lang w:bidi="fa-IR"/>
        </w:rPr>
        <w:t>، لأن العاجل التعب، و إن کانت آجلة أمکن إیصالها</w:t>
      </w:r>
      <w:r>
        <w:rPr>
          <w:rStyle w:val="FootnoteAnchor"/>
          <w:rtl w:val="true"/>
        </w:rPr>
        <w:footnoteReference w:id="76"/>
      </w:r>
      <w:r>
        <w:rPr>
          <w:rFonts w:ascii="IRNazanin" w:hAnsi="IRNazanin" w:eastAsia="IRNazanin"/>
          <w:color w:val="111111"/>
          <w:sz w:val="28"/>
          <w:sz w:val="28"/>
          <w:szCs w:val="28"/>
          <w:rtl w:val="true"/>
          <w:lang w:bidi="fa-IR"/>
        </w:rPr>
        <w:t>بدونه، فکان</w:t>
      </w:r>
    </w:p>
    <w:p>
      <w:pPr>
        <w:pStyle w:val="BookText"/>
        <w:rPr/>
      </w:pPr>
      <w:r>
        <w:rPr>
          <w:rFonts w:ascii="IRNazanin" w:hAnsi="IRNazanin" w:eastAsia="IRNazanin"/>
          <w:color w:val="111111"/>
          <w:sz w:val="28"/>
          <w:sz w:val="28"/>
          <w:szCs w:val="28"/>
          <w:rtl w:val="true"/>
          <w:lang w:bidi="fa-IR"/>
        </w:rPr>
        <w:t>عبثا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یجب لکونه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Style w:val="FootnoteAnchor"/>
          <w:rtl w:val="true"/>
        </w:rPr>
        <w:footnoteReference w:id="78"/>
      </w:r>
      <w:r>
        <w:rPr>
          <w:rFonts w:ascii="IRNazanin" w:hAnsi="IRNazanin" w:eastAsia="IRNazanin"/>
          <w:color w:val="111111"/>
          <w:sz w:val="28"/>
          <w:sz w:val="28"/>
          <w:szCs w:val="28"/>
          <w:rtl w:val="true"/>
          <w:lang w:bidi="fa-IR"/>
        </w:rPr>
        <w:t>یستلزم فائدة اخری، و إلّا 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تکون الفائدة آجلة و لا یمکن إیصالها علی وجه الاستحقاق بدون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جماعة من الإمامیة</w:t>
      </w:r>
      <w:r>
        <w:rPr>
          <w:rStyle w:val="FootnoteAnchor"/>
          <w:rtl w:val="true"/>
        </w:rPr>
        <w:footnoteReference w:id="79"/>
      </w:r>
      <w:r>
        <w:rPr>
          <w:rFonts w:ascii="IRNazanin" w:hAnsi="IRNazanin" w:eastAsia="IRNazanin"/>
          <w:color w:val="111111"/>
          <w:sz w:val="28"/>
          <w:sz w:val="28"/>
          <w:szCs w:val="28"/>
          <w:rtl w:val="true"/>
          <w:lang w:bidi="fa-IR"/>
        </w:rPr>
        <w:t>و معتزلة بغداد إلی تحریم الأشیاء التی لیست اضطراریة قبل ورود الشرع، و ذهبت معتزلة البصرة إلی أنها علی الإباحة، و توقف الأشعری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مؤسس مذهب الأشاعرة، کان من المجتهدین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البصرة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تلقّی مذهب المعتزلة و تقدّم فیهم، ثمّ رجع و جاهر بخلافهم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ببغداد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بلغت مصنفاته ثلاثمائة کتاب،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عن اصول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ابن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الخوض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الثانی</w:t>
      </w:r>
      <w:r>
        <w:rPr>
          <w:rStyle w:val="FootnoteAnchor"/>
          <w:rtl w:val="true"/>
        </w:rPr>
        <w:footnoteReference w:id="81"/>
      </w:r>
      <w:r>
        <w:rPr>
          <w:rFonts w:ascii="IRNazanin" w:hAnsi="IRNazanin" w:eastAsia="IRNazanin"/>
          <w:color w:val="111111"/>
          <w:sz w:val="28"/>
          <w:sz w:val="28"/>
          <w:szCs w:val="28"/>
          <w:rtl w:val="true"/>
          <w:lang w:bidi="fa-IR"/>
        </w:rPr>
        <w:t>، لأنها</w:t>
      </w:r>
      <w:r>
        <w:rPr>
          <w:rStyle w:val="FootnoteAnchor"/>
          <w:rtl w:val="true"/>
        </w:rPr>
        <w:footnoteReference w:id="82"/>
      </w:r>
      <w:r>
        <w:rPr>
          <w:rFonts w:ascii="IRNazanin" w:hAnsi="IRNazanin" w:eastAsia="IRNazanin"/>
          <w:color w:val="111111"/>
          <w:sz w:val="28"/>
          <w:sz w:val="28"/>
          <w:szCs w:val="28"/>
          <w:rtl w:val="true"/>
          <w:lang w:bidi="fa-IR"/>
        </w:rPr>
        <w:t>منفعة خالیة عن أمارات المفسدة، و لا ضرر علی</w:t>
      </w:r>
    </w:p>
    <w:p>
      <w:pPr>
        <w:pStyle w:val="BookText"/>
        <w:rPr/>
      </w:pPr>
      <w:r>
        <w:rPr>
          <w:rFonts w:ascii="IRNazanin" w:hAnsi="IRNazanin" w:eastAsia="IRNazanin"/>
          <w:color w:val="111111"/>
          <w:sz w:val="28"/>
          <w:sz w:val="28"/>
          <w:szCs w:val="28"/>
          <w:rtl w:val="true"/>
          <w:lang w:bidi="fa-IR"/>
        </w:rPr>
        <w:t>المالک بتناولها</w:t>
      </w:r>
      <w:r>
        <w:rPr>
          <w:rStyle w:val="FootnoteAnchor"/>
          <w:rtl w:val="true"/>
        </w:rPr>
        <w:footnoteReference w:id="83"/>
      </w:r>
      <w:r>
        <w:rPr>
          <w:rFonts w:ascii="IRNazanin" w:hAnsi="IRNazanin" w:eastAsia="IRNazanin"/>
          <w:color w:val="111111"/>
          <w:sz w:val="28"/>
          <w:sz w:val="28"/>
          <w:szCs w:val="28"/>
          <w:rtl w:val="true"/>
          <w:lang w:bidi="fa-IR"/>
        </w:rPr>
        <w:t>، فوجب حسنه، کالاستظلال بحائط الغیر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المانع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تصرف فی مال الغیر بغیر إذنه، فکان حراما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معلوم عقلا، کالاستظلال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قد یکون مجزیا، بمعنی أنّ الإتیان به کاف فی سقوط التعبد به، و إنّما یحصل ذلک لو أتی المکلف به مستجمعا لجمیع الامور المعتبرة فیه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کذلک، إذا لم یوقعه المکلف علی وجهه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یصح وصف الفعل بالإجزاء إذا أمکن وقوعه علی وجهین</w:t>
      </w:r>
      <w:r>
        <w:rPr>
          <w:rStyle w:val="FootnoteAnchor"/>
          <w:rtl w:val="true"/>
        </w:rPr>
        <w:footnoteReference w:id="87"/>
      </w:r>
      <w:r>
        <w:rPr>
          <w:rFonts w:ascii="IRNazanin" w:hAnsi="IRNazanin" w:eastAsia="IRNazanin"/>
          <w:color w:val="111111"/>
          <w:sz w:val="28"/>
          <w:sz w:val="28"/>
          <w:szCs w:val="28"/>
          <w:rtl w:val="true"/>
          <w:lang w:bidi="fa-IR"/>
        </w:rPr>
        <w:t>أو علی جهات، أمّا ما لا یقع إلّا علی وجه واحد، کالمعرفة، فلا یصح وصفه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إن اتی به فی وقته سمّی الإتیان به</w:t>
      </w:r>
      <w:r>
        <w:rPr>
          <w:rStyle w:val="FootnoteAnchor"/>
          <w:rtl w:val="true"/>
        </w:rPr>
        <w:footnoteReference w:id="88"/>
      </w:r>
      <w:r>
        <w:rPr>
          <w:rFonts w:ascii="IRNazanin" w:hAnsi="IRNazanin" w:eastAsia="IRNazanin"/>
          <w:color w:val="111111"/>
          <w:sz w:val="28"/>
          <w:sz w:val="28"/>
          <w:szCs w:val="28"/>
          <w:rtl w:val="true"/>
          <w:lang w:bidi="fa-IR"/>
        </w:rPr>
        <w:t>أداء، و إن کان بعد وقته الموسّع أو المضیّق سمّی قضاء، و إن فعل ثانیا فی وقته، لوقوع الأوّل علی نوع من الخلل، سمّی إعادة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یعصی المکلف إذا أخّر الموسّع عن الوقت الذی یغلب علی ظنه أنه لو</w:t>
      </w:r>
    </w:p>
    <w:p>
      <w:pPr>
        <w:pStyle w:val="BookText"/>
        <w:rPr/>
      </w:pPr>
      <w:r>
        <w:rPr>
          <w:rFonts w:ascii="IRNazanin" w:hAnsi="IRNazanin" w:eastAsia="IRNazanin"/>
          <w:color w:val="111111"/>
          <w:sz w:val="28"/>
          <w:sz w:val="28"/>
          <w:szCs w:val="28"/>
          <w:rtl w:val="true"/>
          <w:lang w:bidi="fa-IR"/>
        </w:rPr>
        <w:t>لم یفعله</w:t>
      </w:r>
      <w:r>
        <w:rPr>
          <w:rStyle w:val="FootnoteAnchor"/>
          <w:rtl w:val="true"/>
        </w:rPr>
        <w:footnoteReference w:id="89"/>
      </w:r>
      <w:r>
        <w:rPr>
          <w:rFonts w:ascii="IRNazanin" w:hAnsi="IRNazanin" w:eastAsia="IRNazanin"/>
          <w:color w:val="111111"/>
          <w:sz w:val="28"/>
          <w:sz w:val="28"/>
          <w:szCs w:val="28"/>
          <w:rtl w:val="true"/>
          <w:lang w:bidi="fa-IR"/>
        </w:rPr>
        <w:t>مات فیه</w:t>
      </w:r>
      <w:r>
        <w:rPr>
          <w:rStyle w:val="FootnoteAnchor"/>
          <w:rtl w:val="true"/>
        </w:rPr>
        <w:footnoteReference w:id="90"/>
      </w:r>
      <w:r>
        <w:rPr>
          <w:rFonts w:ascii="IRNazanin" w:hAnsi="IRNazanin" w:eastAsia="IRNazanin"/>
          <w:color w:val="111111"/>
          <w:sz w:val="28"/>
          <w:sz w:val="28"/>
          <w:szCs w:val="28"/>
          <w:rtl w:val="true"/>
          <w:lang w:bidi="fa-IR"/>
        </w:rPr>
        <w:t>، فلو أخّره و عاش؟ قال القاضی</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قضاء</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بمعتمد، لظهور بطلان ظنه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أخّره</w:t>
      </w:r>
      <w:r>
        <w:rPr>
          <w:rStyle w:val="FootnoteAnchor"/>
          <w:rtl w:val="true"/>
        </w:rPr>
        <w:footnoteReference w:id="94"/>
      </w:r>
      <w:r>
        <w:rPr>
          <w:rFonts w:ascii="Amiri" w:hAnsi="Amiri" w:eastAsia="Amiri" w:cs="Amiri"/>
          <w:color w:val="111111"/>
          <w:sz w:val="28"/>
          <w:sz w:val="28"/>
          <w:szCs w:val="28"/>
          <w:rtl w:val="true"/>
          <w:lang w:bidi="ar-SA"/>
        </w:rPr>
        <w:t>مع غلبة ظن</w:t>
      </w:r>
      <w:r>
        <w:rPr>
          <w:rStyle w:val="FootnoteAnchor"/>
          <w:rtl w:val="true"/>
        </w:rPr>
        <w:footnoteReference w:id="95"/>
      </w:r>
      <w:r>
        <w:rPr>
          <w:rFonts w:ascii="IRNazanin" w:hAnsi="IRNazanin" w:eastAsia="IRNazanin"/>
          <w:color w:val="111111"/>
          <w:sz w:val="28"/>
          <w:sz w:val="28"/>
          <w:szCs w:val="28"/>
          <w:rtl w:val="true"/>
          <w:lang w:bidi="fa-IR"/>
        </w:rPr>
        <w:t>السلامة فمات فجأة، لم یعص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w:t>
      </w:r>
      <w:r>
        <w:rPr>
          <w:rStyle w:val="FootnoteAnchor"/>
          <w:rtl w:val="true"/>
        </w:rPr>
        <w:footnoteReference w:id="96"/>
      </w:r>
      <w:r>
        <w:rPr>
          <w:rFonts w:ascii="IRNazanin" w:hAnsi="IRNazanin" w:eastAsia="IRNazanin"/>
          <w:color w:val="111111"/>
          <w:sz w:val="28"/>
          <w:sz w:val="28"/>
          <w:szCs w:val="28"/>
          <w:rtl w:val="true"/>
          <w:lang w:bidi="fa-IR"/>
        </w:rPr>
        <w:t>القضاء إنّما یثبت عند وجود سبب وجوب الأداء مع عدم الأداء، إمّا مع وجوبه و ترکه کتارک</w:t>
      </w:r>
      <w:r>
        <w:rPr>
          <w:rStyle w:val="FootnoteAnchor"/>
          <w:rtl w:val="true"/>
        </w:rPr>
        <w:footnoteReference w:id="97"/>
      </w:r>
      <w:r>
        <w:rPr>
          <w:rFonts w:ascii="IRNazanin" w:hAnsi="IRNazanin" w:eastAsia="IRNazanin"/>
          <w:color w:val="111111"/>
          <w:sz w:val="28"/>
          <w:sz w:val="28"/>
          <w:szCs w:val="28"/>
          <w:rtl w:val="true"/>
          <w:lang w:bidi="fa-IR"/>
        </w:rPr>
        <w:t>الصلاة حتی یخرج الوقت، أو مع عدم الوجوب</w:t>
      </w:r>
      <w:r>
        <w:rPr>
          <w:rStyle w:val="FootnoteAnchor"/>
          <w:rtl w:val="true"/>
        </w:rPr>
        <w:footnoteReference w:id="98"/>
      </w:r>
      <w:r>
        <w:rPr>
          <w:rFonts w:ascii="IRNazanin" w:hAnsi="IRNazanin" w:eastAsia="IRNazanin"/>
          <w:color w:val="111111"/>
          <w:sz w:val="28"/>
          <w:sz w:val="28"/>
          <w:szCs w:val="28"/>
          <w:rtl w:val="true"/>
          <w:lang w:bidi="fa-IR"/>
        </w:rPr>
        <w:t>لامتناعه عقلا کالنائم، أو شرعا کالحائض، أو لا لامتناعه کالمسافر إذا علم</w:t>
      </w:r>
      <w:r>
        <w:rPr>
          <w:rStyle w:val="FootnoteAnchor"/>
          <w:rtl w:val="true"/>
        </w:rPr>
        <w:footnoteReference w:id="99"/>
      </w:r>
      <w:r>
        <w:rPr>
          <w:rFonts w:ascii="IRNazanin" w:hAnsi="IRNazanin" w:eastAsia="IRNazanin"/>
          <w:color w:val="111111"/>
          <w:sz w:val="28"/>
          <w:sz w:val="28"/>
          <w:szCs w:val="28"/>
          <w:rtl w:val="true"/>
          <w:lang w:bidi="fa-IR"/>
        </w:rPr>
        <w:t>القدوم قبل الزوال، و المریض إذا علم برأه قبل الزوال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قد یکون عزیمة، و هو ما جاز فعله لا مع قیام المقتضی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للمنع، أو رخصة و هو الجائز معه</w:t>
      </w:r>
      <w:r>
        <w:rPr>
          <w:rStyle w:val="FootnoteAnchor"/>
          <w:rtl w:val="true"/>
        </w:rPr>
        <w:footnoteReference w:id="100"/>
      </w:r>
      <w:r>
        <w:rPr>
          <w:rFonts w:ascii="IRNazanin" w:hAnsi="IRNazanin" w:eastAsia="IRNazanin"/>
          <w:color w:val="111111"/>
          <w:sz w:val="28"/>
          <w:sz w:val="28"/>
          <w:szCs w:val="28"/>
          <w:rtl w:val="true"/>
          <w:lang w:bidi="fa-IR"/>
        </w:rPr>
        <w:t>، فمباح الأصل لیس رخصة</w:t>
      </w:r>
      <w:r>
        <w:rPr>
          <w:rStyle w:val="FootnoteAnchor"/>
          <w:rtl w:val="true"/>
        </w:rPr>
        <w:footnoteReference w:id="101"/>
      </w:r>
      <w:r>
        <w:rPr>
          <w:rFonts w:ascii="IRNazanin" w:hAnsi="IRNazanin" w:eastAsia="IRNazanin"/>
          <w:color w:val="111111"/>
          <w:sz w:val="28"/>
          <w:sz w:val="28"/>
          <w:szCs w:val="28"/>
          <w:rtl w:val="true"/>
          <w:lang w:bidi="fa-IR"/>
        </w:rPr>
        <w:t>، و تناول المیتة رخصة، و قد تجب الرخصة کالتناول عند خوف الهلاک</w:t>
      </w:r>
      <w:r>
        <w:rPr>
          <w:rFonts w:eastAsia="IRNazanin" w:cs="IRNazanin"/>
          <w:color w:val="111111"/>
          <w:sz w:val="28"/>
          <w:szCs w:val="28"/>
          <w:rtl w:val="true"/>
          <w:lang w:bidi="fa-IR"/>
        </w:rPr>
        <w:t>.</w:t>
      </w:r>
      <w:bookmarkStart w:id="47" w:name="pg2360_36973"/>
    </w:p>
    <w:p>
      <w:pPr>
        <w:pStyle w:val="Heading2"/>
        <w:numPr>
          <w:ilvl w:val="1"/>
          <w:numId w:val="1"/>
        </w:numPr>
        <w:rPr/>
      </w:pPr>
      <w:bookmarkStart w:id="48" w:name="__RefHeading___Toc2792428_3804643083"/>
      <w:bookmarkStart w:id="49" w:name="_Toc17"/>
      <w:bookmarkEnd w:id="47"/>
      <w:bookmarkEnd w:id="48"/>
      <w:r>
        <w:rPr>
          <w:rtl w:val="true"/>
        </w:rPr>
        <w:t>المقصد الثّانی فی اللّغات و فیه فصول</w:t>
      </w:r>
      <w:bookmarkEnd w:id="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792430_3804643083"/>
      <w:bookmarkStart w:id="51" w:name="_Toc18"/>
      <w:bookmarkEnd w:id="50"/>
      <w:r>
        <w:rPr>
          <w:rtl w:val="true"/>
        </w:rPr>
        <w:t>اشارة</w:t>
      </w:r>
      <w:bookmarkStart w:id="52" w:name="pg2360_36975"/>
      <w:bookmarkEnd w:id="51"/>
    </w:p>
    <w:p>
      <w:pPr>
        <w:pStyle w:val="Heading3"/>
        <w:numPr>
          <w:ilvl w:val="2"/>
          <w:numId w:val="1"/>
        </w:numPr>
        <w:rPr/>
      </w:pPr>
      <w:bookmarkStart w:id="53" w:name="__RefHeading___Toc2792432_3804643083"/>
      <w:bookmarkStart w:id="54" w:name="_Toc19"/>
      <w:bookmarkEnd w:id="52"/>
      <w:bookmarkEnd w:id="53"/>
      <w:r>
        <w:rPr>
          <w:rtl w:val="true"/>
        </w:rPr>
        <w:t>الأوّل</w:t>
      </w:r>
      <w:r>
        <w:rPr>
          <w:rtl w:val="true"/>
        </w:rPr>
        <w:t xml:space="preserve">: </w:t>
      </w:r>
      <w:r>
        <w:rPr>
          <w:rtl w:val="true"/>
        </w:rPr>
        <w:t>فی الواضع</w:t>
      </w:r>
      <w:bookmarkEnd w:id="54"/>
    </w:p>
    <w:p>
      <w:pPr>
        <w:pStyle w:val="BookText"/>
        <w:rPr/>
      </w:pPr>
      <w:r>
        <w:rPr>
          <w:rFonts w:ascii="IRNazanin" w:hAnsi="IRNazanin" w:eastAsia="IRNazanin"/>
          <w:color w:val="111111"/>
          <w:sz w:val="28"/>
          <w:sz w:val="28"/>
          <w:szCs w:val="28"/>
          <w:rtl w:val="true"/>
          <w:lang w:bidi="fa-IR"/>
        </w:rPr>
        <w:t>ذهب عبّاد بن سلیمان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کذا ذکر الدکتور العلوانی فی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اللفظ یدل علی المعنی لذاته، لاستحالة ترجیح بعض الألفاظ بمعناه من 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أطبق المحققون علی بطلانه، و المخصّص إمّا إرادة المختار، أو سبق المعنی حال</w:t>
      </w:r>
      <w:r>
        <w:rPr>
          <w:rStyle w:val="FootnoteAnchor"/>
          <w:rtl w:val="true"/>
        </w:rPr>
        <w:footnoteReference w:id="103"/>
      </w:r>
      <w:r>
        <w:rPr>
          <w:rFonts w:ascii="IRNazanin" w:hAnsi="IRNazanin" w:eastAsia="IRNazanin"/>
          <w:color w:val="111111"/>
          <w:sz w:val="28"/>
          <w:sz w:val="28"/>
          <w:szCs w:val="28"/>
          <w:rtl w:val="true"/>
          <w:lang w:bidi="fa-IR"/>
        </w:rPr>
        <w:t>خطور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اختلفوا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فالأشعری و ابن فورک</w:t>
      </w:r>
      <w:r>
        <w:rPr>
          <w:rStyle w:val="FootnoteAnchor"/>
          <w:rtl w:val="true"/>
        </w:rPr>
        <w:footnoteReference w:id="104"/>
      </w:r>
      <w:r>
        <w:rPr>
          <w:rFonts w:ascii="Amiri" w:hAnsi="Amiri" w:eastAsia="Amiri" w:cs="Amiri"/>
          <w:color w:val="111111"/>
          <w:sz w:val="28"/>
          <w:sz w:val="28"/>
          <w:szCs w:val="28"/>
          <w:rtl w:val="true"/>
          <w:lang w:bidi="ar-SA"/>
        </w:rPr>
        <w:t>علی أنها توقیفیة، لقوله تعالی وَ عَلَّمَ آدَمَ الْأَسْماءَ</w:t>
      </w:r>
    </w:p>
    <w:p>
      <w:pPr>
        <w:pStyle w:val="BookText"/>
        <w:rPr/>
      </w:pPr>
      <w:r>
        <w:rPr>
          <w:rFonts w:ascii="Amiri" w:hAnsi="Amiri" w:eastAsia="Amiri" w:cs="Amiri"/>
          <w:color w:val="111111"/>
          <w:sz w:val="28"/>
          <w:sz w:val="28"/>
          <w:szCs w:val="28"/>
          <w:rtl w:val="true"/>
          <w:lang w:bidi="ar-SA"/>
        </w:rPr>
        <w:t>کُلَّها</w:t>
      </w:r>
      <w:r>
        <w:rPr>
          <w:rStyle w:val="FootnoteAnchor"/>
          <w:rtl w:val="true"/>
        </w:rPr>
        <w:footnoteReference w:id="105"/>
      </w:r>
      <w:r>
        <w:rPr>
          <w:rFonts w:ascii="Amiri" w:hAnsi="Amiri" w:eastAsia="Amiri" w:cs="Amiri"/>
          <w:color w:val="111111"/>
          <w:sz w:val="28"/>
          <w:sz w:val="28"/>
          <w:szCs w:val="28"/>
          <w:rtl w:val="true"/>
          <w:lang w:bidi="ar-SA"/>
        </w:rPr>
        <w:t>و قوله تعالی وَ اخْتِلافُ أَلْسِنَتِکُمْ</w:t>
      </w:r>
      <w:r>
        <w:rPr>
          <w:rStyle w:val="FootnoteAnchor"/>
          <w:rtl w:val="true"/>
        </w:rPr>
        <w:footnoteReference w:id="106"/>
      </w:r>
      <w:r>
        <w:rPr>
          <w:rFonts w:ascii="IRNazanin" w:hAnsi="IRNazanin" w:eastAsia="IRNazanin"/>
          <w:color w:val="111111"/>
          <w:sz w:val="28"/>
          <w:sz w:val="28"/>
          <w:szCs w:val="28"/>
          <w:rtl w:val="true"/>
          <w:lang w:bidi="fa-IR"/>
        </w:rPr>
        <w:t>و لیس المراد الجارحة المخصوصة، للاتفاق فیها، بل ما یصدر عنها تسمیة للمسبب باسم السبب، و لافتقار الاصطلاح إلی مثله فیتسلسل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هاشم</w:t>
      </w:r>
      <w:r>
        <w:rPr>
          <w:rStyle w:val="FootnoteAnchor"/>
          <w:rtl w:val="true"/>
        </w:rPr>
        <w:footnoteReference w:id="108"/>
      </w:r>
      <w:r>
        <w:rPr>
          <w:rFonts w:ascii="Amiri" w:hAnsi="Amiri" w:eastAsia="Amiri" w:cs="Amiri"/>
          <w:color w:val="111111"/>
          <w:sz w:val="28"/>
          <w:sz w:val="28"/>
          <w:szCs w:val="28"/>
          <w:rtl w:val="true"/>
          <w:lang w:bidi="ar-SA"/>
        </w:rPr>
        <w:t>علی أنها اصطلاحیة، لقوله تعالی وَ ما أَرْسَلْنا مِنْ رَسُولٍ إِلَّا بِلِسانِ قَوْمِهِ</w:t>
      </w:r>
      <w:r>
        <w:rPr>
          <w:rStyle w:val="FootnoteAnchor"/>
          <w:rtl w:val="true"/>
        </w:rPr>
        <w:footnoteReference w:id="109"/>
      </w:r>
      <w:r>
        <w:rPr>
          <w:rFonts w:ascii="IRNazanin" w:hAnsi="IRNazanin" w:eastAsia="IRNazanin"/>
          <w:color w:val="111111"/>
          <w:sz w:val="28"/>
          <w:sz w:val="28"/>
          <w:szCs w:val="28"/>
          <w:rtl w:val="true"/>
          <w:lang w:bidi="fa-IR"/>
        </w:rPr>
        <w:t>، دلّ علی سبق اللغة علی الرسول السابق علی التوقیف</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الاعتراض</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حمل التعلیم علی الإلهام باحتیاجه إلی هذه الألفاظ أو الإقدار علی وضعها، أو حمل الأسماء علی الصفات مثل کون الفرس للرکوب و الثور للحرث لأنها علامات، أو علّمه ما اصطلح علیه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حمل الألسنة علی اللغات أولی من حملها علی الإقدار علیها، مع تساویهما فی کونهما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الاصطلاح قد یعلم بالقرائن کالأطفال من غیر تسلسل، و نمنع توقف التوقیف</w:t>
      </w:r>
      <w:bookmarkStart w:id="55" w:name="pg2360_36977"/>
    </w:p>
    <w:p>
      <w:pPr>
        <w:pStyle w:val="BookText"/>
        <w:rPr/>
      </w:pPr>
      <w:bookmarkEnd w:id="55"/>
      <w:r>
        <w:rPr>
          <w:rFonts w:ascii="IRNazanin" w:hAnsi="IRNazanin" w:eastAsia="IRNazanin"/>
          <w:color w:val="111111"/>
          <w:sz w:val="28"/>
          <w:sz w:val="28"/>
          <w:szCs w:val="28"/>
          <w:rtl w:val="true"/>
          <w:lang w:bidi="fa-IR"/>
        </w:rPr>
        <w:t>علی البعثة، لجواز حصوله بالإلهام أو بخلق علم ضروری أو</w:t>
      </w:r>
      <w:r>
        <w:rPr>
          <w:rStyle w:val="FootnoteAnchor"/>
          <w:rtl w:val="true"/>
        </w:rPr>
        <w:footnoteReference w:id="112"/>
      </w:r>
      <w:r>
        <w:rPr>
          <w:rFonts w:ascii="IRNazanin" w:hAnsi="IRNazanin" w:eastAsia="IRNazanin"/>
          <w:color w:val="111111"/>
          <w:sz w:val="28"/>
          <w:sz w:val="28"/>
          <w:szCs w:val="28"/>
          <w:rtl w:val="true"/>
          <w:lang w:bidi="fa-IR"/>
        </w:rPr>
        <w:t>أصوات فی أجسام جمادیة</w:t>
      </w:r>
      <w:r>
        <w:rPr>
          <w:rFonts w:eastAsia="IRNazanin" w:cs="IRNazanin"/>
          <w:color w:val="111111"/>
          <w:sz w:val="28"/>
          <w:szCs w:val="28"/>
          <w:rtl w:val="true"/>
          <w:lang w:bidi="fa-IR"/>
        </w:rPr>
        <w:t>.</w:t>
      </w:r>
    </w:p>
    <w:p>
      <w:pPr>
        <w:pStyle w:val="Heading3"/>
        <w:numPr>
          <w:ilvl w:val="2"/>
          <w:numId w:val="1"/>
        </w:numPr>
        <w:rPr/>
      </w:pPr>
      <w:bookmarkStart w:id="56" w:name="__RefHeading___Toc2792434_3804643083"/>
      <w:bookmarkStart w:id="57" w:name="_Toc20"/>
      <w:bookmarkEnd w:id="56"/>
      <w:r>
        <w:rPr>
          <w:rtl w:val="true"/>
        </w:rPr>
        <w:t>الفصل الثانی</w:t>
      </w:r>
      <w:r>
        <w:rPr>
          <w:rtl w:val="true"/>
        </w:rPr>
        <w:t xml:space="preserve">: </w:t>
      </w:r>
      <w:r>
        <w:rPr>
          <w:rtl w:val="true"/>
        </w:rPr>
        <w:t>فی الموضوع له</w:t>
      </w:r>
      <w:bookmarkEnd w:id="57"/>
    </w:p>
    <w:p>
      <w:pPr>
        <w:pStyle w:val="BookText"/>
        <w:rPr/>
      </w:pPr>
      <w:r>
        <w:rPr>
          <w:rFonts w:ascii="IRNazanin" w:hAnsi="IRNazanin" w:eastAsia="IRNazanin"/>
          <w:color w:val="111111"/>
          <w:sz w:val="28"/>
          <w:sz w:val="28"/>
          <w:szCs w:val="28"/>
          <w:rtl w:val="true"/>
          <w:lang w:bidi="fa-IR"/>
        </w:rPr>
        <w:t>کل معنی تشتد الحاجة إلی التعبیر عنه وجب فی الحکمة وضع لفظ بإزائه، لوجود</w:t>
      </w:r>
      <w:r>
        <w:rPr>
          <w:rStyle w:val="FootnoteAnchor"/>
          <w:rtl w:val="true"/>
        </w:rPr>
        <w:footnoteReference w:id="113"/>
      </w:r>
      <w:r>
        <w:rPr>
          <w:rFonts w:ascii="IRNazanin" w:hAnsi="IRNazanin" w:eastAsia="IRNazanin"/>
          <w:color w:val="111111"/>
          <w:sz w:val="28"/>
          <w:sz w:val="28"/>
          <w:szCs w:val="28"/>
          <w:rtl w:val="true"/>
          <w:lang w:bidi="fa-IR"/>
        </w:rPr>
        <w:t>القدرة و الداعی و انتفاء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عداه لا یجب، و إلّا لزم وضع</w:t>
      </w:r>
      <w:r>
        <w:rPr>
          <w:rStyle w:val="FootnoteAnchor"/>
          <w:rtl w:val="true"/>
        </w:rPr>
        <w:footnoteReference w:id="114"/>
      </w:r>
      <w:r>
        <w:rPr>
          <w:rFonts w:ascii="IRNazanin" w:hAnsi="IRNazanin" w:eastAsia="IRNazanin"/>
          <w:color w:val="111111"/>
          <w:sz w:val="28"/>
          <w:sz w:val="28"/>
          <w:szCs w:val="28"/>
          <w:rtl w:val="true"/>
          <w:lang w:bidi="fa-IR"/>
        </w:rPr>
        <w:t>ما لا یتناهی من الألفاظ، و لأنّ أنواع الروائح و مراتب الاشتداد لم یوضع لها ألفاظ بخصوصیاتها، و لا یجوز وضع الظاهر بإزاء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القصد بوضع</w:t>
      </w:r>
      <w:r>
        <w:rPr>
          <w:rStyle w:val="FootnoteAnchor"/>
          <w:rtl w:val="true"/>
        </w:rPr>
        <w:footnoteReference w:id="115"/>
      </w:r>
      <w:r>
        <w:rPr>
          <w:rFonts w:ascii="IRNazanin" w:hAnsi="IRNazanin" w:eastAsia="IRNazanin"/>
          <w:color w:val="111111"/>
          <w:sz w:val="28"/>
          <w:sz w:val="28"/>
          <w:szCs w:val="28"/>
          <w:rtl w:val="true"/>
          <w:lang w:bidi="fa-IR"/>
        </w:rPr>
        <w:t>المفرد إفادة معناه، لتقدمها علیه، بل التمکن من ترکیب المعانی بواسطة ترکیب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اللفظ یدل علی المعنی الخارجی بواسطة الذهنی، لتغایر الألفاظ عند تغایر التخیلات للشخص المتحد فی الحقیقة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معرفة الوضع مستفادة من النقل المتواتر أو الآحاد أو المرکب من النقلین،</w:t>
      </w:r>
      <w:bookmarkStart w:id="58" w:name="pg2360_36978"/>
    </w:p>
    <w:p>
      <w:pPr>
        <w:pStyle w:val="BookText"/>
        <w:rPr/>
      </w:pPr>
      <w:bookmarkEnd w:id="58"/>
      <w:r>
        <w:rPr>
          <w:rFonts w:ascii="IRNazanin" w:hAnsi="IRNazanin" w:eastAsia="IRNazanin"/>
          <w:color w:val="111111"/>
          <w:sz w:val="28"/>
          <w:sz w:val="28"/>
          <w:szCs w:val="28"/>
          <w:rtl w:val="true"/>
          <w:lang w:bidi="fa-IR"/>
        </w:rPr>
        <w:t>کالاستثناء من الجمع</w:t>
      </w:r>
      <w:r>
        <w:rPr>
          <w:rStyle w:val="FootnoteAnchor"/>
          <w:rtl w:val="true"/>
        </w:rPr>
        <w:footnoteReference w:id="116"/>
      </w:r>
      <w:r>
        <w:rPr>
          <w:rFonts w:ascii="IRNazanin" w:hAnsi="IRNazanin" w:eastAsia="IRNazanin"/>
          <w:color w:val="111111"/>
          <w:sz w:val="28"/>
          <w:sz w:val="28"/>
          <w:szCs w:val="28"/>
          <w:rtl w:val="true"/>
          <w:lang w:bidi="fa-IR"/>
        </w:rPr>
        <w:t>، و کون الاستثناء إخراجا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792436_3804643083"/>
      <w:bookmarkStart w:id="60" w:name="_Toc21"/>
      <w:bookmarkEnd w:id="59"/>
      <w:r>
        <w:rPr>
          <w:rtl w:val="true"/>
        </w:rPr>
        <w:t>الفصل الثالث</w:t>
      </w:r>
      <w:r>
        <w:rPr>
          <w:rtl w:val="true"/>
        </w:rPr>
        <w:t xml:space="preserve">: </w:t>
      </w:r>
      <w:r>
        <w:rPr>
          <w:rtl w:val="true"/>
        </w:rPr>
        <w:t>فی تقسیم الألفاظ و هو من وجوه</w:t>
      </w:r>
      <w:r>
        <w:rPr>
          <w:rtl w:val="true"/>
        </w:rPr>
        <w:t>:</w:t>
      </w:r>
      <w:bookmarkEnd w:id="6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یدل علی المعنی بتوسط وضعه له مطابقة، و بتوسط دخوله فیما وضع له تضمنا، و بتوسط لزومه له ذهنا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الدال بالمطابقة مفرد إن لم یقصد بجزئه الدلالة علی جزء معناه حین هو جزء، و مرکب إن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المفرد جزئی إن منع نفس تصوره</w:t>
      </w:r>
      <w:r>
        <w:rPr>
          <w:rStyle w:val="FootnoteAnchor"/>
          <w:rtl w:val="true"/>
        </w:rPr>
        <w:footnoteReference w:id="118"/>
      </w:r>
      <w:r>
        <w:rPr>
          <w:rFonts w:ascii="IRNazanin" w:hAnsi="IRNazanin" w:eastAsia="IRNazanin"/>
          <w:color w:val="111111"/>
          <w:sz w:val="28"/>
          <w:sz w:val="28"/>
          <w:szCs w:val="28"/>
          <w:rtl w:val="true"/>
          <w:lang w:bidi="fa-IR"/>
        </w:rPr>
        <w:t>من</w:t>
      </w:r>
      <w:r>
        <w:rPr>
          <w:rStyle w:val="FootnoteAnchor"/>
          <w:rtl w:val="true"/>
        </w:rPr>
        <w:footnoteReference w:id="119"/>
      </w:r>
      <w:r>
        <w:rPr>
          <w:rFonts w:ascii="IRNazanin" w:hAnsi="IRNazanin" w:eastAsia="IRNazanin"/>
          <w:color w:val="111111"/>
          <w:sz w:val="28"/>
          <w:sz w:val="28"/>
          <w:szCs w:val="28"/>
          <w:rtl w:val="true"/>
          <w:lang w:bidi="fa-IR"/>
        </w:rPr>
        <w:t>الشرکة</w:t>
      </w:r>
      <w:r>
        <w:rPr>
          <w:rStyle w:val="FootnoteAnchor"/>
          <w:rtl w:val="true"/>
        </w:rPr>
        <w:footnoteReference w:id="120"/>
      </w:r>
      <w:r>
        <w:rPr>
          <w:rFonts w:ascii="IRNazanin" w:hAnsi="IRNazanin" w:eastAsia="IRNazanin"/>
          <w:color w:val="111111"/>
          <w:sz w:val="28"/>
          <w:sz w:val="28"/>
          <w:szCs w:val="28"/>
          <w:rtl w:val="true"/>
          <w:lang w:bidi="fa-IR"/>
        </w:rPr>
        <w:t>، و کلی إن لم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الکلی إمّا أن یکون</w:t>
      </w:r>
      <w:r>
        <w:rPr>
          <w:rStyle w:val="FootnoteAnchor"/>
          <w:rtl w:val="true"/>
        </w:rPr>
        <w:footnoteReference w:id="121"/>
      </w:r>
      <w:r>
        <w:rPr>
          <w:rFonts w:ascii="IRNazanin" w:hAnsi="IRNazanin" w:eastAsia="IRNazanin"/>
          <w:color w:val="111111"/>
          <w:sz w:val="28"/>
          <w:sz w:val="28"/>
          <w:szCs w:val="28"/>
          <w:rtl w:val="true"/>
          <w:lang w:bidi="fa-IR"/>
        </w:rPr>
        <w:t>نفس الماهیة، أو داخلا فیها إمّا جنسا أو فصلا، أو خارجا عنها إمّا خاصة أو عرضا عاما، و الخارج إمّا لازم للماهیة أو للوجود أو مفارق، و المفارق إمّا سریع المفارقة أو بطیئها، و سهل الزوال أو عسره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إن لم یستقل بالدلالة علی معناه فهو الأداة، و إن استقل فهو</w:t>
      </w:r>
    </w:p>
    <w:p>
      <w:pPr>
        <w:pStyle w:val="BookText"/>
        <w:rPr/>
      </w:pPr>
      <w:r>
        <w:rPr>
          <w:rFonts w:ascii="IRNazanin" w:hAnsi="IRNazanin" w:eastAsia="IRNazanin"/>
          <w:color w:val="111111"/>
          <w:sz w:val="28"/>
          <w:sz w:val="28"/>
          <w:szCs w:val="28"/>
          <w:rtl w:val="true"/>
          <w:lang w:bidi="fa-IR"/>
        </w:rPr>
        <w:t>الفعل إن دل بصیغته علی الزمان المعین، و إلّا فهو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المعنی إن اتحدا فهو العلم، و المضمر إن تشخص المعنی، و المتواطئ إن تساوت أفراده</w:t>
      </w:r>
      <w:r>
        <w:rPr>
          <w:rStyle w:val="FootnoteAnchor"/>
          <w:rtl w:val="true"/>
        </w:rPr>
        <w:footnoteReference w:id="122"/>
      </w:r>
      <w:r>
        <w:rPr>
          <w:rFonts w:ascii="IRNazanin" w:hAnsi="IRNazanin" w:eastAsia="IRNazanin"/>
          <w:color w:val="111111"/>
          <w:sz w:val="28"/>
          <w:sz w:val="28"/>
          <w:szCs w:val="28"/>
          <w:rtl w:val="true"/>
          <w:lang w:bidi="fa-IR"/>
        </w:rPr>
        <w:t>، و المشکک إن اختلفت بالأولویة و الأقدمیة و الأشدّیة و مقابلاتها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تکثّرا فهی المتباینة، سواء تعاند</w:t>
      </w:r>
      <w:r>
        <w:rPr>
          <w:rStyle w:val="FootnoteAnchor"/>
          <w:rtl w:val="true"/>
        </w:rPr>
        <w:footnoteReference w:id="123"/>
      </w:r>
      <w:r>
        <w:rPr>
          <w:rFonts w:ascii="IRNazanin" w:hAnsi="IRNazanin" w:eastAsia="IRNazanin"/>
          <w:color w:val="111111"/>
          <w:sz w:val="28"/>
          <w:sz w:val="28"/>
          <w:szCs w:val="28"/>
          <w:rtl w:val="true"/>
          <w:lang w:bidi="fa-IR"/>
        </w:rPr>
        <w:t>الموضوعان کالضدّین، أو لا کالذات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اتحد المعنی خاصة فهی المترادفة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اتحد اللفظ خاصة فهو المشترک إن وضع لهما معا بالنسبة إلی کل واحد منهما، و المجمل بالنسبة إلیهما معا، و الحقیقة و المجاز إن وضع لأحدهما ثمّ استعمل فی الثانی إن لم یغلب فیه، و إلّا فهو المنقول اللغوی أو الشرعی أو العرفی إن غلب و کان النقل لمناسبة، و المرتجل إن لم یکن 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المفید إن لم یحتمل غیر معناه فهو النص، و هو الراجح المانع من النقیض، و إن احتمل و کان راجحا فهو الظاهر، و المشترک بینهما</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تساویا فهو المجمل، و مرجوح الظاهر المؤول، و المشترک بینه و بین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نفی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المرکّب إن کان تاما و دلّ علی طلب الفعل دلالة أولیة فهو</w:t>
      </w:r>
    </w:p>
    <w:p>
      <w:pPr>
        <w:pStyle w:val="BookText"/>
        <w:rPr/>
      </w:pPr>
      <w:r>
        <w:rPr>
          <w:rFonts w:ascii="IRNazanin" w:hAnsi="IRNazanin" w:eastAsia="IRNazanin"/>
          <w:color w:val="111111"/>
          <w:sz w:val="28"/>
          <w:sz w:val="28"/>
          <w:szCs w:val="28"/>
          <w:rtl w:val="true"/>
          <w:lang w:bidi="fa-IR"/>
        </w:rPr>
        <w:t>الأمر إن قارن الاستعلاء، و الالتماس إن قارن التساوی، و السؤال و الدعاء إن قارن الخضوع، و إلّا فهو التنبیه إن لم یحتمل الصدق و الکذب، و هو جنس للتمنی و التّرجی و التعجب و القسم و النداء و العرض، و إن احتملهما فهو القضیة و الخبر و القول الجازم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تاما فهو إمّا تقییدی و هو المرکب من الموصوف و الصفة، أو غیر تقییدی و هو المرکب من اسم و أداة أو کلمة</w:t>
      </w:r>
      <w:r>
        <w:rPr>
          <w:rStyle w:val="FootnoteAnchor"/>
          <w:rtl w:val="true"/>
        </w:rPr>
        <w:footnoteReference w:id="126"/>
      </w:r>
      <w:r>
        <w:rPr>
          <w:rFonts w:ascii="IRNazanin" w:hAnsi="IRNazanin" w:eastAsia="IRNazanin"/>
          <w:color w:val="111111"/>
          <w:sz w:val="28"/>
          <w:sz w:val="28"/>
          <w:szCs w:val="28"/>
          <w:rtl w:val="true"/>
          <w:lang w:bidi="fa-IR"/>
        </w:rPr>
        <w:t>و أداة أو من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المفرد قد یکون مدلوله لفظا إمّا مفردا دالا علی معنی، کالکلمة الدالة علی الاسم الدال علی المعنی، أو غیر دال، کالحرف المعجم الدال علی کل واحد من الحروف التی لا تفید شیئا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مرکبا کالخبر</w:t>
      </w:r>
      <w:r>
        <w:rPr>
          <w:rStyle w:val="FootnoteAnchor"/>
          <w:rtl w:val="true"/>
        </w:rPr>
        <w:footnoteReference w:id="127"/>
      </w:r>
      <w:r>
        <w:rPr>
          <w:rFonts w:ascii="IRNazanin" w:hAnsi="IRNazanin" w:eastAsia="IRNazanin"/>
          <w:color w:val="111111"/>
          <w:sz w:val="28"/>
          <w:sz w:val="28"/>
          <w:szCs w:val="28"/>
          <w:rtl w:val="true"/>
          <w:lang w:bidi="fa-IR"/>
        </w:rPr>
        <w:t>و القضیة</w:t>
      </w:r>
      <w:r>
        <w:rPr>
          <w:rFonts w:eastAsia="IRNazanin" w:cs="IRNazanin"/>
          <w:color w:val="111111"/>
          <w:sz w:val="28"/>
          <w:szCs w:val="28"/>
          <w:rtl w:val="true"/>
          <w:lang w:bidi="fa-IR"/>
        </w:rPr>
        <w:t>.</w:t>
      </w:r>
      <w:bookmarkStart w:id="61" w:name="pg2360_36981"/>
    </w:p>
    <w:p>
      <w:pPr>
        <w:pStyle w:val="Heading3"/>
        <w:numPr>
          <w:ilvl w:val="2"/>
          <w:numId w:val="1"/>
        </w:numPr>
        <w:rPr/>
      </w:pPr>
      <w:bookmarkStart w:id="62" w:name="__RefHeading___Toc2792438_3804643083"/>
      <w:bookmarkStart w:id="63" w:name="_Toc22"/>
      <w:bookmarkEnd w:id="61"/>
      <w:bookmarkEnd w:id="62"/>
      <w:r>
        <w:rPr>
          <w:rtl w:val="true"/>
        </w:rPr>
        <w:t>الفصل الرابع</w:t>
      </w:r>
      <w:r>
        <w:rPr>
          <w:rtl w:val="true"/>
        </w:rPr>
        <w:t xml:space="preserve">: </w:t>
      </w:r>
      <w:r>
        <w:rPr>
          <w:rtl w:val="true"/>
        </w:rPr>
        <w:t>فی الأسماء المشتقة</w:t>
      </w:r>
      <w:bookmarkEnd w:id="63"/>
    </w:p>
    <w:p>
      <w:pPr>
        <w:pStyle w:val="BookText"/>
        <w:rPr/>
      </w:pPr>
      <w:r>
        <w:rPr>
          <w:rFonts w:ascii="IRNazanin" w:hAnsi="IRNazanin" w:eastAsia="IRNazanin"/>
          <w:color w:val="111111"/>
          <w:sz w:val="28"/>
          <w:sz w:val="28"/>
          <w:szCs w:val="28"/>
          <w:rtl w:val="true"/>
          <w:lang w:bidi="fa-IR"/>
        </w:rPr>
        <w:t>الاشتقاق اقتطاع فرع من أصل، تدور فی تصاریفه حروف ذلک الأصل، و هو إمّا بالزیادة أو النقصان أو بهما، إمّا فی الحروف أو الحرکات أو هما، فالأقسام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حرکة البناء کالجزء، بخلاف حرکة الإعراب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الحرف فقط،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زیادتهما معا،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زیدت الألف، و حرکة الباء البنائیة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الحرکة فقط،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حرکة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الحرف فقط،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نقصانهما معا،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الهاء التی هی عوض من الواو و حرکة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الحرکة مع زیادتها،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الفتحة، و زیدت الضمة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الحرکة مع زیادة الحرف،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حرکة المیم، و زیدت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الحرکة مع زیادتهما،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حرکة الضاد، و زیدت الهمزة متحرکة و کسرة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الحرف مع زیادته،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التاء، و زیدت یاء 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الحرف مع زیادة الحرکة،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الألف، و زیدت فتحة التاء</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الحرف مع زیادتهما،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الواو و زیدت الألف و فتحة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نقصانهما مع زیادتهما معا،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زیدت الألف متحرکة و کسرة المیم، و نقصت الیاء و فتحة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نقصانهما معا مع زیادة الحرکة،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الواو متحرکة، و زیدت کسرة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نقصانهما معا مع زیادة الحرف،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الألف التی بین اللامین، و حرکة اللام الاولی و ادغمت فی الثانیة، و زیدت الألف بعد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قیام المعنی بما صدق علیه الاشتقاق،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ذات و الضرب قائم بغیرها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بقاء المعنی</w:t>
      </w:r>
      <w:r>
        <w:rPr>
          <w:rStyle w:val="FootnoteAnchor"/>
          <w:rtl w:val="true"/>
        </w:rPr>
        <w:footnoteReference w:id="130"/>
      </w:r>
      <w:r>
        <w:rPr>
          <w:rFonts w:ascii="IRNazanin" w:hAnsi="IRNazanin" w:eastAsia="IRNazanin"/>
          <w:color w:val="111111"/>
          <w:sz w:val="28"/>
          <w:sz w:val="28"/>
          <w:szCs w:val="28"/>
          <w:rtl w:val="true"/>
          <w:lang w:bidi="fa-IR"/>
        </w:rPr>
        <w:t>فی الصدق، فإنّ من انقضی منه</w:t>
      </w:r>
      <w:r>
        <w:rPr>
          <w:rStyle w:val="FootnoteAnchor"/>
          <w:rtl w:val="true"/>
        </w:rPr>
        <w:footnoteReference w:id="131"/>
      </w:r>
      <w:r>
        <w:rPr>
          <w:rFonts w:ascii="IRNazanin" w:hAnsi="IRNazanin" w:eastAsia="IRNazanin"/>
          <w:color w:val="111111"/>
          <w:sz w:val="28"/>
          <w:sz w:val="28"/>
          <w:szCs w:val="28"/>
          <w:rtl w:val="true"/>
          <w:lang w:bidi="fa-IR"/>
        </w:rPr>
        <w:t>الضرب یصدق</w:t>
      </w:r>
      <w:bookmarkStart w:id="64" w:name="pg2360_36983"/>
    </w:p>
    <w:p>
      <w:pPr>
        <w:pStyle w:val="BookText"/>
        <w:rPr/>
      </w:pPr>
      <w:bookmarkEnd w:id="64"/>
      <w:r>
        <w:rPr>
          <w:rFonts w:ascii="IRNazanin" w:hAnsi="IRNazanin" w:eastAsia="IRNazanin"/>
          <w:color w:val="111111"/>
          <w:sz w:val="28"/>
          <w:sz w:val="28"/>
          <w:szCs w:val="28"/>
          <w:rtl w:val="true"/>
          <w:lang w:bidi="fa-IR"/>
        </w:rPr>
        <w:t>علیه أنّه ضارب، لأنّ المراد من حصل له الضرب، و هو قدر مشترک بین الحال و الماضی، و للإجماع من النحاة علی أنّ اسم الفاعل بمعنی الماضی لا یعمل</w:t>
      </w:r>
      <w:r>
        <w:rPr>
          <w:rStyle w:val="FootnoteAnchor"/>
          <w:rtl w:val="true"/>
        </w:rPr>
        <w:footnoteReference w:id="132"/>
      </w:r>
      <w:r>
        <w:rPr>
          <w:rFonts w:ascii="IRNazanin" w:hAnsi="IRNazanin" w:eastAsia="IRNazanin"/>
          <w:color w:val="111111"/>
          <w:sz w:val="28"/>
          <w:sz w:val="28"/>
          <w:szCs w:val="28"/>
          <w:rtl w:val="true"/>
          <w:lang w:bidi="fa-IR"/>
        </w:rPr>
        <w:t xml:space="preserve">، و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النائم</w:t>
      </w:r>
      <w:r>
        <w:rPr>
          <w:rStyle w:val="FootnoteAnchor"/>
          <w:rtl w:val="true"/>
        </w:rPr>
        <w:footnoteReference w:id="133"/>
      </w:r>
      <w:r>
        <w:rPr>
          <w:rFonts w:ascii="IRNazanin" w:hAnsi="IRNazanin" w:eastAsia="IRNazanin"/>
          <w:color w:val="111111"/>
          <w:sz w:val="28"/>
          <w:sz w:val="28"/>
          <w:szCs w:val="28"/>
          <w:rtl w:val="true"/>
          <w:lang w:bidi="fa-IR"/>
        </w:rPr>
        <w:t>،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النفی الکلی، و المنع الشرعی من</w:t>
      </w:r>
      <w:r>
        <w:rPr>
          <w:rStyle w:val="FootnoteAnchor"/>
          <w:rtl w:val="true"/>
        </w:rPr>
        <w:footnoteReference w:id="134"/>
      </w: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بعده لا یقتضی المنع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الاشتقاق مع قیام المعنی بالذات، فإنّ أنواع الروائح لم یشتق لمحالّها أسماء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المشتق شی‌ء ما له المشتق منه من غیر دلالة علی خصوصیة الشی‌ء</w:t>
      </w:r>
      <w:r>
        <w:rPr>
          <w:rFonts w:eastAsia="IRNazanin" w:cs="IRNazanin"/>
          <w:color w:val="111111"/>
          <w:sz w:val="28"/>
          <w:szCs w:val="28"/>
          <w:rtl w:val="true"/>
          <w:lang w:bidi="fa-IR"/>
        </w:rPr>
        <w:t>.</w:t>
      </w:r>
    </w:p>
    <w:p>
      <w:pPr>
        <w:pStyle w:val="Heading3"/>
        <w:numPr>
          <w:ilvl w:val="2"/>
          <w:numId w:val="1"/>
        </w:numPr>
        <w:rPr/>
      </w:pPr>
      <w:bookmarkStart w:id="65" w:name="__RefHeading___Toc2792440_3804643083"/>
      <w:bookmarkStart w:id="66" w:name="_Toc23"/>
      <w:bookmarkEnd w:id="65"/>
      <w:r>
        <w:rPr>
          <w:rtl w:val="true"/>
        </w:rPr>
        <w:t>الفصل الخامس</w:t>
      </w:r>
      <w:r>
        <w:rPr>
          <w:rtl w:val="true"/>
        </w:rPr>
        <w:t xml:space="preserve">: </w:t>
      </w:r>
      <w:r>
        <w:rPr>
          <w:rtl w:val="true"/>
        </w:rPr>
        <w:t>فی المترادف</w:t>
      </w:r>
      <w:bookmarkEnd w:id="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وقوعه فی مثل</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یدل علی جوازه، و لإمکان أن تضع قبیلة لفظا للمعنی الذی وضعت له القبیلة الاخری لفظا آخر، و الباعث علیه من واضع واحد التسهیل و القدرة علی الفصاحة، و لقیام الوزن بأحد اللفظین دون الآخر، و کذا السجع و القلب و التجانس و غیرها</w:t>
      </w:r>
      <w:r>
        <w:rPr>
          <w:rFonts w:eastAsia="IRNazanin" w:cs="IRNazanin"/>
          <w:color w:val="111111"/>
          <w:sz w:val="28"/>
          <w:szCs w:val="28"/>
          <w:rtl w:val="true"/>
          <w:lang w:bidi="fa-IR"/>
        </w:rPr>
        <w:t>.</w:t>
      </w:r>
      <w:bookmarkStart w:id="67" w:name="pg2360_36984"/>
    </w:p>
    <w:p>
      <w:pPr>
        <w:pStyle w:val="BookText"/>
        <w:rPr/>
      </w:pPr>
      <w:bookmarkEnd w:id="67"/>
      <w:r>
        <w:rPr>
          <w:rFonts w:ascii="IRNazanin" w:hAnsi="IRNazanin" w:eastAsia="IRNazanin"/>
          <w:color w:val="111111"/>
          <w:sz w:val="28"/>
          <w:sz w:val="28"/>
          <w:szCs w:val="28"/>
          <w:rtl w:val="true"/>
          <w:lang w:bidi="fa-IR"/>
        </w:rPr>
        <w:t>و یمکن إفراده بخلاف التابع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المؤکّد یفید التقویة لا أصل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یدل علی علل الشی‌ء المغایرة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إقامة کل واحد</w:t>
      </w:r>
      <w:r>
        <w:rPr>
          <w:rStyle w:val="FootnoteAnchor"/>
          <w:rtl w:val="true"/>
        </w:rPr>
        <w:footnoteReference w:id="136"/>
      </w:r>
      <w:r>
        <w:rPr>
          <w:rFonts w:ascii="IRNazanin" w:hAnsi="IRNazanin" w:eastAsia="IRNazanin"/>
          <w:color w:val="111111"/>
          <w:sz w:val="28"/>
          <w:sz w:val="28"/>
          <w:szCs w:val="28"/>
          <w:rtl w:val="true"/>
          <w:lang w:bidi="fa-IR"/>
        </w:rPr>
        <w:t>من المترادفین مقام صاحبه</w:t>
      </w:r>
      <w:r>
        <w:rPr>
          <w:rStyle w:val="FootnoteAnchor"/>
          <w:rtl w:val="true"/>
        </w:rPr>
        <w:footnoteReference w:id="137"/>
      </w:r>
      <w:r>
        <w:rPr>
          <w:rFonts w:ascii="IRNazanin" w:hAnsi="IRNazanin" w:eastAsia="IRNazanin"/>
          <w:color w:val="111111"/>
          <w:sz w:val="28"/>
          <w:sz w:val="28"/>
          <w:szCs w:val="28"/>
          <w:rtl w:val="true"/>
          <w:lang w:bidi="fa-IR"/>
        </w:rPr>
        <w:t>، لأنّ الترکیب من عوارض المعانی</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792442_3804643083"/>
      <w:bookmarkStart w:id="69" w:name="_Toc24"/>
      <w:bookmarkEnd w:id="68"/>
      <w:r>
        <w:rPr>
          <w:rtl w:val="true"/>
        </w:rPr>
        <w:t>الفصل السادس</w:t>
      </w:r>
      <w:r>
        <w:rPr>
          <w:rtl w:val="true"/>
        </w:rPr>
        <w:t xml:space="preserve">: </w:t>
      </w:r>
      <w:r>
        <w:rPr>
          <w:rtl w:val="true"/>
        </w:rPr>
        <w:t>فی الاشتراک و فیه مباحث</w:t>
      </w:r>
      <w:r>
        <w:rPr>
          <w:rtl w:val="true"/>
        </w:rPr>
        <w:t>:</w:t>
      </w:r>
      <w:bookmarkEnd w:id="69"/>
    </w:p>
    <w:p>
      <w:pPr>
        <w:pStyle w:val="Heading4"/>
        <w:numPr>
          <w:ilvl w:val="3"/>
          <w:numId w:val="1"/>
        </w:numPr>
        <w:rPr/>
      </w:pPr>
      <w:bookmarkStart w:id="70" w:name="__RefHeading___Toc2792444_3804643083"/>
      <w:bookmarkStart w:id="71" w:name="_Toc25"/>
      <w:bookmarkEnd w:id="70"/>
      <w:r>
        <w:rPr>
          <w:rtl w:val="true"/>
        </w:rPr>
        <w:t>[</w:t>
      </w:r>
      <w:r>
        <w:rPr>
          <w:rtl w:val="true"/>
        </w:rPr>
        <w:t>البحث</w:t>
      </w:r>
      <w:r>
        <w:rPr>
          <w:rtl w:val="true"/>
        </w:rPr>
        <w:t xml:space="preserve">] </w:t>
      </w:r>
      <w:r>
        <w:rPr>
          <w:rtl w:val="true"/>
        </w:rPr>
        <w:t>الأوّل</w:t>
      </w:r>
      <w:r>
        <w:rPr>
          <w:rtl w:val="true"/>
        </w:rPr>
        <w:t>:</w:t>
      </w:r>
      <w:bookmarkEnd w:id="71"/>
    </w:p>
    <w:p>
      <w:pPr>
        <w:pStyle w:val="BookText"/>
        <w:rPr/>
      </w:pPr>
      <w:r>
        <w:rPr>
          <w:rFonts w:ascii="IRNazanin" w:hAnsi="IRNazanin" w:eastAsia="IRNazanin"/>
          <w:color w:val="111111"/>
          <w:sz w:val="28"/>
          <w:sz w:val="28"/>
          <w:szCs w:val="28"/>
          <w:rtl w:val="true"/>
          <w:lang w:bidi="fa-IR"/>
        </w:rPr>
        <w:t>المشترک هو اللفظ الموضوع لحقیقتین فما زاد، وضعا أوّلا من حیث 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المترادف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الأوّل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به المتواطئ المتناول للمختلفین لا من حیث الاختلاف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وجوده دال علی جوازه، و لإمکان وقوعه من القبیلتین أو من القبیلة الواحدة، و تکون الفائدة الإجمالیة موجودة و إن انتفت التفصیلیة کما فی أسماء الأجناس</w:t>
      </w:r>
      <w:r>
        <w:rPr>
          <w:rFonts w:eastAsia="IRNazanin" w:cs="IRNazanin"/>
          <w:color w:val="111111"/>
          <w:sz w:val="28"/>
          <w:szCs w:val="28"/>
          <w:rtl w:val="true"/>
          <w:lang w:bidi="fa-IR"/>
        </w:rPr>
        <w:t>.</w:t>
      </w:r>
      <w:bookmarkStart w:id="72" w:name="pg2360_36985"/>
    </w:p>
    <w:p>
      <w:pPr>
        <w:pStyle w:val="BookText"/>
        <w:rPr/>
      </w:pPr>
      <w:bookmarkEnd w:id="72"/>
      <w:r>
        <w:rPr>
          <w:rFonts w:ascii="Amiri" w:hAnsi="Amiri" w:eastAsia="Amiri" w:cs="Amiri"/>
          <w:color w:val="111111"/>
          <w:sz w:val="28"/>
          <w:sz w:val="28"/>
          <w:szCs w:val="28"/>
          <w:rtl w:val="true"/>
          <w:lang w:bidi="ar-SA"/>
        </w:rPr>
        <w:t>و احتجاج النفاة بالإخلال بالفهم</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لأنّ مع القرینة لا إخلال، و لأنّ الفائدة الإجمالیة موجودة</w:t>
      </w:r>
      <w:r>
        <w:rPr>
          <w:rFonts w:eastAsia="IRNazanin" w:cs="IRNazanin"/>
          <w:color w:val="111111"/>
          <w:sz w:val="28"/>
          <w:szCs w:val="28"/>
          <w:rtl w:val="true"/>
          <w:lang w:bidi="fa-IR"/>
        </w:rPr>
        <w:t>.</w:t>
      </w:r>
    </w:p>
    <w:p>
      <w:pPr>
        <w:pStyle w:val="Heading4"/>
        <w:numPr>
          <w:ilvl w:val="3"/>
          <w:numId w:val="1"/>
        </w:numPr>
        <w:rPr/>
      </w:pPr>
      <w:bookmarkStart w:id="73" w:name="__RefHeading___Toc2792446_3804643083"/>
      <w:bookmarkStart w:id="74" w:name="_Toc26"/>
      <w:bookmarkEnd w:id="73"/>
      <w:r>
        <w:rPr>
          <w:rtl w:val="true"/>
        </w:rPr>
        <w:t>البحث الثانی</w:t>
      </w:r>
      <w:r>
        <w:rPr>
          <w:rtl w:val="true"/>
        </w:rPr>
        <w:t xml:space="preserve">: </w:t>
      </w:r>
      <w:r>
        <w:rPr>
          <w:rtl w:val="true"/>
        </w:rPr>
        <w:t>فی أقسامه</w:t>
      </w:r>
      <w:bookmarkEnd w:id="74"/>
    </w:p>
    <w:p>
      <w:pPr>
        <w:pStyle w:val="BookText"/>
        <w:rPr/>
      </w:pPr>
      <w:r>
        <w:rPr>
          <w:rFonts w:ascii="IRNazanin" w:hAnsi="IRNazanin" w:eastAsia="IRNazanin"/>
          <w:color w:val="111111"/>
          <w:sz w:val="28"/>
          <w:sz w:val="28"/>
          <w:szCs w:val="28"/>
          <w:rtl w:val="true"/>
          <w:lang w:bidi="fa-IR"/>
        </w:rPr>
        <w:t>مفهوما اللفظ قد یتباینان، کالحیض و الطهر، و السواد و البیاض، و قد یتوافقان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بأن یکون أحدهما جزء من الآخر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 بین العام و الخاص، أو یکون أحدهما صفة للآخر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به، ثمّ إطلاق الأسود علی هذا الشخص و علی القار بالتواطؤ إن قصد اللون، و بالاشتراک إن قصد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بعضهم من</w:t>
      </w:r>
      <w:r>
        <w:rPr>
          <w:rStyle w:val="FootnoteAnchor"/>
          <w:rtl w:val="true"/>
        </w:rPr>
        <w:footnoteReference w:id="140"/>
      </w:r>
      <w:r>
        <w:rPr>
          <w:rFonts w:ascii="IRNazanin" w:hAnsi="IRNazanin" w:eastAsia="IRNazanin"/>
          <w:color w:val="111111"/>
          <w:sz w:val="28"/>
          <w:sz w:val="28"/>
          <w:szCs w:val="28"/>
          <w:rtl w:val="true"/>
          <w:lang w:bidi="fa-IR"/>
        </w:rPr>
        <w:t>اشتراک اللفظ بین عدم الشی‌ء و وجوده</w:t>
      </w:r>
      <w:r>
        <w:rPr>
          <w:rStyle w:val="FootnoteAnchor"/>
          <w:rtl w:val="true"/>
        </w:rPr>
        <w:footnoteReference w:id="141"/>
      </w:r>
      <w:r>
        <w:rPr>
          <w:rFonts w:ascii="IRNazanin" w:hAnsi="IRNazanin" w:eastAsia="IRNazanin"/>
          <w:color w:val="111111"/>
          <w:sz w:val="28"/>
          <w:sz w:val="28"/>
          <w:szCs w:val="28"/>
          <w:rtl w:val="true"/>
          <w:lang w:bidi="fa-IR"/>
        </w:rPr>
        <w:t>، لأنّ الفائدة مشترطة فی الوضع بحیث إذا أطلق اللفظ</w:t>
      </w:r>
      <w:r>
        <w:rPr>
          <w:rStyle w:val="FootnoteAnchor"/>
          <w:rtl w:val="true"/>
        </w:rPr>
        <w:footnoteReference w:id="142"/>
      </w:r>
      <w:r>
        <w:rPr>
          <w:rFonts w:ascii="IRNazanin" w:hAnsi="IRNazanin" w:eastAsia="IRNazanin"/>
          <w:color w:val="111111"/>
          <w:sz w:val="28"/>
          <w:sz w:val="28"/>
          <w:szCs w:val="28"/>
          <w:rtl w:val="true"/>
          <w:lang w:bidi="fa-IR"/>
        </w:rPr>
        <w:t>استفید منه معنی، و إلّا لکان</w:t>
      </w:r>
      <w:r>
        <w:rPr>
          <w:rStyle w:val="FootnoteAnchor"/>
          <w:rtl w:val="true"/>
        </w:rPr>
        <w:footnoteReference w:id="143"/>
      </w:r>
      <w:r>
        <w:rPr>
          <w:rFonts w:ascii="IRNazanin" w:hAnsi="IRNazanin" w:eastAsia="IRNazanin"/>
          <w:color w:val="111111"/>
          <w:sz w:val="28"/>
          <w:sz w:val="28"/>
          <w:szCs w:val="28"/>
          <w:rtl w:val="true"/>
          <w:lang w:bidi="fa-IR"/>
        </w:rPr>
        <w:t>عبثا، و مثل هذا لا یتحقق هذا المعنی فیه، لأنّه لا یفید إلّا التردد بین النفی و الإثبات، و هو معلوم لکل أحد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ممنوع، لجواز وقوعه من واضعین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 یجوز استعمال اللفظ</w:t>
      </w:r>
      <w:r>
        <w:rPr>
          <w:rStyle w:val="FootnoteAnchor"/>
          <w:rtl w:val="true"/>
        </w:rPr>
        <w:footnoteReference w:id="146"/>
      </w:r>
      <w:r>
        <w:rPr>
          <w:rFonts w:ascii="IRNazanin" w:hAnsi="IRNazanin" w:eastAsia="IRNazanin"/>
          <w:color w:val="111111"/>
          <w:sz w:val="28"/>
          <w:sz w:val="28"/>
          <w:szCs w:val="28"/>
          <w:rtl w:val="true"/>
          <w:lang w:bidi="fa-IR"/>
        </w:rPr>
        <w:t>المشترک فی</w:t>
      </w:r>
      <w:r>
        <w:rPr>
          <w:rStyle w:val="FootnoteAnchor"/>
          <w:rtl w:val="true"/>
        </w:rPr>
        <w:footnoteReference w:id="147"/>
      </w:r>
      <w:r>
        <w:rPr>
          <w:rFonts w:ascii="IRNazanin" w:hAnsi="IRNazanin" w:eastAsia="IRNazanin"/>
          <w:color w:val="111111"/>
          <w:sz w:val="28"/>
          <w:sz w:val="28"/>
          <w:szCs w:val="28"/>
          <w:rtl w:val="true"/>
          <w:lang w:bidi="fa-IR"/>
        </w:rPr>
        <w:t>معانیه إلّا علی سبیل المجاز، لأنّه إن کان موضوعا للمجموع کما هو موضوع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المجموع خاصة فهو استعمال فی البعض، و إن ارید</w:t>
      </w:r>
      <w:r>
        <w:rPr>
          <w:rStyle w:val="FootnoteAnchor"/>
          <w:rtl w:val="true"/>
        </w:rPr>
        <w:footnoteReference w:id="148"/>
      </w:r>
      <w:r>
        <w:rPr>
          <w:rFonts w:ascii="IRNazanin" w:hAnsi="IRNazanin" w:eastAsia="IRNazanin"/>
          <w:color w:val="111111"/>
          <w:sz w:val="28"/>
          <w:sz w:val="28"/>
          <w:szCs w:val="28"/>
          <w:rtl w:val="true"/>
          <w:lang w:bidi="fa-IR"/>
        </w:rPr>
        <w:t>المجموع و الآحاد لزم التناقض، لأنّ إرادة الآحاد تقتضی الاکتفاء بکل فرد، و إرادة المجموع تقتضی عدم الاکتفاء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موضوعا له کان استعماله فیه مجازا، و لا یصار إلیه إلّا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القاضی أبو بکر و أبو علی</w:t>
      </w:r>
      <w:r>
        <w:rPr>
          <w:rStyle w:val="FootnoteAnchor"/>
          <w:rtl w:val="true"/>
        </w:rPr>
        <w:footnoteReference w:id="149"/>
      </w:r>
      <w:r>
        <w:rPr>
          <w:rFonts w:ascii="IRNazanin" w:hAnsi="IRNazanin" w:eastAsia="IRNazanin"/>
          <w:color w:val="111111"/>
          <w:sz w:val="28"/>
          <w:sz w:val="28"/>
          <w:szCs w:val="28"/>
          <w:rtl w:val="true"/>
          <w:lang w:bidi="fa-IR"/>
        </w:rPr>
        <w:t>و عبد الجبار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ولی القضاء بالری، و مات فیها سنة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القرآن عن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المحیط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فی أبواب 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جوازه،</w:t>
      </w:r>
    </w:p>
    <w:p>
      <w:pPr>
        <w:pStyle w:val="BookText"/>
        <w:rPr/>
      </w:pPr>
      <w:r>
        <w:rPr>
          <w:rFonts w:ascii="Amiri" w:hAnsi="Amiri" w:eastAsia="Amiri" w:cs="Amiri"/>
          <w:color w:val="111111"/>
          <w:sz w:val="28"/>
          <w:sz w:val="28"/>
          <w:szCs w:val="28"/>
          <w:rtl w:val="true"/>
          <w:lang w:bidi="ar-SA"/>
        </w:rPr>
        <w:t>و حمل اللفظ علیه عند التجرد،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w:t>
      </w:r>
      <w:r>
        <w:rPr>
          <w:rStyle w:val="FootnoteAnchor"/>
          <w:rtl w:val="true"/>
        </w:rPr>
        <w:footnoteReference w:id="151"/>
      </w:r>
      <w:r>
        <w:rPr>
          <w:rFonts w:ascii="Amiri" w:hAnsi="Amiri" w:eastAsia="Amiri" w:cs="Amiri"/>
          <w:color w:val="111111"/>
          <w:sz w:val="28"/>
          <w:sz w:val="28"/>
          <w:szCs w:val="28"/>
          <w:rtl w:val="true"/>
          <w:lang w:bidi="ar-SA"/>
        </w:rPr>
        <w:t>أَ لَمْ تَرَ أَنَّ اللَّهَ یَسْجُدُ لَهُ مَنْ فِی السَّماواتِ وَ مَنْ فِی الْأَرْضِ</w:t>
      </w:r>
      <w:r>
        <w:rPr>
          <w:rStyle w:val="FootnoteAnchor"/>
          <w:rtl w:val="true"/>
        </w:rPr>
        <w:footnoteReference w:id="152"/>
      </w:r>
      <w:r>
        <w:rPr>
          <w:rFonts w:ascii="IRNazanin" w:hAnsi="IRNazanin" w:eastAsia="IRNazanin"/>
          <w:color w:val="111111"/>
          <w:sz w:val="28"/>
          <w:sz w:val="28"/>
          <w:szCs w:val="28"/>
          <w:rtl w:val="true"/>
          <w:lang w:bidi="fa-IR"/>
        </w:rPr>
        <w:t>، و لأنّ حمله علی البعض تحکّم، و عدم حمله علی شی‌ء إخراج اللفظ عن الإفادة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محذوف فی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الخشوع، و الفائدة موجودة و هی دلالة اللفظ</w:t>
      </w:r>
      <w:r>
        <w:rPr>
          <w:rStyle w:val="FootnoteAnchor"/>
          <w:rtl w:val="true"/>
        </w:rPr>
        <w:footnoteReference w:id="154"/>
      </w:r>
      <w:r>
        <w:rPr>
          <w:rFonts w:ascii="IRNazanin" w:hAnsi="IRNazanin" w:eastAsia="IRNazanin"/>
          <w:color w:val="111111"/>
          <w:sz w:val="28"/>
          <w:sz w:val="28"/>
          <w:szCs w:val="28"/>
          <w:rtl w:val="true"/>
          <w:lang w:bidi="fa-IR"/>
        </w:rPr>
        <w:t>علی أحدهما</w:t>
      </w:r>
      <w:r>
        <w:rPr>
          <w:rStyle w:val="FootnoteAnchor"/>
          <w:rtl w:val="true"/>
        </w:rPr>
        <w:footnoteReference w:id="155"/>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علی خلاف الأصل، إذ المراد بالذات من وضع الألفاظ</w:t>
      </w:r>
      <w:r>
        <w:rPr>
          <w:rStyle w:val="FootnoteAnchor"/>
          <w:rtl w:val="true"/>
        </w:rPr>
        <w:footnoteReference w:id="156"/>
      </w:r>
      <w:r>
        <w:rPr>
          <w:rFonts w:ascii="IRNazanin" w:hAnsi="IRNazanin" w:eastAsia="IRNazanin"/>
          <w:color w:val="111111"/>
          <w:sz w:val="28"/>
          <w:sz w:val="28"/>
          <w:szCs w:val="28"/>
          <w:rtl w:val="true"/>
          <w:lang w:bidi="fa-IR"/>
        </w:rPr>
        <w:t>إنّما هو إعلام السامع ما فی ضمیر المتکلم، و قد تتبعه امور أخر مرادة بالعرض، و إنّما تحصل الغایة الذاتیة عند اتحاد الوضع، فإنّه</w:t>
      </w:r>
      <w:r>
        <w:rPr>
          <w:rStyle w:val="FootnoteAnchor"/>
          <w:rtl w:val="true"/>
        </w:rPr>
        <w:footnoteReference w:id="157"/>
      </w:r>
      <w:r>
        <w:rPr>
          <w:rFonts w:ascii="IRNazanin" w:hAnsi="IRNazanin" w:eastAsia="IRNazanin"/>
          <w:color w:val="111111"/>
          <w:sz w:val="28"/>
          <w:sz w:val="28"/>
          <w:szCs w:val="28"/>
          <w:rtl w:val="true"/>
          <w:lang w:bidi="fa-IR"/>
        </w:rPr>
        <w:t>علی تقدیر تعدده تکون نسبة المعانی إلی اللفظ واحدة فلا یتخصص أحدها بالفهم فتنتفی الغایة</w:t>
      </w:r>
      <w:r>
        <w:rPr>
          <w:rStyle w:val="FootnoteAnchor"/>
          <w:rtl w:val="true"/>
        </w:rPr>
        <w:footnoteReference w:id="158"/>
      </w:r>
      <w:r>
        <w:rPr>
          <w:rFonts w:ascii="IRNazanin" w:hAnsi="IRNazanin" w:eastAsia="IRNazanin"/>
          <w:color w:val="111111"/>
          <w:sz w:val="28"/>
          <w:sz w:val="28"/>
          <w:szCs w:val="28"/>
          <w:rtl w:val="true"/>
          <w:lang w:bidi="fa-IR"/>
        </w:rPr>
        <w:t>، و لأنّ الاشتراک و عدمه لو تساویا لما حصل سبق ما ادعی الوضع فیه دون غیره،</w:t>
      </w:r>
    </w:p>
    <w:p>
      <w:pPr>
        <w:pStyle w:val="BookText"/>
        <w:rPr/>
      </w:pPr>
      <w:r>
        <w:rPr>
          <w:rFonts w:ascii="IRNazanin" w:hAnsi="IRNazanin" w:eastAsia="IRNazanin"/>
          <w:color w:val="111111"/>
          <w:sz w:val="28"/>
          <w:sz w:val="28"/>
          <w:szCs w:val="28"/>
          <w:rtl w:val="true"/>
          <w:lang w:bidi="fa-IR"/>
        </w:rPr>
        <w:t>فکان لا یحصل الفهم عند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وقوعه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وضع للطهر و الحیض معا لا باعتبار أمر مشترک،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 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المانع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تجرده عن القرینة یناقض الغرض، و مجامعته تستلزم التطویل من غیر فائدة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المقدمتین، فإنّ الغرض یحصل مع القرینة و</w:t>
      </w:r>
      <w:r>
        <w:rPr>
          <w:rStyle w:val="FootnoteAnchor"/>
          <w:rtl w:val="true"/>
        </w:rPr>
        <w:footnoteReference w:id="162"/>
      </w:r>
      <w:r>
        <w:rPr>
          <w:rFonts w:ascii="IRNazanin" w:hAnsi="IRNazanin" w:eastAsia="IRNazanin"/>
          <w:color w:val="111111"/>
          <w:sz w:val="28"/>
          <w:sz w:val="28"/>
          <w:szCs w:val="28"/>
          <w:rtl w:val="true"/>
          <w:lang w:bidi="fa-IR"/>
        </w:rPr>
        <w:t>بدونها إذا کان القصد البیان الإجمالی، و الفائدة مع القرینة توسیع العبارة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فیما ادعی اشتراکه وضعه لقدر مشترک، أو لأحدهما و تجوزه</w:t>
      </w:r>
      <w:r>
        <w:rPr>
          <w:rStyle w:val="FootnoteAnchor"/>
          <w:rtl w:val="true"/>
        </w:rPr>
        <w:footnoteReference w:id="163"/>
      </w:r>
      <w:r>
        <w:rPr>
          <w:rFonts w:ascii="IRNazanin" w:hAnsi="IRNazanin" w:eastAsia="IRNazanin"/>
          <w:color w:val="111111"/>
          <w:sz w:val="28"/>
          <w:sz w:val="28"/>
          <w:szCs w:val="28"/>
          <w:rtl w:val="true"/>
          <w:lang w:bidi="fa-IR"/>
        </w:rPr>
        <w:t>فی الآخر ثمّ خفی لکثرة الاستعمال</w:t>
      </w:r>
      <w:r>
        <w:rPr>
          <w:rFonts w:eastAsia="IRNazanin" w:cs="IRNazanin"/>
          <w:color w:val="111111"/>
          <w:sz w:val="28"/>
          <w:szCs w:val="28"/>
          <w:rtl w:val="true"/>
          <w:lang w:bidi="fa-IR"/>
        </w:rPr>
        <w:t>.</w:t>
      </w:r>
      <w:bookmarkStart w:id="75" w:name="pg2360_36989"/>
    </w:p>
    <w:p>
      <w:pPr>
        <w:pStyle w:val="Heading3"/>
        <w:numPr>
          <w:ilvl w:val="2"/>
          <w:numId w:val="1"/>
        </w:numPr>
        <w:rPr/>
      </w:pPr>
      <w:bookmarkStart w:id="76" w:name="__RefHeading___Toc2792448_3804643083"/>
      <w:bookmarkStart w:id="77" w:name="_Toc27"/>
      <w:bookmarkEnd w:id="75"/>
      <w:bookmarkEnd w:id="76"/>
      <w:r>
        <w:rPr>
          <w:rtl w:val="true"/>
        </w:rPr>
        <w:t>الفصل السابع</w:t>
      </w:r>
      <w:r>
        <w:rPr>
          <w:rtl w:val="true"/>
        </w:rPr>
        <w:t xml:space="preserve">: </w:t>
      </w:r>
      <w:r>
        <w:rPr>
          <w:rtl w:val="true"/>
        </w:rPr>
        <w:t>فی الحقیقة و المجاز</w:t>
      </w:r>
      <w:bookmarkEnd w:id="77"/>
    </w:p>
    <w:p>
      <w:pPr>
        <w:pStyle w:val="Heading4"/>
        <w:numPr>
          <w:ilvl w:val="3"/>
          <w:numId w:val="1"/>
        </w:numPr>
        <w:rPr/>
      </w:pPr>
      <w:bookmarkStart w:id="78" w:name="__RefHeading___Toc2792450_3804643083"/>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80" w:name="__RefHeading___Toc2792452_3804643083"/>
      <w:bookmarkStart w:id="81" w:name="_Toc29"/>
      <w:bookmarkEnd w:id="80"/>
      <w:r>
        <w:rPr>
          <w:rtl w:val="true"/>
        </w:rPr>
        <w:t>[</w:t>
      </w:r>
      <w:r>
        <w:rPr>
          <w:rtl w:val="true"/>
        </w:rPr>
        <w:t>البحث</w:t>
      </w:r>
      <w:r>
        <w:rPr>
          <w:rtl w:val="true"/>
        </w:rPr>
        <w:t xml:space="preserve">] </w:t>
      </w:r>
      <w:r>
        <w:rPr>
          <w:rtl w:val="true"/>
        </w:rPr>
        <w:t>الأوّل</w:t>
      </w:r>
      <w:r>
        <w:rPr>
          <w:rtl w:val="true"/>
        </w:rPr>
        <w:t>:</w:t>
      </w:r>
      <w:bookmarkEnd w:id="81"/>
    </w:p>
    <w:p>
      <w:pPr>
        <w:pStyle w:val="BookText"/>
        <w:rPr/>
      </w:pPr>
      <w:r>
        <w:rPr>
          <w:rFonts w:ascii="IRNazanin" w:hAnsi="IRNazanin" w:eastAsia="IRNazanin"/>
          <w:color w:val="111111"/>
          <w:sz w:val="28"/>
          <w:sz w:val="28"/>
          <w:szCs w:val="28"/>
          <w:rtl w:val="true"/>
          <w:lang w:bidi="fa-IR"/>
        </w:rPr>
        <w:t>الحقیقة فعیلة من الحق،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لأنّه مقابل للباطل، فإن کانت للفاعل فهی</w:t>
      </w:r>
      <w:r>
        <w:rPr>
          <w:rStyle w:val="FootnoteAnchor"/>
          <w:rtl w:val="true"/>
        </w:rPr>
        <w:footnoteReference w:id="164"/>
      </w:r>
      <w:r>
        <w:rPr>
          <w:rFonts w:ascii="IRNazanin" w:hAnsi="IRNazanin" w:eastAsia="IRNazanin"/>
          <w:color w:val="111111"/>
          <w:sz w:val="28"/>
          <w:sz w:val="28"/>
          <w:szCs w:val="28"/>
          <w:rtl w:val="true"/>
          <w:lang w:bidi="fa-IR"/>
        </w:rPr>
        <w:t>الثابتة، و إلّا فهی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من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 مجازان، 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المستعمل فی ما وضع له فی اللغة التی وقعت المخاطبة بها، و المجاز اللفظ المستعمل فی غیر ما وضع له لأجل مناسبته لما وضع 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أقسام الحقیقة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لغویة، و عرفیة، 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وجود الأولین ظاهر، فإنّ هنا ألفاظا وضعت لمعان و استعملت فیها، و هو معنی الحقیقة، و للعلماء اصطلاحات لم توضع فی اللغة لما اصطلحت فیه، بحیث إذا اطلقت فهمت دون غیرها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النحویین،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الفقهاء، ثمّ العرف قد یکون عاما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p>
    <w:p>
      <w:pPr>
        <w:pStyle w:val="Heading4"/>
        <w:numPr>
          <w:ilvl w:val="3"/>
          <w:numId w:val="1"/>
        </w:numPr>
        <w:rPr/>
      </w:pPr>
      <w:bookmarkStart w:id="82" w:name="__RefHeading___Toc2792454_3804643083"/>
      <w:bookmarkStart w:id="83" w:name="_Toc30"/>
      <w:bookmarkEnd w:id="82"/>
      <w:r>
        <w:rPr>
          <w:rtl w:val="true"/>
        </w:rPr>
        <w:t>البحث الثانی</w:t>
      </w:r>
      <w:r>
        <w:rPr>
          <w:rtl w:val="true"/>
        </w:rPr>
        <w:t xml:space="preserve">: </w:t>
      </w:r>
      <w:r>
        <w:rPr>
          <w:rtl w:val="true"/>
        </w:rPr>
        <w:t>فی الحقیقة الشرعیة</w:t>
      </w:r>
      <w:bookmarkEnd w:id="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نعنی بها اللفظ الذی نقله الشارع من موضوعه اللغوی إلی معنی آخر بحیث إذا أطلقه فهم من یتکلم علی اصطلاحه المعنی المنقول إلیه، کالصلاة الموضوعة</w:t>
      </w:r>
      <w:bookmarkStart w:id="84" w:name="pg2360_36990"/>
    </w:p>
    <w:p>
      <w:pPr>
        <w:pStyle w:val="BookText"/>
        <w:rPr/>
      </w:pPr>
      <w:bookmarkEnd w:id="84"/>
      <w:r>
        <w:rPr>
          <w:rFonts w:ascii="IRNazanin" w:hAnsi="IRNazanin" w:eastAsia="IRNazanin"/>
          <w:color w:val="111111"/>
          <w:sz w:val="28"/>
          <w:sz w:val="28"/>
          <w:szCs w:val="28"/>
          <w:rtl w:val="true"/>
          <w:lang w:bidi="fa-IR"/>
        </w:rPr>
        <w:t>فی اللغة للدعاء و نقلها الشارع إلی الأفعال المخصوصة، و الزکاة الموضوعة فی اللغة للنموّ، و فی الشرع للقدر المخرج من المال، و الحج الموضوع فی اللغة للقصد، و نقله الشارع إلی المناسک المؤداة فی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طال التشاجر بین الاصولیین فی إثباتها و نفیها، و نحن قد استقصینا الکلام فی ذلک فی نهایة الوصول، و نقول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قصد النافی عدم إرادة هذه المعانی شرعا أو ثبوت إرادتها لغة فهو مکابرة، و إن قصد</w:t>
      </w:r>
      <w:r>
        <w:rPr>
          <w:rStyle w:val="FootnoteAnchor"/>
          <w:rtl w:val="true"/>
        </w:rPr>
        <w:footnoteReference w:id="165"/>
      </w:r>
      <w:r>
        <w:rPr>
          <w:rFonts w:ascii="IRNazanin" w:hAnsi="IRNazanin" w:eastAsia="IRNazanin"/>
          <w:color w:val="111111"/>
          <w:sz w:val="28"/>
          <w:sz w:val="28"/>
          <w:szCs w:val="28"/>
          <w:rtl w:val="true"/>
          <w:lang w:bidi="fa-IR"/>
        </w:rPr>
        <w:t>أنّها مجازات لغویة</w:t>
      </w:r>
      <w:r>
        <w:rPr>
          <w:rStyle w:val="FootnoteAnchor"/>
          <w:rtl w:val="true"/>
        </w:rPr>
        <w:footnoteReference w:id="166"/>
      </w:r>
      <w:r>
        <w:rPr>
          <w:rFonts w:ascii="IRNazanin" w:hAnsi="IRNazanin" w:eastAsia="IRNazanin"/>
          <w:color w:val="111111"/>
          <w:sz w:val="28"/>
          <w:sz w:val="28"/>
          <w:szCs w:val="28"/>
          <w:rtl w:val="true"/>
          <w:lang w:bidi="fa-IR"/>
        </w:rPr>
        <w:t>فهو حق، لکنها حقائق شرعیة</w:t>
      </w:r>
      <w:r>
        <w:rPr>
          <w:rStyle w:val="FootnoteAnchor"/>
          <w:rtl w:val="true"/>
        </w:rPr>
        <w:footnoteReference w:id="167"/>
      </w:r>
      <w:r>
        <w:rPr>
          <w:rFonts w:ascii="IRNazanin" w:hAnsi="IRNazanin" w:eastAsia="IRNazanin"/>
          <w:color w:val="111111"/>
          <w:sz w:val="28"/>
          <w:sz w:val="28"/>
          <w:szCs w:val="28"/>
          <w:rtl w:val="true"/>
          <w:lang w:bidi="fa-IR"/>
        </w:rPr>
        <w:t>لوجود خواص الحقیقة فیها، و إنّما جعلناها مجازات لأنّ التقدیر أنّ العرب لم تضعها لهذه المعانی، و إنّما قلنا أنّها لغویة لأنّها لو لم تکن عربیة لخرج القرآن عن کونه عربیا، و التالی باطل،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مُبِینٍ</w:t>
      </w:r>
      <w:r>
        <w:rPr>
          <w:rStyle w:val="FootnoteAnchor"/>
          <w:rtl w:val="true"/>
        </w:rPr>
        <w:footnoteReference w:id="168"/>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عَرَبِیًّا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792456_3804643083"/>
      <w:bookmarkStart w:id="86" w:name="_Toc31"/>
      <w:bookmarkEnd w:id="85"/>
      <w:r>
        <w:rPr>
          <w:rtl w:val="true"/>
        </w:rPr>
        <w:t>البحث الثالث</w:t>
      </w:r>
      <w:r>
        <w:rPr>
          <w:rtl w:val="true"/>
        </w:rPr>
        <w:t xml:space="preserve">: </w:t>
      </w:r>
      <w:r>
        <w:rPr>
          <w:rtl w:val="true"/>
        </w:rPr>
        <w:t>النقل علی خلاف الأصل، عملا بالاستصحاب،</w:t>
      </w:r>
      <w:bookmarkEnd w:id="8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الفهم إنّما یتم مع عدمه، و لتوقفه علی الوضع الأصلی</w:t>
      </w:r>
      <w:r>
        <w:rPr>
          <w:rStyle w:val="FootnoteAnchor"/>
          <w:rtl w:val="true"/>
        </w:rPr>
        <w:footnoteReference w:id="170"/>
      </w:r>
      <w:r>
        <w:rPr>
          <w:rFonts w:ascii="IRNazanin" w:hAnsi="IRNazanin" w:eastAsia="IRNazanin"/>
          <w:color w:val="111111"/>
          <w:sz w:val="28"/>
          <w:sz w:val="28"/>
          <w:szCs w:val="28"/>
          <w:rtl w:val="true"/>
          <w:lang w:bidi="fa-IR"/>
        </w:rPr>
        <w:t>و نسخه و ثبوت الوضع الثانی، فیکون مرجوحا بالنسبة إلی ما یتوقف علیه الوضع الأوّل</w:t>
      </w:r>
      <w:r>
        <w:rPr>
          <w:rFonts w:eastAsia="IRNazanin" w:cs="IRNazanin"/>
          <w:color w:val="111111"/>
          <w:sz w:val="28"/>
          <w:szCs w:val="28"/>
          <w:rtl w:val="true"/>
          <w:lang w:bidi="fa-IR"/>
        </w:rPr>
        <w:t>.</w:t>
      </w:r>
      <w:bookmarkStart w:id="87" w:name="pg2360_36991"/>
    </w:p>
    <w:p>
      <w:pPr>
        <w:pStyle w:val="BookText"/>
        <w:rPr/>
      </w:pPr>
      <w:bookmarkEnd w:id="87"/>
      <w:r>
        <w:rPr>
          <w:rFonts w:ascii="IRNazanin" w:hAnsi="IRNazanin" w:eastAsia="IRNazanin"/>
          <w:color w:val="111111"/>
          <w:sz w:val="28"/>
          <w:sz w:val="28"/>
          <w:szCs w:val="28"/>
          <w:rtl w:val="true"/>
          <w:lang w:bidi="fa-IR"/>
        </w:rPr>
        <w:t>و اعلم أنّ من جملة المنقولات الشرعیة</w:t>
      </w:r>
      <w:r>
        <w:rPr>
          <w:rStyle w:val="FootnoteAnchor"/>
          <w:rtl w:val="true"/>
        </w:rPr>
        <w:footnoteReference w:id="171"/>
      </w:r>
      <w:r>
        <w:rPr>
          <w:rFonts w:ascii="IRNazanin" w:hAnsi="IRNazanin" w:eastAsia="IRNazanin"/>
          <w:color w:val="111111"/>
          <w:sz w:val="28"/>
          <w:sz w:val="28"/>
          <w:szCs w:val="28"/>
          <w:rtl w:val="true"/>
          <w:lang w:bidi="fa-IR"/>
        </w:rPr>
        <w:t>صیغ العقود، فإنّ الشارع نقلها من الإخبار إلی الإنشاء، و إلّا لزم الکذب، أو مسبوقیة کل صیغة باخری، و یتسلسل</w:t>
      </w:r>
      <w:r>
        <w:rPr>
          <w:rFonts w:eastAsia="IRNazanin" w:cs="IRNazanin"/>
          <w:color w:val="111111"/>
          <w:sz w:val="28"/>
          <w:szCs w:val="28"/>
          <w:rtl w:val="true"/>
          <w:lang w:bidi="fa-IR"/>
        </w:rPr>
        <w:t>.</w:t>
      </w:r>
    </w:p>
    <w:p>
      <w:pPr>
        <w:pStyle w:val="Heading4"/>
        <w:numPr>
          <w:ilvl w:val="3"/>
          <w:numId w:val="1"/>
        </w:numPr>
        <w:rPr/>
      </w:pPr>
      <w:bookmarkStart w:id="88" w:name="__RefHeading___Toc2792458_3804643083"/>
      <w:bookmarkStart w:id="89" w:name="_Toc32"/>
      <w:bookmarkEnd w:id="88"/>
      <w:r>
        <w:rPr>
          <w:rtl w:val="true"/>
        </w:rPr>
        <w:t>البحث الرابع</w:t>
      </w:r>
      <w:r>
        <w:rPr>
          <w:rtl w:val="true"/>
        </w:rPr>
        <w:t xml:space="preserve">: </w:t>
      </w:r>
      <w:r>
        <w:rPr>
          <w:rtl w:val="true"/>
        </w:rPr>
        <w:t>فی الفرق بین الحقیقة و المجاز، و هو من وجوه</w:t>
      </w:r>
      <w:r>
        <w:rPr>
          <w:rtl w:val="true"/>
        </w:rPr>
        <w:t>:</w:t>
      </w:r>
      <w:bookmarkEnd w:id="8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 أهل اللغة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المعنی إلی الفهم دلیل الحقیقة، و عکسه دلیل</w:t>
      </w:r>
      <w:r>
        <w:rPr>
          <w:rStyle w:val="FootnoteAnchor"/>
          <w:rtl w:val="true"/>
        </w:rPr>
        <w:footnoteReference w:id="172"/>
      </w:r>
      <w:r>
        <w:rPr>
          <w:rFonts w:ascii="IRNazanin" w:hAnsi="IRNazanin" w:eastAsia="IRNazanin"/>
          <w:color w:val="111111"/>
          <w:sz w:val="28"/>
          <w:sz w:val="28"/>
          <w:szCs w:val="28"/>
          <w:rtl w:val="true"/>
          <w:lang w:bidi="fa-IR"/>
        </w:rPr>
        <w:t>المجاز</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تجرده من القرینة من خواص الحقیقة، و توقفه علیها دلیل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الکلمة بما یستحیل تعلقها به لغة دلیل المجاز، مثل وَ سْئَلِ الْقَرْیَةَ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الاطراد دلیل الحقیقة،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صدق علی ذی علم حقیقة صدق علی کل ذی علم، بخلاف وَ سْئَلِ الْقَرْیَةَ 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الجدار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 عدم الاطراد قد یکون للمانع الشرعی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 أو اللغوی کمنع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المجاز، و هو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یقع فی المفردات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 المرکبات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عقلی، أو فیهما معا</w:t>
      </w:r>
      <w:r>
        <w:rPr>
          <w:rStyle w:val="FootnoteAnchor"/>
          <w:rtl w:val="true"/>
        </w:rPr>
        <w:footnoteReference w:id="176"/>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أحیانی اکتحالی بطلعتک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قد یکون بالزیادة، أو النقصان،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السبب علی المسبب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الشی‌ء باسم شبهه</w:t>
      </w:r>
      <w:r>
        <w:rPr>
          <w:rStyle w:val="FootnoteAnchor"/>
          <w:rtl w:val="true"/>
        </w:rPr>
        <w:footnoteReference w:id="177"/>
      </w:r>
      <w:r>
        <w:rPr>
          <w:rFonts w:ascii="IRNazanin" w:hAnsi="IRNazanin" w:eastAsia="IRNazanin"/>
          <w:color w:val="111111"/>
          <w:sz w:val="28"/>
          <w:sz w:val="28"/>
          <w:szCs w:val="28"/>
          <w:rtl w:val="true"/>
          <w:lang w:bidi="fa-IR"/>
        </w:rPr>
        <w:t>و هو المستعار، و بضده، و بجزئه، و بالعکس، و بما یؤول إلیه، و بما کان علیه، و بالمجاورة، و بأحد جزئیاته، و بالمتعلق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فیه النقل، للافتقار إلی النظر فی العلاقة، و لأنّ إعارة اللفظ تابعة لإعارة المعنی، و إلّا لم تحصل المبالغة، و للعلم بأنّ الحقائق الشرعیة و العرفیة لم یستعملها اللغویون فی معانیها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یخرج القرآن عن کونه عربیا، و بامتناع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الإنسان،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للابن و بالعکس،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للصید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الألفاظ مجازات لغویة، و استعمالها فی معانیها لأجل المناسبة، مع إعطاء القانون الکلی فی التجوز مطلقا مع وجود العلاقة، و امتناع الاستعمال فیما نقلتموه، للنص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لا تستلزم المجاز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العکس أیضا، فإنّ المجاز یتوقف علی الوضع السابق، أمّا علی الاستعمال فیه فلا، و هو حال الوضع قبل الاستعمال لیس حقیقة و 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عذوبة لفظه، أو لفوائد البدیع، أو لطلب التعظیم، أو التحقیر، أو للمبالغة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إنسانا</w:t>
      </w:r>
      <w:r>
        <w:rPr>
          <w:rStyle w:val="FootnoteAnchor"/>
          <w:rtl w:val="true"/>
        </w:rPr>
        <w:footnoteReference w:id="179"/>
      </w:r>
      <w:r>
        <w:rPr>
          <w:rFonts w:ascii="IRNazanin" w:hAnsi="IRNazanin" w:eastAsia="IRNazanin"/>
          <w:color w:val="111111"/>
          <w:sz w:val="28"/>
          <w:sz w:val="28"/>
          <w:szCs w:val="28"/>
          <w:rtl w:val="true"/>
          <w:lang w:bidi="fa-IR"/>
        </w:rPr>
        <w:t>کالأسد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لتلطیف الکلام لحصول</w:t>
      </w:r>
      <w:r>
        <w:rPr>
          <w:rStyle w:val="FootnoteAnchor"/>
          <w:rtl w:val="true"/>
        </w:rPr>
        <w:footnoteReference w:id="180"/>
      </w:r>
      <w:r>
        <w:rPr>
          <w:rFonts w:ascii="IRNazanin" w:hAnsi="IRNazanin" w:eastAsia="IRNazanin"/>
          <w:color w:val="111111"/>
          <w:sz w:val="28"/>
          <w:sz w:val="28"/>
          <w:szCs w:val="28"/>
          <w:rtl w:val="true"/>
          <w:lang w:bidi="fa-IR"/>
        </w:rPr>
        <w:t>شوق النفس إلی طلب الکمال بعد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وقوعه فی اللغة، خلافا لأبی إسحاق</w:t>
      </w:r>
      <w:r>
        <w:rPr>
          <w:rStyle w:val="FootnoteAnchor"/>
          <w:rtl w:val="true"/>
        </w:rPr>
        <w:footnoteReference w:id="181"/>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معبّرین عنه بالاستاذ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الشجاع،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البلید، و هو کثیر، و لا إخلال بالفهم مع القرینة، و وقع أیضا فی القرآن، خلافا للظاهریة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جِداراً</w:t>
      </w:r>
    </w:p>
    <w:p>
      <w:pPr>
        <w:pStyle w:val="BookText"/>
        <w:rPr/>
      </w:pPr>
      <w:r>
        <w:rPr>
          <w:rFonts w:ascii="Amiri" w:hAnsi="Amiri" w:eastAsia="Amiri" w:cs="Amiri"/>
          <w:color w:val="111111"/>
          <w:sz w:val="28"/>
          <w:sz w:val="28"/>
          <w:szCs w:val="28"/>
          <w:rtl w:val="true"/>
          <w:lang w:bidi="ar-SA"/>
        </w:rPr>
        <w:t>یُرِیدُ أَنْ یَنْقَضَ</w:t>
      </w:r>
      <w:r>
        <w:rPr>
          <w:rStyle w:val="FootnoteAnchor"/>
          <w:rtl w:val="true"/>
        </w:rPr>
        <w:footnoteReference w:id="183"/>
      </w:r>
      <w:r>
        <w:rPr>
          <w:rFonts w:ascii="Amiri" w:hAnsi="Amiri" w:eastAsia="Amiri" w:cs="Amiri"/>
          <w:color w:val="111111"/>
          <w:sz w:val="28"/>
          <w:sz w:val="28"/>
          <w:szCs w:val="28"/>
          <w:rtl w:val="true"/>
          <w:lang w:bidi="ar-SA"/>
        </w:rPr>
        <w:t>وَ سْئَلِ الْقَرْیَةَ</w:t>
      </w:r>
      <w:r>
        <w:rPr>
          <w:rStyle w:val="FootnoteAnchor"/>
          <w:rtl w:val="true"/>
        </w:rPr>
        <w:footnoteReference w:id="184"/>
      </w:r>
      <w:r>
        <w:rPr>
          <w:rFonts w:ascii="Amiri" w:hAnsi="Amiri" w:eastAsia="Amiri" w:cs="Amiri"/>
          <w:color w:val="111111"/>
          <w:sz w:val="28"/>
          <w:sz w:val="28"/>
          <w:szCs w:val="28"/>
          <w:rtl w:val="true"/>
          <w:lang w:bidi="ar-SA"/>
        </w:rPr>
        <w:t>وَ جاءَ رَبُّکَ</w:t>
      </w:r>
      <w:r>
        <w:rPr>
          <w:rStyle w:val="FootnoteAnchor"/>
          <w:rtl w:val="true"/>
        </w:rPr>
        <w:footnoteReference w:id="185"/>
      </w:r>
      <w:r>
        <w:rPr>
          <w:rFonts w:ascii="Amiri" w:hAnsi="Amiri" w:eastAsia="Amiri" w:cs="Amiri"/>
          <w:color w:val="111111"/>
          <w:sz w:val="28"/>
          <w:sz w:val="28"/>
          <w:szCs w:val="28"/>
          <w:rtl w:val="true"/>
          <w:lang w:bidi="ar-SA"/>
        </w:rPr>
        <w:t>تَجْرِی بِأَعْیُنِنا</w:t>
      </w:r>
      <w:r>
        <w:rPr>
          <w:rStyle w:val="FootnoteAnchor"/>
          <w:rtl w:val="true"/>
        </w:rPr>
        <w:footnoteReference w:id="186"/>
      </w:r>
      <w:r>
        <w:rPr>
          <w:rFonts w:ascii="Amiri" w:hAnsi="Amiri" w:eastAsia="Amiri" w:cs="Amiri"/>
          <w:color w:val="111111"/>
          <w:sz w:val="28"/>
          <w:sz w:val="28"/>
          <w:szCs w:val="28"/>
          <w:rtl w:val="true"/>
          <w:lang w:bidi="ar-SA"/>
        </w:rPr>
        <w:t>وَ السَّماءَ بَنَیْناها بِأَیْدٍ</w:t>
      </w:r>
      <w:r>
        <w:rPr>
          <w:rStyle w:val="FootnoteAnchor"/>
          <w:rtl w:val="true"/>
        </w:rPr>
        <w:footnoteReference w:id="187"/>
      </w:r>
      <w:r>
        <w:rPr>
          <w:rFonts w:ascii="IRNazanin" w:hAnsi="IRNazanin" w:eastAsia="IRNazanin"/>
          <w:color w:val="111111"/>
          <w:sz w:val="28"/>
          <w:sz w:val="28"/>
          <w:szCs w:val="28"/>
          <w:rtl w:val="true"/>
          <w:lang w:bidi="fa-IR"/>
        </w:rPr>
        <w:t>إلی غیر ذلک، و لا یلزم اشتقاق اسم الفاعل له تعالی کما فی أنواع الروائح، و لأنّ أسماءه تعالی توقیفیة</w:t>
      </w:r>
      <w:r>
        <w:rPr>
          <w:rStyle w:val="FootnoteAnchor"/>
          <w:rtl w:val="true"/>
        </w:rPr>
        <w:footnoteReference w:id="188"/>
      </w:r>
      <w:r>
        <w:rPr>
          <w:rFonts w:ascii="Amiri" w:hAnsi="Amiri" w:eastAsia="Amiri" w:cs="Amiri"/>
          <w:color w:val="111111"/>
          <w:sz w:val="28"/>
          <w:sz w:val="28"/>
          <w:szCs w:val="28"/>
          <w:rtl w:val="true"/>
          <w:lang w:bidi="ar-SA"/>
        </w:rPr>
        <w:t>، و المعرّب</w:t>
      </w:r>
      <w:r>
        <w:rPr>
          <w:rStyle w:val="FootnoteAnchor"/>
          <w:rtl w:val="true"/>
        </w:rPr>
        <w:footnoteReference w:id="189"/>
      </w:r>
      <w:r>
        <w:rPr>
          <w:rFonts w:ascii="IRNazanin" w:hAnsi="IRNazanin" w:eastAsia="IRNazanin"/>
          <w:color w:val="111111"/>
          <w:sz w:val="28"/>
          <w:sz w:val="28"/>
          <w:szCs w:val="28"/>
          <w:rtl w:val="true"/>
          <w:lang w:bidi="fa-IR"/>
        </w:rPr>
        <w:t xml:space="preserve">فی القرآن،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علی خلاف الأصل، و إلّا لما حصل التفاهم حال</w:t>
      </w:r>
      <w:r>
        <w:rPr>
          <w:rStyle w:val="FootnoteAnchor"/>
          <w:rtl w:val="true"/>
        </w:rPr>
        <w:footnoteReference w:id="191"/>
      </w:r>
      <w:r>
        <w:rPr>
          <w:rFonts w:ascii="IRNazanin" w:hAnsi="IRNazanin" w:eastAsia="IRNazanin"/>
          <w:color w:val="111111"/>
          <w:sz w:val="28"/>
          <w:sz w:val="28"/>
          <w:szCs w:val="28"/>
          <w:rtl w:val="true"/>
          <w:lang w:bidi="fa-IR"/>
        </w:rPr>
        <w:t>التخاطب، و لأنّه مع تجرده لو حمل علی مجازه لکان حقیقة فیه، و لو حمل علیهما لکان حقیقة فی المجموع، فتعین حمله علی الحقیقة، و إلّا لزم إهماله، و لتوقفه علی</w:t>
      </w:r>
      <w:bookmarkStart w:id="90" w:name="pg2360_36995"/>
    </w:p>
    <w:p>
      <w:pPr>
        <w:pStyle w:val="BookText"/>
        <w:rPr/>
      </w:pPr>
      <w:bookmarkEnd w:id="90"/>
      <w:r>
        <w:rPr>
          <w:rFonts w:ascii="IRNazanin" w:hAnsi="IRNazanin" w:eastAsia="IRNazanin"/>
          <w:color w:val="111111"/>
          <w:sz w:val="28"/>
          <w:sz w:val="28"/>
          <w:szCs w:val="28"/>
          <w:rtl w:val="true"/>
          <w:lang w:bidi="fa-IR"/>
        </w:rPr>
        <w:t>وضع سابق و نقل و علاقة، و التوقف علی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الوقف</w:t>
      </w:r>
      <w:r>
        <w:rPr>
          <w:rStyle w:val="FootnoteAnchor"/>
          <w:rtl w:val="true"/>
        </w:rPr>
        <w:footnoteReference w:id="192"/>
      </w:r>
      <w:r>
        <w:rPr>
          <w:rFonts w:ascii="IRNazanin" w:hAnsi="IRNazanin" w:eastAsia="IRNazanin"/>
          <w:color w:val="111111"/>
          <w:sz w:val="28"/>
          <w:sz w:val="28"/>
          <w:szCs w:val="28"/>
          <w:rtl w:val="true"/>
          <w:lang w:bidi="fa-IR"/>
        </w:rPr>
        <w:t>فی الحقیقة المرجوحة و المجاز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کون اللفظ حقیقة و مجازا بالنسبة إلی معنیین، أو إلی معنی واحد باعتبار وضعین، و یمتنع باعتبار 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تنقلب الحقیقة مجازا عرفیا لقلة استعمالها، و المجاز حقیقة لکثرته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792460_3804643083"/>
      <w:bookmarkStart w:id="92" w:name="_Toc33"/>
      <w:bookmarkEnd w:id="91"/>
      <w:r>
        <w:rPr>
          <w:rtl w:val="true"/>
        </w:rPr>
        <w:t>الفصل الثامن</w:t>
      </w:r>
      <w:r>
        <w:rPr>
          <w:rtl w:val="true"/>
        </w:rPr>
        <w:t xml:space="preserve">: </w:t>
      </w:r>
      <w:r>
        <w:rPr>
          <w:rtl w:val="true"/>
        </w:rPr>
        <w:t>فی تعارض الأحوال</w:t>
      </w:r>
      <w:bookmarkEnd w:id="92"/>
    </w:p>
    <w:p>
      <w:pPr>
        <w:pStyle w:val="BookText"/>
        <w:rPr/>
      </w:pPr>
      <w:r>
        <w:rPr>
          <w:rFonts w:ascii="IRNazanin" w:hAnsi="IRNazanin" w:eastAsia="IRNazanin"/>
          <w:color w:val="111111"/>
          <w:sz w:val="28"/>
          <w:sz w:val="28"/>
          <w:szCs w:val="28"/>
          <w:rtl w:val="true"/>
          <w:lang w:bidi="fa-IR"/>
        </w:rPr>
        <w:t>و هو من عشرة أوجه واقعة بین خمسة، فإنّ مع انتفاء الاشتراک و النقل یکون اللفظ حقیقة واحدة، و مع انتفاء المجاز و الإضمار یکون المراد تلک الحقیقة، و مع انتفاء التخصیص یکون المراد کل تلک الحقیقة و یحصل کمال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التعارض بین الاشتراک و المجاز فالمجاز أولی، لکثرته، و لحصول الفائدة أمّا مع القرینة فالمجاز، و أمّا بدونها فالحقیقة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بأولویة المشترک، لعدم الخطأ، فإنّ القرینة إذا</w:t>
      </w:r>
      <w:r>
        <w:rPr>
          <w:rStyle w:val="FootnoteAnchor"/>
          <w:rtl w:val="true"/>
        </w:rPr>
        <w:footnoteReference w:id="194"/>
      </w:r>
      <w:r>
        <w:rPr>
          <w:rFonts w:ascii="IRNazanin" w:hAnsi="IRNazanin" w:eastAsia="IRNazanin"/>
          <w:color w:val="111111"/>
          <w:sz w:val="28"/>
          <w:sz w:val="28"/>
          <w:szCs w:val="28"/>
          <w:rtl w:val="true"/>
          <w:lang w:bidi="fa-IR"/>
        </w:rPr>
        <w:t>وجدت حمله السامع علی ما دلت علیه، و إلّا توقف، و فی المجاز إذا انتفت یحمله السامع علی الحقیقة و یرید المجاز فیقع فی الخطأ، و لتوقف المجاز علی الوضع و النقل</w:t>
      </w:r>
    </w:p>
    <w:p>
      <w:pPr>
        <w:pStyle w:val="BookText"/>
        <w:rPr/>
      </w:pPr>
      <w:r>
        <w:rPr>
          <w:rFonts w:ascii="IRNazanin" w:hAnsi="IRNazanin" w:eastAsia="IRNazanin"/>
          <w:color w:val="111111"/>
          <w:sz w:val="28"/>
          <w:sz w:val="28"/>
          <w:szCs w:val="28"/>
          <w:rtl w:val="true"/>
          <w:lang w:bidi="fa-IR"/>
        </w:rPr>
        <w:t>و العلاقة، و المشترک علی الأوّل، و لکثرة الاشتقاق فی المشترک دون المجاز، و لکثرة التجوز بکثرة الحقائق</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w:t>
      </w:r>
      <w:r>
        <w:rPr>
          <w:rStyle w:val="FootnoteAnchor"/>
          <w:rtl w:val="true"/>
        </w:rPr>
        <w:footnoteReference w:id="196"/>
      </w:r>
      <w:r>
        <w:rPr>
          <w:rFonts w:ascii="IRNazanin" w:hAnsi="IRNazanin" w:eastAsia="IRNazanin"/>
          <w:color w:val="111111"/>
          <w:sz w:val="28"/>
          <w:sz w:val="28"/>
          <w:szCs w:val="28"/>
          <w:rtl w:val="true"/>
          <w:lang w:bidi="fa-IR"/>
        </w:rPr>
        <w:t>المجاز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أولی من الاشتراک، لتعدد الحقیقة فی المشترک دونه، فیختل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الإضمار أولی من الاشتراک، لاختصاص الإجمال ببعض</w:t>
      </w:r>
      <w:r>
        <w:rPr>
          <w:rStyle w:val="FootnoteAnchor"/>
          <w:rtl w:val="true"/>
        </w:rPr>
        <w:footnoteReference w:id="197"/>
      </w:r>
      <w:r>
        <w:rPr>
          <w:rFonts w:ascii="IRNazanin" w:hAnsi="IRNazanin" w:eastAsia="IRNazanin"/>
          <w:color w:val="111111"/>
          <w:sz w:val="28"/>
          <w:sz w:val="28"/>
          <w:szCs w:val="28"/>
          <w:rtl w:val="true"/>
          <w:lang w:bidi="fa-IR"/>
        </w:rPr>
        <w:t>الصور فی الإضمار، و عمومیته فی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أولی</w:t>
      </w:r>
      <w:r>
        <w:rPr>
          <w:rStyle w:val="FootnoteAnchor"/>
          <w:rtl w:val="true"/>
        </w:rPr>
        <w:footnoteReference w:id="198"/>
      </w:r>
      <w:r>
        <w:rPr>
          <w:rFonts w:ascii="IRNazanin" w:hAnsi="IRNazanin" w:eastAsia="IRNazanin"/>
          <w:color w:val="111111"/>
          <w:sz w:val="28"/>
          <w:sz w:val="28"/>
          <w:szCs w:val="28"/>
          <w:rtl w:val="true"/>
          <w:lang w:bidi="fa-IR"/>
        </w:rPr>
        <w:t>من الاشتراک، لأنّه</w:t>
      </w:r>
      <w:r>
        <w:rPr>
          <w:rStyle w:val="FootnoteAnchor"/>
          <w:rtl w:val="true"/>
        </w:rPr>
        <w:footnoteReference w:id="199"/>
      </w:r>
      <w:r>
        <w:rPr>
          <w:rFonts w:ascii="IRNazanin" w:hAnsi="IRNazanin" w:eastAsia="IRNazanin"/>
          <w:color w:val="111111"/>
          <w:sz w:val="28"/>
          <w:sz w:val="28"/>
          <w:szCs w:val="28"/>
          <w:rtl w:val="true"/>
          <w:lang w:bidi="fa-IR"/>
        </w:rPr>
        <w:t>خیر من المجاز علی ما یأتی، و المجاز خیر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أولی من النقل، لتوقف النقل علی اتفاق أهل اللسان</w:t>
      </w:r>
      <w:r>
        <w:rPr>
          <w:rStyle w:val="FootnoteAnchor"/>
          <w:rtl w:val="true"/>
        </w:rPr>
        <w:footnoteReference w:id="200"/>
      </w:r>
      <w:r>
        <w:rPr>
          <w:rFonts w:ascii="IRNazanin" w:hAnsi="IRNazanin" w:eastAsia="IRNazanin"/>
          <w:color w:val="111111"/>
          <w:sz w:val="28"/>
          <w:sz w:val="28"/>
          <w:szCs w:val="28"/>
          <w:rtl w:val="true"/>
          <w:lang w:bidi="fa-IR"/>
        </w:rPr>
        <w:t>علیه، بخلاف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الإضمار أولی من النقل، لما قلناه</w:t>
      </w:r>
      <w:r>
        <w:rPr>
          <w:rStyle w:val="FootnoteAnchor"/>
          <w:rtl w:val="true"/>
        </w:rPr>
        <w:footnoteReference w:id="201"/>
      </w:r>
      <w:r>
        <w:rPr>
          <w:rFonts w:ascii="IRNazanin" w:hAnsi="IRNazanin" w:eastAsia="IRNazanin"/>
          <w:color w:val="111111"/>
          <w:sz w:val="28"/>
          <w:sz w:val="28"/>
          <w:szCs w:val="28"/>
          <w:rtl w:val="true"/>
          <w:lang w:bidi="fa-IR"/>
        </w:rPr>
        <w:t>فی المجاز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أولی من النقل، لأنّه أجود من المجاز علی ما یأتی،</w:t>
      </w:r>
      <w:bookmarkStart w:id="93" w:name="pg2360_36997"/>
    </w:p>
    <w:p>
      <w:pPr>
        <w:pStyle w:val="BookText"/>
        <w:rPr/>
      </w:pPr>
      <w:bookmarkEnd w:id="93"/>
      <w:r>
        <w:rPr>
          <w:rFonts w:ascii="IRNazanin" w:hAnsi="IRNazanin" w:eastAsia="IRNazanin"/>
          <w:color w:val="111111"/>
          <w:sz w:val="28"/>
          <w:sz w:val="28"/>
          <w:szCs w:val="28"/>
          <w:rtl w:val="true"/>
          <w:lang w:bidi="fa-IR"/>
        </w:rPr>
        <w:t>و المجاز أولی من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و الإضمار متساویان، لاحتیاج کل منهما إلی قرینة صارفة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أولی من المجاز، لأنّه إذا انتفت القرینة فی التخصیص حمل علی الجمیع فدخل المراد و غیره، بخلاف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أولی من الإضمار، لأنّه خیر من المجاز المساوی للإضمار</w:t>
      </w:r>
      <w:r>
        <w:rPr>
          <w:rFonts w:eastAsia="IRNazanin" w:cs="IRNazanin"/>
          <w:color w:val="111111"/>
          <w:sz w:val="28"/>
          <w:szCs w:val="28"/>
          <w:rtl w:val="true"/>
          <w:lang w:bidi="fa-IR"/>
        </w:rPr>
        <w:t>.</w:t>
      </w:r>
    </w:p>
    <w:p>
      <w:pPr>
        <w:pStyle w:val="Heading3"/>
        <w:numPr>
          <w:ilvl w:val="2"/>
          <w:numId w:val="1"/>
        </w:numPr>
        <w:rPr/>
      </w:pPr>
      <w:bookmarkStart w:id="94" w:name="__RefHeading___Toc2792462_3804643083"/>
      <w:bookmarkStart w:id="95" w:name="_Toc34"/>
      <w:bookmarkEnd w:id="94"/>
      <w:r>
        <w:rPr>
          <w:rtl w:val="true"/>
        </w:rPr>
        <w:t>الفصل التاسع</w:t>
      </w:r>
      <w:r>
        <w:rPr>
          <w:rtl w:val="true"/>
        </w:rPr>
        <w:t xml:space="preserve">: </w:t>
      </w:r>
      <w:r>
        <w:rPr>
          <w:rtl w:val="true"/>
        </w:rPr>
        <w:t>فی تفسیر حروف یحتاج إلیها</w:t>
      </w:r>
      <w:bookmarkEnd w:id="95"/>
    </w:p>
    <w:p>
      <w:pPr>
        <w:pStyle w:val="BookText"/>
        <w:rPr/>
      </w:pPr>
      <w:r>
        <w:rPr>
          <w:rFonts w:ascii="IRNazanin" w:hAnsi="IRNazanin" w:eastAsia="IRNazanin"/>
          <w:color w:val="111111"/>
          <w:sz w:val="28"/>
          <w:sz w:val="28"/>
          <w:szCs w:val="28"/>
          <w:rtl w:val="true"/>
          <w:lang w:bidi="fa-IR"/>
        </w:rPr>
        <w:t>فمنها الواو و معناها الجمع من غیر ترتیب، خلافا للفرّاء</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أهل اللغة،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اللغویون و النحویون البصریون</w:t>
      </w:r>
    </w:p>
    <w:p>
      <w:pPr>
        <w:pStyle w:val="BookText"/>
        <w:rPr/>
      </w:pPr>
      <w:r>
        <w:rPr>
          <w:rFonts w:ascii="IRNazanin" w:hAnsi="IRNazanin" w:eastAsia="IRNazanin"/>
          <w:color w:val="111111"/>
          <w:sz w:val="28"/>
          <w:sz w:val="28"/>
          <w:szCs w:val="28"/>
          <w:rtl w:val="true"/>
          <w:lang w:bidi="fa-IR"/>
        </w:rPr>
        <w:t>و الکوفیون علی أنّ الواو للجمع المطلق من غیر ترتیب</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 و لو روده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زید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و عمرو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تکریر و لا تناقض، و لقوله تعالی ادْخُلُوا الْبابَ سُجَّداً وَ قُولُوا حِطَّةٌ نَغْفِرْ لَکُمْ</w:t>
      </w:r>
      <w:r>
        <w:rPr>
          <w:rStyle w:val="FootnoteAnchor"/>
          <w:rtl w:val="true"/>
        </w:rPr>
        <w:footnoteReference w:id="205"/>
      </w:r>
      <w:r>
        <w:rPr>
          <w:rFonts w:ascii="IRNazanin" w:hAnsi="IRNazanin" w:eastAsia="IRNazanin"/>
          <w:color w:val="111111"/>
          <w:sz w:val="28"/>
          <w:sz w:val="28"/>
          <w:szCs w:val="28"/>
          <w:rtl w:val="true"/>
          <w:lang w:bidi="fa-IR"/>
        </w:rPr>
        <w:t>و بالعکس</w:t>
      </w:r>
      <w:r>
        <w:rPr>
          <w:rStyle w:val="FootnoteAnchor"/>
          <w:rtl w:val="true"/>
        </w:rPr>
        <w:footnoteReference w:id="206"/>
      </w:r>
      <w:r>
        <w:rPr>
          <w:rFonts w:ascii="IRNazanin" w:hAnsi="IRNazanin" w:eastAsia="IRNazanin"/>
          <w:color w:val="111111"/>
          <w:sz w:val="28"/>
          <w:sz w:val="28"/>
          <w:szCs w:val="28"/>
          <w:rtl w:val="true"/>
          <w:lang w:bidi="fa-IR"/>
        </w:rPr>
        <w:t>، و لسؤال الصحابة عن مبدأ السعی، و لمساواة واو العطف فی الأسماء المختلفة واو الجمع فی المتفقة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 علیه الصلاة و السلام علی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عصاهما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و بإنکار الصحابة علی ابن عباس فی أمرهم بالعمرة قبل الحج و قد قال اللّه تعالی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أَتِمُّوا الْحَجَّ وَ الْعُمْرَةَ</w:t>
      </w:r>
      <w:r>
        <w:rPr>
          <w:rStyle w:val="FootnoteAnchor"/>
          <w:rtl w:val="true"/>
        </w:rPr>
        <w:footnoteReference w:id="208"/>
      </w:r>
      <w:r>
        <w:rPr>
          <w:rFonts w:ascii="IRNazanin" w:hAnsi="IRNazanin" w:eastAsia="IRNazanin"/>
          <w:color w:val="111111"/>
          <w:sz w:val="28"/>
          <w:sz w:val="28"/>
          <w:szCs w:val="28"/>
          <w:rtl w:val="true"/>
          <w:lang w:bidi="fa-IR"/>
        </w:rPr>
        <w:t>، و بعدم</w:t>
      </w:r>
      <w:r>
        <w:rPr>
          <w:rStyle w:val="FootnoteAnchor"/>
          <w:rtl w:val="true"/>
        </w:rPr>
        <w:footnoteReference w:id="209"/>
      </w:r>
      <w:r>
        <w:rPr>
          <w:rFonts w:ascii="IRNazanin" w:hAnsi="IRNazanin" w:eastAsia="IRNazanin"/>
          <w:color w:val="111111"/>
          <w:sz w:val="28"/>
          <w:sz w:val="28"/>
          <w:szCs w:val="28"/>
          <w:rtl w:val="true"/>
          <w:lang w:bidi="fa-IR"/>
        </w:rPr>
        <w:t>وقوع الثانیة لمن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و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طلقتین</w:t>
      </w:r>
      <w:r>
        <w:rPr>
          <w:rStyle w:val="FootnoteAnchor"/>
          <w:rtl w:val="true"/>
        </w:rPr>
        <w:footnoteReference w:id="210"/>
      </w:r>
      <w:r>
        <w:rPr>
          <w:rFonts w:ascii="IRNazanin" w:hAnsi="IRNazanin" w:eastAsia="IRNazanin"/>
          <w:color w:val="111111"/>
          <w:sz w:val="28"/>
          <w:sz w:val="28"/>
          <w:szCs w:val="28"/>
          <w:rtl w:val="true"/>
          <w:lang w:bidi="fa-IR"/>
        </w:rPr>
        <w:t>، و لأنّ الترتیب علی التعاقب له الفاء، و علی التراخی له ثمّ،</w:t>
      </w:r>
    </w:p>
    <w:p>
      <w:pPr>
        <w:pStyle w:val="BookText"/>
        <w:rPr/>
      </w:pPr>
      <w:r>
        <w:rPr>
          <w:rFonts w:ascii="IRNazanin" w:hAnsi="IRNazanin" w:eastAsia="IRNazanin"/>
          <w:color w:val="111111"/>
          <w:sz w:val="28"/>
          <w:sz w:val="28"/>
          <w:szCs w:val="28"/>
          <w:rtl w:val="true"/>
          <w:lang w:bidi="fa-IR"/>
        </w:rPr>
        <w:t>و مطلق الترتیب معنی تشتد الحاجة إلی التعبیر عنه فله الواو إذ لا غیره، و هو أولی من جعله لمطلق الجمع، لاستلزام المرکب الجزء بخلاف العکس</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212"/>
      </w:r>
      <w:r>
        <w:rPr>
          <w:rFonts w:ascii="IRNazanin" w:hAnsi="IRNazanin" w:eastAsia="IRNazanin"/>
          <w:color w:val="111111"/>
          <w:sz w:val="28"/>
          <w:sz w:val="28"/>
          <w:szCs w:val="28"/>
          <w:rtl w:val="true"/>
          <w:lang w:bidi="fa-IR"/>
        </w:rPr>
        <w:t>الإنکار لترک الإفراد بالذکر، فإنّه أبلغ فی التعظیم، و إنکارهم علی ابن عباس معارض بأمر ابن عباس، و أیضا فإنّ أمر ابن عباس یدل علی المطلوب، بخلاف إنکارهم، لاحتمال فهم</w:t>
      </w:r>
      <w:r>
        <w:rPr>
          <w:rStyle w:val="FootnoteAnchor"/>
          <w:rtl w:val="true"/>
        </w:rPr>
        <w:footnoteReference w:id="213"/>
      </w:r>
      <w:r>
        <w:rPr>
          <w:rFonts w:ascii="IRNazanin" w:hAnsi="IRNazanin" w:eastAsia="IRNazanin"/>
          <w:color w:val="111111"/>
          <w:sz w:val="28"/>
          <w:sz w:val="28"/>
          <w:szCs w:val="28"/>
          <w:rtl w:val="true"/>
          <w:lang w:bidi="fa-IR"/>
        </w:rPr>
        <w:t>الجمع المطلق</w:t>
      </w:r>
      <w:r>
        <w:rPr>
          <w:rStyle w:val="FootnoteAnchor"/>
          <w:rtl w:val="true"/>
        </w:rPr>
        <w:footnoteReference w:id="214"/>
      </w:r>
      <w:r>
        <w:rPr>
          <w:rFonts w:ascii="IRNazanin" w:hAnsi="IRNazanin" w:eastAsia="IRNazanin"/>
          <w:color w:val="111111"/>
          <w:sz w:val="28"/>
          <w:sz w:val="28"/>
          <w:szCs w:val="28"/>
          <w:rtl w:val="true"/>
          <w:lang w:bidi="fa-IR"/>
        </w:rPr>
        <w:t>المتناول لتقدیم الحج و تقدیم</w:t>
      </w:r>
      <w:r>
        <w:rPr>
          <w:rStyle w:val="FootnoteAnchor"/>
          <w:rtl w:val="true"/>
        </w:rPr>
        <w:footnoteReference w:id="215"/>
      </w:r>
      <w:r>
        <w:rPr>
          <w:rFonts w:ascii="Amiri" w:hAnsi="Amiri" w:eastAsia="Amiri" w:cs="Amiri"/>
          <w:color w:val="111111"/>
          <w:sz w:val="28"/>
          <w:sz w:val="28"/>
          <w:szCs w:val="28"/>
          <w:rtl w:val="true"/>
          <w:lang w:bidi="ar-SA"/>
        </w:rPr>
        <w:t>العمرة، فإنّ أمر</w:t>
      </w:r>
      <w:r>
        <w:rPr>
          <w:rStyle w:val="FootnoteAnchor"/>
          <w:rtl w:val="true"/>
        </w:rPr>
        <w:footnoteReference w:id="216"/>
      </w:r>
      <w:r>
        <w:rPr>
          <w:rFonts w:ascii="IRNazanin" w:hAnsi="IRNazanin" w:eastAsia="IRNazanin"/>
          <w:color w:val="111111"/>
          <w:sz w:val="28"/>
          <w:sz w:val="28"/>
          <w:szCs w:val="28"/>
          <w:rtl w:val="true"/>
          <w:lang w:bidi="fa-IR"/>
        </w:rPr>
        <w:t>ابن عباس بتقدیم العمرة یرفع العمومیة المستفادة من مطلق الجمع الدال علی التخییر و هو مطلوبنا، و الطلاق الثانی لیس تفسیرا للأوّل و قد طلقت بالأوّل بتمامه</w:t>
      </w:r>
      <w:r>
        <w:rPr>
          <w:rStyle w:val="FootnoteAnchor"/>
          <w:rtl w:val="true"/>
        </w:rPr>
        <w:footnoteReference w:id="217"/>
      </w:r>
      <w:r>
        <w:rPr>
          <w:rFonts w:ascii="IRNazanin" w:hAnsi="IRNazanin" w:eastAsia="IRNazanin"/>
          <w:color w:val="111111"/>
          <w:sz w:val="28"/>
          <w:sz w:val="28"/>
          <w:szCs w:val="28"/>
          <w:rtl w:val="true"/>
          <w:lang w:bidi="fa-IR"/>
        </w:rPr>
        <w:t>، و وضع اللفظ للأعم أولی لأنّ الحاجة إلی التعبیر عنه أشد، فإنّ الحاجة إلی الخاص تستلزم الحاجة إلیه، و قد یحتاج إلی العام و یستغنی عن التعبیر عن الخاص</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الفاء و هی للتعقیب بحسب ما یمکن، لإجماع أهل اللغة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فَیُسْحِتَکُمْ</w:t>
      </w:r>
      <w:r>
        <w:rPr>
          <w:rStyle w:val="FootnoteAnchor"/>
          <w:rtl w:val="true"/>
        </w:rPr>
        <w:footnoteReference w:id="218"/>
      </w:r>
      <w:r>
        <w:rPr>
          <w:rFonts w:ascii="IRNazanin" w:hAnsi="IRNazanin" w:eastAsia="IRNazanin"/>
          <w:color w:val="111111"/>
          <w:sz w:val="28"/>
          <w:sz w:val="28"/>
          <w:szCs w:val="28"/>
          <w:rtl w:val="true"/>
          <w:lang w:bidi="fa-IR"/>
        </w:rPr>
        <w:t>مجاز، فإنّ الوعید من اللّه تعالی یشبه الوقوع لامتناع الخلف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فی و هی للظرفیة تحقیقا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تقدیرا مثل فِی جُذُوعِ النَّخْلِ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من و هی مشترکة بین ابتداء الغایة، و التبعیض، و التبیین، و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إلی و هی لانتهاء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إجمال، کما توهم قوم، لدخول الغایة تارة و خروجها اخری، لأنها موضوعة للانتهاء، ثمّ الغایة قد تنفصل حسا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خروجها، و قد لا تتمیز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الباء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غیر المتعدی للإلصاق و فی المتعدی للتبعیض، و أنکر سیبویه فی سبعة عشر موضعا من کتابه کونها للتبعیض، 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بالمندیل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المندیل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جعل المندیل آلة فی المسح مع الباء و ممسوحا مع عدمها، لا من حیث التبعیض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إنّما و هی للحصر بالنقل عن أهل اللغة، و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للنفی، و لا یتواردان علی محل واحد، و لا یمکن صرف النفی إلی المذکور و الإثبات إلی غیره، فتعیّن</w:t>
      </w:r>
      <w:r>
        <w:rPr>
          <w:rStyle w:val="FootnoteAnchor"/>
          <w:rtl w:val="true"/>
        </w:rPr>
        <w:footnoteReference w:id="220"/>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bookmarkStart w:id="96" w:name="pg2360_37001"/>
    </w:p>
    <w:p>
      <w:pPr>
        <w:pStyle w:val="Heading3"/>
        <w:numPr>
          <w:ilvl w:val="2"/>
          <w:numId w:val="1"/>
        </w:numPr>
        <w:rPr/>
      </w:pPr>
      <w:bookmarkStart w:id="97" w:name="__RefHeading___Toc2792464_3804643083"/>
      <w:bookmarkStart w:id="98" w:name="_Toc35"/>
      <w:bookmarkEnd w:id="96"/>
      <w:bookmarkEnd w:id="97"/>
      <w:r>
        <w:rPr>
          <w:rtl w:val="true"/>
        </w:rPr>
        <w:t>الفصل العاشر</w:t>
      </w:r>
      <w:r>
        <w:rPr>
          <w:rtl w:val="true"/>
        </w:rPr>
        <w:t xml:space="preserve">: </w:t>
      </w:r>
      <w:r>
        <w:rPr>
          <w:rtl w:val="true"/>
        </w:rPr>
        <w:t>فی الخطاب</w:t>
      </w:r>
      <w:bookmarkEnd w:id="98"/>
    </w:p>
    <w:p>
      <w:pPr>
        <w:pStyle w:val="Heading4"/>
        <w:numPr>
          <w:ilvl w:val="3"/>
          <w:numId w:val="1"/>
        </w:numPr>
        <w:rPr/>
      </w:pPr>
      <w:bookmarkStart w:id="99" w:name="__RefHeading___Toc2792466_3804643083"/>
      <w:bookmarkStart w:id="100" w:name="_Toc36"/>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01" w:name="__RefHeading___Toc2792468_3804643083"/>
      <w:bookmarkStart w:id="102" w:name="_Toc37"/>
      <w:bookmarkEnd w:id="101"/>
      <w:r>
        <w:rPr>
          <w:rtl w:val="true"/>
        </w:rPr>
        <w:t>الأوّل</w:t>
      </w:r>
      <w:r>
        <w:rPr>
          <w:rtl w:val="true"/>
        </w:rPr>
        <w:t xml:space="preserve">: </w:t>
      </w:r>
      <w:r>
        <w:rPr>
          <w:rtl w:val="true"/>
        </w:rPr>
        <w:t>الخطاب هو الکلام المقصود به الإفهام،</w:t>
      </w:r>
      <w:bookmarkEnd w:id="102"/>
    </w:p>
    <w:p>
      <w:pPr>
        <w:pStyle w:val="BookText"/>
        <w:rPr/>
      </w:pPr>
      <w:r>
        <w:rPr>
          <w:rFonts w:ascii="IRNazanin" w:hAnsi="IRNazanin" w:eastAsia="IRNazanin"/>
          <w:color w:val="111111"/>
          <w:sz w:val="28"/>
          <w:sz w:val="28"/>
          <w:szCs w:val="28"/>
          <w:rtl w:val="true"/>
          <w:lang w:bidi="fa-IR"/>
        </w:rPr>
        <w:t>فلا یقع من الحکیم المخاطبة</w:t>
      </w:r>
      <w:r>
        <w:rPr>
          <w:rStyle w:val="FootnoteAnchor"/>
          <w:rtl w:val="true"/>
        </w:rPr>
        <w:footnoteReference w:id="221"/>
      </w:r>
      <w:r>
        <w:rPr>
          <w:rFonts w:ascii="IRNazanin" w:hAnsi="IRNazanin" w:eastAsia="IRNazanin"/>
          <w:color w:val="111111"/>
          <w:sz w:val="28"/>
          <w:sz w:val="28"/>
          <w:szCs w:val="28"/>
          <w:rtl w:val="true"/>
          <w:lang w:bidi="fa-IR"/>
        </w:rPr>
        <w:t>بالمهمل لاشتماله علی النقض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احتجاج الحشویة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المقطعة، 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رُؤُسُ الشَّیاطِینِ</w:t>
      </w:r>
      <w:r>
        <w:rPr>
          <w:rStyle w:val="FootnoteAnchor"/>
          <w:rtl w:val="true"/>
        </w:rPr>
        <w:footnoteReference w:id="222"/>
      </w:r>
      <w:r>
        <w:rPr>
          <w:rFonts w:ascii="Amiri" w:hAnsi="Amiri" w:eastAsia="Amiri" w:cs="Amiri"/>
          <w:color w:val="111111"/>
          <w:sz w:val="28"/>
          <w:sz w:val="28"/>
          <w:szCs w:val="28"/>
          <w:rtl w:val="true"/>
          <w:lang w:bidi="ar-SA"/>
        </w:rPr>
        <w:t>و تِلْکَ عَشَرَةٌ کامِلَةٌ</w:t>
      </w:r>
      <w:r>
        <w:rPr>
          <w:rStyle w:val="FootnoteAnchor"/>
          <w:rtl w:val="true"/>
        </w:rPr>
        <w:footnoteReference w:id="223"/>
      </w:r>
      <w:r>
        <w:rPr>
          <w:rFonts w:ascii="Amiri" w:hAnsi="Amiri" w:eastAsia="Amiri" w:cs="Amiri"/>
          <w:color w:val="111111"/>
          <w:sz w:val="28"/>
          <w:sz w:val="28"/>
          <w:szCs w:val="28"/>
          <w:rtl w:val="true"/>
          <w:lang w:bidi="ar-SA"/>
        </w:rPr>
        <w:t>وَ ما یَعْلَمُ تَأْوِیلَهُ إِلَّا اللَّهُ</w:t>
      </w:r>
      <w:r>
        <w:rPr>
          <w:rStyle w:val="FootnoteAnchor"/>
          <w:rtl w:val="true"/>
        </w:rPr>
        <w:footnoteReference w:id="224"/>
      </w:r>
      <w:r>
        <w:rPr>
          <w:rFonts w:ascii="IRNazanin" w:hAnsi="IRNazanin" w:eastAsia="IRNazanin"/>
          <w:color w:val="111111"/>
          <w:sz w:val="28"/>
          <w:sz w:val="28"/>
          <w:szCs w:val="28"/>
          <w:rtl w:val="true"/>
          <w:lang w:bidi="fa-IR"/>
        </w:rPr>
        <w:t xml:space="preserve">لامتناع العطف، لاستحالة 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المعطوف علیه</w:t>
      </w:r>
      <w:r>
        <w:rPr>
          <w:rStyle w:val="FootnoteAnchor"/>
          <w:rtl w:val="true"/>
        </w:rPr>
        <w:footnoteReference w:id="225"/>
      </w:r>
      <w:r>
        <w:rPr>
          <w:rFonts w:ascii="IRNazanin" w:hAnsi="IRNazanin" w:eastAsia="IRNazanin"/>
          <w:color w:val="111111"/>
          <w:sz w:val="28"/>
          <w:sz w:val="28"/>
          <w:szCs w:val="28"/>
          <w:rtl w:val="true"/>
          <w:lang w:bidi="fa-IR"/>
        </w:rPr>
        <w:t>باطل، لأنّ الحروف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أسماء للسور، و التمثیل برءوس الشیاطین تمثیل بالمستنکر فی العادة</w:t>
      </w:r>
      <w:r>
        <w:rPr>
          <w:rStyle w:val="FootnoteAnchor"/>
          <w:rtl w:val="true"/>
        </w:rPr>
        <w:footnoteReference w:id="226"/>
      </w:r>
      <w:r>
        <w:rPr>
          <w:rFonts w:ascii="IRNazanin" w:hAnsi="IRNazanin" w:eastAsia="IRNazanin"/>
          <w:color w:val="111111"/>
          <w:sz w:val="28"/>
          <w:sz w:val="28"/>
          <w:szCs w:val="28"/>
          <w:rtl w:val="true"/>
          <w:lang w:bidi="fa-IR"/>
        </w:rPr>
        <w:t>، و التوکید مفهوم، و العطف لا یقتضی عود الضمیر إلی المعطوف علیه</w:t>
      </w:r>
      <w:r>
        <w:rPr>
          <w:rFonts w:eastAsia="IRNazanin" w:cs="IRNazanin"/>
          <w:color w:val="111111"/>
          <w:sz w:val="28"/>
          <w:szCs w:val="28"/>
          <w:rtl w:val="true"/>
          <w:lang w:bidi="fa-IR"/>
        </w:rPr>
        <w:t>.</w:t>
      </w:r>
    </w:p>
    <w:p>
      <w:pPr>
        <w:pStyle w:val="Heading4"/>
        <w:numPr>
          <w:ilvl w:val="3"/>
          <w:numId w:val="1"/>
        </w:numPr>
        <w:rPr/>
      </w:pPr>
      <w:bookmarkStart w:id="103" w:name="__RefHeading___Toc2792470_3804643083"/>
      <w:bookmarkStart w:id="104" w:name="_Toc38"/>
      <w:bookmarkEnd w:id="103"/>
      <w:r>
        <w:rPr>
          <w:rtl w:val="true"/>
        </w:rPr>
        <w:t>البحث الثانی</w:t>
      </w:r>
      <w:r>
        <w:rPr>
          <w:rtl w:val="true"/>
        </w:rPr>
        <w:t xml:space="preserve">: </w:t>
      </w:r>
      <w:r>
        <w:rPr>
          <w:rtl w:val="true"/>
        </w:rPr>
        <w:t>یمتنع أن یخاطب اللّه بشی‌ء و یرید خلاف ظاهره من دون البیان،</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الإغراء بالجهل، و لأنّه بالنسبة إلی غیر ظاهره مهمل</w:t>
      </w:r>
      <w:r>
        <w:rPr>
          <w:rFonts w:eastAsia="IRNazanin" w:cs="IRNazanin"/>
          <w:color w:val="111111"/>
          <w:sz w:val="28"/>
          <w:szCs w:val="28"/>
          <w:rtl w:val="true"/>
          <w:lang w:bidi="fa-IR"/>
        </w:rPr>
        <w:t>.</w:t>
      </w:r>
      <w:bookmarkStart w:id="105" w:name="pg2360_37002"/>
    </w:p>
    <w:p>
      <w:pPr>
        <w:pStyle w:val="Heading4"/>
        <w:numPr>
          <w:ilvl w:val="3"/>
          <w:numId w:val="1"/>
        </w:numPr>
        <w:rPr/>
      </w:pPr>
      <w:bookmarkStart w:id="106" w:name="__RefHeading___Toc2792472_3804643083"/>
      <w:bookmarkStart w:id="107" w:name="_Toc39"/>
      <w:bookmarkEnd w:id="105"/>
      <w:bookmarkEnd w:id="106"/>
      <w:r>
        <w:rPr>
          <w:rtl w:val="true"/>
        </w:rPr>
        <w:t>البحث الثالث</w:t>
      </w:r>
      <w:r>
        <w:rPr>
          <w:rtl w:val="true"/>
        </w:rPr>
        <w:t xml:space="preserve">: </w:t>
      </w:r>
      <w:r>
        <w:rPr>
          <w:rtl w:val="true"/>
        </w:rPr>
        <w:t>قیل</w:t>
      </w:r>
      <w:r>
        <w:rPr>
          <w:rtl w:val="true"/>
        </w:rPr>
        <w:t xml:space="preserve">: </w:t>
      </w:r>
      <w:r>
        <w:rPr>
          <w:rtl w:val="true"/>
        </w:rPr>
        <w:t>الدلائل اللفظیة ظنیة،</w:t>
      </w:r>
      <w:bookmarkEnd w:id="107"/>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اللفظیة</w:t>
      </w:r>
      <w:r>
        <w:rPr>
          <w:rStyle w:val="FootnoteAnchor"/>
          <w:rtl w:val="true"/>
        </w:rPr>
        <w:footnoteReference w:id="227"/>
      </w:r>
      <w:r>
        <w:rPr>
          <w:rFonts w:ascii="IRNazanin" w:hAnsi="IRNazanin" w:eastAsia="IRNazanin"/>
          <w:color w:val="111111"/>
          <w:sz w:val="28"/>
          <w:sz w:val="28"/>
          <w:szCs w:val="28"/>
          <w:rtl w:val="true"/>
          <w:lang w:bidi="fa-IR"/>
        </w:rPr>
        <w:t>ظنیة،</w:t>
      </w:r>
    </w:p>
    <w:p>
      <w:pPr>
        <w:pStyle w:val="BookText"/>
        <w:rPr/>
      </w:pPr>
      <w:r>
        <w:rPr>
          <w:rFonts w:ascii="IRNazanin" w:hAnsi="IRNazanin" w:eastAsia="IRNazanin"/>
          <w:color w:val="111111"/>
          <w:sz w:val="28"/>
          <w:sz w:val="28"/>
          <w:szCs w:val="28"/>
          <w:rtl w:val="true"/>
          <w:lang w:bidi="fa-IR"/>
        </w:rPr>
        <w:t>لتوقفها علی نقل اللغة، و النحو، و التصریف، و عدم الاشتراک، و المجاز، و النقل، و التخصیص، و الإضمار، و التقدیم، و التأخیر، و الناسخ، و المعارض العقلی الذی لو رجّح النقل</w:t>
      </w:r>
      <w:r>
        <w:rPr>
          <w:rStyle w:val="FootnoteAnchor"/>
          <w:rtl w:val="true"/>
        </w:rPr>
        <w:footnoteReference w:id="228"/>
      </w:r>
      <w:r>
        <w:rPr>
          <w:rFonts w:ascii="IRNazanin" w:hAnsi="IRNazanin" w:eastAsia="IRNazanin"/>
          <w:color w:val="111111"/>
          <w:sz w:val="28"/>
          <w:sz w:val="28"/>
          <w:szCs w:val="28"/>
          <w:rtl w:val="true"/>
          <w:lang w:bidi="fa-IR"/>
        </w:rPr>
        <w:t>علیه لزم إبطال النقل</w:t>
      </w:r>
      <w:r>
        <w:rPr>
          <w:rStyle w:val="FootnoteAnchor"/>
          <w:rtl w:val="true"/>
        </w:rPr>
        <w:footnoteReference w:id="229"/>
      </w:r>
      <w:r>
        <w:rPr>
          <w:rFonts w:ascii="IRNazanin" w:hAnsi="IRNazanin" w:eastAsia="IRNazanin"/>
          <w:color w:val="111111"/>
          <w:sz w:val="28"/>
          <w:sz w:val="28"/>
          <w:szCs w:val="28"/>
          <w:rtl w:val="true"/>
          <w:lang w:bidi="fa-IR"/>
        </w:rPr>
        <w:t>، إذ بطلان الأصل یستلزم بطلان الفرع، و لا شکّ أنّ هذه ظنیة، فالموقوف</w:t>
      </w:r>
      <w:r>
        <w:rPr>
          <w:rStyle w:val="FootnoteAnchor"/>
          <w:rtl w:val="true"/>
        </w:rPr>
        <w:footnoteReference w:id="230"/>
      </w:r>
      <w:r>
        <w:rPr>
          <w:rFonts w:ascii="IRNazanin" w:hAnsi="IRNazanin" w:eastAsia="IRNazanin"/>
          <w:color w:val="111111"/>
          <w:sz w:val="28"/>
          <w:sz w:val="28"/>
          <w:szCs w:val="28"/>
          <w:rtl w:val="true"/>
          <w:lang w:bidi="fa-IR"/>
        </w:rPr>
        <w:t>علیها ظنی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هذا، فإنّ بعض اللغات و النحو و التصریف متواتر النقل، و عدم الأشیاء التی ذکروها قد یعلم فی محکمات القرآن، فثبت</w:t>
      </w:r>
      <w:r>
        <w:rPr>
          <w:rStyle w:val="FootnoteAnchor"/>
          <w:rtl w:val="true"/>
        </w:rPr>
        <w:footnoteReference w:id="232"/>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Heading4"/>
        <w:numPr>
          <w:ilvl w:val="3"/>
          <w:numId w:val="1"/>
        </w:numPr>
        <w:rPr/>
      </w:pPr>
      <w:bookmarkStart w:id="108" w:name="__RefHeading___Toc2792474_3804643083"/>
      <w:bookmarkStart w:id="109" w:name="_Toc40"/>
      <w:bookmarkEnd w:id="108"/>
      <w:r>
        <w:rPr>
          <w:rtl w:val="true"/>
        </w:rPr>
        <w:t>البحث الرابع</w:t>
      </w:r>
      <w:r>
        <w:rPr>
          <w:rtl w:val="true"/>
        </w:rPr>
        <w:t xml:space="preserve">: </w:t>
      </w:r>
      <w:r>
        <w:rPr>
          <w:rtl w:val="true"/>
        </w:rPr>
        <w:t>خطاب اللّه تعالی یحمل علی الحقیقة الشرعیة إن وجدت،</w:t>
      </w:r>
      <w:bookmarkEnd w:id="109"/>
    </w:p>
    <w:p>
      <w:pPr>
        <w:pStyle w:val="BookText"/>
        <w:rPr/>
      </w:pPr>
      <w:r>
        <w:rPr>
          <w:rFonts w:ascii="IRNazanin" w:hAnsi="IRNazanin" w:eastAsia="IRNazanin"/>
          <w:color w:val="111111"/>
          <w:sz w:val="28"/>
          <w:sz w:val="28"/>
          <w:szCs w:val="28"/>
          <w:rtl w:val="true"/>
          <w:lang w:bidi="fa-IR"/>
        </w:rPr>
        <w:t>سواء وجد غیرها من الحقائق أم لا، فإن انتفت الشرعیة فالعرفیة إن غلبت علی اللغویة فی الاستعمال، و إلّا فهو مشترک یفتقر فی حمله علی أحدهما إلی قرینة، و إن انتفت العرفیة فاللغویة، و إن</w:t>
      </w:r>
      <w:r>
        <w:rPr>
          <w:rStyle w:val="FootnoteAnchor"/>
          <w:rtl w:val="true"/>
        </w:rPr>
        <w:footnoteReference w:id="233"/>
      </w:r>
      <w:r>
        <w:rPr>
          <w:rFonts w:ascii="IRNazanin" w:hAnsi="IRNazanin" w:eastAsia="IRNazanin"/>
          <w:color w:val="111111"/>
          <w:sz w:val="28"/>
          <w:sz w:val="28"/>
          <w:szCs w:val="28"/>
          <w:rtl w:val="true"/>
          <w:lang w:bidi="fa-IR"/>
        </w:rPr>
        <w:t>لم تکن فالمجاز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تعددت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کل طائفة الخطاب علی المتعارف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یدل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باعتبار اللفظ المفرد بأن یکون شرطا للمطابقی</w:t>
      </w:r>
      <w:r>
        <w:rPr>
          <w:rStyle w:val="FootnoteAnchor"/>
          <w:rtl w:val="true"/>
        </w:rPr>
        <w:footnoteReference w:id="234"/>
      </w:r>
      <w:r>
        <w:rPr>
          <w:rFonts w:ascii="IRNazanin" w:hAnsi="IRNazanin" w:eastAsia="IRNazanin"/>
          <w:color w:val="111111"/>
          <w:sz w:val="28"/>
          <w:sz w:val="28"/>
          <w:szCs w:val="28"/>
          <w:rtl w:val="true"/>
          <w:lang w:bidi="fa-IR"/>
        </w:rPr>
        <w:t>، و یسمّی دلالة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شرعا کنذر العتق، أو عقلا کرفع الخطأ، أو المرکّب بأن یکون مکمّلا للمقصود کدلالة تحریم التأفیف علی تحریم الضرب، أو لا یکون</w:t>
      </w:r>
      <w:r>
        <w:rPr>
          <w:rStyle w:val="FootnoteAnchor"/>
          <w:rtl w:val="true"/>
        </w:rPr>
        <w:footnoteReference w:id="235"/>
      </w:r>
      <w:r>
        <w:rPr>
          <w:rFonts w:ascii="IRNazanin" w:hAnsi="IRNazanin" w:eastAsia="IRNazanin"/>
          <w:color w:val="111111"/>
          <w:sz w:val="28"/>
          <w:sz w:val="28"/>
          <w:szCs w:val="28"/>
          <w:rtl w:val="true"/>
          <w:lang w:bidi="fa-IR"/>
        </w:rPr>
        <w:t>کدلالة تخصیص الذکر علی التخصیص فی الحکم، و قد یجتمع من الخطابین</w:t>
      </w:r>
      <w:r>
        <w:rPr>
          <w:rStyle w:val="FootnoteAnchor"/>
          <w:rtl w:val="true"/>
        </w:rPr>
        <w:footnoteReference w:id="236"/>
      </w:r>
      <w:r>
        <w:rPr>
          <w:rFonts w:ascii="Amiri" w:hAnsi="Amiri" w:eastAsia="Amiri" w:cs="Amiri"/>
          <w:color w:val="111111"/>
          <w:sz w:val="28"/>
          <w:sz w:val="28"/>
          <w:szCs w:val="28"/>
          <w:rtl w:val="true"/>
          <w:lang w:bidi="ar-SA"/>
        </w:rPr>
        <w:t>حکم 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237"/>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فِی عامَیْنِ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ینضم إلی النص غیره و یحصل الحکم منهما، مثل دلالة الإجماع علی تساوی الخال و الخالة و دلالة النص علی إرث الخال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یتعذر حمل الخطاب علی ظاهره، فإن اتحد المجاز حمل علیه، و إلّا بقی مشترکا إن لم یترجح أحدهما، و إلّا حمل علی الراجح</w:t>
      </w:r>
      <w:r>
        <w:rPr>
          <w:rFonts w:eastAsia="IRNazanin" w:cs="IRNazanin"/>
          <w:color w:val="111111"/>
          <w:sz w:val="28"/>
          <w:szCs w:val="28"/>
          <w:rtl w:val="true"/>
          <w:lang w:bidi="fa-IR"/>
        </w:rPr>
        <w:t>.</w:t>
      </w:r>
      <w:bookmarkStart w:id="110" w:name="pg2360_37005"/>
    </w:p>
    <w:p>
      <w:pPr>
        <w:pStyle w:val="Heading2"/>
        <w:numPr>
          <w:ilvl w:val="1"/>
          <w:numId w:val="1"/>
        </w:numPr>
        <w:rPr/>
      </w:pPr>
      <w:bookmarkStart w:id="111" w:name="__RefHeading___Toc2792476_3804643083"/>
      <w:bookmarkStart w:id="112" w:name="_Toc41"/>
      <w:bookmarkEnd w:id="110"/>
      <w:bookmarkEnd w:id="111"/>
      <w:r>
        <w:rPr>
          <w:rtl w:val="true"/>
        </w:rPr>
        <w:t>المقصد الثّالث فی الأمر و النّهی و فیه فصول</w:t>
      </w:r>
      <w:bookmarkEnd w:id="1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2792478_3804643083"/>
      <w:bookmarkStart w:id="114" w:name="_Toc42"/>
      <w:bookmarkEnd w:id="113"/>
      <w:r>
        <w:rPr>
          <w:rtl w:val="true"/>
        </w:rPr>
        <w:t>اشارة</w:t>
      </w:r>
      <w:bookmarkStart w:id="115" w:name="pg2360_37007"/>
      <w:bookmarkEnd w:id="114"/>
    </w:p>
    <w:p>
      <w:pPr>
        <w:pStyle w:val="Heading3"/>
        <w:numPr>
          <w:ilvl w:val="2"/>
          <w:numId w:val="1"/>
        </w:numPr>
        <w:rPr/>
      </w:pPr>
      <w:bookmarkStart w:id="116" w:name="__RefHeading___Toc2792480_3804643083"/>
      <w:bookmarkStart w:id="117" w:name="_Toc43"/>
      <w:bookmarkEnd w:id="115"/>
      <w:bookmarkEnd w:id="116"/>
      <w:r>
        <w:rPr>
          <w:rtl w:val="true"/>
        </w:rPr>
        <w:t>[</w:t>
      </w:r>
      <w:r>
        <w:rPr>
          <w:rtl w:val="true"/>
        </w:rPr>
        <w:t>الفصل</w:t>
      </w:r>
      <w:r>
        <w:rPr>
          <w:rtl w:val="true"/>
        </w:rPr>
        <w:t xml:space="preserve">] </w:t>
      </w:r>
      <w:r>
        <w:rPr>
          <w:rtl w:val="true"/>
        </w:rPr>
        <w:t>الأوّل</w:t>
      </w:r>
      <w:r>
        <w:rPr>
          <w:rtl w:val="true"/>
        </w:rPr>
        <w:t xml:space="preserve">: </w:t>
      </w:r>
      <w:r>
        <w:rPr>
          <w:rtl w:val="true"/>
        </w:rPr>
        <w:t>فی حقیقة الأمر</w:t>
      </w:r>
      <w:bookmarkEnd w:id="117"/>
    </w:p>
    <w:p>
      <w:pPr>
        <w:pStyle w:val="Heading4"/>
        <w:numPr>
          <w:ilvl w:val="3"/>
          <w:numId w:val="1"/>
        </w:numPr>
        <w:rPr/>
      </w:pPr>
      <w:bookmarkStart w:id="118" w:name="__RefHeading___Toc2792482_3804643083"/>
      <w:bookmarkStart w:id="119" w:name="_Toc44"/>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20" w:name="__RefHeading___Toc2792484_3804643083"/>
      <w:bookmarkStart w:id="121" w:name="_Toc45"/>
      <w:bookmarkEnd w:id="120"/>
      <w:r>
        <w:rPr>
          <w:rtl w:val="true"/>
        </w:rPr>
        <w:t>الأوّل</w:t>
      </w:r>
      <w:r>
        <w:rPr>
          <w:rtl w:val="true"/>
        </w:rPr>
        <w:t xml:space="preserve">: </w:t>
      </w:r>
      <w:r>
        <w:rPr>
          <w:rtl w:val="true"/>
        </w:rPr>
        <w:t>الأمر حقیقة فی القول، و مجاز فی الفعل</w:t>
      </w:r>
      <w:r>
        <w:rPr>
          <w:rtl w:val="true"/>
        </w:rPr>
        <w:t>.</w:t>
      </w:r>
      <w:bookmarkEnd w:id="12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حقیقة فی القول، و</w:t>
      </w:r>
      <w:r>
        <w:rPr>
          <w:rStyle w:val="FootnoteAnchor"/>
          <w:rtl w:val="true"/>
        </w:rPr>
        <w:footnoteReference w:id="239"/>
      </w:r>
      <w:r>
        <w:rPr>
          <w:rFonts w:ascii="IRNazanin" w:hAnsi="IRNazanin" w:eastAsia="IRNazanin"/>
          <w:color w:val="111111"/>
          <w:sz w:val="28"/>
          <w:sz w:val="28"/>
          <w:szCs w:val="28"/>
          <w:rtl w:val="true"/>
          <w:lang w:bidi="fa-IR"/>
        </w:rPr>
        <w:t>مجاز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نزاع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لاه لزم الاشتراک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الاستعمال فیه علی الحقیقة،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أَمْرُنا وَ فارَ التَّنُّورُ</w:t>
      </w:r>
      <w:r>
        <w:rPr>
          <w:rStyle w:val="FootnoteAnchor"/>
          <w:rtl w:val="true"/>
        </w:rPr>
        <w:footnoteReference w:id="240"/>
      </w:r>
      <w:r>
        <w:rPr>
          <w:rFonts w:ascii="IRNazanin" w:hAnsi="IRNazanin" w:eastAsia="IRNazanin"/>
          <w:color w:val="111111"/>
          <w:sz w:val="28"/>
          <w:sz w:val="28"/>
          <w:szCs w:val="28"/>
          <w:rtl w:val="true"/>
          <w:lang w:bidi="fa-IR"/>
        </w:rPr>
        <w:t>و المراد الأفعال العجیبة، و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فلان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عظیم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242"/>
      </w:r>
      <w:r>
        <w:rPr>
          <w:rFonts w:ascii="IRNazanin" w:hAnsi="IRNazanin" w:eastAsia="IRNazanin"/>
          <w:color w:val="111111"/>
          <w:sz w:val="28"/>
          <w:sz w:val="28"/>
          <w:szCs w:val="28"/>
          <w:rtl w:val="true"/>
          <w:lang w:bidi="fa-IR"/>
        </w:rPr>
        <w:t>الاستعمال یوجد مع المجاز کما یوجد مع الحقیقة، فلا یجوز الاستدلال به علیه، خصوصا و قد بیّنا أولویة المجاز من</w:t>
      </w:r>
      <w:r>
        <w:rPr>
          <w:rStyle w:val="FootnoteAnchor"/>
          <w:rtl w:val="true"/>
        </w:rPr>
        <w:footnoteReference w:id="243"/>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w:t>
      </w:r>
    </w:p>
    <w:p>
      <w:pPr>
        <w:pStyle w:val="Heading4"/>
        <w:numPr>
          <w:ilvl w:val="3"/>
          <w:numId w:val="1"/>
        </w:numPr>
        <w:rPr/>
      </w:pPr>
      <w:bookmarkStart w:id="122" w:name="__RefHeading___Toc2792486_3804643083"/>
      <w:bookmarkStart w:id="123" w:name="_Toc46"/>
      <w:bookmarkEnd w:id="122"/>
      <w:r>
        <w:rPr>
          <w:rtl w:val="true"/>
        </w:rPr>
        <w:t>البحث الثانی</w:t>
      </w:r>
      <w:r>
        <w:rPr>
          <w:rtl w:val="true"/>
        </w:rPr>
        <w:t xml:space="preserve">: </w:t>
      </w:r>
      <w:r>
        <w:rPr>
          <w:rtl w:val="true"/>
        </w:rPr>
        <w:t>فی حدّه</w:t>
      </w:r>
      <w:bookmarkEnd w:id="123"/>
    </w:p>
    <w:p>
      <w:pPr>
        <w:pStyle w:val="BookText"/>
        <w:rPr/>
      </w:pPr>
      <w:r>
        <w:rPr>
          <w:rFonts w:ascii="IRNazanin" w:hAnsi="IRNazanin" w:eastAsia="IRNazanin"/>
          <w:color w:val="111111"/>
          <w:sz w:val="28"/>
          <w:sz w:val="28"/>
          <w:szCs w:val="28"/>
          <w:rtl w:val="true"/>
          <w:lang w:bidi="fa-IR"/>
        </w:rPr>
        <w:t>و هو طلب الفعل بالقول علی جهة الاستعلاء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الطلب معلوم لکل عاقل، و هو غیر الصیغة، لعدم اختلافه باختلاف</w:t>
      </w:r>
    </w:p>
    <w:p>
      <w:pPr>
        <w:pStyle w:val="BookText"/>
        <w:rPr/>
      </w:pPr>
      <w:r>
        <w:rPr>
          <w:rFonts w:ascii="IRNazanin" w:hAnsi="IRNazanin" w:eastAsia="IRNazanin"/>
          <w:color w:val="111111"/>
          <w:sz w:val="28"/>
          <w:sz w:val="28"/>
          <w:szCs w:val="28"/>
          <w:rtl w:val="true"/>
          <w:lang w:bidi="fa-IR"/>
        </w:rPr>
        <w:t>اللغات، و لوجودها من الساهی و الغافل و النائم مع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الإرادة أو غیرها؟</w:t>
      </w:r>
    </w:p>
    <w:p>
      <w:pPr>
        <w:pStyle w:val="BookText"/>
        <w:rPr/>
      </w:pPr>
      <w:r>
        <w:rPr>
          <w:rFonts w:ascii="IRNazanin" w:hAnsi="IRNazanin" w:eastAsia="IRNazanin"/>
          <w:color w:val="111111"/>
          <w:sz w:val="28"/>
          <w:sz w:val="28"/>
          <w:szCs w:val="28"/>
          <w:rtl w:val="true"/>
          <w:lang w:bidi="fa-IR"/>
        </w:rPr>
        <w:t>الحق الأوّل، فإنّا لا نعلم الزائد علی الإرادة، و لا یجوز وضع اللفظ الظاهر لمعنی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الأشاعرة أثبتوا للطلب معنی</w:t>
      </w:r>
      <w:r>
        <w:rPr>
          <w:rStyle w:val="FootnoteAnchor"/>
          <w:rtl w:val="true"/>
        </w:rPr>
        <w:footnoteReference w:id="244"/>
      </w:r>
      <w:r>
        <w:rPr>
          <w:rFonts w:ascii="IRNazanin" w:hAnsi="IRNazanin" w:eastAsia="IRNazanin"/>
          <w:color w:val="111111"/>
          <w:sz w:val="28"/>
          <w:sz w:val="28"/>
          <w:szCs w:val="28"/>
          <w:rtl w:val="true"/>
          <w:lang w:bidi="fa-IR"/>
        </w:rPr>
        <w:t>مغایرا للإرادة، لأنّ اللّه تعالی أمر الکافر بالطاعة و لم یردها منه، لأنّه عالم بعدم إیقاعها منه، فیکون تکلیفه بها تکلیفا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منک الفعل و لا آمرک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لأمر السید عبده بفعل لا یرید إیقاعه منه، طلبا لإظهار عذره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عدم إرادة الطاعة من الکافر، و العلم لا یؤثر فی المعلوم، و تمام الاستقصاء فی هذه المسألة مذکور فی کتبنا الکلامیة</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الأمر معناه نفی الإلزام</w:t>
      </w:r>
      <w:r>
        <w:rPr>
          <w:rStyle w:val="FootnoteAnchor"/>
          <w:rtl w:val="true"/>
        </w:rPr>
        <w:footnoteReference w:id="247"/>
      </w:r>
      <w:r>
        <w:rPr>
          <w:rFonts w:ascii="IRNazanin" w:hAnsi="IRNazanin" w:eastAsia="IRNazanin"/>
          <w:color w:val="111111"/>
          <w:sz w:val="28"/>
          <w:sz w:val="28"/>
          <w:szCs w:val="28"/>
          <w:rtl w:val="true"/>
          <w:lang w:bidi="fa-IR"/>
        </w:rPr>
        <w:t>و إن کان مریدا لإیقاع</w:t>
      </w:r>
      <w:r>
        <w:rPr>
          <w:rStyle w:val="FootnoteAnchor"/>
          <w:rtl w:val="true"/>
        </w:rPr>
        <w:footnoteReference w:id="248"/>
      </w:r>
      <w:r>
        <w:rPr>
          <w:rFonts w:ascii="IRNazanin" w:hAnsi="IRNazanin" w:eastAsia="IRNazanin"/>
          <w:color w:val="111111"/>
          <w:sz w:val="28"/>
          <w:sz w:val="28"/>
          <w:szCs w:val="28"/>
          <w:rtl w:val="true"/>
          <w:lang w:bidi="fa-IR"/>
        </w:rPr>
        <w:t>الفعل اختیارا، و الطلب و الإرادة متساویان فی أمر طالب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واحد، و هو أنّه وجد منه صورة الأمر و إن لم یرده و لا یطلبه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الصیغة تدل علی الطلب بالوضع، فلا تفتقر إلی الإرادة کغیرها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الجبائیان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الممیز بین الأمر و التهدید الإرادة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حقیقة فی الطلب مجاز فی غیره، و لا أثر لإرادة المأمور به فی صیرورة الصیغة أمرا، خلافا لهما، لأنّها دالة بالوضع علی الإرادة، فلا تفید الصیغة الدالة علیها صفة کالمسمیات</w:t>
      </w:r>
      <w:r>
        <w:rPr>
          <w:rStyle w:val="FootnoteAnchor"/>
          <w:rtl w:val="true"/>
        </w:rPr>
        <w:footnoteReference w:id="250"/>
      </w:r>
      <w:r>
        <w:rPr>
          <w:rFonts w:ascii="IRNazanin" w:hAnsi="IRNazanin" w:eastAsia="IRNazanin"/>
          <w:color w:val="111111"/>
          <w:sz w:val="28"/>
          <w:sz w:val="28"/>
          <w:szCs w:val="28"/>
          <w:rtl w:val="true"/>
          <w:lang w:bidi="fa-IR"/>
        </w:rPr>
        <w:t>مع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تقوم صیغة الأمر مقام الخبر،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و بالعکس،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w:t>
      </w:r>
      <w:r>
        <w:rPr>
          <w:rStyle w:val="FootnoteAnchor"/>
          <w:rtl w:val="true"/>
        </w:rPr>
        <w:footnoteReference w:id="252"/>
      </w:r>
      <w:r>
        <w:rPr>
          <w:rFonts w:ascii="IRNazanin" w:hAnsi="IRNazanin" w:eastAsia="IRNazanin"/>
          <w:color w:val="111111"/>
          <w:sz w:val="28"/>
          <w:sz w:val="28"/>
          <w:szCs w:val="28"/>
          <w:rtl w:val="true"/>
          <w:lang w:bidi="fa-IR"/>
        </w:rPr>
        <w:t>لاشتراکهما فی الدلالة علی وجود الفعل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النهی،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 المرأة علی عمتها و خالتها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124" w:name="pg2360_37010"/>
    </w:p>
    <w:p>
      <w:pPr>
        <w:pStyle w:val="Heading3"/>
        <w:numPr>
          <w:ilvl w:val="2"/>
          <w:numId w:val="1"/>
        </w:numPr>
        <w:rPr/>
      </w:pPr>
      <w:bookmarkStart w:id="125" w:name="__RefHeading___Toc2792488_3804643083"/>
      <w:bookmarkStart w:id="126" w:name="_Toc47"/>
      <w:bookmarkEnd w:id="124"/>
      <w:bookmarkEnd w:id="125"/>
      <w:r>
        <w:rPr>
          <w:rtl w:val="true"/>
        </w:rPr>
        <w:t>الفصل الثانی</w:t>
      </w:r>
      <w:r>
        <w:rPr>
          <w:rtl w:val="true"/>
        </w:rPr>
        <w:t xml:space="preserve">: </w:t>
      </w:r>
      <w:r>
        <w:rPr>
          <w:rtl w:val="true"/>
        </w:rPr>
        <w:t>فی مدلول الصیغة</w:t>
      </w:r>
      <w:bookmarkEnd w:id="126"/>
    </w:p>
    <w:p>
      <w:pPr>
        <w:pStyle w:val="Heading4"/>
        <w:numPr>
          <w:ilvl w:val="3"/>
          <w:numId w:val="1"/>
        </w:numPr>
        <w:rPr/>
      </w:pPr>
      <w:bookmarkStart w:id="127" w:name="__RefHeading___Toc2792490_3804643083"/>
      <w:bookmarkStart w:id="128" w:name="_Toc48"/>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29" w:name="__RefHeading___Toc2792492_3804643083"/>
      <w:bookmarkStart w:id="130" w:name="_Toc49"/>
      <w:bookmarkEnd w:id="129"/>
      <w:r>
        <w:rPr>
          <w:rtl w:val="true"/>
        </w:rPr>
        <w:t>الأوّل</w:t>
      </w:r>
      <w:r>
        <w:rPr>
          <w:rtl w:val="true"/>
        </w:rPr>
        <w:t xml:space="preserve">: </w:t>
      </w:r>
      <w:r>
        <w:rPr>
          <w:rtl w:val="true"/>
        </w:rPr>
        <w:t>فی أنّ الأمر للوجوب</w:t>
      </w:r>
      <w:r>
        <w:rPr>
          <w:rtl w:val="true"/>
        </w:rPr>
        <w:t>.</w:t>
      </w:r>
      <w:bookmarkEnd w:id="130"/>
    </w:p>
    <w:p>
      <w:pPr>
        <w:pStyle w:val="Heading5"/>
        <w:numPr>
          <w:ilvl w:val="4"/>
          <w:numId w:val="1"/>
        </w:numPr>
        <w:rPr/>
      </w:pPr>
      <w:bookmarkStart w:id="131" w:name="__RefHeading___Toc2792494_3804643083"/>
      <w:bookmarkStart w:id="132" w:name="_Toc50"/>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معان متعددة، کالإیجاب، و الندب، و الإرشاد، و التهدید، و الإهانة،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حقیقة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Style w:val="FootnoteAnchor"/>
          <w:rtl w:val="true"/>
        </w:rPr>
        <w:footnoteReference w:id="254"/>
      </w:r>
      <w:r>
        <w:rPr>
          <w:rFonts w:ascii="IRNazanin" w:hAnsi="IRNazanin" w:eastAsia="IRNazanin"/>
          <w:color w:val="111111"/>
          <w:sz w:val="28"/>
          <w:sz w:val="28"/>
          <w:szCs w:val="28"/>
          <w:rtl w:val="true"/>
          <w:lang w:bidi="fa-IR"/>
        </w:rPr>
        <w:t>مشترکة</w:t>
      </w:r>
      <w:r>
        <w:rPr>
          <w:rStyle w:val="FootnoteAnchor"/>
          <w:rtl w:val="true"/>
        </w:rPr>
        <w:footnoteReference w:id="255"/>
      </w:r>
      <w:r>
        <w:rPr>
          <w:rFonts w:ascii="IRNazanin" w:hAnsi="IRNazanin" w:eastAsia="IRNazanin"/>
          <w:color w:val="111111"/>
          <w:sz w:val="28"/>
          <w:sz w:val="28"/>
          <w:szCs w:val="28"/>
          <w:rtl w:val="true"/>
          <w:lang w:bidi="fa-IR"/>
        </w:rPr>
        <w:t>بین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للقدر المشترک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إِذْ أَمَرْتُکَ</w:t>
      </w:r>
      <w:r>
        <w:rPr>
          <w:rStyle w:val="FootnoteAnchor"/>
          <w:rtl w:val="true"/>
        </w:rPr>
        <w:footnoteReference w:id="257"/>
      </w:r>
      <w:r>
        <w:rPr>
          <w:rFonts w:ascii="Amiri" w:hAnsi="Amiri" w:eastAsia="Amiri" w:cs="Amiri"/>
          <w:color w:val="111111"/>
          <w:sz w:val="28"/>
          <w:sz w:val="28"/>
          <w:szCs w:val="28"/>
          <w:rtl w:val="true"/>
          <w:lang w:bidi="ar-SA"/>
        </w:rPr>
        <w:t>ذمّه علی ترک السجود عقیب الأمر، و لو لا أنّه للوجوب لما استحق الذمّ بمجرد الترک،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ارْکَعُوا لا یَرْکَعُونَ</w:t>
      </w:r>
      <w:r>
        <w:rPr>
          <w:rStyle w:val="FootnoteAnchor"/>
          <w:rtl w:val="true"/>
        </w:rPr>
        <w:footnoteReference w:id="258"/>
      </w:r>
      <w:r>
        <w:rPr>
          <w:rFonts w:ascii="IRNazanin" w:hAnsi="IRNazanin" w:eastAsia="IRNazanin"/>
          <w:color w:val="111111"/>
          <w:sz w:val="28"/>
          <w:sz w:val="28"/>
          <w:szCs w:val="28"/>
          <w:rtl w:val="true"/>
          <w:lang w:bidi="fa-IR"/>
        </w:rPr>
        <w:t>ذمّهم علی الامتناع عقیب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فَلْیَحْذَرِ الَّذِینَ یُخالِفُونَ عَنْ أَمْرِهِ</w:t>
      </w:r>
      <w:r>
        <w:rPr>
          <w:rStyle w:val="FootnoteAnchor"/>
          <w:rtl w:val="true"/>
        </w:rPr>
        <w:footnoteReference w:id="259"/>
      </w:r>
      <w:r>
        <w:rPr>
          <w:rFonts w:ascii="IRNazanin" w:hAnsi="IRNazanin" w:eastAsia="IRNazanin"/>
          <w:color w:val="111111"/>
          <w:sz w:val="28"/>
          <w:sz w:val="28"/>
          <w:szCs w:val="28"/>
          <w:rtl w:val="true"/>
          <w:lang w:bidi="fa-IR"/>
        </w:rPr>
        <w:t>أمر مخالف الأمر بالحذر، و لو لا العقاب لما حسن التحذیر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تارک المأمور به عاص، و العاصی یستحق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w:t>
      </w:r>
      <w:bookmarkStart w:id="133" w:name="pg2360_37011"/>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امّتی لأمرتهم بالسواک عند کل صلاة</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نفی الأمر مع ثبوت الندبیة، و نفی</w:t>
      </w:r>
      <w:r>
        <w:rPr>
          <w:rStyle w:val="FootnoteAnchor"/>
          <w:rtl w:val="true"/>
        </w:rPr>
        <w:footnoteReference w:id="261"/>
      </w:r>
      <w:r>
        <w:rPr>
          <w:rFonts w:ascii="IRNazanin" w:hAnsi="IRNazanin" w:eastAsia="IRNazanin"/>
          <w:color w:val="111111"/>
          <w:sz w:val="28"/>
          <w:sz w:val="28"/>
          <w:szCs w:val="28"/>
          <w:rtl w:val="true"/>
          <w:lang w:bidi="fa-IR"/>
        </w:rPr>
        <w:t>الأمر و أثبت الشفاعة المندوب قبولها فی خبر بریرة</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یا رسول اللّه، تأمرنی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5781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لحسن ذمّ العبد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حمله علی الوجوب احتراز عن الضرر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الوجوب و الندب، و الأصل عدم الاشتراک و المجاز، فیکون حقیقة فی القدر المشترک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قد</w:t>
      </w:r>
      <w:r>
        <w:rPr>
          <w:rStyle w:val="FootnoteAnchor"/>
          <w:rtl w:val="true"/>
        </w:rPr>
        <w:footnoteReference w:id="264"/>
      </w:r>
      <w:r>
        <w:rPr>
          <w:rFonts w:ascii="IRNazanin" w:hAnsi="IRNazanin" w:eastAsia="IRNazanin"/>
          <w:color w:val="111111"/>
          <w:sz w:val="28"/>
          <w:sz w:val="28"/>
          <w:szCs w:val="28"/>
          <w:rtl w:val="true"/>
          <w:lang w:bidi="fa-IR"/>
        </w:rPr>
        <w:t>یصار إلیه للدلیل، و قد بیّناه</w:t>
      </w:r>
      <w:r>
        <w:rPr>
          <w:rFonts w:eastAsia="IRNazanin" w:cs="IRNazanin"/>
          <w:color w:val="111111"/>
          <w:sz w:val="28"/>
          <w:szCs w:val="28"/>
          <w:rtl w:val="true"/>
          <w:lang w:bidi="fa-IR"/>
        </w:rPr>
        <w:t>.</w:t>
      </w:r>
    </w:p>
    <w:p>
      <w:pPr>
        <w:pStyle w:val="Heading5"/>
        <w:numPr>
          <w:ilvl w:val="4"/>
          <w:numId w:val="1"/>
        </w:numPr>
        <w:rPr/>
      </w:pPr>
      <w:bookmarkStart w:id="134" w:name="__RefHeading___Toc2792496_3804643083"/>
      <w:bookmarkStart w:id="135" w:name="_Toc51"/>
      <w:bookmarkEnd w:id="134"/>
      <w:r>
        <w:rPr>
          <w:rtl w:val="true"/>
        </w:rPr>
        <w:t>تذنیب</w:t>
      </w:r>
      <w:bookmarkEnd w:id="135"/>
    </w:p>
    <w:p>
      <w:pPr>
        <w:pStyle w:val="BookText"/>
        <w:rPr/>
      </w:pPr>
      <w:r>
        <w:rPr>
          <w:rFonts w:ascii="IRNazanin" w:hAnsi="IRNazanin" w:eastAsia="IRNazanin"/>
          <w:color w:val="111111"/>
          <w:sz w:val="28"/>
          <w:sz w:val="28"/>
          <w:szCs w:val="28"/>
          <w:rtl w:val="true"/>
          <w:lang w:bidi="fa-IR"/>
        </w:rPr>
        <w:t>الأمر الوارد عقیب الحظر للوجوب، لوجود المقتضی و انتفاء ما یصلح للمانعیة، و هو الانتقال من الحظر، لتساوی الأحکام فی التضاد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Style w:val="FootnoteAnchor"/>
          <w:rtl w:val="true"/>
        </w:rPr>
        <w:footnoteReference w:id="265"/>
      </w:r>
      <w:r>
        <w:rPr>
          <w:rFonts w:ascii="Amiri" w:hAnsi="Amiri" w:eastAsia="Amiri" w:cs="Amiri"/>
          <w:color w:val="111111"/>
          <w:sz w:val="28"/>
          <w:sz w:val="28"/>
          <w:szCs w:val="28"/>
          <w:rtl w:val="true"/>
          <w:lang w:bidi="ar-SA"/>
        </w:rPr>
        <w:t>معارض بمثل فَإِذَا انْسَلَخَ الْأَشْهُرُ الْحُرُمُ فَاقْتُلُوا الْمُشْرِکِینَ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136" w:name="pg2360_37012"/>
    </w:p>
    <w:p>
      <w:pPr>
        <w:pStyle w:val="Heading4"/>
        <w:numPr>
          <w:ilvl w:val="3"/>
          <w:numId w:val="1"/>
        </w:numPr>
        <w:rPr/>
      </w:pPr>
      <w:bookmarkStart w:id="137" w:name="__RefHeading___Toc2792498_3804643083"/>
      <w:bookmarkStart w:id="138" w:name="_Toc52"/>
      <w:bookmarkEnd w:id="136"/>
      <w:bookmarkEnd w:id="137"/>
      <w:r>
        <w:rPr>
          <w:rtl w:val="true"/>
        </w:rPr>
        <w:t>البحث الثانی</w:t>
      </w:r>
      <w:r>
        <w:rPr>
          <w:rtl w:val="true"/>
        </w:rPr>
        <w:t xml:space="preserve">: </w:t>
      </w:r>
      <w:r>
        <w:rPr>
          <w:rtl w:val="true"/>
        </w:rPr>
        <w:t>الحق أنّ الأمر یدل علی طلب الماهیة،</w:t>
      </w:r>
      <w:bookmarkEnd w:id="138"/>
    </w:p>
    <w:p>
      <w:pPr>
        <w:pStyle w:val="BookText"/>
        <w:rPr/>
      </w:pPr>
      <w:r>
        <w:rPr>
          <w:rFonts w:ascii="IRNazanin" w:hAnsi="IRNazanin" w:eastAsia="IRNazanin"/>
          <w:color w:val="111111"/>
          <w:sz w:val="28"/>
          <w:sz w:val="28"/>
          <w:szCs w:val="28"/>
          <w:rtl w:val="true"/>
          <w:lang w:bidi="fa-IR"/>
        </w:rPr>
        <w:t>من غیر شعور بوحدة و لا تکرار، لاستعماله فیهما، و الاشتراک و المجاز علی خلاف الأصل، و لاستلزام کون کل عبادة ناسخة لما تقدمها، و لقبوله القیدین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مرّة، و</w:t>
      </w:r>
      <w:r>
        <w:rPr>
          <w:rStyle w:val="FootnoteAnchor"/>
          <w:rtl w:val="true"/>
        </w:rPr>
        <w:footnoteReference w:id="267"/>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تکرار</w:t>
      </w:r>
      <w:r>
        <w:rPr>
          <w:rStyle w:val="FootnoteAnchor"/>
          <w:rtl w:val="true"/>
        </w:rPr>
        <w:footnoteReference w:id="268"/>
      </w:r>
      <w:r>
        <w:rPr>
          <w:rFonts w:ascii="IRNazanin" w:hAnsi="IRNazanin" w:eastAsia="IRNazanin"/>
          <w:color w:val="111111"/>
          <w:sz w:val="28"/>
          <w:sz w:val="28"/>
          <w:szCs w:val="28"/>
          <w:rtl w:val="true"/>
          <w:lang w:bidi="fa-IR"/>
        </w:rPr>
        <w:t>و لا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یقتضی التکرار، فکذا الأمر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الصغری، و بالفرق فإنّ الانتهاء دائما ممکن بخلاف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السید المرتضی رحمه اللّه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الکنی و الألقاب للقمّی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و 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الاشتراک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الاستفهام</w:t>
      </w:r>
      <w:bookmarkStart w:id="139" w:name="pg2360_37013"/>
    </w:p>
    <w:p>
      <w:pPr>
        <w:pStyle w:val="BookText"/>
        <w:rPr/>
      </w:pPr>
      <w:bookmarkEnd w:id="139"/>
      <w:r>
        <w:rPr>
          <w:rFonts w:ascii="IRNazanin" w:hAnsi="IRNazanin" w:eastAsia="IRNazanin"/>
          <w:color w:val="111111"/>
          <w:sz w:val="28"/>
          <w:sz w:val="28"/>
          <w:szCs w:val="28"/>
          <w:rtl w:val="true"/>
          <w:lang w:bidi="fa-IR"/>
        </w:rPr>
        <w:t>و الاستعمال</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غیر دالین علی مطلوبه علی ما سیأتی</w:t>
      </w:r>
      <w:r>
        <w:rPr>
          <w:rFonts w:eastAsia="IRNazanin" w:cs="IRNazanin"/>
          <w:color w:val="111111"/>
          <w:sz w:val="28"/>
          <w:szCs w:val="28"/>
          <w:rtl w:val="true"/>
          <w:lang w:bidi="fa-IR"/>
        </w:rPr>
        <w:t>.</w:t>
      </w:r>
    </w:p>
    <w:p>
      <w:pPr>
        <w:pStyle w:val="Heading4"/>
        <w:numPr>
          <w:ilvl w:val="3"/>
          <w:numId w:val="1"/>
        </w:numPr>
        <w:rPr/>
      </w:pPr>
      <w:bookmarkStart w:id="140" w:name="__RefHeading___Toc2792500_3804643083"/>
      <w:bookmarkStart w:id="141" w:name="_Toc53"/>
      <w:bookmarkEnd w:id="140"/>
      <w:r>
        <w:rPr>
          <w:rtl w:val="true"/>
        </w:rPr>
        <w:t>البحث الثالث</w:t>
      </w:r>
      <w:r>
        <w:rPr>
          <w:rtl w:val="true"/>
        </w:rPr>
        <w:t xml:space="preserve">: </w:t>
      </w:r>
      <w:r>
        <w:rPr>
          <w:rtl w:val="true"/>
        </w:rPr>
        <w:t>الأمر المعلّق علی شرط أو صفة لا یتکرر بتکررهما إلّا مع العلیّة،</w:t>
      </w:r>
      <w:bookmarkEnd w:id="141"/>
    </w:p>
    <w:p>
      <w:pPr>
        <w:pStyle w:val="BookText"/>
        <w:rPr/>
      </w:pPr>
      <w:r>
        <w:rPr>
          <w:rFonts w:ascii="IRNazanin" w:hAnsi="IRNazanin" w:eastAsia="IRNazanin"/>
          <w:color w:val="111111"/>
          <w:sz w:val="28"/>
          <w:sz w:val="28"/>
          <w:szCs w:val="28"/>
          <w:rtl w:val="true"/>
          <w:lang w:bidi="fa-IR"/>
        </w:rPr>
        <w:t xml:space="preserve">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السوق فاشتر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إرادة التکرار،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درهما إن دخل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 التعلیق أعم من قیدی الوحدة و التکرار، و لا دلالة للعام علی شی‌ء من جزئیاته، و مع العلیّة یثبت العموم لوجوب وجود المعلول عند وجود العلّة</w:t>
      </w:r>
      <w:r>
        <w:rPr>
          <w:rFonts w:eastAsia="IRNazanin" w:cs="IRNazanin"/>
          <w:color w:val="111111"/>
          <w:sz w:val="28"/>
          <w:szCs w:val="28"/>
          <w:rtl w:val="true"/>
          <w:lang w:bidi="fa-IR"/>
        </w:rPr>
        <w:t>.</w:t>
      </w:r>
    </w:p>
    <w:p>
      <w:pPr>
        <w:pStyle w:val="Heading4"/>
        <w:numPr>
          <w:ilvl w:val="3"/>
          <w:numId w:val="1"/>
        </w:numPr>
        <w:rPr/>
      </w:pPr>
      <w:bookmarkStart w:id="142" w:name="__RefHeading___Toc2792502_3804643083"/>
      <w:bookmarkStart w:id="143" w:name="_Toc54"/>
      <w:bookmarkEnd w:id="142"/>
      <w:r>
        <w:rPr>
          <w:rtl w:val="true"/>
        </w:rPr>
        <w:t>البحث الرابع</w:t>
      </w:r>
      <w:r>
        <w:rPr>
          <w:rtl w:val="true"/>
        </w:rPr>
        <w:t xml:space="preserve">: </w:t>
      </w:r>
      <w:r>
        <w:rPr>
          <w:rtl w:val="true"/>
        </w:rPr>
        <w:t>الحق أنّ الأمر لا یفید الفور و لا التراخی، لاستعماله فیهما،</w:t>
      </w:r>
      <w:bookmarkEnd w:id="143"/>
    </w:p>
    <w:p>
      <w:pPr>
        <w:pStyle w:val="BookText"/>
        <w:rPr/>
      </w:pPr>
      <w:r>
        <w:rPr>
          <w:rFonts w:ascii="IRNazanin" w:hAnsi="IRNazanin" w:eastAsia="IRNazanin"/>
          <w:color w:val="111111"/>
          <w:sz w:val="28"/>
          <w:sz w:val="28"/>
          <w:szCs w:val="28"/>
          <w:rtl w:val="true"/>
          <w:lang w:bidi="fa-IR"/>
        </w:rPr>
        <w:t>و المجاز و الاشتراک علی خلاف الأصل، فیکون موضوعا للقدر المشترک بینهما، و لقبوله التقیید بکل منهما من غیر تکرار</w:t>
      </w:r>
      <w:r>
        <w:rPr>
          <w:rStyle w:val="FootnoteAnchor"/>
          <w:rtl w:val="true"/>
        </w:rPr>
        <w:footnoteReference w:id="272"/>
      </w:r>
      <w:r>
        <w:rPr>
          <w:rFonts w:ascii="IRNazanin" w:hAnsi="IRNazanin" w:eastAsia="IRNazanin"/>
          <w:color w:val="111111"/>
          <w:sz w:val="28"/>
          <w:sz w:val="28"/>
          <w:szCs w:val="28"/>
          <w:rtl w:val="true"/>
          <w:lang w:bidi="fa-IR"/>
        </w:rPr>
        <w:t>و لا نقض، و لأنّ المراد من الأمر إدخال المصدر</w:t>
      </w:r>
      <w:r>
        <w:rPr>
          <w:rStyle w:val="FootnoteAnchor"/>
          <w:rtl w:val="true"/>
        </w:rPr>
        <w:footnoteReference w:id="273"/>
      </w:r>
      <w:r>
        <w:rPr>
          <w:rFonts w:ascii="IRNazanin" w:hAnsi="IRNazanin" w:eastAsia="IRNazanin"/>
          <w:color w:val="111111"/>
          <w:sz w:val="28"/>
          <w:sz w:val="28"/>
          <w:szCs w:val="28"/>
          <w:rtl w:val="true"/>
          <w:lang w:bidi="fa-IR"/>
        </w:rPr>
        <w:t>فی الوجود، و هو شامل للقیدین کالخبر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إبلیس علی ترک السجود فی الحال، 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w:t>
      </w:r>
      <w:r>
        <w:rPr>
          <w:rStyle w:val="FootnoteAnchor"/>
          <w:rtl w:val="true"/>
        </w:rPr>
        <w:footnoteReference w:id="274"/>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و لأنّ التأخیر إن جاز إلی غایة</w:t>
      </w:r>
      <w:bookmarkStart w:id="144" w:name="pg2360_37014"/>
    </w:p>
    <w:p>
      <w:pPr>
        <w:pStyle w:val="BookText"/>
        <w:rPr/>
      </w:pPr>
      <w:bookmarkEnd w:id="144"/>
      <w:r>
        <w:rPr>
          <w:rFonts w:ascii="IRNazanin" w:hAnsi="IRNazanin" w:eastAsia="IRNazanin"/>
          <w:color w:val="111111"/>
          <w:sz w:val="28"/>
          <w:sz w:val="28"/>
          <w:szCs w:val="28"/>
          <w:rtl w:val="true"/>
          <w:lang w:bidi="fa-IR"/>
        </w:rPr>
        <w:t>معینة</w:t>
      </w:r>
      <w:r>
        <w:rPr>
          <w:rStyle w:val="FootnoteAnchor"/>
          <w:rtl w:val="true"/>
        </w:rPr>
        <w:footnoteReference w:id="276"/>
      </w:r>
      <w:r>
        <w:rPr>
          <w:rFonts w:ascii="IRNazanin" w:hAnsi="IRNazanin" w:eastAsia="IRNazanin"/>
          <w:color w:val="111111"/>
          <w:sz w:val="28"/>
          <w:sz w:val="28"/>
          <w:szCs w:val="28"/>
          <w:rtl w:val="true"/>
          <w:lang w:bidi="fa-IR"/>
        </w:rPr>
        <w:t>غیر مبیّنة أو غیر معینة</w:t>
      </w:r>
      <w:r>
        <w:rPr>
          <w:rStyle w:val="FootnoteAnchor"/>
          <w:rtl w:val="true"/>
        </w:rPr>
        <w:footnoteReference w:id="277"/>
      </w:r>
      <w:r>
        <w:rPr>
          <w:rFonts w:ascii="IRNazanin" w:hAnsi="IRNazanin" w:eastAsia="IRNazanin"/>
          <w:color w:val="111111"/>
          <w:sz w:val="28"/>
          <w:sz w:val="28"/>
          <w:szCs w:val="28"/>
          <w:rtl w:val="true"/>
          <w:lang w:bidi="fa-IR"/>
        </w:rPr>
        <w:t>لزم تکلیف ما لا یطاق، و إن جاز دائما خرج عن کونه واجبا، و إن کان إلی غایة</w:t>
      </w:r>
      <w:r>
        <w:rPr>
          <w:rStyle w:val="FootnoteAnchor"/>
          <w:rtl w:val="true"/>
        </w:rPr>
        <w:footnoteReference w:id="278"/>
      </w:r>
      <w:r>
        <w:rPr>
          <w:rFonts w:ascii="Amiri" w:hAnsi="Amiri" w:eastAsia="Amiri" w:cs="Amiri"/>
          <w:color w:val="111111"/>
          <w:sz w:val="28"/>
          <w:sz w:val="28"/>
          <w:szCs w:val="28"/>
          <w:rtl w:val="true"/>
          <w:lang w:bidi="ar-SA"/>
        </w:rPr>
        <w:t>معیّنة</w:t>
      </w:r>
      <w:r>
        <w:rPr>
          <w:rStyle w:val="FootnoteAnchor"/>
          <w:rtl w:val="true"/>
        </w:rPr>
        <w:footnoteReference w:id="279"/>
      </w:r>
      <w:r>
        <w:rPr>
          <w:rFonts w:ascii="IRNazanin" w:hAnsi="IRNazanin" w:eastAsia="IRNazanin"/>
          <w:color w:val="111111"/>
          <w:sz w:val="28"/>
          <w:sz w:val="28"/>
          <w:szCs w:val="28"/>
          <w:rtl w:val="true"/>
          <w:lang w:bidi="fa-IR"/>
        </w:rPr>
        <w:t>مبیّنة وجب معرفة البیان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إبلیس استحق الذم بترکه</w:t>
      </w:r>
      <w:r>
        <w:rPr>
          <w:rStyle w:val="FootnoteAnchor"/>
          <w:rtl w:val="true"/>
        </w:rPr>
        <w:footnoteReference w:id="281"/>
      </w:r>
      <w:r>
        <w:rPr>
          <w:rFonts w:ascii="Amiri" w:hAnsi="Amiri" w:eastAsia="Amiri" w:cs="Amiri"/>
          <w:color w:val="111111"/>
          <w:sz w:val="28"/>
          <w:sz w:val="28"/>
          <w:szCs w:val="28"/>
          <w:rtl w:val="true"/>
          <w:lang w:bidi="ar-SA"/>
        </w:rPr>
        <w:t>لا بعزم الفعل، و لأنّ الأمر هاهنا للفور،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ساجِدِینَ</w:t>
      </w:r>
      <w:r>
        <w:rPr>
          <w:rStyle w:val="FootnoteAnchor"/>
          <w:rtl w:val="true"/>
        </w:rPr>
        <w:footnoteReference w:id="282"/>
      </w:r>
      <w:r>
        <w:rPr>
          <w:rFonts w:ascii="IRNazanin" w:hAnsi="IRNazanin" w:eastAsia="IRNazanin"/>
          <w:color w:val="111111"/>
          <w:sz w:val="28"/>
          <w:sz w:val="28"/>
          <w:szCs w:val="28"/>
          <w:rtl w:val="true"/>
          <w:lang w:bidi="fa-IR"/>
        </w:rPr>
        <w:t>، و المسارعة إلی المغفرة مجاز، إذ المراد ما یقتضیها، و لیست الآیة</w:t>
      </w:r>
      <w:r>
        <w:rPr>
          <w:rStyle w:val="FootnoteAnchor"/>
          <w:rtl w:val="true"/>
        </w:rPr>
        <w:footnoteReference w:id="283"/>
      </w:r>
      <w:r>
        <w:rPr>
          <w:rFonts w:ascii="IRNazanin" w:hAnsi="IRNazanin" w:eastAsia="IRNazanin"/>
          <w:color w:val="111111"/>
          <w:sz w:val="28"/>
          <w:sz w:val="28"/>
          <w:szCs w:val="28"/>
          <w:rtl w:val="true"/>
          <w:lang w:bidi="fa-IR"/>
        </w:rPr>
        <w:t>دالة علی الفوریّة، و لو دلّت لا ستفید الفور من خارج، و التأخیر یجوز إلی غایة یغلب معها الظن بالتلف عقیب الفعل، کما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أیّ وقت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کقضاء الواجب و النذر المطلق</w:t>
      </w:r>
      <w:r>
        <w:rPr>
          <w:rFonts w:eastAsia="IRNazanin" w:cs="IRNazanin"/>
          <w:color w:val="111111"/>
          <w:sz w:val="28"/>
          <w:szCs w:val="28"/>
          <w:rtl w:val="true"/>
          <w:lang w:bidi="fa-IR"/>
        </w:rPr>
        <w:t>.</w:t>
      </w:r>
    </w:p>
    <w:p>
      <w:pPr>
        <w:pStyle w:val="Heading4"/>
        <w:numPr>
          <w:ilvl w:val="3"/>
          <w:numId w:val="1"/>
        </w:numPr>
        <w:rPr/>
      </w:pPr>
      <w:bookmarkStart w:id="145" w:name="__RefHeading___Toc2792504_3804643083"/>
      <w:bookmarkStart w:id="146" w:name="_Toc55"/>
      <w:bookmarkEnd w:id="145"/>
      <w:r>
        <w:rPr>
          <w:rtl w:val="true"/>
        </w:rPr>
        <w:t>البحث الخامس</w:t>
      </w:r>
      <w:r>
        <w:rPr>
          <w:rtl w:val="true"/>
        </w:rPr>
        <w:t xml:space="preserve">: </w:t>
      </w:r>
      <w:r>
        <w:rPr>
          <w:rtl w:val="true"/>
        </w:rPr>
        <w:t xml:space="preserve">الأمر المعلّق بکلمة </w:t>
      </w:r>
      <w:r>
        <w:rPr>
          <w:rtl w:val="true"/>
        </w:rPr>
        <w:t>(</w:t>
      </w:r>
      <w:r>
        <w:rPr>
          <w:rtl w:val="true"/>
        </w:rPr>
        <w:t>إن</w:t>
      </w:r>
      <w:r>
        <w:rPr>
          <w:rtl w:val="true"/>
        </w:rPr>
        <w:t xml:space="preserve">) </w:t>
      </w:r>
      <w:r>
        <w:rPr>
          <w:rtl w:val="true"/>
        </w:rPr>
        <w:t>عدم عند عدم الشرط،</w:t>
      </w:r>
      <w:bookmarkEnd w:id="146"/>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المعلّق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Style w:val="FootnoteAnchor"/>
          <w:rtl w:val="true"/>
        </w:rPr>
        <w:footnoteReference w:id="284"/>
      </w:r>
      <w:r>
        <w:rPr>
          <w:rFonts w:ascii="IRNazanin" w:hAnsi="IRNazanin" w:eastAsia="IRNazanin"/>
          <w:color w:val="111111"/>
          <w:sz w:val="28"/>
          <w:sz w:val="28"/>
          <w:szCs w:val="28"/>
          <w:rtl w:val="true"/>
          <w:lang w:bidi="fa-IR"/>
        </w:rPr>
        <w:t>عند عدم الشرط،</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لیس علّة فی وجوده و لا مستلزما له، فلو لم یستلزم العدم العدم لخرج عن کونه شرطا، و إلّا جاز أن یکون</w:t>
      </w:r>
      <w:r>
        <w:rPr>
          <w:rStyle w:val="FootnoteAnchor"/>
          <w:rtl w:val="true"/>
        </w:rPr>
        <w:footnoteReference w:id="285"/>
      </w:r>
      <w:r>
        <w:rPr>
          <w:rFonts w:ascii="IRNazanin" w:hAnsi="IRNazanin" w:eastAsia="IRNazanin"/>
          <w:color w:val="111111"/>
          <w:sz w:val="28"/>
          <w:sz w:val="28"/>
          <w:szCs w:val="28"/>
          <w:rtl w:val="true"/>
          <w:lang w:bidi="fa-IR"/>
        </w:rPr>
        <w:t>کل شی‌ء شرطا لکل شی‌ء، و لأنّ یعلی بن امیّة سأل</w:t>
      </w:r>
    </w:p>
    <w:p>
      <w:pPr>
        <w:pStyle w:val="BookText"/>
        <w:rPr/>
      </w:pPr>
      <w:r>
        <w:rPr>
          <w:rFonts w:ascii="IRNazanin" w:hAnsi="IRNazanin" w:eastAsia="IRNazanin"/>
          <w:color w:val="111111"/>
          <w:sz w:val="28"/>
          <w:sz w:val="28"/>
          <w:szCs w:val="28"/>
          <w:rtl w:val="true"/>
          <w:lang w:bidi="fa-IR"/>
        </w:rPr>
        <w:t>عن سبب القصر مع الأمن و أقرّه النبی صلّی اللّه علیه و آله علیه</w:t>
      </w:r>
      <w:r>
        <w:rPr>
          <w:rStyle w:val="FootnoteAnchor"/>
          <w:rtl w:val="true"/>
        </w:rPr>
        <w:footnoteReference w:id="286"/>
      </w:r>
      <w:r>
        <w:rPr>
          <w:rFonts w:ascii="IRNazanin" w:hAnsi="IRNazanin" w:eastAsia="IRNazanin"/>
          <w:color w:val="111111"/>
          <w:sz w:val="28"/>
          <w:sz w:val="28"/>
          <w:szCs w:val="28"/>
          <w:rtl w:val="true"/>
          <w:lang w:bidi="fa-IR"/>
        </w:rPr>
        <w:t>، 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لأزیدنّ علی السبعین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عقیب إِنْ تَسْتَغْفِرْ لَهُمْ سَبْعِینَ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إمکان قیام غیره مقامه، و بقوله تعالی وَ لا تُکْرِهُوا فَتَیاتِکُمْ عَلَی الْبِغاءِ إِنْ أَرَدْنَ تَحَصُّناً</w:t>
      </w:r>
      <w:r>
        <w:rPr>
          <w:rStyle w:val="FootnoteAnchor"/>
          <w:rtl w:val="true"/>
        </w:rPr>
        <w:footnoteReference w:id="288"/>
      </w:r>
      <w:r>
        <w:rPr>
          <w:rFonts w:ascii="IRNazanin" w:hAnsi="IRNazanin" w:eastAsia="IRNazanin"/>
          <w:color w:val="111111"/>
          <w:sz w:val="28"/>
          <w:sz w:val="28"/>
          <w:szCs w:val="28"/>
          <w:rtl w:val="true"/>
          <w:lang w:bidi="fa-IR"/>
        </w:rPr>
        <w:t>فإنّه لا یقتضی إباحة الإکراه مع عدم إرادة التحصّن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حینئذ أحدهما لا بعینه، لا ما فرض شرطا، و الآیة إنّما</w:t>
      </w:r>
      <w:r>
        <w:rPr>
          <w:rStyle w:val="FootnoteAnchor"/>
          <w:rtl w:val="true"/>
        </w:rPr>
        <w:footnoteReference w:id="290"/>
      </w:r>
      <w:r>
        <w:rPr>
          <w:rFonts w:ascii="IRNazanin" w:hAnsi="IRNazanin" w:eastAsia="IRNazanin"/>
          <w:color w:val="111111"/>
          <w:sz w:val="28"/>
          <w:sz w:val="28"/>
          <w:szCs w:val="28"/>
          <w:rtl w:val="true"/>
          <w:lang w:bidi="fa-IR"/>
        </w:rPr>
        <w:t>تقتضی تحریم الإکراه مع إرادة التحصّن، فینتفی التحریم عند عدم الإرادة، و لا یلزم من نفی التحریم الإباحة، فإنّ نفی التحریم قد یکون للإباحة و قد یکون لامتناع المنهی عنه عقلا، و هو کذلک هاهنا، فإنّ مع إرادة البغاء الحاصلة من نفی إرادة التحصّن یمتنع الإکراه علی البغاء</w:t>
      </w:r>
      <w:r>
        <w:rPr>
          <w:rFonts w:eastAsia="IRNazanin" w:cs="IRNazanin"/>
          <w:color w:val="111111"/>
          <w:sz w:val="28"/>
          <w:szCs w:val="28"/>
          <w:rtl w:val="true"/>
          <w:lang w:bidi="fa-IR"/>
        </w:rPr>
        <w:t>.</w:t>
      </w:r>
      <w:bookmarkStart w:id="147" w:name="pg2360_37016"/>
    </w:p>
    <w:p>
      <w:pPr>
        <w:pStyle w:val="Heading4"/>
        <w:numPr>
          <w:ilvl w:val="3"/>
          <w:numId w:val="1"/>
        </w:numPr>
        <w:rPr/>
      </w:pPr>
      <w:bookmarkStart w:id="148" w:name="__RefHeading___Toc2792506_3804643083"/>
      <w:bookmarkStart w:id="149" w:name="_Toc56"/>
      <w:bookmarkEnd w:id="147"/>
      <w:bookmarkEnd w:id="148"/>
      <w:r>
        <w:rPr>
          <w:rtl w:val="true"/>
        </w:rPr>
        <w:t>البحث السادس</w:t>
      </w:r>
      <w:r>
        <w:rPr>
          <w:rtl w:val="true"/>
        </w:rPr>
        <w:t xml:space="preserve">: </w:t>
      </w:r>
      <w:r>
        <w:rPr>
          <w:rtl w:val="true"/>
        </w:rPr>
        <w:t>الحق أنّ عدم الوصف لا یقتضی عدم الأمر المعلّق به،</w:t>
      </w:r>
      <w:bookmarkEnd w:id="149"/>
    </w:p>
    <w:p>
      <w:pPr>
        <w:pStyle w:val="Heading5"/>
        <w:numPr>
          <w:ilvl w:val="4"/>
          <w:numId w:val="1"/>
        </w:numPr>
        <w:rPr/>
      </w:pPr>
      <w:bookmarkStart w:id="150" w:name="__RefHeading___Toc2792508_3804643083"/>
      <w:bookmarkStart w:id="151" w:name="_Toc57"/>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زکّوا عن الغنم السائمة</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لانتفاء الدلالات الثلاث، أمّا المطابقة و التضمّن فظاهر، و أمّا الالتزام فلأنّ ثبوت المعلق علی الوصف یصدق مع ثبوته عند عدم الوصف و مع عدمه، و لا یستلزم العام الخاص، و قول أبی عبید</w:t>
      </w:r>
      <w:r>
        <w:rPr>
          <w:rStyle w:val="FootnoteAnchor"/>
          <w:rtl w:val="true"/>
        </w:rPr>
        <w:footnoteReference w:id="292"/>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إنّه یدل علی أنّ لیّ غیر الواجد لا یحل عقوبته و لا عرضه</w:t>
      </w:r>
      <w:r>
        <w:rPr>
          <w:rStyle w:val="FootnoteAnchor"/>
          <w:rtl w:val="true"/>
        </w:rPr>
        <w:footnoteReference w:id="294"/>
      </w:r>
      <w:r>
        <w:rPr>
          <w:rFonts w:ascii="IRNazanin" w:hAnsi="IRNazanin" w:eastAsia="IRNazanin"/>
          <w:color w:val="111111"/>
          <w:sz w:val="28"/>
          <w:sz w:val="28"/>
          <w:szCs w:val="28"/>
          <w:rtl w:val="true"/>
          <w:lang w:bidi="fa-IR"/>
        </w:rPr>
        <w:t>، مبنی علی اجتهاده، لا أنه نقل عن أهل اللغة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الاهتمام بالمذکور، أو لسبق بیانه، أو لسبق خطوره فی حق غیر اللّه تعالی، أو لحاجة السامع، أو لیستدل السامع علی المسکوت عنه به فیحصل له رتبة الاجتهاد، أو لأنّ بیان المسکوت عنه غیر واجب، أو لیبینه بالنصوصیة</w:t>
      </w:r>
      <w:r>
        <w:rPr>
          <w:rStyle w:val="FootnoteAnchor"/>
          <w:rtl w:val="true"/>
        </w:rPr>
        <w:footnoteReference w:id="295"/>
      </w:r>
      <w:r>
        <w:rPr>
          <w:rFonts w:ascii="IRNazanin" w:hAnsi="IRNazanin" w:eastAsia="IRNazanin"/>
          <w:color w:val="111111"/>
          <w:sz w:val="28"/>
          <w:sz w:val="28"/>
          <w:szCs w:val="28"/>
          <w:rtl w:val="true"/>
          <w:lang w:bidi="fa-IR"/>
        </w:rPr>
        <w:t>، أو یحیله علی الأصل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فی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w:t>
      </w:r>
      <w:r>
        <w:rPr>
          <w:rStyle w:val="FootnoteAnchor"/>
          <w:rtl w:val="true"/>
        </w:rPr>
        <w:footnoteReference w:id="296"/>
      </w:r>
      <w:bookmarkStart w:id="152" w:name="pg2360_37017"/>
    </w:p>
    <w:p>
      <w:pPr>
        <w:pStyle w:val="BookText"/>
        <w:rPr/>
      </w:pPr>
      <w:bookmarkEnd w:id="152"/>
      <w:r>
        <w:rPr>
          <w:rFonts w:ascii="IRNazanin" w:hAnsi="IRNazanin" w:eastAsia="IRNazanin"/>
          <w:color w:val="111111"/>
          <w:sz w:val="28"/>
          <w:sz w:val="28"/>
          <w:szCs w:val="28"/>
          <w:rtl w:val="true"/>
          <w:lang w:bidi="fa-IR"/>
        </w:rPr>
        <w:t>المنطوق للاشتباه فیه</w:t>
      </w:r>
      <w:r>
        <w:rPr>
          <w:rFonts w:eastAsia="IRNazanin" w:cs="IRNazanin"/>
          <w:color w:val="111111"/>
          <w:sz w:val="28"/>
          <w:szCs w:val="28"/>
          <w:rtl w:val="true"/>
          <w:lang w:bidi="fa-IR"/>
        </w:rPr>
        <w:t>.</w:t>
      </w:r>
    </w:p>
    <w:p>
      <w:pPr>
        <w:pStyle w:val="Heading5"/>
        <w:numPr>
          <w:ilvl w:val="4"/>
          <w:numId w:val="1"/>
        </w:numPr>
        <w:rPr/>
      </w:pPr>
      <w:bookmarkStart w:id="153" w:name="__RefHeading___Toc2792510_3804643083"/>
      <w:bookmarkStart w:id="154" w:name="_Toc58"/>
      <w:bookmarkEnd w:id="153"/>
      <w:r>
        <w:rPr>
          <w:rtl w:val="true"/>
        </w:rPr>
        <w:t>تذنیب</w:t>
      </w:r>
      <w:bookmarkEnd w:id="154"/>
    </w:p>
    <w:p>
      <w:pPr>
        <w:pStyle w:val="BookText"/>
        <w:rPr/>
      </w:pPr>
      <w:r>
        <w:rPr>
          <w:rFonts w:ascii="Amiri" w:hAnsi="Amiri" w:eastAsia="Amiri" w:cs="Amiri"/>
          <w:color w:val="111111"/>
          <w:sz w:val="28"/>
          <w:sz w:val="28"/>
          <w:szCs w:val="28"/>
          <w:rtl w:val="true"/>
          <w:lang w:bidi="ar-SA"/>
        </w:rPr>
        <w:t>إن کان الوصف علّة، لزم من نفیه نفی الحکم، تحقیقا للعلّیة، و لا یفید التخصیص بالذکر التخصیص فی الحکم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أَوْلادَکُمْ خَشْیَةَ إِمْلاقٍ</w:t>
      </w:r>
      <w:r>
        <w:rPr>
          <w:rStyle w:val="FootnoteAnchor"/>
          <w:rtl w:val="true"/>
        </w:rPr>
        <w:footnoteReference w:id="297"/>
      </w:r>
      <w:r>
        <w:rPr>
          <w:rFonts w:ascii="Amiri" w:hAnsi="Amiri" w:eastAsia="Amiri" w:cs="Amiri"/>
          <w:color w:val="111111"/>
          <w:sz w:val="28"/>
          <w:sz w:val="28"/>
          <w:szCs w:val="28"/>
          <w:rtl w:val="true"/>
          <w:lang w:bidi="ar-SA"/>
        </w:rPr>
        <w:t>و لا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بَیْنِهِما فَابْعَثُوا</w:t>
      </w:r>
      <w:r>
        <w:rPr>
          <w:rStyle w:val="FootnoteAnchor"/>
          <w:rtl w:val="true"/>
        </w:rPr>
        <w:footnoteReference w:id="298"/>
      </w:r>
      <w:r>
        <w:rPr>
          <w:rFonts w:ascii="IRNazanin" w:hAnsi="IRNazanin" w:eastAsia="IRNazanin"/>
          <w:color w:val="111111"/>
          <w:sz w:val="28"/>
          <w:sz w:val="28"/>
          <w:szCs w:val="28"/>
          <w:rtl w:val="true"/>
          <w:lang w:bidi="fa-IR"/>
        </w:rPr>
        <w:t>الآیة؛ لأنّ التخصیص هنا للعادة، و أیضا تخصیص الحکم بوصف فی جنس لا یدل علی نفیه عمّا زال عنه الوصف فی غیر ذلک الجنس</w:t>
      </w:r>
      <w:r>
        <w:rPr>
          <w:rFonts w:eastAsia="IRNazanin" w:cs="IRNazanin"/>
          <w:color w:val="111111"/>
          <w:sz w:val="28"/>
          <w:szCs w:val="28"/>
          <w:rtl w:val="true"/>
          <w:lang w:bidi="fa-IR"/>
        </w:rPr>
        <w:t>.</w:t>
      </w:r>
    </w:p>
    <w:p>
      <w:pPr>
        <w:pStyle w:val="Heading4"/>
        <w:numPr>
          <w:ilvl w:val="3"/>
          <w:numId w:val="1"/>
        </w:numPr>
        <w:rPr/>
      </w:pPr>
      <w:bookmarkStart w:id="155" w:name="__RefHeading___Toc2792512_3804643083"/>
      <w:bookmarkStart w:id="156" w:name="_Toc59"/>
      <w:bookmarkEnd w:id="155"/>
      <w:r>
        <w:rPr>
          <w:rtl w:val="true"/>
        </w:rPr>
        <w:t>البحث السابع</w:t>
      </w:r>
      <w:r>
        <w:rPr>
          <w:rtl w:val="true"/>
        </w:rPr>
        <w:t xml:space="preserve">: </w:t>
      </w:r>
      <w:r>
        <w:rPr>
          <w:rtl w:val="true"/>
        </w:rPr>
        <w:t>الحکم المقیّد بالغایة یدل علی مخالفة ما بعد الغایة له،</w:t>
      </w:r>
      <w:bookmarkEnd w:id="156"/>
    </w:p>
    <w:p>
      <w:pPr>
        <w:pStyle w:val="BookText"/>
        <w:rPr/>
      </w:pPr>
      <w:r>
        <w:rPr>
          <w:rFonts w:ascii="IRNazanin" w:hAnsi="IRNazanin" w:eastAsia="IRNazanin"/>
          <w:color w:val="111111"/>
          <w:sz w:val="28"/>
          <w:sz w:val="28"/>
          <w:szCs w:val="28"/>
          <w:rtl w:val="true"/>
          <w:lang w:bidi="fa-IR"/>
        </w:rPr>
        <w:t xml:space="preserve">فإنّ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إلی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صوما آخره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وجب بعدها لم یکن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مفهوم اللقب فلیس حجة عند الأکثر</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الکلّ علی أنّ مفهوم اللقب لیس بحجّة، خلافا للدقّاق و أصحاب الإمام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إلّا لزم الکفر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رسول 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الحصر حجّة،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الإخبار</w:t>
      </w:r>
      <w:bookmarkStart w:id="157" w:name="pg2360_37018"/>
    </w:p>
    <w:p>
      <w:pPr>
        <w:pStyle w:val="BookText"/>
        <w:rPr/>
      </w:pPr>
      <w:bookmarkEnd w:id="157"/>
      <w:r>
        <w:rPr>
          <w:rFonts w:ascii="IRNazanin" w:hAnsi="IRNazanin" w:eastAsia="IRNazanin"/>
          <w:color w:val="111111"/>
          <w:sz w:val="28"/>
          <w:sz w:val="28"/>
          <w:szCs w:val="28"/>
          <w:rtl w:val="true"/>
          <w:lang w:bidi="fa-IR"/>
        </w:rPr>
        <w:t>بالأخص عن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العدد علّة لعدم الحکم</w:t>
      </w:r>
      <w:r>
        <w:rPr>
          <w:rStyle w:val="FootnoteAnchor"/>
          <w:rtl w:val="true"/>
        </w:rPr>
        <w:footnoteReference w:id="300"/>
      </w:r>
      <w:r>
        <w:rPr>
          <w:rFonts w:ascii="IRNazanin" w:hAnsi="IRNazanin" w:eastAsia="IRNazanin"/>
          <w:color w:val="111111"/>
          <w:sz w:val="28"/>
          <w:sz w:val="28"/>
          <w:szCs w:val="28"/>
          <w:rtl w:val="true"/>
          <w:lang w:bidi="fa-IR"/>
        </w:rPr>
        <w:t>کان الزائد</w:t>
      </w:r>
      <w:r>
        <w:rPr>
          <w:rStyle w:val="FootnoteAnchor"/>
          <w:rtl w:val="true"/>
        </w:rPr>
        <w:footnoteReference w:id="301"/>
      </w:r>
      <w:r>
        <w:rPr>
          <w:rFonts w:ascii="IRNazanin" w:hAnsi="IRNazanin" w:eastAsia="IRNazanin"/>
          <w:color w:val="111111"/>
          <w:sz w:val="28"/>
          <w:sz w:val="28"/>
          <w:szCs w:val="28"/>
          <w:rtl w:val="true"/>
          <w:lang w:bidi="fa-IR"/>
        </w:rPr>
        <w:t>علّة، لاشتماله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اتصاف الناقص بأمر اتصاف الزائد به، فإنّ وجوب رکعتی الصبح لا یقتضی</w:t>
      </w:r>
      <w:r>
        <w:rPr>
          <w:rStyle w:val="FootnoteAnchor"/>
          <w:rtl w:val="true"/>
        </w:rPr>
        <w:footnoteReference w:id="302"/>
      </w:r>
      <w:r>
        <w:rPr>
          <w:rFonts w:ascii="IRNazanin" w:hAnsi="IRNazanin" w:eastAsia="IRNazanin"/>
          <w:color w:val="111111"/>
          <w:sz w:val="28"/>
          <w:sz w:val="28"/>
          <w:szCs w:val="28"/>
          <w:rtl w:val="true"/>
          <w:lang w:bidi="fa-IR"/>
        </w:rPr>
        <w:t>وجوب الثلاثة، و إباحة الأربع لا یقتضی إباحة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ابیح عدد لزم إباحة الناقص إن وجب دخوله، کإباحة الخمسین عند إباحة جلد مائة، و إن لم یدخل لم یجب، کالحکم بالشاهدین لا یستلزم الحکم بالشاهد، لأنّ الحکم بشهادة الواحد لا یدخل تحت الحکم بالشاهدین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حرم عدد فقد یکون تحریم الأقل منه</w:t>
      </w:r>
      <w:r>
        <w:rPr>
          <w:rStyle w:val="FootnoteAnchor"/>
          <w:rtl w:val="true"/>
        </w:rPr>
        <w:footnoteReference w:id="303"/>
      </w:r>
      <w:r>
        <w:rPr>
          <w:rFonts w:ascii="IRNazanin" w:hAnsi="IRNazanin" w:eastAsia="IRNazanin"/>
          <w:color w:val="111111"/>
          <w:sz w:val="28"/>
          <w:sz w:val="28"/>
          <w:szCs w:val="28"/>
          <w:rtl w:val="true"/>
          <w:lang w:bidi="fa-IR"/>
        </w:rPr>
        <w:t>أولی، مثل تحریم استعمال نصف الکر النجس، فتحریم الأقل منه أولی، و قد لا یکون، فإنّ تحریم جلد الزانی أکثر من مائة لا یستلزم تحریم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تعلیق الحکم علی عدد لا یقتضی نفیه عمّا عداه</w:t>
      </w:r>
      <w:r>
        <w:rPr>
          <w:rFonts w:eastAsia="IRNazanin" w:cs="IRNazanin"/>
          <w:color w:val="111111"/>
          <w:sz w:val="28"/>
          <w:szCs w:val="28"/>
          <w:rtl w:val="true"/>
          <w:lang w:bidi="fa-IR"/>
        </w:rPr>
        <w:t>.</w:t>
      </w:r>
    </w:p>
    <w:p>
      <w:pPr>
        <w:pStyle w:val="Heading4"/>
        <w:numPr>
          <w:ilvl w:val="3"/>
          <w:numId w:val="1"/>
        </w:numPr>
        <w:rPr/>
      </w:pPr>
      <w:bookmarkStart w:id="158" w:name="__RefHeading___Toc2792514_3804643083"/>
      <w:bookmarkStart w:id="159" w:name="_Toc60"/>
      <w:bookmarkEnd w:id="158"/>
      <w:r>
        <w:rPr>
          <w:rtl w:val="true"/>
        </w:rPr>
        <w:t>البحث الثامن</w:t>
      </w:r>
      <w:r>
        <w:rPr>
          <w:rtl w:val="true"/>
        </w:rPr>
        <w:t xml:space="preserve">: </w:t>
      </w:r>
      <w:r>
        <w:rPr>
          <w:rtl w:val="true"/>
        </w:rPr>
        <w:t>الآمر إن نقل کلام غیره دخل فیه إن تناوله،</w:t>
      </w:r>
      <w:bookmarkEnd w:id="159"/>
    </w:p>
    <w:p>
      <w:pPr>
        <w:pStyle w:val="BookText"/>
        <w:rPr/>
      </w:pPr>
      <w:r>
        <w:rPr>
          <w:rFonts w:ascii="IRNazanin" w:hAnsi="IRNazanin" w:eastAsia="IRNazanin"/>
          <w:color w:val="111111"/>
          <w:sz w:val="28"/>
          <w:sz w:val="28"/>
          <w:szCs w:val="28"/>
          <w:rtl w:val="true"/>
          <w:lang w:bidi="fa-IR"/>
        </w:rPr>
        <w:t>و کذا لو نقل أمر غیره بکلام نفسه، و إلّا فلا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یقول الإنسان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الفعل، لکنّه لا یسمّی أمرا، لأن الاستعلاء معتبر</w:t>
      </w:r>
      <w:r>
        <w:rPr>
          <w:rStyle w:val="FootnoteAnchor"/>
          <w:rtl w:val="true"/>
        </w:rPr>
        <w:footnoteReference w:id="304"/>
      </w:r>
      <w:r>
        <w:rPr>
          <w:rFonts w:ascii="IRNazanin" w:hAnsi="IRNazanin" w:eastAsia="IRNazanin"/>
          <w:color w:val="111111"/>
          <w:sz w:val="28"/>
          <w:sz w:val="28"/>
          <w:szCs w:val="28"/>
          <w:rtl w:val="true"/>
          <w:lang w:bidi="fa-IR"/>
        </w:rPr>
        <w:t>، و لا یحسن أیضا، لأنّ فائدة الأمر الإعلام، و لا فائدة فی إعلام</w:t>
      </w:r>
      <w:bookmarkStart w:id="160" w:name="pg2360_37019"/>
    </w:p>
    <w:p>
      <w:pPr>
        <w:pStyle w:val="BookText"/>
        <w:rPr/>
      </w:pPr>
      <w:bookmarkEnd w:id="160"/>
      <w:r>
        <w:rPr>
          <w:rFonts w:ascii="IRNazanin" w:hAnsi="IRNazanin" w:eastAsia="IRNazanin"/>
          <w:color w:val="111111"/>
          <w:sz w:val="28"/>
          <w:sz w:val="28"/>
          <w:szCs w:val="28"/>
          <w:rtl w:val="true"/>
          <w:lang w:bidi="fa-IR"/>
        </w:rPr>
        <w:t>الرجل نفسه ما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الأمران إن تخالفا</w:t>
      </w:r>
      <w:r>
        <w:rPr>
          <w:rStyle w:val="FootnoteAnchor"/>
          <w:rtl w:val="true"/>
        </w:rPr>
        <w:footnoteReference w:id="305"/>
      </w:r>
      <w:r>
        <w:rPr>
          <w:rFonts w:ascii="IRNazanin" w:hAnsi="IRNazanin" w:eastAsia="IRNazanin"/>
          <w:color w:val="111111"/>
          <w:sz w:val="28"/>
          <w:sz w:val="28"/>
          <w:szCs w:val="28"/>
          <w:rtl w:val="true"/>
          <w:lang w:bidi="fa-IR"/>
        </w:rPr>
        <w:t>و تضادا کان الثانی</w:t>
      </w:r>
      <w:r>
        <w:rPr>
          <w:rStyle w:val="FootnoteAnchor"/>
          <w:rtl w:val="true"/>
        </w:rPr>
        <w:footnoteReference w:id="306"/>
      </w:r>
      <w:r>
        <w:rPr>
          <w:rFonts w:ascii="IRNazanin" w:hAnsi="IRNazanin" w:eastAsia="IRNazanin"/>
          <w:color w:val="111111"/>
          <w:sz w:val="28"/>
          <w:sz w:val="28"/>
          <w:szCs w:val="28"/>
          <w:rtl w:val="true"/>
          <w:lang w:bidi="fa-IR"/>
        </w:rPr>
        <w:t>ناسخا</w:t>
      </w:r>
      <w:r>
        <w:rPr>
          <w:rStyle w:val="FootnoteAnchor"/>
          <w:rtl w:val="true"/>
        </w:rPr>
        <w:footnoteReference w:id="307"/>
      </w:r>
      <w:r>
        <w:rPr>
          <w:rFonts w:ascii="IRNazanin" w:hAnsi="IRNazanin" w:eastAsia="IRNazanin"/>
          <w:color w:val="111111"/>
          <w:sz w:val="28"/>
          <w:sz w:val="28"/>
          <w:szCs w:val="28"/>
          <w:rtl w:val="true"/>
          <w:lang w:bidi="fa-IR"/>
        </w:rPr>
        <w:t>، و إلّا وجبا معا، و إن تماثلا فإن کان هناک عطف تغایرا، و إلّا اتحدا إن امتنع الزائد عقلا کالقتل، أو شرعا کالعتق، أو عادة کسقی الماء، و حمل علی التأکید إن کان الثانی معرّفا بلام العهد، و إلّا فالأقرب التغایر،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غدا رکعتین صل غدا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الأوّل بالأمر الأوّل، و فائدة التأسیس أولی من فائدة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الثانی معرّفا باللام</w:t>
      </w:r>
      <w:r>
        <w:rPr>
          <w:rStyle w:val="FootnoteAnchor"/>
          <w:rtl w:val="true"/>
        </w:rPr>
        <w:footnoteReference w:id="308"/>
      </w:r>
      <w:r>
        <w:rPr>
          <w:rFonts w:ascii="IRNazanin" w:hAnsi="IRNazanin" w:eastAsia="IRNazanin"/>
          <w:color w:val="111111"/>
          <w:sz w:val="28"/>
          <w:sz w:val="28"/>
          <w:szCs w:val="28"/>
          <w:rtl w:val="true"/>
          <w:lang w:bidi="fa-IR"/>
        </w:rPr>
        <w:t>مع العطف، لاحتمال کون اللام لتعریف الطبیعة، کما یحتمل تعریف المعهود، مع أنّ العطف یقتضی التغایر، فلا معارض له</w:t>
      </w:r>
      <w:r>
        <w:rPr>
          <w:rFonts w:eastAsia="IRNazanin" w:cs="IRNazanin"/>
          <w:color w:val="111111"/>
          <w:sz w:val="28"/>
          <w:szCs w:val="28"/>
          <w:rtl w:val="true"/>
          <w:lang w:bidi="fa-IR"/>
        </w:rPr>
        <w:t>.</w:t>
      </w:r>
    </w:p>
    <w:p>
      <w:pPr>
        <w:pStyle w:val="Heading3"/>
        <w:numPr>
          <w:ilvl w:val="2"/>
          <w:numId w:val="1"/>
        </w:numPr>
        <w:rPr/>
      </w:pPr>
      <w:bookmarkStart w:id="161" w:name="__RefHeading___Toc2792516_3804643083"/>
      <w:bookmarkStart w:id="162" w:name="_Toc61"/>
      <w:bookmarkEnd w:id="161"/>
      <w:r>
        <w:rPr>
          <w:rtl w:val="true"/>
        </w:rPr>
        <w:t>الفصل الثالث</w:t>
      </w:r>
      <w:r>
        <w:rPr>
          <w:rtl w:val="true"/>
        </w:rPr>
        <w:t xml:space="preserve">: </w:t>
      </w:r>
      <w:r>
        <w:rPr>
          <w:rtl w:val="true"/>
        </w:rPr>
        <w:t>فی الوجوب</w:t>
      </w:r>
      <w:bookmarkEnd w:id="162"/>
    </w:p>
    <w:p>
      <w:pPr>
        <w:pStyle w:val="Heading4"/>
        <w:numPr>
          <w:ilvl w:val="3"/>
          <w:numId w:val="1"/>
        </w:numPr>
        <w:rPr/>
      </w:pPr>
      <w:bookmarkStart w:id="163" w:name="__RefHeading___Toc2792518_3804643083"/>
      <w:bookmarkStart w:id="164" w:name="_Toc62"/>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65" w:name="__RefHeading___Toc2792520_3804643083"/>
      <w:bookmarkStart w:id="166" w:name="_Toc63"/>
      <w:bookmarkEnd w:id="165"/>
      <w:r>
        <w:rPr>
          <w:rtl w:val="true"/>
        </w:rPr>
        <w:t>الأوّل</w:t>
      </w:r>
      <w:r>
        <w:rPr>
          <w:rtl w:val="true"/>
        </w:rPr>
        <w:t xml:space="preserve">: </w:t>
      </w:r>
      <w:r>
        <w:rPr>
          <w:rtl w:val="true"/>
        </w:rPr>
        <w:t>فی الواجب المخیّر</w:t>
      </w:r>
      <w:r>
        <w:rPr>
          <w:rtl w:val="true"/>
        </w:rPr>
        <w:t>.</w:t>
      </w:r>
      <w:bookmarkEnd w:id="166"/>
    </w:p>
    <w:p>
      <w:pPr>
        <w:pStyle w:val="Heading5"/>
        <w:numPr>
          <w:ilvl w:val="4"/>
          <w:numId w:val="1"/>
        </w:numPr>
        <w:rPr/>
      </w:pPr>
      <w:bookmarkStart w:id="167" w:name="__RefHeading___Toc2792522_3804643083"/>
      <w:bookmarkStart w:id="168" w:name="_Toc64"/>
      <w:bookmarkEnd w:id="167"/>
      <w:r>
        <w:rPr>
          <w:rtl w:val="true"/>
        </w:rPr>
        <w:t>اشارة</w:t>
      </w:r>
      <w:bookmarkEnd w:id="1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وقوعه، کخصال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تقدیره،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w:t>
      </w:r>
    </w:p>
    <w:p>
      <w:pPr>
        <w:pStyle w:val="BookText"/>
        <w:rPr/>
      </w:pPr>
      <w:r>
        <w:rPr>
          <w:rFonts w:ascii="IRNazanin" w:hAnsi="IRNazanin" w:eastAsia="IRNazanin"/>
          <w:color w:val="111111"/>
          <w:sz w:val="28"/>
          <w:sz w:val="28"/>
          <w:szCs w:val="28"/>
          <w:rtl w:val="true"/>
          <w:lang w:bidi="fa-IR"/>
        </w:rPr>
        <w:t>واجب و یسقط بفعل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واحد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معیّن عند اللّه تعالی و غیر معیّن عندنا</w:t>
      </w:r>
      <w:r>
        <w:rPr>
          <w:rStyle w:val="FootnoteAnchor"/>
          <w:rtl w:val="true"/>
        </w:rPr>
        <w:footnoteReference w:id="3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کل واحد منها</w:t>
      </w:r>
      <w:r>
        <w:rPr>
          <w:rStyle w:val="FootnoteAnchor"/>
          <w:rtl w:val="true"/>
        </w:rPr>
        <w:footnoteReference w:id="310"/>
      </w:r>
      <w:r>
        <w:rPr>
          <w:rFonts w:ascii="IRNazanin" w:hAnsi="IRNazanin" w:eastAsia="IRNazanin"/>
          <w:color w:val="111111"/>
          <w:sz w:val="28"/>
          <w:sz w:val="28"/>
          <w:szCs w:val="28"/>
          <w:rtl w:val="true"/>
          <w:lang w:bidi="fa-IR"/>
        </w:rPr>
        <w:t>واجب مخیّر فیه، بمعنی أنّه لا یجب الجمیع و لا یجوز</w:t>
      </w:r>
      <w:r>
        <w:rPr>
          <w:rStyle w:val="FootnoteAnchor"/>
          <w:rtl w:val="true"/>
        </w:rPr>
        <w:footnoteReference w:id="311"/>
      </w:r>
      <w:r>
        <w:rPr>
          <w:rFonts w:ascii="IRNazanin" w:hAnsi="IRNazanin" w:eastAsia="IRNazanin"/>
          <w:color w:val="111111"/>
          <w:sz w:val="28"/>
          <w:sz w:val="28"/>
          <w:szCs w:val="28"/>
          <w:rtl w:val="true"/>
          <w:lang w:bidi="fa-IR"/>
        </w:rPr>
        <w:t>الإخلال بالجمیع، و أیّها</w:t>
      </w:r>
      <w:r>
        <w:rPr>
          <w:rStyle w:val="FootnoteAnchor"/>
          <w:rtl w:val="true"/>
        </w:rPr>
        <w:footnoteReference w:id="312"/>
      </w:r>
      <w:r>
        <w:rPr>
          <w:rFonts w:ascii="IRNazanin" w:hAnsi="IRNazanin" w:eastAsia="IRNazanin"/>
          <w:color w:val="111111"/>
          <w:sz w:val="28"/>
          <w:sz w:val="28"/>
          <w:szCs w:val="28"/>
          <w:rtl w:val="true"/>
          <w:lang w:bidi="fa-IR"/>
        </w:rPr>
        <w:t>فعل کان واجبا بالأصالة، لأنّه لا استبعاد فی أن یقول السیّد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 علیک أحد هذین بحیث لا یحل لک</w:t>
      </w:r>
      <w:r>
        <w:rPr>
          <w:rStyle w:val="FootnoteAnchor"/>
          <w:rtl w:val="true"/>
        </w:rPr>
        <w:footnoteReference w:id="313"/>
      </w:r>
      <w:r>
        <w:rPr>
          <w:rFonts w:ascii="IRNazanin" w:hAnsi="IRNazanin" w:eastAsia="IRNazanin"/>
          <w:color w:val="111111"/>
          <w:sz w:val="28"/>
          <w:sz w:val="28"/>
          <w:szCs w:val="28"/>
          <w:rtl w:val="true"/>
          <w:lang w:bidi="fa-IR"/>
        </w:rPr>
        <w:t>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أوجبتهما علیک فأیّهما شئت فافعله</w:t>
      </w:r>
      <w:r>
        <w:rPr>
          <w:rStyle w:val="FootnoteAnchor"/>
          <w:rtl w:val="true"/>
        </w:rPr>
        <w:footnoteReference w:id="314"/>
      </w:r>
      <w:r>
        <w:rPr>
          <w:rFonts w:ascii="IRNazanin" w:hAnsi="IRNazanin" w:eastAsia="IRNazanin"/>
          <w:color w:val="111111"/>
          <w:sz w:val="28"/>
          <w:sz w:val="28"/>
          <w:szCs w:val="28"/>
          <w:rtl w:val="true"/>
          <w:lang w:bidi="fa-IR"/>
        </w:rPr>
        <w:t>و لا یستلزم ذلک وجوب الجمیع، و إلّا لعصی بدونه، و لا إیجاب واحد معیّن عند اللّه، لأنّه تعالی یعلم الأشیاء علی ما هی علیه، و التقدیر أنّ الواجب لم یتعین فی أحدها عینا، و القائل بإیجاب واحد لا بعینه إن قصد ما قلناه؛ صح، و إلّا بطل، لأنّ المخیّر فیه إن کان هو الواجب فقد وقع فیما فرّ منه، و هو تجویز ترک الواجب، و إلّا لم یکن مخیرا، و التقدیر خلافه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المخالف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فعل الجمیع فإن سقط الفرض به</w:t>
      </w:r>
      <w:r>
        <w:rPr>
          <w:rStyle w:val="FootnoteAnchor"/>
          <w:rtl w:val="true"/>
        </w:rPr>
        <w:footnoteReference w:id="315"/>
      </w:r>
      <w:r>
        <w:rPr>
          <w:rFonts w:ascii="IRNazanin" w:hAnsi="IRNazanin" w:eastAsia="IRNazanin"/>
          <w:color w:val="111111"/>
          <w:sz w:val="28"/>
          <w:sz w:val="28"/>
          <w:szCs w:val="28"/>
          <w:rtl w:val="true"/>
          <w:lang w:bidi="fa-IR"/>
        </w:rPr>
        <w:t>کان</w:t>
      </w:r>
      <w:bookmarkStart w:id="169" w:name="pg2360_37021"/>
    </w:p>
    <w:p>
      <w:pPr>
        <w:pStyle w:val="BookText"/>
        <w:rPr/>
      </w:pPr>
      <w:bookmarkEnd w:id="169"/>
      <w:r>
        <w:rPr>
          <w:rFonts w:ascii="IRNazanin" w:hAnsi="IRNazanin" w:eastAsia="IRNazanin"/>
          <w:color w:val="111111"/>
          <w:sz w:val="28"/>
          <w:sz w:val="28"/>
          <w:szCs w:val="28"/>
          <w:rtl w:val="true"/>
          <w:lang w:bidi="fa-IR"/>
        </w:rPr>
        <w:t>واجبا</w:t>
      </w:r>
      <w:r>
        <w:rPr>
          <w:rStyle w:val="FootnoteAnchor"/>
          <w:rtl w:val="true"/>
        </w:rPr>
        <w:footnoteReference w:id="316"/>
      </w:r>
      <w:r>
        <w:rPr>
          <w:rFonts w:ascii="IRNazanin" w:hAnsi="IRNazanin" w:eastAsia="IRNazanin"/>
          <w:color w:val="111111"/>
          <w:sz w:val="28"/>
          <w:sz w:val="28"/>
          <w:szCs w:val="28"/>
          <w:rtl w:val="true"/>
          <w:lang w:bidi="fa-IR"/>
        </w:rPr>
        <w:t>، و إن سقط بواحد لا بعینه کان المعیّن</w:t>
      </w:r>
      <w:r>
        <w:rPr>
          <w:rStyle w:val="FootnoteAnchor"/>
          <w:rtl w:val="true"/>
        </w:rPr>
        <w:footnoteReference w:id="317"/>
      </w:r>
      <w:r>
        <w:rPr>
          <w:rFonts w:ascii="IRNazanin" w:hAnsi="IRNazanin" w:eastAsia="IRNazanin"/>
          <w:color w:val="111111"/>
          <w:sz w:val="28"/>
          <w:sz w:val="28"/>
          <w:szCs w:val="28"/>
          <w:rtl w:val="true"/>
          <w:lang w:bidi="fa-IR"/>
        </w:rPr>
        <w:t>مستندا</w:t>
      </w:r>
      <w:r>
        <w:rPr>
          <w:rStyle w:val="FootnoteAnchor"/>
          <w:rtl w:val="true"/>
        </w:rPr>
        <w:footnoteReference w:id="318"/>
      </w:r>
      <w:r>
        <w:rPr>
          <w:rFonts w:ascii="IRNazanin" w:hAnsi="IRNazanin" w:eastAsia="IRNazanin"/>
          <w:color w:val="111111"/>
          <w:sz w:val="28"/>
          <w:sz w:val="28"/>
          <w:szCs w:val="28"/>
          <w:rtl w:val="true"/>
          <w:lang w:bidi="fa-IR"/>
        </w:rPr>
        <w:t>إلی المطلق</w:t>
      </w:r>
      <w:r>
        <w:rPr>
          <w:rStyle w:val="FootnoteAnchor"/>
          <w:rtl w:val="true"/>
        </w:rPr>
        <w:footnoteReference w:id="319"/>
      </w:r>
      <w:r>
        <w:rPr>
          <w:rFonts w:ascii="IRNazanin" w:hAnsi="IRNazanin" w:eastAsia="IRNazanin"/>
          <w:color w:val="111111"/>
          <w:sz w:val="28"/>
          <w:sz w:val="28"/>
          <w:szCs w:val="28"/>
          <w:rtl w:val="true"/>
          <w:lang w:bidi="fa-IR"/>
        </w:rPr>
        <w:t>، هذا خلف، و إن سقط بکل واحد لزم اجتماع العلل علی معلول واحد، فتعیّن المعیّن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معرّفات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الآخرون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الوجوب إن کان هو</w:t>
      </w:r>
      <w:r>
        <w:rPr>
          <w:rStyle w:val="FootnoteAnchor"/>
          <w:rtl w:val="true"/>
        </w:rPr>
        <w:footnoteReference w:id="321"/>
      </w:r>
      <w:r>
        <w:rPr>
          <w:rFonts w:ascii="IRNazanin" w:hAnsi="IRNazanin" w:eastAsia="IRNazanin"/>
          <w:color w:val="111111"/>
          <w:sz w:val="28"/>
          <w:sz w:val="28"/>
          <w:szCs w:val="28"/>
          <w:rtl w:val="true"/>
          <w:lang w:bidi="fa-IR"/>
        </w:rPr>
        <w:t>الجمیع لم یبرئ بدونه، و إن کان غیر معیّن لزم حلول المعیّن فی المطلق، و هو محال، فتعیّن المعیّن، و لیس عندنا، فهو عند اللّه تعالی</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الوجوب فی المخیّر کل واحد، و الخطأ نشأ من إهمال</w:t>
      </w:r>
      <w:r>
        <w:rPr>
          <w:rStyle w:val="FootnoteAnchor"/>
          <w:rtl w:val="true"/>
        </w:rPr>
        <w:footnoteReference w:id="323"/>
      </w:r>
      <w:r>
        <w:rPr>
          <w:rFonts w:ascii="IRNazanin" w:hAnsi="IRNazanin" w:eastAsia="IRNazanin"/>
          <w:color w:val="111111"/>
          <w:sz w:val="28"/>
          <w:sz w:val="28"/>
          <w:szCs w:val="28"/>
          <w:rtl w:val="true"/>
          <w:lang w:bidi="fa-IR"/>
        </w:rPr>
        <w:t>الحیثیات</w:t>
      </w:r>
      <w:r>
        <w:rPr>
          <w:rFonts w:eastAsia="IRNazanin" w:cs="IRNazanin"/>
          <w:color w:val="111111"/>
          <w:sz w:val="28"/>
          <w:szCs w:val="28"/>
          <w:rtl w:val="true"/>
          <w:lang w:bidi="fa-IR"/>
        </w:rPr>
        <w:t>.</w:t>
      </w:r>
    </w:p>
    <w:p>
      <w:pPr>
        <w:pStyle w:val="Heading5"/>
        <w:numPr>
          <w:ilvl w:val="4"/>
          <w:numId w:val="1"/>
        </w:numPr>
        <w:rPr/>
      </w:pPr>
      <w:bookmarkStart w:id="170" w:name="__RefHeading___Toc2792524_3804643083"/>
      <w:bookmarkStart w:id="171" w:name="_Toc65"/>
      <w:bookmarkEnd w:id="170"/>
      <w:r>
        <w:rPr>
          <w:rtl w:val="true"/>
        </w:rPr>
        <w:t>تذنیب</w:t>
      </w:r>
      <w:bookmarkEnd w:id="1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یصحّ الأمر بالشیئین علی الترتیب، و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 تحریم الجمع کأکل المباح و المیتة و التزویج من کفوین، أو مع إباحته کالوضوء و التیمم و ستر العورة</w:t>
      </w:r>
      <w:bookmarkStart w:id="172" w:name="pg2360_37022"/>
    </w:p>
    <w:p>
      <w:pPr>
        <w:pStyle w:val="BookText"/>
        <w:rPr/>
      </w:pPr>
      <w:bookmarkEnd w:id="172"/>
      <w:r>
        <w:rPr>
          <w:rFonts w:ascii="IRNazanin" w:hAnsi="IRNazanin" w:eastAsia="IRNazanin"/>
          <w:color w:val="111111"/>
          <w:sz w:val="28"/>
          <w:sz w:val="28"/>
          <w:szCs w:val="28"/>
          <w:rtl w:val="true"/>
          <w:lang w:bidi="fa-IR"/>
        </w:rPr>
        <w:t>بثوبین، أو مع ندبه کخصال الکفارة و خصال کفارة الحنث</w:t>
      </w:r>
      <w:r>
        <w:rPr>
          <w:rFonts w:eastAsia="IRNazanin" w:cs="IRNazanin"/>
          <w:color w:val="111111"/>
          <w:sz w:val="28"/>
          <w:szCs w:val="28"/>
          <w:rtl w:val="true"/>
          <w:lang w:bidi="fa-IR"/>
        </w:rPr>
        <w:t>.</w:t>
      </w:r>
    </w:p>
    <w:p>
      <w:pPr>
        <w:pStyle w:val="Heading4"/>
        <w:numPr>
          <w:ilvl w:val="3"/>
          <w:numId w:val="1"/>
        </w:numPr>
        <w:rPr/>
      </w:pPr>
      <w:bookmarkStart w:id="173" w:name="__RefHeading___Toc2792526_3804643083"/>
      <w:bookmarkStart w:id="174" w:name="_Toc66"/>
      <w:bookmarkEnd w:id="173"/>
      <w:r>
        <w:rPr>
          <w:rtl w:val="true"/>
        </w:rPr>
        <w:t>البحث الثانی</w:t>
      </w:r>
      <w:r>
        <w:rPr>
          <w:rtl w:val="true"/>
        </w:rPr>
        <w:t xml:space="preserve">: </w:t>
      </w:r>
      <w:r>
        <w:rPr>
          <w:rtl w:val="true"/>
        </w:rPr>
        <w:t>فی الواجب الموسّع</w:t>
      </w:r>
      <w:bookmarkEnd w:id="174"/>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w:t>
      </w:r>
      <w:r>
        <w:rPr>
          <w:rStyle w:val="FootnoteAnchor"/>
          <w:rtl w:val="true"/>
        </w:rPr>
        <w:footnoteReference w:id="324"/>
      </w:r>
      <w:r>
        <w:rPr>
          <w:rFonts w:ascii="Amiri" w:hAnsi="Amiri" w:eastAsia="Amiri" w:cs="Amiri"/>
          <w:color w:val="111111"/>
          <w:sz w:val="28"/>
          <w:sz w:val="28"/>
          <w:szCs w:val="28"/>
          <w:rtl w:val="true"/>
          <w:lang w:bidi="ar-SA"/>
        </w:rPr>
        <w:t>الموسّع</w:t>
      </w:r>
    </w:p>
    <w:p>
      <w:pPr>
        <w:pStyle w:val="BookText"/>
        <w:rPr/>
      </w:pPr>
      <w:r>
        <w:rPr>
          <w:rFonts w:ascii="Amiri" w:hAnsi="Amiri" w:eastAsia="Amiri" w:cs="Amiri"/>
          <w:color w:val="111111"/>
          <w:sz w:val="28"/>
          <w:sz w:val="28"/>
          <w:szCs w:val="28"/>
          <w:rtl w:val="true"/>
          <w:lang w:bidi="ar-SA"/>
        </w:rPr>
        <w:t>مساواة الوقت للفعل أمر واقع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قصوره عنه</w:t>
      </w:r>
      <w:r>
        <w:rPr>
          <w:rStyle w:val="FootnoteAnchor"/>
          <w:rtl w:val="true"/>
        </w:rPr>
        <w:footnoteReference w:id="325"/>
      </w:r>
      <w:r>
        <w:rPr>
          <w:rFonts w:ascii="IRNazanin" w:hAnsi="IRNazanin" w:eastAsia="IRNazanin"/>
          <w:color w:val="111111"/>
          <w:sz w:val="28"/>
          <w:sz w:val="28"/>
          <w:szCs w:val="28"/>
          <w:rtl w:val="true"/>
          <w:lang w:bidi="fa-IR"/>
        </w:rPr>
        <w:t>ممتنع إلّا علی إرادة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الوقت أفضل</w:t>
      </w:r>
      <w:r>
        <w:rPr>
          <w:rStyle w:val="FootnoteAnchor"/>
          <w:rtl w:val="true"/>
        </w:rPr>
        <w:footnoteReference w:id="326"/>
      </w:r>
      <w:r>
        <w:rPr>
          <w:rFonts w:ascii="IRNazanin" w:hAnsi="IRNazanin" w:eastAsia="IRNazanin"/>
          <w:color w:val="111111"/>
          <w:sz w:val="28"/>
          <w:sz w:val="28"/>
          <w:szCs w:val="28"/>
          <w:rtl w:val="true"/>
          <w:lang w:bidi="fa-IR"/>
        </w:rPr>
        <w:t>جائز و</w:t>
      </w:r>
      <w:r>
        <w:rPr>
          <w:rStyle w:val="FootnoteAnchor"/>
          <w:rtl w:val="true"/>
        </w:rPr>
        <w:footnoteReference w:id="327"/>
      </w:r>
      <w:r>
        <w:rPr>
          <w:rFonts w:ascii="IRNazanin" w:hAnsi="IRNazanin" w:eastAsia="IRNazanin"/>
          <w:color w:val="111111"/>
          <w:sz w:val="28"/>
          <w:sz w:val="28"/>
          <w:szCs w:val="28"/>
          <w:rtl w:val="true"/>
          <w:lang w:bidi="fa-IR"/>
        </w:rPr>
        <w:t>واقع، لعدم استحالة إیجاب الفعل فی زمان یفضل عنه، بحیث لا یخل المأمور بالفعل فی ذلک الوقت، و یتخیّر فی إیقاعه فی کل جزء منه، فإذا تضیّق تعیّن، و وقوعه ظاهر فی الصلاة، و ما وقته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الوجوب بالأوّل کما یقول بعض الأشاعرة</w:t>
      </w:r>
      <w:r>
        <w:rPr>
          <w:rStyle w:val="FootnoteAnchor"/>
          <w:rtl w:val="true"/>
        </w:rPr>
        <w:footnoteReference w:id="328"/>
      </w:r>
      <w:r>
        <w:rPr>
          <w:rFonts w:ascii="IRNazanin" w:hAnsi="IRNazanin" w:eastAsia="IRNazanin"/>
          <w:color w:val="111111"/>
          <w:sz w:val="28"/>
          <w:sz w:val="28"/>
          <w:szCs w:val="28"/>
          <w:rtl w:val="true"/>
          <w:lang w:bidi="fa-IR"/>
        </w:rPr>
        <w:t>، و بالآخر کمذهب بعض الحنفیة</w:t>
      </w:r>
      <w:r>
        <w:rPr>
          <w:rStyle w:val="FootnoteAnchor"/>
          <w:rtl w:val="true"/>
        </w:rPr>
        <w:footnoteReference w:id="329"/>
      </w:r>
      <w:r>
        <w:rPr>
          <w:rFonts w:ascii="IRNazanin" w:hAnsi="IRNazanin" w:eastAsia="IRNazanin"/>
          <w:color w:val="111111"/>
          <w:sz w:val="28"/>
          <w:sz w:val="28"/>
          <w:szCs w:val="28"/>
          <w:rtl w:val="true"/>
          <w:lang w:bidi="fa-IR"/>
        </w:rPr>
        <w:t>، و بالمراعاة کمذهب الکرخی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فقیه، انتهت إلیه رئاسة الحنفیة بالعراق، مولده فی الکرخ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وفاته ببغداد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له رسالة فی الاصول، و علیها مدار فروع الحنفیة،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السید المرتضی رحمه اللّه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الجبائیان</w:t>
      </w:r>
      <w:r>
        <w:rPr>
          <w:rStyle w:val="FootnoteAnchor"/>
          <w:rtl w:val="true"/>
        </w:rPr>
        <w:footnoteReference w:id="331"/>
      </w:r>
      <w:r>
        <w:rPr>
          <w:rFonts w:ascii="IRNazanin" w:hAnsi="IRNazanin" w:eastAsia="IRNazanin"/>
          <w:color w:val="111111"/>
          <w:sz w:val="28"/>
          <w:sz w:val="28"/>
          <w:szCs w:val="28"/>
          <w:rtl w:val="true"/>
          <w:lang w:bidi="fa-IR"/>
        </w:rPr>
        <w:t>، لأنّه إن ساوی الصلاة فی جمیع الامور المعتبرة سقط التکلیف به، و إلّا لم یکن بدلا، و لأنّه إن وجب فی الوسط لزم مخالفة البدل للمبدل، و إلّا لزم سقوطه فی الأوّل، و لأنّ الأمر دل علی الصلاة خاصّة، و إیجاب</w:t>
      </w:r>
      <w:r>
        <w:rPr>
          <w:rStyle w:val="FootnoteAnchor"/>
          <w:rtl w:val="true"/>
        </w:rPr>
        <w:footnoteReference w:id="332"/>
      </w:r>
      <w:r>
        <w:rPr>
          <w:rFonts w:ascii="IRNazanin" w:hAnsi="IRNazanin" w:eastAsia="IRNazanin"/>
          <w:color w:val="111111"/>
          <w:sz w:val="28"/>
          <w:sz w:val="28"/>
          <w:szCs w:val="28"/>
          <w:rtl w:val="true"/>
          <w:lang w:bidi="fa-IR"/>
        </w:rPr>
        <w:t>البدل بغیر دلیل 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یجوز ترکها فی أوّل الوقت، فلا تکون واجبة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المرتضی رحمه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الفاصل بینهما وجوب العزم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العزم من أحکام الإیمان، و أنّ مرجع هذا الواجب إلی الواجب</w:t>
      </w:r>
      <w:r>
        <w:rPr>
          <w:rStyle w:val="FootnoteAnchor"/>
          <w:rtl w:val="true"/>
        </w:rPr>
        <w:footnoteReference w:id="335"/>
      </w:r>
      <w:r>
        <w:rPr>
          <w:rFonts w:ascii="IRNazanin" w:hAnsi="IRNazanin" w:eastAsia="IRNazanin"/>
          <w:color w:val="111111"/>
          <w:sz w:val="28"/>
          <w:sz w:val="28"/>
          <w:szCs w:val="28"/>
          <w:rtl w:val="true"/>
          <w:lang w:bidi="fa-IR"/>
        </w:rPr>
        <w:t>المخیّر، فکما</w:t>
      </w:r>
      <w:r>
        <w:rPr>
          <w:rStyle w:val="FootnoteAnchor"/>
          <w:rtl w:val="true"/>
        </w:rPr>
        <w:footnoteReference w:id="336"/>
      </w:r>
      <w:r>
        <w:rPr>
          <w:rFonts w:ascii="IRNazanin" w:hAnsi="IRNazanin" w:eastAsia="IRNazanin"/>
          <w:color w:val="111111"/>
          <w:sz w:val="28"/>
          <w:sz w:val="28"/>
          <w:szCs w:val="28"/>
          <w:rtl w:val="true"/>
          <w:lang w:bidi="fa-IR"/>
        </w:rPr>
        <w:t>لا یسقط الوجوب عن کل واحد بتجویز ترکه إلی الآخر، کذلک أوّل الوقت و وسطه و آخره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تعلّق غرض الشارع بإیقاعه لا من مباشر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واقع، کالجهاد، و هو واجب علی الجمیع و یسقط بفعل البعض، لاستحقاقهم أجمع الذمّ و العقاب لو ترکوه، و لا استبعاد فی إسقاط الواجب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التکلیف فیه موقوف علی الظن، فإن ظنّت طائفة قیام غیرها</w:t>
      </w:r>
    </w:p>
    <w:p>
      <w:pPr>
        <w:pStyle w:val="BookText"/>
        <w:rPr/>
      </w:pPr>
      <w:r>
        <w:rPr>
          <w:rFonts w:ascii="IRNazanin" w:hAnsi="IRNazanin" w:eastAsia="IRNazanin"/>
          <w:color w:val="111111"/>
          <w:sz w:val="28"/>
          <w:sz w:val="28"/>
          <w:szCs w:val="28"/>
          <w:rtl w:val="true"/>
          <w:lang w:bidi="fa-IR"/>
        </w:rPr>
        <w:t>به سقط عنها، و لو ظنّت کل طائفة ذلک سقط عن الجمیع، و لو ظنّت کل طائفة عدم الوقوع وجب علی کل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یتمّ الواجب المطلق إلّا به، و کان مقدورا؛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خصص المرتضی رحمه اللّه بالسبب</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لزم تکلیف ما لا یطاق، أو خروج الواجب عن کونه واجبا، و التالی بقسمیه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ترک الشرط إن وجب الفعل لزم الأوّل، و إلّا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السید المرتضی رحمه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المسبب عند وجود السبب واجب لا عند وجود الشرط، و إذا جاز الترک عند حصول الشرط جاز التکلیف، بخلاف المسبب الممتنع عدمه عند وجود السبب، فإنّه یکون واجبا فلا یقع التکلیف به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خارج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إیجاب الصلاتین عند اشتباه القبلة، و الثوبین، و امتناع نکاح المشتبهة بالاخت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یعیّن الطلاق و قلنا بصحته احتمل تحریم الجمیع و الإباحة، لأنّ الموجود ما له صلاحیة التأثیر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الزائد علی الأقل لیس بواجب، کما فی الطمأنینة، لجواز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أوّل جزء من اللیل واجب بالتبعیة لا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الصلاة فی الدار المغصوبة لأنّ الأمر بالصلاة المعیّنة أمر بأجزائها التی من جملتها الکون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الصلاة مطلقا، و المنهی عنه</w:t>
      </w:r>
      <w:r>
        <w:rPr>
          <w:rStyle w:val="FootnoteAnchor"/>
          <w:rtl w:val="true"/>
        </w:rPr>
        <w:footnoteReference w:id="339"/>
      </w:r>
      <w:r>
        <w:rPr>
          <w:rFonts w:ascii="IRNazanin" w:hAnsi="IRNazanin" w:eastAsia="IRNazanin"/>
          <w:color w:val="111111"/>
          <w:sz w:val="28"/>
          <w:sz w:val="28"/>
          <w:szCs w:val="28"/>
          <w:rtl w:val="true"/>
          <w:lang w:bidi="fa-IR"/>
        </w:rPr>
        <w:t>الغصب، فتغایر المتعلق، کما فی الصلاة فی الأمکنة المکروهة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الأمکنة المکروهة نهی عن وصف منفک عن الصلاة، کنفار الإبل فی المعطن، و التعرض للسیل فی الوادی، و منع المارة فی الجادة،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یستلزم النهی عن الضد</w:t>
      </w:r>
      <w:r>
        <w:rPr>
          <w:rStyle w:val="FootnoteAnchor"/>
          <w:rtl w:val="true"/>
        </w:rPr>
        <w:footnoteReference w:id="341"/>
      </w:r>
      <w:r>
        <w:rPr>
          <w:rFonts w:ascii="IRNazanin" w:hAnsi="IRNazanin" w:eastAsia="IRNazanin"/>
          <w:color w:val="111111"/>
          <w:sz w:val="28"/>
          <w:sz w:val="28"/>
          <w:szCs w:val="28"/>
          <w:rtl w:val="true"/>
          <w:lang w:bidi="fa-IR"/>
        </w:rPr>
        <w:t>العام، لأنّه للوجوب، و لا یتحقق إلّا بالمنع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الضد</w:t>
      </w:r>
      <w:r>
        <w:rPr>
          <w:rStyle w:val="FootnoteAnchor"/>
          <w:rtl w:val="true"/>
        </w:rPr>
        <w:footnoteReference w:id="342"/>
      </w:r>
      <w:r>
        <w:rPr>
          <w:rFonts w:ascii="IRNazanin" w:hAnsi="IRNazanin" w:eastAsia="IRNazanin"/>
          <w:color w:val="111111"/>
          <w:sz w:val="28"/>
          <w:sz w:val="28"/>
          <w:szCs w:val="28"/>
          <w:rtl w:val="true"/>
          <w:lang w:bidi="fa-IR"/>
        </w:rPr>
        <w:t>الوجودی فلازم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r>
        <w:rPr>
          <w:rStyle w:val="FootnoteAnchor"/>
          <w:rtl w:val="true"/>
        </w:rPr>
        <w:footnoteReference w:id="343"/>
      </w:r>
      <w:r>
        <w:rPr>
          <w:rFonts w:ascii="IRNazanin" w:hAnsi="IRNazanin" w:eastAsia="IRNazanin"/>
          <w:color w:val="111111"/>
          <w:sz w:val="28"/>
          <w:sz w:val="28"/>
          <w:szCs w:val="28"/>
          <w:rtl w:val="true"/>
          <w:lang w:bidi="fa-IR"/>
        </w:rPr>
        <w:t>یجوز ترکه لا یکون فعله واجبا، و قول الکعبی</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أحد أئمة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رأس طائفة منهم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آراء و مقالات فی الکلام انفرد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أهل بلخ ولد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أقام ببغداد مدّة طویلة، و توفی ببلخ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مقالة أبی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علی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فی الکلام کتبا کثیرة و انتشرت کتبه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مقالته أنّ اللّه تعالی لیس له إرادة و أنّ جمیع أفعاله واقعة منه بغیر إرادة و لا مشیئة منه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بوجوب المباح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الغزالی هذا القول فی المستصفی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إلی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و کونه یترک به الحرام لیس خاصا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بعض الفقهاء بوجوب الصوم علی الحائض و المریض و المسافر</w:t>
      </w:r>
      <w:r>
        <w:rPr>
          <w:rStyle w:val="FootnoteAnchor"/>
          <w:rtl w:val="true"/>
        </w:rPr>
        <w:footnoteReference w:id="345"/>
      </w:r>
      <w:r>
        <w:rPr>
          <w:rFonts w:ascii="IRNazanin" w:hAnsi="IRNazanin" w:eastAsia="IRNazanin"/>
          <w:color w:val="111111"/>
          <w:sz w:val="28"/>
          <w:sz w:val="28"/>
          <w:szCs w:val="28"/>
          <w:rtl w:val="true"/>
          <w:lang w:bidi="fa-IR"/>
        </w:rPr>
        <w:t>خطأ، فإنّ جواز الترک ینافی الوجوب، و إیجاب القضاء لوجود سبب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الوجوب بقی الجواز، لأنّ المقتضی للجواز و هو الأمر موجود، و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یکون معارضا، لأنّ رفع المرکب لا یستلزم رفع جمیع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الغزالی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الجواز بالمعنی الأخص مناف، و بالمعنی الأعم لا یوجد إلّا بأحد القیدین، و هو إمّا جواز الإخلال کما فی المندوب، أو عدمه کما فی الواجب، فلا یبقی بدونهما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الناسخ یرفع أحد القیدین فیبقی</w:t>
      </w:r>
      <w:r>
        <w:rPr>
          <w:rStyle w:val="FootnoteAnchor"/>
          <w:rtl w:val="true"/>
        </w:rPr>
        <w:footnoteReference w:id="347"/>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bookmarkStart w:id="175" w:name="pg2360_37027"/>
    </w:p>
    <w:p>
      <w:pPr>
        <w:pStyle w:val="Heading3"/>
        <w:numPr>
          <w:ilvl w:val="2"/>
          <w:numId w:val="1"/>
        </w:numPr>
        <w:rPr/>
      </w:pPr>
      <w:bookmarkStart w:id="176" w:name="__RefHeading___Toc2792528_3804643083"/>
      <w:bookmarkStart w:id="177" w:name="_Toc67"/>
      <w:bookmarkEnd w:id="175"/>
      <w:bookmarkEnd w:id="176"/>
      <w:r>
        <w:rPr>
          <w:rtl w:val="true"/>
        </w:rPr>
        <w:t>الفصل الرابع</w:t>
      </w:r>
      <w:r>
        <w:rPr>
          <w:rtl w:val="true"/>
        </w:rPr>
        <w:t xml:space="preserve">: </w:t>
      </w:r>
      <w:r>
        <w:rPr>
          <w:rtl w:val="true"/>
        </w:rPr>
        <w:t>فی المأمور به</w:t>
      </w:r>
      <w:bookmarkEnd w:id="177"/>
    </w:p>
    <w:p>
      <w:pPr>
        <w:pStyle w:val="Heading4"/>
        <w:numPr>
          <w:ilvl w:val="3"/>
          <w:numId w:val="1"/>
        </w:numPr>
        <w:rPr/>
      </w:pPr>
      <w:bookmarkStart w:id="178" w:name="__RefHeading___Toc2792530_3804643083"/>
      <w:bookmarkStart w:id="179" w:name="_Toc68"/>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80" w:name="__RefHeading___Toc2792532_3804643083"/>
      <w:bookmarkStart w:id="181" w:name="_Toc69"/>
      <w:bookmarkEnd w:id="180"/>
      <w:r>
        <w:rPr>
          <w:rtl w:val="true"/>
        </w:rPr>
        <w:t>الأوّل</w:t>
      </w:r>
      <w:r>
        <w:rPr>
          <w:rtl w:val="true"/>
        </w:rPr>
        <w:t xml:space="preserve">: </w:t>
      </w:r>
      <w:r>
        <w:rPr>
          <w:rtl w:val="true"/>
        </w:rPr>
        <w:t>یمتنع تکلیف ما لا یطاق لأنّه قبیح،</w:t>
      </w:r>
      <w:bookmarkEnd w:id="181"/>
    </w:p>
    <w:p>
      <w:pPr>
        <w:pStyle w:val="BookText"/>
        <w:rPr/>
      </w:pPr>
      <w:r>
        <w:rPr>
          <w:rFonts w:ascii="Amiri" w:hAnsi="Amiri" w:eastAsia="Amiri" w:cs="Amiri"/>
          <w:color w:val="111111"/>
          <w:sz w:val="28"/>
          <w:sz w:val="28"/>
          <w:szCs w:val="28"/>
          <w:rtl w:val="true"/>
          <w:lang w:bidi="ar-SA"/>
        </w:rPr>
        <w:t>و اللّه تعالی منزّه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احتجت الأشاعرة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الکافر مکلّف بالإیمان، و هو ممتنع منه، أمّا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فلأنّه معلوم العدم، فلو جاز وقوعه لزم انقلاب علم اللّه تعالی جهلا، 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الأفعال مستندة إلی اللّه تعالی، و إلّا لزم الترجیح من غیر مرجح، و لأنّه</w:t>
      </w:r>
      <w:r>
        <w:rPr>
          <w:rStyle w:val="FootnoteAnchor"/>
          <w:rtl w:val="true"/>
        </w:rPr>
        <w:footnoteReference w:id="348"/>
      </w:r>
      <w:r>
        <w:rPr>
          <w:rFonts w:ascii="IRNazanin" w:hAnsi="IRNazanin" w:eastAsia="IRNazanin"/>
          <w:color w:val="111111"/>
          <w:sz w:val="28"/>
          <w:sz w:val="28"/>
          <w:szCs w:val="28"/>
          <w:rtl w:val="true"/>
          <w:lang w:bidi="fa-IR"/>
        </w:rPr>
        <w:t>تعالی کلّف أبا لهب بالإیمان، و هو التصدیق بجمیع ما جاء به النبی علیه السّلام و من جملته أنّه لا یؤمن، فقد کلّف بالجمع بین الضدین، و لأنّ التکلیف إن وجد حال</w:t>
      </w:r>
      <w:r>
        <w:rPr>
          <w:rStyle w:val="FootnoteAnchor"/>
          <w:rtl w:val="true"/>
        </w:rPr>
        <w:footnoteReference w:id="349"/>
      </w:r>
      <w:r>
        <w:rPr>
          <w:rFonts w:ascii="IRNazanin" w:hAnsi="IRNazanin" w:eastAsia="IRNazanin"/>
          <w:color w:val="111111"/>
          <w:sz w:val="28"/>
          <w:sz w:val="28"/>
          <w:szCs w:val="28"/>
          <w:rtl w:val="true"/>
          <w:lang w:bidi="fa-IR"/>
        </w:rPr>
        <w:t>الاستواء الذی یمتنع معه الفعل، لزم التکلیف بما لا یطاق، و کذا إن وجد حال الرجحان، لوجوب الراجح و امتناع المرجوح، فالتکلیف</w:t>
      </w:r>
      <w:r>
        <w:rPr>
          <w:rStyle w:val="FootnoteAnchor"/>
          <w:rtl w:val="true"/>
        </w:rPr>
        <w:footnoteReference w:id="350"/>
      </w:r>
      <w:r>
        <w:rPr>
          <w:rFonts w:ascii="IRNazanin" w:hAnsi="IRNazanin" w:eastAsia="IRNazanin"/>
          <w:color w:val="111111"/>
          <w:sz w:val="28"/>
          <w:sz w:val="28"/>
          <w:szCs w:val="28"/>
          <w:rtl w:val="true"/>
          <w:lang w:bidi="fa-IR"/>
        </w:rPr>
        <w:t>بأحدهما تکلیف بما لا یطاق</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العلم فرض المعلوم، لأنّ شرطه</w:t>
      </w:r>
      <w:r>
        <w:rPr>
          <w:rStyle w:val="FootnoteAnchor"/>
          <w:rtl w:val="true"/>
        </w:rPr>
        <w:footnoteReference w:id="352"/>
      </w:r>
      <w:r>
        <w:rPr>
          <w:rFonts w:ascii="IRNazanin" w:hAnsi="IRNazanin" w:eastAsia="IRNazanin"/>
          <w:color w:val="111111"/>
          <w:sz w:val="28"/>
          <w:sz w:val="28"/>
          <w:szCs w:val="28"/>
          <w:rtl w:val="true"/>
          <w:lang w:bidi="fa-IR"/>
        </w:rPr>
        <w:t>المطابقة، و الامتناع لا حق، و هو لا یؤثر فی الإمکان الذاتی الذی هو شرط التکلیف، و لو صحّ هذا الدلیل</w:t>
      </w:r>
      <w:bookmarkStart w:id="182" w:name="pg2360_37028"/>
    </w:p>
    <w:p>
      <w:pPr>
        <w:pStyle w:val="BookText"/>
        <w:rPr/>
      </w:pPr>
      <w:bookmarkEnd w:id="182"/>
      <w:r>
        <w:rPr>
          <w:rFonts w:ascii="IRNazanin" w:hAnsi="IRNazanin" w:eastAsia="IRNazanin"/>
          <w:color w:val="111111"/>
          <w:sz w:val="28"/>
          <w:sz w:val="28"/>
          <w:szCs w:val="28"/>
          <w:rtl w:val="true"/>
          <w:lang w:bidi="fa-IR"/>
        </w:rPr>
        <w:t>لزم نفی قدرته تعالی، و القادر یرجح أحد مقدوریه لا لأمر</w:t>
      </w:r>
      <w:r>
        <w:rPr>
          <w:rStyle w:val="FootnoteAnchor"/>
          <w:rtl w:val="true"/>
        </w:rPr>
        <w:footnoteReference w:id="353"/>
      </w:r>
      <w:r>
        <w:rPr>
          <w:rFonts w:ascii="IRNazanin" w:hAnsi="IRNazanin" w:eastAsia="IRNazanin"/>
          <w:color w:val="111111"/>
          <w:sz w:val="28"/>
          <w:sz w:val="28"/>
          <w:szCs w:val="28"/>
          <w:rtl w:val="true"/>
          <w:lang w:bidi="fa-IR"/>
        </w:rPr>
        <w:t>، و یعارض به تعالی، و التکلیف بالتصدیق</w:t>
      </w:r>
      <w:r>
        <w:rPr>
          <w:rStyle w:val="FootnoteAnchor"/>
          <w:rtl w:val="true"/>
        </w:rPr>
        <w:footnoteReference w:id="354"/>
      </w:r>
      <w:r>
        <w:rPr>
          <w:rFonts w:ascii="IRNazanin" w:hAnsi="IRNazanin" w:eastAsia="IRNazanin"/>
          <w:color w:val="111111"/>
          <w:sz w:val="28"/>
          <w:sz w:val="28"/>
          <w:szCs w:val="28"/>
          <w:rtl w:val="true"/>
          <w:lang w:bidi="fa-IR"/>
        </w:rPr>
        <w:t>من حیثیة صدور الإخبار من النبی صلّی اللّه علیه و آله لا ینافی الأمر بالإیمان لا من هذه الحیثیة، و نمنع تکلیف الضدین</w:t>
      </w:r>
      <w:r>
        <w:rPr>
          <w:rStyle w:val="FootnoteAnchor"/>
          <w:rtl w:val="true"/>
        </w:rPr>
        <w:footnoteReference w:id="355"/>
      </w:r>
      <w:r>
        <w:rPr>
          <w:rFonts w:ascii="IRNazanin" w:hAnsi="IRNazanin" w:eastAsia="IRNazanin"/>
          <w:color w:val="111111"/>
          <w:sz w:val="28"/>
          <w:sz w:val="28"/>
          <w:szCs w:val="28"/>
          <w:rtl w:val="true"/>
          <w:lang w:bidi="fa-IR"/>
        </w:rPr>
        <w:t>فی الإخبار عن المکلفین بالإیمان، لجواز ورود الإخبار حال غفلتهم، و التکلیف ثابت حال الاستواء بإیقاع الفعل فی ثانی الحال، و هو یرد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خلاص للأشعری عن المعارضة باللّه تعالی</w:t>
      </w:r>
      <w:r>
        <w:rPr>
          <w:rFonts w:eastAsia="IRNazanin" w:cs="IRNazanin"/>
          <w:color w:val="111111"/>
          <w:sz w:val="28"/>
          <w:szCs w:val="28"/>
          <w:rtl w:val="true"/>
          <w:lang w:bidi="fa-IR"/>
        </w:rPr>
        <w:t>.</w:t>
      </w:r>
    </w:p>
    <w:p>
      <w:pPr>
        <w:pStyle w:val="Heading4"/>
        <w:numPr>
          <w:ilvl w:val="3"/>
          <w:numId w:val="1"/>
        </w:numPr>
        <w:rPr/>
      </w:pPr>
      <w:bookmarkStart w:id="183" w:name="__RefHeading___Toc2792534_3804643083"/>
      <w:bookmarkStart w:id="184" w:name="_Toc70"/>
      <w:bookmarkEnd w:id="183"/>
      <w:r>
        <w:rPr>
          <w:rtl w:val="true"/>
        </w:rPr>
        <w:t>البحث الثانی</w:t>
      </w:r>
      <w:r>
        <w:rPr>
          <w:rtl w:val="true"/>
        </w:rPr>
        <w:t xml:space="preserve">: </w:t>
      </w:r>
      <w:r>
        <w:rPr>
          <w:rtl w:val="true"/>
        </w:rPr>
        <w:t>الأمر بفروع الشریعة لا یتوقف علی الإیمان،</w:t>
      </w:r>
      <w:bookmarkEnd w:id="184"/>
    </w:p>
    <w:p>
      <w:pPr>
        <w:pStyle w:val="BookText"/>
        <w:rPr/>
      </w:pPr>
      <w:r>
        <w:rPr>
          <w:rFonts w:ascii="Amiri" w:hAnsi="Amiri" w:eastAsia="Amiri" w:cs="Amiri"/>
          <w:color w:val="111111"/>
          <w:sz w:val="28"/>
          <w:sz w:val="28"/>
          <w:szCs w:val="28"/>
          <w:rtl w:val="true"/>
          <w:lang w:bidi="ar-SA"/>
        </w:rPr>
        <w:t>لأنّه عام، فیدخل فیه الکافر،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 قالُوا لَمْ نَکُ مِنَ الْمُصَلِّینَ الآیة</w:t>
      </w:r>
      <w:r>
        <w:rPr>
          <w:rStyle w:val="FootnoteAnchor"/>
          <w:rtl w:val="true"/>
        </w:rPr>
        <w:footnoteReference w:id="356"/>
      </w:r>
      <w:r>
        <w:rPr>
          <w:rFonts w:ascii="Amiri" w:hAnsi="Amiri" w:eastAsia="Amiri" w:cs="Amiri"/>
          <w:color w:val="111111"/>
          <w:sz w:val="28"/>
          <w:sz w:val="28"/>
          <w:szCs w:val="28"/>
          <w:rtl w:val="true"/>
          <w:lang w:bidi="ar-SA"/>
        </w:rPr>
        <w:t>، وَ مَنْ یَفْعَلْ ذلِکَ یَلْقَ أَثاماً</w:t>
      </w:r>
      <w:r>
        <w:rPr>
          <w:rStyle w:val="FootnoteAnchor"/>
          <w:rtl w:val="true"/>
        </w:rPr>
        <w:footnoteReference w:id="357"/>
      </w:r>
      <w:r>
        <w:rPr>
          <w:rFonts w:ascii="IRNazanin" w:hAnsi="IRNazanin" w:eastAsia="IRNazanin"/>
          <w:color w:val="111111"/>
          <w:sz w:val="28"/>
          <w:sz w:val="28"/>
          <w:szCs w:val="28"/>
          <w:rtl w:val="true"/>
          <w:lang w:bidi="fa-IR"/>
        </w:rPr>
        <w:t>و هو راجع إلی ما تقدم، و کذا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صَدَّقَ وَ لا صَلَّی وَ لکِنْ کَذَّبَ وَ تَوَلَّی</w:t>
      </w:r>
      <w:r>
        <w:rPr>
          <w:rStyle w:val="FootnoteAnchor"/>
          <w:rtl w:val="true"/>
        </w:rPr>
        <w:footnoteReference w:id="358"/>
      </w:r>
      <w:r>
        <w:rPr>
          <w:rFonts w:ascii="IRNazanin" w:hAnsi="IRNazanin" w:eastAsia="IRNazanin"/>
          <w:color w:val="111111"/>
          <w:sz w:val="28"/>
          <w:sz w:val="28"/>
          <w:szCs w:val="28"/>
          <w:rtl w:val="true"/>
          <w:lang w:bidi="fa-IR"/>
        </w:rPr>
        <w:t>ذمّه علی ترک الجمیع، و لدخوله تحت النهی، فکذا الأمر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وجبت علیه فإمّا حال الکفر أو بعده، و الأوّل باطل، لامتناعها منه حینئذ، و کذا الثانی لسقوطها عنه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185" w:name="pg2360_37029"/>
    </w:p>
    <w:p>
      <w:pPr>
        <w:pStyle w:val="BookText"/>
        <w:rPr/>
      </w:pPr>
      <w:bookmarkEnd w:id="18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عدم القدرة، لإمکان صدورها عنه مع تقدیم الإیمان، کالصلاة علی المحدث،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بالوجوب هنا العقاب علیها فی الآخرة کما یعاقب علی ترک الإیمان</w:t>
      </w:r>
      <w:r>
        <w:rPr>
          <w:rFonts w:eastAsia="IRNazanin" w:cs="IRNazanin"/>
          <w:color w:val="111111"/>
          <w:sz w:val="28"/>
          <w:szCs w:val="28"/>
          <w:rtl w:val="true"/>
          <w:lang w:bidi="fa-IR"/>
        </w:rPr>
        <w:t>.</w:t>
      </w:r>
    </w:p>
    <w:p>
      <w:pPr>
        <w:pStyle w:val="Heading4"/>
        <w:numPr>
          <w:ilvl w:val="3"/>
          <w:numId w:val="1"/>
        </w:numPr>
        <w:rPr/>
      </w:pPr>
      <w:bookmarkStart w:id="186" w:name="__RefHeading___Toc2792536_3804643083"/>
      <w:bookmarkStart w:id="187" w:name="_Toc71"/>
      <w:bookmarkEnd w:id="186"/>
      <w:r>
        <w:rPr>
          <w:rtl w:val="true"/>
        </w:rPr>
        <w:t>البحث الثالث</w:t>
      </w:r>
      <w:r>
        <w:rPr>
          <w:rtl w:val="true"/>
        </w:rPr>
        <w:t>:</w:t>
      </w:r>
      <w:bookmarkEnd w:id="187"/>
    </w:p>
    <w:p>
      <w:pPr>
        <w:pStyle w:val="BookText"/>
        <w:rPr/>
      </w:pPr>
      <w:r>
        <w:rPr>
          <w:rFonts w:ascii="IRNazanin" w:hAnsi="IRNazanin" w:eastAsia="IRNazanin"/>
          <w:color w:val="111111"/>
          <w:sz w:val="28"/>
          <w:sz w:val="28"/>
          <w:szCs w:val="28"/>
          <w:rtl w:val="true"/>
          <w:lang w:bidi="fa-IR"/>
        </w:rPr>
        <w:t>الأمر یقتضی الإجزاء علی معنی خروج المکلّف عن العهدة مع الإتیان بالمأمور به علی وجهه، و إلّا لکان إمّا مکلّفا بالمأتی به، فیلزم تکلیف ما لا یطاق، أو بغیره، فلا یکون المأتی به تمام ما کلّف به، و لأنّه إن اکتفی بإدخال الماهیة فی الوجود، ثبت المطلوب، و إلّا لزم اقتضاء الأمر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إتمام الحج الفاسد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مجز بالنسبة إلی الأمر الثانی، و غیر مجز بالنسبة إلی الأمر الأوّل، لأنّه لم یأت به علی وجهه</w:t>
      </w:r>
      <w:r>
        <w:rPr>
          <w:rFonts w:eastAsia="IRNazanin" w:cs="IRNazanin"/>
          <w:color w:val="111111"/>
          <w:sz w:val="28"/>
          <w:szCs w:val="28"/>
          <w:rtl w:val="true"/>
          <w:lang w:bidi="fa-IR"/>
        </w:rPr>
        <w:t>.</w:t>
      </w:r>
    </w:p>
    <w:p>
      <w:pPr>
        <w:pStyle w:val="Heading4"/>
        <w:numPr>
          <w:ilvl w:val="3"/>
          <w:numId w:val="1"/>
        </w:numPr>
        <w:rPr/>
      </w:pPr>
      <w:bookmarkStart w:id="188" w:name="__RefHeading___Toc2792538_3804643083"/>
      <w:bookmarkStart w:id="189" w:name="_Toc72"/>
      <w:bookmarkEnd w:id="188"/>
      <w:r>
        <w:rPr>
          <w:rtl w:val="true"/>
        </w:rPr>
        <w:t>البحث الرابع</w:t>
      </w:r>
      <w:r>
        <w:rPr>
          <w:rtl w:val="true"/>
        </w:rPr>
        <w:t xml:space="preserve">: </w:t>
      </w:r>
      <w:r>
        <w:rPr>
          <w:rtl w:val="true"/>
        </w:rPr>
        <w:t>قد بیّنا أنّ الأمر لا یقتضی الفور،</w:t>
      </w:r>
      <w:bookmarkEnd w:id="1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ورد</w:t>
      </w:r>
      <w:r>
        <w:rPr>
          <w:rStyle w:val="FootnoteAnchor"/>
          <w:rtl w:val="true"/>
        </w:rPr>
        <w:footnoteReference w:id="361"/>
      </w:r>
      <w:r>
        <w:rPr>
          <w:rFonts w:ascii="IRNazanin" w:hAnsi="IRNazanin" w:eastAsia="IRNazanin"/>
          <w:color w:val="111111"/>
          <w:sz w:val="28"/>
          <w:sz w:val="28"/>
          <w:szCs w:val="28"/>
          <w:rtl w:val="true"/>
          <w:lang w:bidi="fa-IR"/>
        </w:rPr>
        <w:t>مطلقا و لم یفعل فی أوّل أوقات الإمکان لم یخرج عن التکلیف، لعدم تعرضه لوقت</w:t>
      </w:r>
      <w:r>
        <w:rPr>
          <w:rStyle w:val="FootnoteAnchor"/>
          <w:rtl w:val="true"/>
        </w:rPr>
        <w:footnoteReference w:id="362"/>
      </w:r>
      <w:r>
        <w:rPr>
          <w:rFonts w:ascii="IRNazanin" w:hAnsi="IRNazanin" w:eastAsia="IRNazanin"/>
          <w:color w:val="111111"/>
          <w:sz w:val="28"/>
          <w:sz w:val="28"/>
          <w:szCs w:val="28"/>
          <w:rtl w:val="true"/>
          <w:lang w:bidi="fa-IR"/>
        </w:rPr>
        <w:t>دون آخر، و إن کان مقیّدا بوقت و لم یفعل فیه فالحق أنّه لا یقتضی وجوب القضاء، لأنّ ما عدا ذلک الوقت لم یتعرض له الآمر بنفی و لا إثبات، فلا یدل علی وجوب إیقاعه فیما</w:t>
      </w:r>
      <w:bookmarkStart w:id="190" w:name="pg2360_37030"/>
    </w:p>
    <w:p>
      <w:pPr>
        <w:pStyle w:val="BookText"/>
        <w:rPr/>
      </w:pPr>
      <w:bookmarkEnd w:id="190"/>
      <w:r>
        <w:rPr>
          <w:rFonts w:ascii="IRNazanin" w:hAnsi="IRNazanin" w:eastAsia="IRNazanin"/>
          <w:color w:val="111111"/>
          <w:sz w:val="28"/>
          <w:sz w:val="28"/>
          <w:szCs w:val="28"/>
          <w:rtl w:val="true"/>
          <w:lang w:bidi="fa-IR"/>
        </w:rPr>
        <w:t>بعد، و لأنّ الأمر تارة یستتبع</w:t>
      </w:r>
      <w:r>
        <w:rPr>
          <w:rStyle w:val="FootnoteAnchor"/>
          <w:rtl w:val="true"/>
        </w:rPr>
        <w:footnoteReference w:id="363"/>
      </w:r>
      <w:r>
        <w:rPr>
          <w:rFonts w:ascii="IRNazanin" w:hAnsi="IRNazanin" w:eastAsia="IRNazanin"/>
          <w:color w:val="111111"/>
          <w:sz w:val="28"/>
          <w:sz w:val="28"/>
          <w:szCs w:val="28"/>
          <w:rtl w:val="true"/>
          <w:lang w:bidi="fa-IR"/>
        </w:rPr>
        <w:t>القضاء و اخری لا یستتبعه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2792540_3804643083"/>
      <w:bookmarkStart w:id="192" w:name="_Toc73"/>
      <w:bookmarkEnd w:id="191"/>
      <w:r>
        <w:rPr>
          <w:rtl w:val="true"/>
        </w:rPr>
        <w:t>البحث الخامس</w:t>
      </w:r>
      <w:r>
        <w:rPr>
          <w:rtl w:val="true"/>
        </w:rPr>
        <w:t xml:space="preserve">: </w:t>
      </w:r>
      <w:r>
        <w:rPr>
          <w:rtl w:val="true"/>
        </w:rPr>
        <w:t>الأمر بالکلی لیس أمرا بجزئی معین،</w:t>
      </w:r>
      <w:bookmarkEnd w:id="192"/>
    </w:p>
    <w:p>
      <w:pPr>
        <w:pStyle w:val="BookText"/>
        <w:rPr/>
      </w:pPr>
      <w:r>
        <w:rPr>
          <w:rFonts w:ascii="IRNazanin" w:hAnsi="IRNazanin" w:eastAsia="IRNazanin"/>
          <w:color w:val="111111"/>
          <w:sz w:val="28"/>
          <w:sz w:val="28"/>
          <w:szCs w:val="28"/>
          <w:rtl w:val="true"/>
          <w:lang w:bidi="fa-IR"/>
        </w:rPr>
        <w:t>و إن امتنع وجوده بدون أحد الجزئیات، نعم إنّه یستلزم وجوب أحدها لا بعینه، لأنّ الواجب لا یتم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بالأمر بالشی‌ء لیس أمرا بذلک الشی‌ء،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مروهم بالصلاة و هم أبناء سبع</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2792542_3804643083"/>
      <w:bookmarkStart w:id="194" w:name="_Toc74"/>
      <w:bookmarkEnd w:id="193"/>
      <w:r>
        <w:rPr>
          <w:rtl w:val="true"/>
        </w:rPr>
        <w:t>البحث السادس</w:t>
      </w:r>
      <w:r>
        <w:rPr>
          <w:rtl w:val="true"/>
        </w:rPr>
        <w:t xml:space="preserve">: </w:t>
      </w:r>
      <w:r>
        <w:rPr>
          <w:rtl w:val="true"/>
        </w:rPr>
        <w:t>المندوب لیس مأمورا به،</w:t>
      </w:r>
      <w:bookmarkEnd w:id="194"/>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المندوب لیس مأمورا به</w:t>
      </w:r>
      <w:r>
        <w:rPr>
          <w:rStyle w:val="FootnoteAnchor"/>
          <w:rtl w:val="true"/>
        </w:rPr>
        <w:footnoteReference w:id="3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الأمر للوجوب، و هو یضاد الندب، نعم هو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الإباحة لیست تکلیفا، لانتفاء الطلب فیه، و لا یقع التکلیف إلّا بفعل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المطلوب فی النهی کفّ النفس عن الفعل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الفعل حال</w:t>
      </w:r>
      <w:r>
        <w:rPr>
          <w:rStyle w:val="FootnoteAnchor"/>
          <w:rtl w:val="true"/>
        </w:rPr>
        <w:footnoteReference w:id="367"/>
      </w:r>
      <w:r>
        <w:rPr>
          <w:rFonts w:ascii="IRNazanin" w:hAnsi="IRNazanin" w:eastAsia="IRNazanin"/>
          <w:color w:val="111111"/>
          <w:sz w:val="28"/>
          <w:sz w:val="28"/>
          <w:szCs w:val="28"/>
          <w:rtl w:val="true"/>
          <w:lang w:bidi="fa-IR"/>
        </w:rPr>
        <w:t>وجوده واجب، فلا یقع التکلیف به، خلافا للأشعری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195" w:name="pg2360_37031"/>
    </w:p>
    <w:p>
      <w:pPr>
        <w:pStyle w:val="Heading3"/>
        <w:numPr>
          <w:ilvl w:val="2"/>
          <w:numId w:val="1"/>
        </w:numPr>
        <w:rPr/>
      </w:pPr>
      <w:bookmarkStart w:id="196" w:name="__RefHeading___Toc2792544_3804643083"/>
      <w:bookmarkStart w:id="197" w:name="_Toc75"/>
      <w:bookmarkEnd w:id="195"/>
      <w:bookmarkEnd w:id="196"/>
      <w:r>
        <w:rPr>
          <w:rtl w:val="true"/>
        </w:rPr>
        <w:t>الفصل الخامس</w:t>
      </w:r>
      <w:r>
        <w:rPr>
          <w:rtl w:val="true"/>
        </w:rPr>
        <w:t xml:space="preserve">: </w:t>
      </w:r>
      <w:r>
        <w:rPr>
          <w:rtl w:val="true"/>
        </w:rPr>
        <w:t>فی المأمور</w:t>
      </w:r>
      <w:bookmarkEnd w:id="197"/>
    </w:p>
    <w:p>
      <w:pPr>
        <w:pStyle w:val="Heading4"/>
        <w:numPr>
          <w:ilvl w:val="3"/>
          <w:numId w:val="1"/>
        </w:numPr>
        <w:rPr/>
      </w:pPr>
      <w:bookmarkStart w:id="198" w:name="__RefHeading___Toc2792546_3804643083"/>
      <w:bookmarkStart w:id="199" w:name="_Toc76"/>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00" w:name="__RefHeading___Toc2792548_3804643083"/>
      <w:bookmarkStart w:id="201" w:name="_Toc77"/>
      <w:bookmarkEnd w:id="200"/>
      <w:r>
        <w:rPr>
          <w:rtl w:val="true"/>
        </w:rPr>
        <w:t>الأوّل</w:t>
      </w:r>
      <w:r>
        <w:rPr>
          <w:rtl w:val="true"/>
        </w:rPr>
        <w:t xml:space="preserve">: </w:t>
      </w:r>
      <w:r>
        <w:rPr>
          <w:rtl w:val="true"/>
        </w:rPr>
        <w:t>المعدوم لیس بمأمور، لأنّ أمر غیر الموجود سفه،</w:t>
      </w:r>
      <w:bookmarkEnd w:id="201"/>
    </w:p>
    <w:p>
      <w:pPr>
        <w:pStyle w:val="BookText"/>
        <w:rPr/>
      </w:pPr>
      <w:r>
        <w:rPr>
          <w:rFonts w:ascii="Amiri" w:hAnsi="Amiri" w:eastAsia="Amiri" w:cs="Amiri"/>
          <w:color w:val="111111"/>
          <w:sz w:val="28"/>
          <w:sz w:val="28"/>
          <w:szCs w:val="28"/>
          <w:rtl w:val="true"/>
          <w:lang w:bidi="ar-SA"/>
        </w:rPr>
        <w:t>و اللّه تعالی منزّه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الأشعری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مکلفون بالشرائع بأمر رسول اللّه علیه السّلام</w:t>
      </w:r>
      <w:r>
        <w:rPr>
          <w:rStyle w:val="FootnoteAnchor"/>
          <w:rtl w:val="true"/>
        </w:rPr>
        <w:footnoteReference w:id="3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روضة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استناد التکلیف إلی الرسول صلّی اللّه علیه و آله بل الرسول صلّی اللّه علیه و آله أخبر بأنّ</w:t>
      </w:r>
      <w:r>
        <w:rPr>
          <w:rStyle w:val="FootnoteAnchor"/>
          <w:rtl w:val="true"/>
        </w:rPr>
        <w:footnoteReference w:id="370"/>
      </w:r>
      <w:r>
        <w:rPr>
          <w:rFonts w:ascii="IRNazanin" w:hAnsi="IRNazanin" w:eastAsia="IRNazanin"/>
          <w:color w:val="111111"/>
          <w:sz w:val="28"/>
          <w:sz w:val="28"/>
          <w:szCs w:val="28"/>
          <w:rtl w:val="true"/>
          <w:lang w:bidi="fa-IR"/>
        </w:rPr>
        <w:t>کل من یأتی إلی یوم القیامة یکلفه</w:t>
      </w:r>
      <w:r>
        <w:rPr>
          <w:rStyle w:val="FootnoteAnchor"/>
          <w:rtl w:val="true"/>
        </w:rPr>
        <w:footnoteReference w:id="371"/>
      </w:r>
      <w:r>
        <w:rPr>
          <w:rFonts w:ascii="IRNazanin" w:hAnsi="IRNazanin" w:eastAsia="IRNazanin"/>
          <w:color w:val="111111"/>
          <w:sz w:val="28"/>
          <w:sz w:val="28"/>
          <w:szCs w:val="28"/>
          <w:rtl w:val="true"/>
          <w:lang w:bidi="fa-IR"/>
        </w:rPr>
        <w:t>اللّه تعالی بما جاء به، و لا یکون هذا إخبارا للمعدوم، لئلا یلزم المحذور</w:t>
      </w:r>
      <w:r>
        <w:rPr>
          <w:rFonts w:eastAsia="IRNazanin" w:cs="IRNazanin"/>
          <w:color w:val="111111"/>
          <w:sz w:val="28"/>
          <w:szCs w:val="28"/>
          <w:rtl w:val="true"/>
          <w:lang w:bidi="fa-IR"/>
        </w:rPr>
        <w:t>.</w:t>
      </w:r>
    </w:p>
    <w:p>
      <w:pPr>
        <w:pStyle w:val="Heading4"/>
        <w:numPr>
          <w:ilvl w:val="3"/>
          <w:numId w:val="1"/>
        </w:numPr>
        <w:rPr/>
      </w:pPr>
      <w:bookmarkStart w:id="202" w:name="__RefHeading___Toc2792550_3804643083"/>
      <w:bookmarkStart w:id="203" w:name="_Toc78"/>
      <w:bookmarkEnd w:id="202"/>
      <w:r>
        <w:rPr>
          <w:rtl w:val="true"/>
        </w:rPr>
        <w:t>البحث الثانی</w:t>
      </w:r>
      <w:r>
        <w:rPr>
          <w:rtl w:val="true"/>
        </w:rPr>
        <w:t xml:space="preserve">: </w:t>
      </w:r>
      <w:r>
        <w:rPr>
          <w:rtl w:val="true"/>
        </w:rPr>
        <w:t>الفهم شرط التکلیف،</w:t>
      </w:r>
      <w:bookmarkEnd w:id="203"/>
    </w:p>
    <w:p>
      <w:pPr>
        <w:pStyle w:val="BookText"/>
        <w:rPr/>
      </w:pPr>
      <w:r>
        <w:rPr>
          <w:rFonts w:ascii="IRNazanin" w:hAnsi="IRNazanin" w:eastAsia="IRNazanin"/>
          <w:color w:val="111111"/>
          <w:sz w:val="28"/>
          <w:sz w:val="28"/>
          <w:szCs w:val="28"/>
          <w:rtl w:val="true"/>
          <w:lang w:bidi="fa-IR"/>
        </w:rPr>
        <w:t>فالغافل لیس مأمورا</w:t>
      </w:r>
      <w:r>
        <w:rPr>
          <w:rStyle w:val="FootnoteAnchor"/>
          <w:rtl w:val="true"/>
        </w:rPr>
        <w:footnoteReference w:id="372"/>
      </w:r>
      <w:r>
        <w:rPr>
          <w:rFonts w:ascii="IRNazanin" w:hAnsi="IRNazanin" w:eastAsia="IRNazanin"/>
          <w:color w:val="111111"/>
          <w:sz w:val="28"/>
          <w:sz w:val="28"/>
          <w:szCs w:val="28"/>
          <w:rtl w:val="true"/>
          <w:lang w:bidi="fa-IR"/>
        </w:rPr>
        <w:t>، لقوله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و لأنّ الفعل مشروط بالعلم</w:t>
      </w:r>
      <w:r>
        <w:rPr>
          <w:rStyle w:val="FootnoteAnchor"/>
          <w:rtl w:val="true"/>
        </w:rPr>
        <w:footnoteReference w:id="374"/>
      </w:r>
      <w:r>
        <w:rPr>
          <w:rFonts w:ascii="IRNazanin" w:hAnsi="IRNazanin" w:eastAsia="IRNazanin"/>
          <w:color w:val="111111"/>
          <w:sz w:val="28"/>
          <w:sz w:val="28"/>
          <w:szCs w:val="28"/>
          <w:rtl w:val="true"/>
          <w:lang w:bidi="fa-IR"/>
        </w:rPr>
        <w:t>، فالتکلیف به حال عدمه تکلیف بما لا یطاق</w:t>
      </w:r>
      <w:r>
        <w:rPr>
          <w:rFonts w:eastAsia="IRNazanin" w:cs="IRNazanin"/>
          <w:color w:val="111111"/>
          <w:sz w:val="28"/>
          <w:szCs w:val="28"/>
          <w:rtl w:val="true"/>
          <w:lang w:bidi="fa-IR"/>
        </w:rPr>
        <w:t>.</w:t>
      </w:r>
      <w:bookmarkStart w:id="204" w:name="pg2360_37032"/>
    </w:p>
    <w:p>
      <w:pPr>
        <w:pStyle w:val="BookText"/>
        <w:rPr/>
      </w:pPr>
      <w:bookmarkEnd w:id="204"/>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بالمعرفة إن توجه علی العارف لزم تحصیل الحاصل، و إلّا ثبت المطلوب، لاستحالة معرفة الأمر قبل معرفة الآمر، و لأنّ الغرامة تجب علی المجنون و الصبی، و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الصَّلاةَ وَ أَنْتُمْ سُکاری</w:t>
      </w:r>
      <w:r>
        <w:rPr>
          <w:rStyle w:val="FootnoteAnchor"/>
          <w:rtl w:val="true"/>
        </w:rPr>
        <w:footnoteReference w:id="375"/>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واجبة عقلا لا بالأمر، و إیجاب الغرامة لا یستلزم الوجوب علی المجنون، لأنّه من باب الأسباب، و المراد بالآیة المثل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2792552_3804643083"/>
      <w:bookmarkStart w:id="206" w:name="_Toc79"/>
      <w:bookmarkEnd w:id="205"/>
      <w:r>
        <w:rPr>
          <w:rtl w:val="true"/>
        </w:rPr>
        <w:t>البحث الثالث</w:t>
      </w:r>
      <w:r>
        <w:rPr>
          <w:rtl w:val="true"/>
        </w:rPr>
        <w:t xml:space="preserve">: </w:t>
      </w:r>
      <w:r>
        <w:rPr>
          <w:rtl w:val="true"/>
        </w:rPr>
        <w:t>تکلیف المکره قبیح،</w:t>
      </w:r>
      <w:bookmarkEnd w:id="206"/>
    </w:p>
    <w:p>
      <w:pPr>
        <w:pStyle w:val="BookText"/>
        <w:rPr/>
      </w:pPr>
      <w:r>
        <w:rPr>
          <w:rFonts w:ascii="IRNazanin" w:hAnsi="IRNazanin" w:eastAsia="IRNazanin"/>
          <w:color w:val="111111"/>
          <w:sz w:val="28"/>
          <w:sz w:val="28"/>
          <w:szCs w:val="28"/>
          <w:rtl w:val="true"/>
          <w:lang w:bidi="fa-IR"/>
        </w:rPr>
        <w:t>لأنّه غیر قادر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یجب علی المأمور إیقاع الفعل علی وجه الطاعة،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w:t>
      </w:r>
      <w:r>
        <w:rPr>
          <w:rStyle w:val="FootnoteAnchor"/>
          <w:rtl w:val="true"/>
        </w:rPr>
        <w:footnoteReference w:id="379"/>
      </w:r>
      <w:r>
        <w:rPr>
          <w:rFonts w:ascii="IRNazanin" w:hAnsi="IRNazanin" w:eastAsia="IRNazanin"/>
          <w:color w:val="111111"/>
          <w:sz w:val="28"/>
          <w:sz w:val="28"/>
          <w:szCs w:val="28"/>
          <w:rtl w:val="true"/>
          <w:lang w:bidi="fa-IR"/>
        </w:rPr>
        <w:t xml:space="preserve">و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یخرج عنه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الأوّل</w:t>
      </w:r>
      <w:r>
        <w:rPr>
          <w:rStyle w:val="FootnoteAnchor"/>
          <w:rtl w:val="true"/>
        </w:rPr>
        <w:footnoteReference w:id="381"/>
      </w:r>
      <w:r>
        <w:rPr>
          <w:rFonts w:ascii="Amiri" w:hAnsi="Amiri" w:eastAsia="Amiri" w:cs="Amiri"/>
          <w:color w:val="111111"/>
          <w:sz w:val="28"/>
          <w:sz w:val="28"/>
          <w:szCs w:val="28"/>
          <w:rtl w:val="true"/>
          <w:lang w:bidi="ar-SA"/>
        </w:rPr>
        <w:t>المعرّف للوجوب، و إرادة الطاعة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المشروط إذا علم الآمر عدم الشرط؟ المعتزلة علی منعه، لأنّ صوم غد مشروط ببقائه، فإذا علم موته استحال أمره، و إلّا لزم 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w:t>
      </w:r>
      <w:bookmarkStart w:id="207" w:name="pg2360_37033"/>
    </w:p>
    <w:p>
      <w:pPr>
        <w:pStyle w:val="BookText"/>
        <w:rPr/>
      </w:pPr>
      <w:bookmarkEnd w:id="207"/>
      <w:r>
        <w:rPr>
          <w:rFonts w:ascii="IRNazanin" w:hAnsi="IRNazanin" w:eastAsia="IRNazanin"/>
          <w:color w:val="111111"/>
          <w:sz w:val="28"/>
          <w:sz w:val="28"/>
          <w:szCs w:val="28"/>
          <w:rtl w:val="true"/>
          <w:lang w:bidi="fa-IR"/>
        </w:rPr>
        <w:t>قوم، لاشتماله علی مصلحة توطین النفس علی الفعل فیثاب، و قد یکون التوطین لطفا فی الآخرة و نافعا فی الدنیا بأن یمتنع</w:t>
      </w:r>
      <w:r>
        <w:rPr>
          <w:rStyle w:val="FootnoteAnchor"/>
          <w:rtl w:val="true"/>
        </w:rPr>
        <w:footnoteReference w:id="383"/>
      </w:r>
      <w:r>
        <w:rPr>
          <w:rFonts w:ascii="IRNazanin" w:hAnsi="IRNazanin" w:eastAsia="IRNazanin"/>
          <w:color w:val="111111"/>
          <w:sz w:val="28"/>
          <w:sz w:val="28"/>
          <w:szCs w:val="28"/>
          <w:rtl w:val="true"/>
          <w:lang w:bidi="fa-IR"/>
        </w:rPr>
        <w:t>من الفساد، و الأصل فی ذلک أنّ الامر قد یحسن لمصلحة تنشأ من نفس الأمر، لا من المأمور به، و قد یحسن لمصلحة تنشأ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ذلک وجوب الکفارة علی من أفطر ثمّ حصل المسقط من الإغماء أو الحیض أو الجنون أو الموت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جواز التکلیف مع جهل الآمر بوقوع الشرط</w:t>
      </w:r>
      <w:r>
        <w:rPr>
          <w:rStyle w:val="FootnoteAnchor"/>
          <w:rtl w:val="true"/>
        </w:rPr>
        <w:footnoteReference w:id="385"/>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Heading4"/>
        <w:numPr>
          <w:ilvl w:val="3"/>
          <w:numId w:val="1"/>
        </w:numPr>
        <w:rPr/>
      </w:pPr>
      <w:bookmarkStart w:id="208" w:name="__RefHeading___Toc2792554_3804643083"/>
      <w:bookmarkStart w:id="209" w:name="_Toc80"/>
      <w:bookmarkEnd w:id="208"/>
      <w:r>
        <w:rPr>
          <w:rtl w:val="true"/>
        </w:rPr>
        <w:t>البحث الرابع</w:t>
      </w:r>
      <w:r>
        <w:rPr>
          <w:rtl w:val="true"/>
        </w:rPr>
        <w:t xml:space="preserve">: </w:t>
      </w:r>
      <w:r>
        <w:rPr>
          <w:rtl w:val="true"/>
        </w:rPr>
        <w:t>الأمر یتعلق بالمکلّف،</w:t>
      </w:r>
      <w:bookmarkEnd w:id="209"/>
    </w:p>
    <w:p>
      <w:pPr>
        <w:pStyle w:val="BookText"/>
        <w:rPr/>
      </w:pPr>
      <w:r>
        <w:rPr>
          <w:rFonts w:ascii="IRNazanin" w:hAnsi="IRNazanin" w:eastAsia="IRNazanin"/>
          <w:color w:val="111111"/>
          <w:sz w:val="28"/>
          <w:sz w:val="28"/>
          <w:szCs w:val="28"/>
          <w:rtl w:val="true"/>
          <w:lang w:bidi="fa-IR"/>
        </w:rPr>
        <w:t>و المکلّف،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فی حسن الأمر منه تمکین العبد من المأمور به، بخلق القدرة و الآلات و العلوم و غیرها، و کون الفعل مما یستحق به الثواب بأن یکون واجبا أو ندبا، و کون الثواب علی ذلک الفعل مستحقا، و یعلم أنّه تعالی سیفعله به، و أن یقصد تعالی بذلک الإیصال إلی الثواب، حتی یکون تعریضا، فإن الغرض من التکلیف التعریض للمنافع، و إنّما یتم بما تقدم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تمکنه من إیقاع الفعل علی الوجه المطلوب منه، فإن کان ما یتوقف علیه من فعله تعالی وجب</w:t>
      </w:r>
      <w:r>
        <w:rPr>
          <w:rStyle w:val="FootnoteAnchor"/>
          <w:rtl w:val="true"/>
        </w:rPr>
        <w:footnoteReference w:id="386"/>
      </w:r>
      <w:r>
        <w:rPr>
          <w:rFonts w:ascii="IRNazanin" w:hAnsi="IRNazanin" w:eastAsia="IRNazanin"/>
          <w:color w:val="111111"/>
          <w:sz w:val="28"/>
          <w:sz w:val="28"/>
          <w:szCs w:val="28"/>
          <w:rtl w:val="true"/>
          <w:lang w:bidi="fa-IR"/>
        </w:rPr>
        <w:t>فعله، کالقدرة و العقل، و إن کان من العبد، کالإرادة و الکراهة، لم یجب علیه تعالی فعلها، لکن یجب أن یلزمه فعلها،</w:t>
      </w:r>
    </w:p>
    <w:p>
      <w:pPr>
        <w:pStyle w:val="BookText"/>
        <w:rPr/>
      </w:pPr>
      <w:r>
        <w:rPr>
          <w:rFonts w:ascii="IRNazanin" w:hAnsi="IRNazanin" w:eastAsia="IRNazanin"/>
          <w:color w:val="111111"/>
          <w:sz w:val="28"/>
          <w:sz w:val="28"/>
          <w:szCs w:val="28"/>
          <w:rtl w:val="true"/>
          <w:lang w:bidi="fa-IR"/>
        </w:rPr>
        <w:t>و إن کان مما یصح استناده إلیه تعالی و إلی العبد نحو کثیر من العلوم و الآلات، جاز أن یفعله تعالی، و أن یلزمه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فشرطه الإمکان، و صحته من المکلّف، إذ لا تأثیر لصحته من الغیر فی صحته منه، فإنّه یجری مجری المستحیل، و صحته منه علی جهة الاختیار، و أن یکون حسنا، و أن تحصل</w:t>
      </w:r>
      <w:r>
        <w:rPr>
          <w:rStyle w:val="FootnoteAnchor"/>
          <w:rtl w:val="true"/>
        </w:rPr>
        <w:footnoteReference w:id="387"/>
      </w:r>
      <w:r>
        <w:rPr>
          <w:rFonts w:ascii="IRNazanin" w:hAnsi="IRNazanin" w:eastAsia="IRNazanin"/>
          <w:color w:val="111111"/>
          <w:sz w:val="28"/>
          <w:sz w:val="28"/>
          <w:szCs w:val="28"/>
          <w:rtl w:val="true"/>
          <w:lang w:bidi="fa-IR"/>
        </w:rPr>
        <w:t>له صفة زائدة علی الحسن بأن یکون فرضا أو نفلا، و یشترط فی الواجب زیادة حصول وجه یقتضی وجوبه، إذ ما لا وجه لوجوبه یقبح إیجابه، و یجری مجری تحسین القبیح و تقبیح الحسن، و لهذا لو أوجب کفران نعمة</w:t>
      </w:r>
      <w:r>
        <w:rPr>
          <w:rStyle w:val="FootnoteAnchor"/>
          <w:rtl w:val="true"/>
        </w:rPr>
        <w:footnoteReference w:id="388"/>
      </w:r>
      <w:r>
        <w:rPr>
          <w:rFonts w:ascii="IRNazanin" w:hAnsi="IRNazanin" w:eastAsia="IRNazanin"/>
          <w:color w:val="111111"/>
          <w:sz w:val="28"/>
          <w:sz w:val="28"/>
          <w:szCs w:val="28"/>
          <w:rtl w:val="true"/>
          <w:lang w:bidi="fa-IR"/>
        </w:rPr>
        <w:t>لم یصر ذلک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تقدمه</w:t>
      </w:r>
      <w:r>
        <w:rPr>
          <w:rStyle w:val="FootnoteAnchor"/>
          <w:rtl w:val="true"/>
        </w:rPr>
        <w:footnoteReference w:id="389"/>
      </w:r>
      <w:r>
        <w:rPr>
          <w:rFonts w:ascii="IRNazanin" w:hAnsi="IRNazanin" w:eastAsia="IRNazanin"/>
          <w:color w:val="111111"/>
          <w:sz w:val="28"/>
          <w:sz w:val="28"/>
          <w:szCs w:val="28"/>
          <w:rtl w:val="true"/>
          <w:lang w:bidi="fa-IR"/>
        </w:rPr>
        <w:t>علی وقت الفعل، بحیث یتم الغرض فی الأمر بذلک التقدم من دلالة علی وجوب الفعل، و ترغیب فیه، و بعث علیه، و ما زاد علی ذلک من التقدم فلا بدّ فیه من مصلحة زائدة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تمکین المأمور من الفعل و إزاحة علّته من حین الأمر المتقدم إلی حین الفعل؟ الحق عدمه إذا تضمن التقدم مصلحة لبعض المکلّفین، فیصح أمر العاجز إذا علم اللّه تعالی أنّه سیتمکن حال</w:t>
      </w:r>
      <w:r>
        <w:rPr>
          <w:rStyle w:val="FootnoteAnchor"/>
          <w:rtl w:val="true"/>
        </w:rPr>
        <w:footnoteReference w:id="390"/>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bookmarkStart w:id="210" w:name="pg2360_37035"/>
    </w:p>
    <w:p>
      <w:pPr>
        <w:pStyle w:val="Heading3"/>
        <w:numPr>
          <w:ilvl w:val="2"/>
          <w:numId w:val="1"/>
        </w:numPr>
        <w:rPr/>
      </w:pPr>
      <w:bookmarkStart w:id="211" w:name="__RefHeading___Toc2792556_3804643083"/>
      <w:bookmarkStart w:id="212" w:name="_Toc81"/>
      <w:bookmarkEnd w:id="210"/>
      <w:bookmarkEnd w:id="211"/>
      <w:r>
        <w:rPr>
          <w:rtl w:val="true"/>
        </w:rPr>
        <w:t>الفصل السادس</w:t>
      </w:r>
      <w:r>
        <w:rPr>
          <w:rtl w:val="true"/>
        </w:rPr>
        <w:t xml:space="preserve">: </w:t>
      </w:r>
      <w:r>
        <w:rPr>
          <w:rtl w:val="true"/>
        </w:rPr>
        <w:t>فی النهی</w:t>
      </w:r>
      <w:bookmarkEnd w:id="212"/>
    </w:p>
    <w:p>
      <w:pPr>
        <w:pStyle w:val="Heading4"/>
        <w:numPr>
          <w:ilvl w:val="3"/>
          <w:numId w:val="1"/>
        </w:numPr>
        <w:rPr/>
      </w:pPr>
      <w:bookmarkStart w:id="213" w:name="__RefHeading___Toc2792558_3804643083"/>
      <w:bookmarkStart w:id="214" w:name="_Toc82"/>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15" w:name="__RefHeading___Toc2792560_3804643083"/>
      <w:bookmarkStart w:id="216" w:name="_Toc83"/>
      <w:bookmarkEnd w:id="215"/>
      <w:r>
        <w:rPr>
          <w:rtl w:val="true"/>
        </w:rPr>
        <w:t>الأوّل</w:t>
      </w:r>
      <w:r>
        <w:rPr>
          <w:rtl w:val="true"/>
        </w:rPr>
        <w:t xml:space="preserve">: </w:t>
      </w:r>
      <w:r>
        <w:rPr>
          <w:rtl w:val="true"/>
        </w:rPr>
        <w:t>النهی یقتضی التحریم،</w:t>
      </w:r>
      <w:bookmarkEnd w:id="216"/>
    </w:p>
    <w:p>
      <w:pPr>
        <w:pStyle w:val="BookText"/>
        <w:rPr/>
      </w:pPr>
      <w:r>
        <w:rPr>
          <w:rFonts w:ascii="IRNazanin" w:hAnsi="IRNazanin" w:eastAsia="IRNazanin"/>
          <w:color w:val="111111"/>
          <w:sz w:val="28"/>
          <w:sz w:val="28"/>
          <w:szCs w:val="28"/>
          <w:rtl w:val="true"/>
          <w:lang w:bidi="fa-IR"/>
        </w:rPr>
        <w:t>لما</w:t>
      </w:r>
      <w:r>
        <w:rPr>
          <w:rStyle w:val="FootnoteAnchor"/>
          <w:rtl w:val="true"/>
        </w:rPr>
        <w:footnoteReference w:id="391"/>
      </w:r>
      <w:r>
        <w:rPr>
          <w:rFonts w:ascii="Amiri" w:hAnsi="Amiri" w:eastAsia="Amiri" w:cs="Amiri"/>
          <w:color w:val="111111"/>
          <w:sz w:val="28"/>
          <w:sz w:val="28"/>
          <w:szCs w:val="28"/>
          <w:rtl w:val="true"/>
          <w:lang w:bidi="ar-SA"/>
        </w:rPr>
        <w:t>قلناه فی الأمر،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نَهاکُمْ عَنْهُ فَانْتَهُوا</w:t>
      </w:r>
      <w:r>
        <w:rPr>
          <w:rStyle w:val="FootnoteAnchor"/>
          <w:rtl w:val="true"/>
        </w:rPr>
        <w:footnoteReference w:id="392"/>
      </w:r>
      <w:r>
        <w:rPr>
          <w:rFonts w:ascii="IRNazanin" w:hAnsi="IRNazanin" w:eastAsia="IRNazanin"/>
          <w:color w:val="111111"/>
          <w:sz w:val="28"/>
          <w:sz w:val="28"/>
          <w:szCs w:val="28"/>
          <w:rtl w:val="true"/>
          <w:lang w:bidi="fa-IR"/>
        </w:rPr>
        <w:t>أوجب الانتهاء عند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یدل علی التکرار، لأنّ قول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الغذاء</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یقتضیه، و یصح تقییده بالدوام و عدمه من غیر تکریر و لا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یقتضی المنع من إدخال الماهیة فی الوجود، و إنّما یتحقق بعدم الإدخال فی کل وقت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فإنّ المنع</w:t>
      </w:r>
      <w:r>
        <w:rPr>
          <w:rStyle w:val="FootnoteAnchor"/>
          <w:rtl w:val="true"/>
        </w:rPr>
        <w:footnoteReference w:id="395"/>
      </w:r>
      <w:r>
        <w:rPr>
          <w:rFonts w:ascii="IRNazanin" w:hAnsi="IRNazanin" w:eastAsia="IRNazanin"/>
          <w:color w:val="111111"/>
          <w:sz w:val="28"/>
          <w:sz w:val="28"/>
          <w:szCs w:val="28"/>
          <w:rtl w:val="true"/>
          <w:lang w:bidi="fa-IR"/>
        </w:rPr>
        <w:t>من إدخال الماهیة قدر مشترک بین المنع دائما و وقتا ما، و لا دلالة لما به الاشتراک علی ما به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یدل علی الفور</w:t>
      </w:r>
      <w:r>
        <w:rPr>
          <w:rFonts w:eastAsia="IRNazanin" w:cs="IRNazanin"/>
          <w:color w:val="111111"/>
          <w:sz w:val="28"/>
          <w:szCs w:val="28"/>
          <w:rtl w:val="true"/>
          <w:lang w:bidi="fa-IR"/>
        </w:rPr>
        <w:t>.</w:t>
      </w:r>
    </w:p>
    <w:p>
      <w:pPr>
        <w:pStyle w:val="Heading4"/>
        <w:numPr>
          <w:ilvl w:val="3"/>
          <w:numId w:val="1"/>
        </w:numPr>
        <w:rPr/>
      </w:pPr>
      <w:bookmarkStart w:id="217" w:name="__RefHeading___Toc2792562_3804643083"/>
      <w:bookmarkStart w:id="218" w:name="_Toc84"/>
      <w:bookmarkEnd w:id="217"/>
      <w:r>
        <w:rPr>
          <w:rtl w:val="true"/>
        </w:rPr>
        <w:t>البحث الثانی</w:t>
      </w:r>
      <w:r>
        <w:rPr>
          <w:rtl w:val="true"/>
        </w:rPr>
        <w:t xml:space="preserve">: </w:t>
      </w:r>
      <w:r>
        <w:rPr>
          <w:rtl w:val="true"/>
        </w:rPr>
        <w:t>النهی یدل علی الفساد فی العبادات،</w:t>
      </w:r>
      <w:bookmarkEnd w:id="218"/>
    </w:p>
    <w:p>
      <w:pPr>
        <w:pStyle w:val="BookText"/>
        <w:rPr/>
      </w:pPr>
      <w:r>
        <w:rPr>
          <w:rFonts w:ascii="IRNazanin" w:hAnsi="IRNazanin" w:eastAsia="IRNazanin"/>
          <w:color w:val="111111"/>
          <w:sz w:val="28"/>
          <w:sz w:val="28"/>
          <w:szCs w:val="28"/>
          <w:rtl w:val="true"/>
          <w:lang w:bidi="fa-IR"/>
        </w:rPr>
        <w:t>لا فی المعاملات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الآتی بالعبادة المنهی عنها غیر آت بالمأمور به، لاستحالة</w:t>
      </w:r>
      <w:bookmarkStart w:id="219" w:name="pg2360_37036"/>
    </w:p>
    <w:p>
      <w:pPr>
        <w:pStyle w:val="BookText"/>
        <w:rPr/>
      </w:pPr>
      <w:bookmarkEnd w:id="219"/>
      <w:r>
        <w:rPr>
          <w:rFonts w:ascii="IRNazanin" w:hAnsi="IRNazanin" w:eastAsia="IRNazanin"/>
          <w:color w:val="111111"/>
          <w:sz w:val="28"/>
          <w:sz w:val="28"/>
          <w:szCs w:val="28"/>
          <w:rtl w:val="true"/>
          <w:lang w:bidi="fa-IR"/>
        </w:rPr>
        <w:t>کون الشی‌ء مأمورا به منهیا عنه، فیبقی فی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استبعاد فی أن یقول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وقت النداء، و إن بعت ملکت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لأنّه لو دل علی الفساد لدل إمّا بمنطوقه أو بمفهومه، و القسمان باطلان،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النهی یدل علی الزجر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فلانفکاکه عنه فی التصوّر، و لا یتأتّی مثله فی العبادات، لأنّ الفساد فیها عدم موافقتها لأمر الشارع</w:t>
      </w:r>
      <w:r>
        <w:rPr>
          <w:rStyle w:val="FootnoteAnchor"/>
          <w:rtl w:val="true"/>
        </w:rPr>
        <w:footnoteReference w:id="396"/>
      </w:r>
      <w:r>
        <w:rPr>
          <w:rFonts w:ascii="IRNazanin" w:hAnsi="IRNazanin" w:eastAsia="IRNazanin"/>
          <w:color w:val="111111"/>
          <w:sz w:val="28"/>
          <w:sz w:val="28"/>
          <w:szCs w:val="28"/>
          <w:rtl w:val="true"/>
          <w:lang w:bidi="fa-IR"/>
        </w:rPr>
        <w:t>، و فی المعاملات عدم ترتب حکمها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یدل علی الفساد فکذا</w:t>
      </w:r>
      <w:r>
        <w:rPr>
          <w:rStyle w:val="FootnoteAnchor"/>
          <w:rtl w:val="true"/>
        </w:rPr>
        <w:footnoteReference w:id="397"/>
      </w:r>
      <w:r>
        <w:rPr>
          <w:rFonts w:ascii="IRNazanin" w:hAnsi="IRNazanin" w:eastAsia="IRNazanin"/>
          <w:color w:val="111111"/>
          <w:sz w:val="28"/>
          <w:sz w:val="28"/>
          <w:szCs w:val="28"/>
          <w:rtl w:val="true"/>
          <w:lang w:bidi="fa-IR"/>
        </w:rPr>
        <w:t xml:space="preserve">لا یدل علی الصحّة،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2792564_3804643083"/>
      <w:bookmarkStart w:id="221" w:name="_Toc85"/>
      <w:bookmarkEnd w:id="220"/>
      <w:r>
        <w:rPr>
          <w:rtl w:val="true"/>
        </w:rPr>
        <w:t>البحث الثالث</w:t>
      </w:r>
      <w:r>
        <w:rPr>
          <w:rtl w:val="true"/>
        </w:rPr>
        <w:t xml:space="preserve">: </w:t>
      </w:r>
      <w:r>
        <w:rPr>
          <w:rtl w:val="true"/>
        </w:rPr>
        <w:t>المکلف إن أمکن خلوّه عن کل فعل،</w:t>
      </w:r>
      <w:bookmarkEnd w:id="221"/>
    </w:p>
    <w:p>
      <w:pPr>
        <w:pStyle w:val="BookText"/>
        <w:rPr/>
      </w:pPr>
      <w:r>
        <w:rPr>
          <w:rFonts w:ascii="IRNazanin" w:hAnsi="IRNazanin" w:eastAsia="IRNazanin"/>
          <w:color w:val="111111"/>
          <w:sz w:val="28"/>
          <w:sz w:val="28"/>
          <w:szCs w:val="28"/>
          <w:rtl w:val="true"/>
          <w:lang w:bidi="fa-IR"/>
        </w:rPr>
        <w:t>کالمستلقی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Style w:val="FootnoteAnchor"/>
          <w:rtl w:val="true"/>
        </w:rPr>
        <w:footnoteReference w:id="399"/>
      </w:r>
      <w:r>
        <w:rPr>
          <w:rFonts w:ascii="IRNazanin" w:hAnsi="IRNazanin" w:eastAsia="IRNazanin"/>
          <w:color w:val="111111"/>
          <w:sz w:val="28"/>
          <w:sz w:val="28"/>
          <w:szCs w:val="28"/>
          <w:rtl w:val="true"/>
          <w:lang w:bidi="fa-IR"/>
        </w:rPr>
        <w:t>القول ببقاء الأکوان و استغناء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قبح الجمیع، فجاز النهی عن جمیع أفعاله، و إن لم یمکن خلوه من</w:t>
      </w:r>
      <w:r>
        <w:rPr>
          <w:rStyle w:val="FootnoteAnchor"/>
          <w:rtl w:val="true"/>
        </w:rPr>
        <w:footnoteReference w:id="400"/>
      </w:r>
      <w:r>
        <w:rPr>
          <w:rFonts w:ascii="IRNazanin" w:hAnsi="IRNazanin" w:eastAsia="IRNazanin"/>
          <w:color w:val="111111"/>
          <w:sz w:val="28"/>
          <w:sz w:val="28"/>
          <w:szCs w:val="28"/>
          <w:rtl w:val="true"/>
          <w:lang w:bidi="fa-IR"/>
        </w:rPr>
        <w:t>الجمیع، امتنع قبح الجمیع، و إلّا لکان معذورا فیه، لعدم تمکنه من ترکه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قبح جمیع أفعاله علی وجه و حسنها علی آخر، فالخارج من الدار</w:t>
      </w:r>
    </w:p>
    <w:p>
      <w:pPr>
        <w:pStyle w:val="BookText"/>
        <w:rPr/>
      </w:pPr>
      <w:r>
        <w:rPr>
          <w:rFonts w:ascii="IRNazanin" w:hAnsi="IRNazanin" w:eastAsia="IRNazanin"/>
          <w:color w:val="111111"/>
          <w:sz w:val="28"/>
          <w:sz w:val="28"/>
          <w:szCs w:val="28"/>
          <w:rtl w:val="true"/>
          <w:lang w:bidi="fa-IR"/>
        </w:rPr>
        <w:t>المغصوبة إن قصد التصرّف کان قبیحا، و إن قصد التخلص کان حسنا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الشی‌ء مفسدة عند عدم آخر، و کذا الآخر، کما فی بیع الأمّ دون ولدها الصغیر، و بالعکس، فیصح النهی عن أحدهما علی سبیل التخییر و البدل، و لا یمکن القول بقبحهما معا، لأنّ التقدیر قبح أحدهما عند عدم الآخر، و هذا یصح فی المختلفین دون الضدین، إذ وجود کل واحد من الضدین یوجب عدم الآخر، و ما یجب لا یکون شرطا فی قبحه</w:t>
      </w:r>
      <w:r>
        <w:rPr>
          <w:rFonts w:eastAsia="IRNazanin" w:cs="IRNazanin"/>
          <w:color w:val="111111"/>
          <w:sz w:val="28"/>
          <w:szCs w:val="28"/>
          <w:rtl w:val="true"/>
          <w:lang w:bidi="fa-IR"/>
        </w:rPr>
        <w:t>.</w:t>
      </w:r>
      <w:bookmarkStart w:id="222" w:name="pg2360_37039"/>
    </w:p>
    <w:p>
      <w:pPr>
        <w:pStyle w:val="Heading2"/>
        <w:numPr>
          <w:ilvl w:val="1"/>
          <w:numId w:val="1"/>
        </w:numPr>
        <w:rPr/>
      </w:pPr>
      <w:bookmarkStart w:id="223" w:name="__RefHeading___Toc2792566_3804643083"/>
      <w:bookmarkStart w:id="224" w:name="_Toc86"/>
      <w:bookmarkEnd w:id="222"/>
      <w:bookmarkEnd w:id="223"/>
      <w:r>
        <w:rPr>
          <w:rtl w:val="true"/>
        </w:rPr>
        <w:t>المقصد الرّابع فی العامّ و الخاصّ</w:t>
      </w:r>
      <w:bookmarkEnd w:id="224"/>
    </w:p>
    <w:p>
      <w:pPr>
        <w:pStyle w:val="Heading3"/>
        <w:numPr>
          <w:ilvl w:val="2"/>
          <w:numId w:val="1"/>
        </w:numPr>
        <w:rPr/>
      </w:pPr>
      <w:bookmarkStart w:id="225" w:name="__RefHeading___Toc2792568_3804643083"/>
      <w:bookmarkStart w:id="226" w:name="_Toc87"/>
      <w:bookmarkEnd w:id="225"/>
      <w:r>
        <w:rPr>
          <w:rtl w:val="true"/>
        </w:rPr>
        <w:t>اشارة</w:t>
      </w:r>
      <w:bookmarkEnd w:id="22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227" w:name="pg2360_37041"/>
    </w:p>
    <w:p>
      <w:pPr>
        <w:pStyle w:val="Heading3"/>
        <w:numPr>
          <w:ilvl w:val="2"/>
          <w:numId w:val="1"/>
        </w:numPr>
        <w:rPr/>
      </w:pPr>
      <w:bookmarkStart w:id="228" w:name="__RefHeading___Toc2792570_3804643083"/>
      <w:bookmarkStart w:id="229" w:name="_Toc88"/>
      <w:bookmarkEnd w:id="227"/>
      <w:bookmarkEnd w:id="228"/>
      <w:r>
        <w:rPr>
          <w:rtl w:val="true"/>
        </w:rPr>
        <w:t>[</w:t>
      </w:r>
      <w:r>
        <w:rPr>
          <w:rtl w:val="true"/>
        </w:rPr>
        <w:t>الفصل</w:t>
      </w:r>
      <w:r>
        <w:rPr>
          <w:rtl w:val="true"/>
        </w:rPr>
        <w:t xml:space="preserve">] </w:t>
      </w:r>
      <w:r>
        <w:rPr>
          <w:rtl w:val="true"/>
        </w:rPr>
        <w:t>الأوّل</w:t>
      </w:r>
      <w:r>
        <w:rPr>
          <w:rtl w:val="true"/>
        </w:rPr>
        <w:t xml:space="preserve">: </w:t>
      </w:r>
      <w:r>
        <w:rPr>
          <w:rtl w:val="true"/>
        </w:rPr>
        <w:t>فی ألفاظ العموم</w:t>
      </w:r>
      <w:bookmarkEnd w:id="229"/>
    </w:p>
    <w:p>
      <w:pPr>
        <w:pStyle w:val="Heading4"/>
        <w:numPr>
          <w:ilvl w:val="3"/>
          <w:numId w:val="1"/>
        </w:numPr>
        <w:rPr/>
      </w:pPr>
      <w:bookmarkStart w:id="230" w:name="__RefHeading___Toc2792572_3804643083"/>
      <w:bookmarkStart w:id="231" w:name="_Toc89"/>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32" w:name="__RefHeading___Toc2792574_3804643083"/>
      <w:bookmarkStart w:id="233" w:name="_Toc90"/>
      <w:bookmarkEnd w:id="232"/>
      <w:r>
        <w:rPr>
          <w:rtl w:val="true"/>
        </w:rPr>
        <w:t>[</w:t>
      </w:r>
      <w:r>
        <w:rPr>
          <w:rtl w:val="true"/>
        </w:rPr>
        <w:t>البحث</w:t>
      </w:r>
      <w:r>
        <w:rPr>
          <w:rtl w:val="true"/>
        </w:rPr>
        <w:t xml:space="preserve">] </w:t>
      </w:r>
      <w:r>
        <w:rPr>
          <w:rtl w:val="true"/>
        </w:rPr>
        <w:t>الأوّل</w:t>
      </w:r>
      <w:r>
        <w:rPr>
          <w:rtl w:val="true"/>
        </w:rPr>
        <w:t xml:space="preserve">: </w:t>
      </w:r>
      <w:r>
        <w:rPr>
          <w:rtl w:val="true"/>
        </w:rPr>
        <w:t>العام</w:t>
      </w:r>
      <w:bookmarkEnd w:id="233"/>
    </w:p>
    <w:p>
      <w:pPr>
        <w:pStyle w:val="BookText"/>
        <w:rPr/>
      </w:pPr>
      <w:r>
        <w:rPr>
          <w:rFonts w:ascii="IRNazanin" w:hAnsi="IRNazanin" w:eastAsia="IRNazanin"/>
          <w:color w:val="111111"/>
          <w:sz w:val="28"/>
          <w:sz w:val="28"/>
          <w:szCs w:val="28"/>
          <w:rtl w:val="true"/>
          <w:lang w:bidi="fa-IR"/>
        </w:rPr>
        <w:t>هو اللفظ المستغرق لجمیع ما یصلح له بحسب 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النکرات، سواء کانت لواحد أو لاثنین أو لجماعة أو اسم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المشترک، و الحقیقة و المجاز، 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بینه و بین المطلق، لأنّ المطلق دال علی الماهیّة من حیث هی هی، لا بقید وحدة و لا تعدد، و العام یدل علی الماهیّة باعتبار 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العموم من عوارض الألفاظ، فإن استعمل فی المعانی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الجدب، و الخصب، و الخیر، 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فمجاز، بدلیل السبق</w:t>
      </w:r>
      <w:r>
        <w:rPr>
          <w:rStyle w:val="FootnoteAnchor"/>
          <w:rtl w:val="true"/>
        </w:rPr>
        <w:footnoteReference w:id="401"/>
      </w:r>
      <w:r>
        <w:rPr>
          <w:rFonts w:ascii="IRNazanin" w:hAnsi="IRNazanin" w:eastAsia="IRNazanin"/>
          <w:color w:val="111111"/>
          <w:sz w:val="28"/>
          <w:sz w:val="28"/>
          <w:szCs w:val="28"/>
          <w:rtl w:val="true"/>
          <w:lang w:bidi="fa-IR"/>
        </w:rPr>
        <w:t>إلی الذهن</w:t>
      </w:r>
      <w:r>
        <w:rPr>
          <w:rFonts w:eastAsia="IRNazanin" w:cs="IRNazanin"/>
          <w:color w:val="111111"/>
          <w:sz w:val="28"/>
          <w:szCs w:val="28"/>
          <w:rtl w:val="true"/>
          <w:lang w:bidi="fa-IR"/>
        </w:rPr>
        <w:t>.</w:t>
      </w:r>
    </w:p>
    <w:p>
      <w:pPr>
        <w:pStyle w:val="Heading4"/>
        <w:numPr>
          <w:ilvl w:val="3"/>
          <w:numId w:val="1"/>
        </w:numPr>
        <w:rPr/>
      </w:pPr>
      <w:bookmarkStart w:id="234" w:name="__RefHeading___Toc2792576_3804643083"/>
      <w:bookmarkStart w:id="235" w:name="_Toc91"/>
      <w:bookmarkEnd w:id="234"/>
      <w:r>
        <w:rPr>
          <w:rtl w:val="true"/>
        </w:rPr>
        <w:t>البحث الثانی</w:t>
      </w:r>
      <w:r>
        <w:rPr>
          <w:rtl w:val="true"/>
        </w:rPr>
        <w:t xml:space="preserve">: </w:t>
      </w:r>
      <w:r>
        <w:rPr>
          <w:rtl w:val="true"/>
        </w:rPr>
        <w:t>الحق أنّ للعموم صیغة تدل علیه</w:t>
      </w:r>
      <w:r>
        <w:rPr>
          <w:rtl w:val="true"/>
        </w:rPr>
        <w:t>.</w:t>
      </w:r>
      <w:bookmarkEnd w:id="235"/>
    </w:p>
    <w:p>
      <w:pPr>
        <w:pStyle w:val="BookText"/>
        <w:rPr/>
      </w:pPr>
      <w:r>
        <w:rPr>
          <w:rFonts w:ascii="IRNazanin" w:hAnsi="IRNazanin" w:eastAsia="IRNazanin"/>
          <w:color w:val="111111"/>
          <w:sz w:val="28"/>
          <w:sz w:val="28"/>
          <w:szCs w:val="28"/>
          <w:rtl w:val="true"/>
          <w:lang w:bidi="fa-IR"/>
        </w:rPr>
        <w:t>و هی إمّا أن تتناول العقلاء و غیرهم،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الاستفهام و المجازاة، أو یختص العقلاء،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المجازاة و الاستفهام، أو غیرهم،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یفتقر فی الدلالة علی الاستغراق إلی انضمام لفظ آخر</w:t>
      </w:r>
      <w:r>
        <w:rPr>
          <w:rStyle w:val="FootnoteAnchor"/>
          <w:rtl w:val="true"/>
        </w:rPr>
        <w:footnoteReference w:id="402"/>
      </w:r>
      <w:r>
        <w:rPr>
          <w:rFonts w:ascii="IRNazanin" w:hAnsi="IRNazanin" w:eastAsia="IRNazanin"/>
          <w:color w:val="111111"/>
          <w:sz w:val="28"/>
          <w:sz w:val="28"/>
          <w:szCs w:val="28"/>
          <w:rtl w:val="true"/>
          <w:lang w:bidi="fa-IR"/>
        </w:rPr>
        <w:t xml:space="preserve">،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p>
    <w:p>
      <w:pPr>
        <w:pStyle w:val="BookText"/>
        <w:rPr/>
      </w:pP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الجمع، و الإضافة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حرف السلب مع النکرة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یستفاد العموم من العرف، مثل حُرِّمَتْ عَلَیْکُمْ أُمَّهاتُکُمْ</w:t>
      </w:r>
      <w:r>
        <w:rPr>
          <w:rStyle w:val="FootnoteAnchor"/>
          <w:rtl w:val="true"/>
        </w:rPr>
        <w:footnoteReference w:id="403"/>
      </w:r>
      <w:r>
        <w:rPr>
          <w:rFonts w:ascii="IRNazanin" w:hAnsi="IRNazanin" w:eastAsia="IRNazanin"/>
          <w:color w:val="111111"/>
          <w:sz w:val="28"/>
          <w:sz w:val="28"/>
          <w:szCs w:val="28"/>
          <w:rtl w:val="true"/>
          <w:lang w:bidi="fa-IR"/>
        </w:rPr>
        <w:t>، أو من العقل کدلیل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السید المرتضی رحمه اللّه من دلالة الصیغ علی العموم</w:t>
      </w:r>
      <w:r>
        <w:rPr>
          <w:rStyle w:val="FootnoteAnchor"/>
          <w:rtl w:val="true"/>
        </w:rPr>
        <w:footnoteReference w:id="404"/>
      </w:r>
      <w:r>
        <w:rPr>
          <w:rFonts w:ascii="IRNazanin" w:hAnsi="IRNazanin" w:eastAsia="IRNazanin"/>
          <w:color w:val="111111"/>
          <w:sz w:val="28"/>
          <w:sz w:val="28"/>
          <w:szCs w:val="28"/>
          <w:rtl w:val="true"/>
          <w:lang w:bidi="fa-IR"/>
        </w:rPr>
        <w:t>، و هو مذهب الواقفیة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للخصوص، لما حسن الجواب بالعموم، و لو کان للاشتراک، لما حسن الجواب قبل السؤال عن کل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داری أکرمه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مشترکا، لما حسن الامتثال قبل السؤال عن کل فرد، و لما حسن الاستثناء لو کان للخصوص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للعموم، لما 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کل 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الجزئی، و لأنّهم إذا عبّروا عن العموم أتوا بهذه الصیغة،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النکرة المنفیة نقیض المثبتة الجزئیة، و نقیض الجزئی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السید رحمه اللّه علی الاشتراک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الاستفهام و الاستعمال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صحة الاستثناء تدل علی عموم کل ما ادعینا عمومه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408"/>
      </w:r>
      <w:r>
        <w:rPr>
          <w:rFonts w:ascii="IRNazanin" w:hAnsi="IRNazanin" w:eastAsia="IRNazanin"/>
          <w:color w:val="111111"/>
          <w:sz w:val="28"/>
          <w:sz w:val="28"/>
          <w:szCs w:val="28"/>
          <w:rtl w:val="true"/>
          <w:lang w:bidi="fa-IR"/>
        </w:rPr>
        <w:t>الاستعمال قد یوجد مع المجاز، فلا یصح الاستدلال به علی</w:t>
      </w:r>
      <w:bookmarkStart w:id="236" w:name="pg2360_37043"/>
    </w:p>
    <w:p>
      <w:pPr>
        <w:pStyle w:val="BookText"/>
        <w:rPr/>
      </w:pPr>
      <w:bookmarkEnd w:id="236"/>
      <w:r>
        <w:rPr>
          <w:rFonts w:ascii="IRNazanin" w:hAnsi="IRNazanin" w:eastAsia="IRNazanin"/>
          <w:color w:val="111111"/>
          <w:sz w:val="28"/>
          <w:sz w:val="28"/>
          <w:szCs w:val="28"/>
          <w:rtl w:val="true"/>
          <w:lang w:bidi="fa-IR"/>
        </w:rPr>
        <w:t>الحقیقة، و الاستفهام قد یحسن لا لکون</w:t>
      </w:r>
      <w:r>
        <w:rPr>
          <w:rStyle w:val="FootnoteAnchor"/>
          <w:rtl w:val="true"/>
        </w:rPr>
        <w:footnoteReference w:id="409"/>
      </w:r>
      <w:r>
        <w:rPr>
          <w:rFonts w:ascii="IRNazanin" w:hAnsi="IRNazanin" w:eastAsia="IRNazanin"/>
          <w:color w:val="111111"/>
          <w:sz w:val="28"/>
          <w:sz w:val="28"/>
          <w:szCs w:val="28"/>
          <w:rtl w:val="true"/>
          <w:lang w:bidi="fa-IR"/>
        </w:rPr>
        <w:t>اللفظ مشترکا، بل لتحقق إرادة الحقیقة دون المجاز</w:t>
      </w:r>
      <w:r>
        <w:rPr>
          <w:rFonts w:eastAsia="IRNazanin" w:cs="IRNazanin"/>
          <w:color w:val="111111"/>
          <w:sz w:val="28"/>
          <w:szCs w:val="28"/>
          <w:rtl w:val="true"/>
          <w:lang w:bidi="fa-IR"/>
        </w:rPr>
        <w:t>.</w:t>
      </w:r>
    </w:p>
    <w:p>
      <w:pPr>
        <w:pStyle w:val="Heading4"/>
        <w:numPr>
          <w:ilvl w:val="3"/>
          <w:numId w:val="1"/>
        </w:numPr>
        <w:rPr/>
      </w:pPr>
      <w:bookmarkStart w:id="237" w:name="__RefHeading___Toc2792578_3804643083"/>
      <w:bookmarkStart w:id="238" w:name="_Toc92"/>
      <w:bookmarkEnd w:id="237"/>
      <w:r>
        <w:rPr>
          <w:rtl w:val="true"/>
        </w:rPr>
        <w:t>البحث الثالث</w:t>
      </w:r>
      <w:r>
        <w:rPr>
          <w:rtl w:val="true"/>
        </w:rPr>
        <w:t xml:space="preserve">: </w:t>
      </w:r>
      <w:r>
        <w:rPr>
          <w:rtl w:val="true"/>
        </w:rPr>
        <w:t>فی مسائل اختلف فیها</w:t>
      </w:r>
      <w:r>
        <w:rPr>
          <w:rtl w:val="true"/>
        </w:rPr>
        <w:t>:</w:t>
      </w:r>
      <w:bookmarkEnd w:id="23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المعرّف بلام الجنس لیس للعموم، خلافا للجبائی</w:t>
      </w:r>
      <w:r>
        <w:rPr>
          <w:rStyle w:val="FootnoteAnchor"/>
          <w:rtl w:val="true"/>
        </w:rPr>
        <w:footnoteReference w:id="410"/>
      </w:r>
      <w:r>
        <w:rPr>
          <w:rFonts w:ascii="IRNazanin" w:hAnsi="IRNazanin" w:eastAsia="IRNazanin"/>
          <w:color w:val="111111"/>
          <w:sz w:val="28"/>
          <w:sz w:val="28"/>
          <w:szCs w:val="28"/>
          <w:rtl w:val="true"/>
          <w:lang w:bidi="fa-IR"/>
        </w:rPr>
        <w:t>، لعدم دلالة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عدم تأکیده بالجمع، و عدم وصفه به،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 الناس الدرهم البیض و الدینار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لعدم اطّراده، و کذا</w:t>
      </w:r>
      <w:r>
        <w:rPr>
          <w:rStyle w:val="FootnoteAnchor"/>
          <w:rtl w:val="true"/>
        </w:rPr>
        <w:footnoteReference w:id="411"/>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إِلَّا الَّذِینَ آمَنُوا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المنکّر لیس للعموم، خلافا له</w:t>
      </w:r>
      <w:r>
        <w:rPr>
          <w:rStyle w:val="FootnoteAnchor"/>
          <w:rtl w:val="true"/>
        </w:rPr>
        <w:footnoteReference w:id="413"/>
      </w:r>
      <w:r>
        <w:rPr>
          <w:rFonts w:ascii="IRNazanin" w:hAnsi="IRNazanin" w:eastAsia="IRNazanin"/>
          <w:color w:val="111111"/>
          <w:sz w:val="28"/>
          <w:sz w:val="28"/>
          <w:szCs w:val="28"/>
          <w:rtl w:val="true"/>
          <w:lang w:bidi="fa-IR"/>
        </w:rPr>
        <w:t>، 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التقسیم مشترک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أقل الجمع ثلاثة، للفرق لغة بین صیغة الجمع و التثنیة، و امتناع اتصاف أحدهما بما یدل علی الآخر، و اختلافهما فی الضمائر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القاضی أبو بکر</w:t>
      </w:r>
      <w:r>
        <w:rPr>
          <w:rStyle w:val="FootnoteAnchor"/>
          <w:rtl w:val="true"/>
        </w:rPr>
        <w:footnoteReference w:id="415"/>
      </w:r>
      <w:r>
        <w:rPr>
          <w:rFonts w:ascii="Amiri" w:hAnsi="Amiri" w:eastAsia="Amiri" w:cs="Amiri"/>
          <w:color w:val="111111"/>
          <w:sz w:val="28"/>
          <w:sz w:val="28"/>
          <w:szCs w:val="28"/>
          <w:rtl w:val="true"/>
          <w:lang w:bidi="ar-SA"/>
        </w:rPr>
        <w:t>، و أبو إسحاق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کُنَّا لِحُکْمِهِمْ</w:t>
      </w:r>
    </w:p>
    <w:p>
      <w:pPr>
        <w:pStyle w:val="BookText"/>
        <w:rPr/>
      </w:pPr>
      <w:r>
        <w:rPr>
          <w:rFonts w:ascii="Amiri" w:hAnsi="Amiri" w:eastAsia="Amiri" w:cs="Amiri"/>
          <w:color w:val="111111"/>
          <w:sz w:val="28"/>
          <w:sz w:val="28"/>
          <w:szCs w:val="28"/>
          <w:rtl w:val="true"/>
          <w:lang w:bidi="ar-SA"/>
        </w:rPr>
        <w:t>شاهِدِینَ</w:t>
      </w:r>
      <w:r>
        <w:rPr>
          <w:rStyle w:val="FootnoteAnchor"/>
          <w:rtl w:val="true"/>
        </w:rPr>
        <w:footnoteReference w:id="416"/>
      </w:r>
      <w:r>
        <w:rPr>
          <w:rFonts w:ascii="Amiri" w:hAnsi="Amiri" w:eastAsia="Amiri" w:cs="Amiri"/>
          <w:color w:val="111111"/>
          <w:sz w:val="28"/>
          <w:sz w:val="28"/>
          <w:szCs w:val="28"/>
          <w:rtl w:val="true"/>
          <w:lang w:bidi="ar-SA"/>
        </w:rPr>
        <w:t>إِنَّا مَعَکُمْ مُسْتَمِعُونَ</w:t>
      </w:r>
      <w:r>
        <w:rPr>
          <w:rStyle w:val="FootnoteAnchor"/>
          <w:rtl w:val="true"/>
        </w:rPr>
        <w:footnoteReference w:id="417"/>
      </w:r>
      <w:r>
        <w:rPr>
          <w:rFonts w:ascii="Amiri" w:hAnsi="Amiri" w:eastAsia="Amiri" w:cs="Amiri"/>
          <w:color w:val="111111"/>
          <w:sz w:val="28"/>
          <w:sz w:val="28"/>
          <w:szCs w:val="28"/>
          <w:rtl w:val="true"/>
          <w:lang w:bidi="ar-SA"/>
        </w:rPr>
        <w:t>فَإِنْ کانَ لَهُ إِخْوَةٌ فَلِأُمِّهِ السُّدُسُ</w:t>
      </w:r>
      <w:r>
        <w:rPr>
          <w:rStyle w:val="FootnoteAnchor"/>
          <w:rtl w:val="true"/>
        </w:rPr>
        <w:footnoteReference w:id="418"/>
      </w:r>
      <w:r>
        <w:rPr>
          <w:rFonts w:ascii="IRNazanin" w:hAnsi="IRNazanin" w:eastAsia="IRNazanin"/>
          <w:color w:val="111111"/>
          <w:sz w:val="28"/>
          <w:sz w:val="28"/>
          <w:szCs w:val="28"/>
          <w:rtl w:val="true"/>
          <w:lang w:bidi="fa-IR"/>
        </w:rPr>
        <w:t xml:space="preserve">و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الاثنان فما فوقهما جماعة</w:t>
      </w:r>
      <w:r>
        <w:rPr>
          <w:rFonts w:eastAsia="IRNazanin" w:cs="IRNazanin"/>
          <w:color w:val="111111"/>
          <w:sz w:val="28"/>
          <w:szCs w:val="28"/>
          <w:rtl w:val="true"/>
          <w:lang w:bidi="fa-IR"/>
        </w:rPr>
        <w:t>»</w:t>
      </w:r>
      <w:r>
        <w:rPr>
          <w:rStyle w:val="FootnoteAnchor"/>
          <w:rtl w:val="true"/>
        </w:rPr>
        <w:footnoteReference w:id="419"/>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مضاف إلی الفاعل، و هو الحاکم، و المفعول و هو المتحاکمان، و الاستماع لموسی و هارون و فرعون، و حجب الأخوین مستفاد من السنة، و لا مانع فی الآیة منه، و الحدیث المراد به إدراک فضیلة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للعموم، لأنّه نفی دخل علی نکرة فیعم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للعموم، لأنّ نفی الاستواء أعم من نفیه من کل الوجوه أو من بعضها، و لا دلالة للعام علی الخاص</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النفی فرع الإثبات، فإن جعلنا الاستواء عامّا حتی لا یصدق علی الشیئین إلّا مع تساویهما من کل الوجوه، کان نفیه نفیا للعموم، فلا یکون عاما، و إن جعلنا الاستواء صادقا علی الشیئین باعتبار تساویهما و لو فی أمر ما، لم یکن عاما، فیکون سلبه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الإثبات للعموم، و إلّا لصدق التساوی علی المتباینین، لصدق تساویهما فی سلب ما عداهما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و إلّا لم یصدق مطلقا، إذ الممیزات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فی ذلک علی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المصدّر بالنبی صلّی اللّه علیه و آله مثل یا أَیُّهَا النَّبِیُّ</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لیس للعموم، إلّا بدلیل خارجی، لأنّه موضوع للخاص لغة، و لأنّ إخراج الغیر لیس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حنیفة</w:t>
      </w:r>
      <w:r>
        <w:rPr>
          <w:rStyle w:val="FootnoteAnchor"/>
          <w:rtl w:val="true"/>
        </w:rPr>
        <w:footnoteReference w:id="4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 للقمّی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الدالة علی أمر العوام بتصدیر أمر الکبیر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إرادة أمر الجمیع صح ذلک، قضاء للعرف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الموضوع لخطاب الذکور مع شموله الإناث</w:t>
      </w:r>
      <w:r>
        <w:rPr>
          <w:rStyle w:val="FootnoteAnchor"/>
          <w:rtl w:val="true"/>
        </w:rPr>
        <w:footnoteReference w:id="424"/>
      </w:r>
      <w:r>
        <w:rPr>
          <w:rFonts w:ascii="IRNazanin" w:hAnsi="IRNazanin" w:eastAsia="IRNazanin"/>
          <w:color w:val="111111"/>
          <w:sz w:val="28"/>
          <w:sz w:val="28"/>
          <w:szCs w:val="28"/>
          <w:rtl w:val="true"/>
          <w:lang w:bidi="fa-IR"/>
        </w:rPr>
        <w:t>لو اردن، لا یتناول إطلاقه الإناث،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تکریر الواحد، و هو للتذکیر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أهل اللغة علی تغلیب التذکیر لو اجتمعا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Style w:val="FootnoteAnchor"/>
          <w:rtl w:val="true"/>
        </w:rPr>
        <w:footnoteReference w:id="426"/>
      </w:r>
      <w:r>
        <w:rPr>
          <w:rFonts w:ascii="IRNazanin" w:hAnsi="IRNazanin" w:eastAsia="IRNazanin"/>
          <w:color w:val="111111"/>
          <w:sz w:val="28"/>
          <w:sz w:val="28"/>
          <w:szCs w:val="28"/>
          <w:rtl w:val="true"/>
          <w:lang w:bidi="fa-IR"/>
        </w:rPr>
        <w:t>لیس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المقتضی لا عموم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یراد به ما لا یتم الکلام إلّا بإضمار بعض الامور الصالحة للإضمار معه،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w:t>
      </w:r>
      <w:r>
        <w:rPr>
          <w:rStyle w:val="FootnoteAnchor"/>
          <w:rtl w:val="true"/>
        </w:rPr>
        <w:footnoteReference w:id="427"/>
      </w:r>
      <w:r>
        <w:rPr>
          <w:rFonts w:ascii="IRNazanin" w:hAnsi="IRNazanin" w:eastAsia="IRNazanin"/>
          <w:color w:val="111111"/>
          <w:sz w:val="28"/>
          <w:sz w:val="28"/>
          <w:szCs w:val="28"/>
          <w:rtl w:val="true"/>
          <w:lang w:bidi="fa-IR"/>
        </w:rPr>
        <w:t>و وجوه الانتفاعات متعددة، و لا یمکن إضمار الجمیع، لما فیه من زیادة المخالفة للأصل الدال علی نفی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یعارض</w:t>
      </w:r>
      <w:r>
        <w:rPr>
          <w:rStyle w:val="FootnoteAnchor"/>
          <w:rtl w:val="true"/>
        </w:rPr>
        <w:footnoteReference w:id="428"/>
      </w:r>
      <w:r>
        <w:rPr>
          <w:rFonts w:ascii="IRNazanin" w:hAnsi="IRNazanin" w:eastAsia="IRNazanin"/>
          <w:color w:val="111111"/>
          <w:sz w:val="28"/>
          <w:sz w:val="28"/>
          <w:szCs w:val="28"/>
          <w:rtl w:val="true"/>
          <w:lang w:bidi="fa-IR"/>
        </w:rPr>
        <w:t>بأنّ إضمار البعض لیس أولی، فإمّا أن یضمر الجمیع أو لا یضمر شی‌ء، و الثانی باطل قطعا، فتعیّن الأوّل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 جمیع المأکولات، فیقبل التخصیص، خلافا</w:t>
      </w:r>
    </w:p>
    <w:p>
      <w:pPr>
        <w:pStyle w:val="BookText"/>
        <w:rPr/>
      </w:pPr>
      <w:r>
        <w:rPr>
          <w:rFonts w:ascii="IRNazanin" w:hAnsi="IRNazanin" w:eastAsia="IRNazanin"/>
          <w:color w:val="111111"/>
          <w:sz w:val="28"/>
          <w:sz w:val="28"/>
          <w:szCs w:val="28"/>
          <w:rtl w:val="true"/>
          <w:lang w:bidi="fa-IR"/>
        </w:rPr>
        <w:t>لأبی حنیفة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نفی حقیقة الأکل بالنسبة إلی کل المأکولات</w:t>
      </w:r>
      <w:r>
        <w:rPr>
          <w:rStyle w:val="FootnoteAnchor"/>
          <w:rtl w:val="true"/>
        </w:rPr>
        <w:footnoteReference w:id="430"/>
      </w:r>
      <w:r>
        <w:rPr>
          <w:rFonts w:ascii="IRNazanin" w:hAnsi="IRNazanin" w:eastAsia="IRNazanin"/>
          <w:color w:val="111111"/>
          <w:sz w:val="28"/>
          <w:sz w:val="28"/>
          <w:szCs w:val="28"/>
          <w:rtl w:val="true"/>
          <w:lang w:bidi="fa-IR"/>
        </w:rPr>
        <w:t>، و هو معنی العام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أبو حنیفة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الماهیة من حیث هی هی، و القابل للتخصیص متعدد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نفی الأفراد المطابقة للماهیة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الاستفصال فی حکایة الحال، مع قیام الاحتمال؛ یدل علی العموم</w:t>
      </w:r>
      <w:r>
        <w:rPr>
          <w:rStyle w:val="FootnoteAnchor"/>
          <w:rtl w:val="true"/>
        </w:rPr>
        <w:footnoteReference w:id="433"/>
      </w:r>
      <w:r>
        <w:rPr>
          <w:rFonts w:ascii="IRNazanin" w:hAnsi="IRNazanin" w:eastAsia="IRNazanin"/>
          <w:color w:val="111111"/>
          <w:sz w:val="28"/>
          <w:sz w:val="28"/>
          <w:szCs w:val="28"/>
          <w:rtl w:val="true"/>
          <w:lang w:bidi="fa-IR"/>
        </w:rPr>
        <w:t>، کقوله علیه السّلام لابن غیلان</w:t>
      </w:r>
      <w:r>
        <w:rPr>
          <w:rStyle w:val="FootnoteAnchor"/>
          <w:rtl w:val="true"/>
        </w:rPr>
        <w:footnoteReference w:id="4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أربعا و فارق سائرهن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من غیر سؤال الجمع و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لاحتمال علمه علیه السّلام بالحال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علی العام لا یقتضی العموم، لدلالته علی الجمع الصادق فی العام و الخاص،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w:t>
      </w:r>
      <w:r>
        <w:rPr>
          <w:rStyle w:val="FootnoteAnchor"/>
          <w:rtl w:val="true"/>
        </w:rPr>
        <w:footnoteReference w:id="436"/>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بُعُولَتُهُنَّ أَحَقُّ بِرَدِّهِنَ</w:t>
      </w:r>
      <w:r>
        <w:rPr>
          <w:rStyle w:val="FootnoteAnchor"/>
          <w:rtl w:val="true"/>
        </w:rPr>
        <w:footnoteReference w:id="437"/>
      </w:r>
      <w:r>
        <w:rPr>
          <w:rFonts w:ascii="IRNazanin" w:hAnsi="IRNazanin" w:eastAsia="IRNazanin"/>
          <w:color w:val="111111"/>
          <w:sz w:val="28"/>
          <w:sz w:val="28"/>
          <w:szCs w:val="28"/>
          <w:rtl w:val="true"/>
          <w:lang w:bidi="fa-IR"/>
        </w:rPr>
        <w:t>الخاص بالرجعیة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w:t>
      </w:r>
      <w:r>
        <w:rPr>
          <w:rStyle w:val="FootnoteAnchor"/>
          <w:rtl w:val="true"/>
        </w:rPr>
        <w:footnoteReference w:id="438"/>
      </w:r>
      <w:r>
        <w:rPr>
          <w:rFonts w:ascii="Amiri" w:hAnsi="Amiri" w:eastAsia="Amiri" w:cs="Amiri"/>
          <w:color w:val="111111"/>
          <w:sz w:val="28"/>
          <w:sz w:val="28"/>
          <w:szCs w:val="28"/>
          <w:rtl w:val="true"/>
          <w:lang w:bidi="ar-SA"/>
        </w:rPr>
        <w:t>بالصیغة الدالة علی المخاطبة،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خاص بالموجودین فی عصره علیه السّلام، و إنّما یتناول من بعدهم بالإجماع، فإنّه معلوم من دینه ضرورة</w:t>
      </w:r>
      <w:r>
        <w:rPr>
          <w:rStyle w:val="FootnoteAnchor"/>
          <w:rtl w:val="true"/>
        </w:rPr>
        <w:footnoteReference w:id="440"/>
      </w:r>
      <w:r>
        <w:rPr>
          <w:rFonts w:ascii="IRNazanin" w:hAnsi="IRNazanin" w:eastAsia="IRNazanin"/>
          <w:color w:val="111111"/>
          <w:sz w:val="28"/>
          <w:sz w:val="28"/>
          <w:szCs w:val="28"/>
          <w:rtl w:val="true"/>
          <w:lang w:bidi="fa-IR"/>
        </w:rPr>
        <w:t>، لقبح خطاب المعدوم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علیه السّلام عن بیع الغرر</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لا یفید العموم، لأنّ الحجة فی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صلّی اللّه علیه و آله بالشاهد و الیمین</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بالشفعة للجار</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لاحتمال حکایته عن قضاء خاص، أو لجار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یجمع بین الصلاتین فی السفر</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تقدم الفعل، أمّا دوامه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 لأنّه المتعارف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فلان یصلی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 السّلام بعد الشفق</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لا یصح الاستدلال به</w:t>
      </w:r>
      <w:r>
        <w:rPr>
          <w:rStyle w:val="FootnoteAnchor"/>
          <w:rtl w:val="true"/>
        </w:rPr>
        <w:footnoteReference w:id="446"/>
      </w:r>
      <w:r>
        <w:rPr>
          <w:rFonts w:ascii="IRNazanin" w:hAnsi="IRNazanin" w:eastAsia="IRNazanin"/>
          <w:color w:val="111111"/>
          <w:sz w:val="28"/>
          <w:sz w:val="28"/>
          <w:szCs w:val="28"/>
          <w:rtl w:val="true"/>
          <w:lang w:bidi="fa-IR"/>
        </w:rPr>
        <w:t>علی بعدیّة الشفقین الأحمر و الأبیض، لأنّ المشترک لا یحمل علی معانیه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bookmarkStart w:id="239" w:name="pg2360_37049"/>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السّلام فی الکعبة</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لا یستدل به علی جواز أداء</w:t>
      </w:r>
      <w:r>
        <w:rPr>
          <w:rStyle w:val="FootnoteAnchor"/>
          <w:rtl w:val="true"/>
        </w:rPr>
        <w:footnoteReference w:id="448"/>
      </w:r>
      <w:r>
        <w:rPr>
          <w:rFonts w:ascii="IRNazanin" w:hAnsi="IRNazanin" w:eastAsia="IRNazanin"/>
          <w:color w:val="111111"/>
          <w:sz w:val="28"/>
          <w:sz w:val="28"/>
          <w:szCs w:val="28"/>
          <w:rtl w:val="true"/>
          <w:lang w:bidi="fa-IR"/>
        </w:rPr>
        <w:t>الفرض، لأنّ تلک الصلاة واحدة، فإن کانت فرضا لم تکن نفلا، و بالعکس، فلا یدل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 هو عام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الغزالی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عوارض الألفاظ</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نزاع لفظی</w:t>
      </w:r>
      <w:r>
        <w:rPr>
          <w:rFonts w:eastAsia="IRNazanin" w:cs="IRNazanin"/>
          <w:color w:val="111111"/>
          <w:sz w:val="28"/>
          <w:szCs w:val="28"/>
          <w:rtl w:val="true"/>
          <w:lang w:bidi="fa-IR"/>
        </w:rPr>
        <w:t>.</w:t>
      </w:r>
    </w:p>
    <w:p>
      <w:pPr>
        <w:pStyle w:val="Heading3"/>
        <w:numPr>
          <w:ilvl w:val="2"/>
          <w:numId w:val="1"/>
        </w:numPr>
        <w:rPr/>
      </w:pPr>
      <w:bookmarkStart w:id="240" w:name="__RefHeading___Toc2792580_3804643083"/>
      <w:bookmarkStart w:id="241" w:name="_Toc93"/>
      <w:bookmarkEnd w:id="240"/>
      <w:r>
        <w:rPr>
          <w:rtl w:val="true"/>
        </w:rPr>
        <w:t>الفصل الثانی</w:t>
      </w:r>
      <w:r>
        <w:rPr>
          <w:rtl w:val="true"/>
        </w:rPr>
        <w:t xml:space="preserve">: </w:t>
      </w:r>
      <w:r>
        <w:rPr>
          <w:rtl w:val="true"/>
        </w:rPr>
        <w:t>فی الخصوص</w:t>
      </w:r>
      <w:bookmarkEnd w:id="241"/>
    </w:p>
    <w:p>
      <w:pPr>
        <w:pStyle w:val="Heading4"/>
        <w:numPr>
          <w:ilvl w:val="3"/>
          <w:numId w:val="1"/>
        </w:numPr>
        <w:rPr/>
      </w:pPr>
      <w:bookmarkStart w:id="242" w:name="__RefHeading___Toc2792582_3804643083"/>
      <w:bookmarkStart w:id="243" w:name="_Toc94"/>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44" w:name="__RefHeading___Toc2792584_3804643083"/>
      <w:bookmarkStart w:id="245" w:name="_Toc95"/>
      <w:bookmarkEnd w:id="244"/>
      <w:r>
        <w:rPr>
          <w:rtl w:val="true"/>
        </w:rPr>
        <w:t>الأوّل</w:t>
      </w:r>
      <w:r>
        <w:rPr>
          <w:rtl w:val="true"/>
        </w:rPr>
        <w:t xml:space="preserve">: </w:t>
      </w:r>
      <w:r>
        <w:rPr>
          <w:rtl w:val="true"/>
        </w:rPr>
        <w:t>التخصیص إخراج بعض ما یتناوله الخطاب،</w:t>
      </w:r>
      <w:bookmarkEnd w:id="245"/>
    </w:p>
    <w:p>
      <w:pPr>
        <w:pStyle w:val="BookText"/>
        <w:rPr/>
      </w:pPr>
      <w:r>
        <w:rPr>
          <w:rFonts w:ascii="IRNazanin" w:hAnsi="IRNazanin" w:eastAsia="IRNazanin"/>
          <w:color w:val="111111"/>
          <w:sz w:val="28"/>
          <w:sz w:val="28"/>
          <w:szCs w:val="28"/>
          <w:rtl w:val="true"/>
          <w:lang w:bidi="fa-IR"/>
        </w:rPr>
        <w:t>و عند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 بعض ما صحّ أن یتناوله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جنس للنسخ، لأنّه تخصیص فی الأزمان، و قد ینعکس باعتبار ما، فإنّ التخصیص إنّما یصحّ فی الملفوظ، و النسخ قد یکون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جنس للاستثناء، و الشرط، و الغایة، و الصفة، و غیرها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یجوز فیما یدل علی الکثرة، بشرط انتفاء النقض، کما فی مفهوم الموافقة، کقتل الوالد إذا ارتد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246" w:name="pg2360_37050"/>
    </w:p>
    <w:p>
      <w:pPr>
        <w:pStyle w:val="BookText"/>
        <w:rPr/>
      </w:pPr>
      <w:bookmarkEnd w:id="246"/>
      <w:r>
        <w:rPr>
          <w:rFonts w:ascii="Amiri" w:hAnsi="Amiri" w:eastAsia="Amiri" w:cs="Amiri"/>
          <w:color w:val="111111"/>
          <w:sz w:val="28"/>
          <w:sz w:val="28"/>
          <w:szCs w:val="28"/>
          <w:rtl w:val="true"/>
          <w:lang w:bidi="ar-SA"/>
        </w:rPr>
        <w:t>و یجوز إرادة الخاص من العام فی الخبر،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و لا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التخصیص حتی ینتهی إلی الواحد فی ألفاظ الاستفهام و المجازاة، و جوّز بعضهم ذلک فی غیرها</w:t>
      </w:r>
      <w:r>
        <w:rPr>
          <w:rStyle w:val="FootnoteAnchor"/>
          <w:rtl w:val="true"/>
        </w:rPr>
        <w:footnoteReference w:id="453"/>
      </w:r>
      <w:r>
        <w:rPr>
          <w:rFonts w:ascii="IRNazanin" w:hAnsi="IRNazanin" w:eastAsia="IRNazanin"/>
          <w:color w:val="111111"/>
          <w:sz w:val="28"/>
          <w:sz w:val="28"/>
          <w:szCs w:val="28"/>
          <w:rtl w:val="true"/>
          <w:lang w:bidi="fa-IR"/>
        </w:rPr>
        <w:t>، و أوجب أبو الحسین</w:t>
      </w:r>
      <w:r>
        <w:rPr>
          <w:rStyle w:val="FootnoteAnchor"/>
          <w:rtl w:val="true"/>
        </w:rPr>
        <w:footnoteReference w:id="454"/>
      </w:r>
      <w:r>
        <w:rPr>
          <w:rFonts w:ascii="IRNazanin" w:hAnsi="IRNazanin" w:eastAsia="IRNazanin"/>
          <w:color w:val="111111"/>
          <w:sz w:val="28"/>
          <w:sz w:val="28"/>
          <w:szCs w:val="28"/>
          <w:rtl w:val="true"/>
          <w:lang w:bidi="fa-IR"/>
        </w:rPr>
        <w:t>بقاء کثرة، لقبح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کل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أکل واحدة أو ثلاثة من ألف</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مستعمل فی غیر موضوعه، و لا</w:t>
      </w:r>
      <w:r>
        <w:rPr>
          <w:rStyle w:val="FootnoteAnchor"/>
          <w:rtl w:val="true"/>
        </w:rPr>
        <w:footnoteReference w:id="456"/>
      </w:r>
      <w:r>
        <w:rPr>
          <w:rFonts w:ascii="IRNazanin" w:hAnsi="IRNazanin" w:eastAsia="IRNazanin"/>
          <w:color w:val="111111"/>
          <w:sz w:val="28"/>
          <w:sz w:val="28"/>
          <w:szCs w:val="28"/>
          <w:rtl w:val="true"/>
          <w:lang w:bidi="fa-IR"/>
        </w:rPr>
        <w:t>أولویة للبعض</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عدم الأولویة</w:t>
      </w:r>
      <w:r>
        <w:rPr>
          <w:rFonts w:eastAsia="IRNazanin" w:cs="IRNazanin"/>
          <w:color w:val="111111"/>
          <w:sz w:val="28"/>
          <w:szCs w:val="28"/>
          <w:rtl w:val="true"/>
          <w:lang w:bidi="fa-IR"/>
        </w:rPr>
        <w:t>.</w:t>
      </w:r>
    </w:p>
    <w:p>
      <w:pPr>
        <w:pStyle w:val="Heading4"/>
        <w:numPr>
          <w:ilvl w:val="3"/>
          <w:numId w:val="1"/>
        </w:numPr>
        <w:rPr/>
      </w:pPr>
      <w:bookmarkStart w:id="247" w:name="__RefHeading___Toc2792586_3804643083"/>
      <w:bookmarkStart w:id="248" w:name="_Toc96"/>
      <w:bookmarkEnd w:id="247"/>
      <w:r>
        <w:rPr>
          <w:rtl w:val="true"/>
        </w:rPr>
        <w:t>البحث الثانی</w:t>
      </w:r>
      <w:r>
        <w:rPr>
          <w:rtl w:val="true"/>
        </w:rPr>
        <w:t xml:space="preserve">: </w:t>
      </w:r>
      <w:r>
        <w:rPr>
          <w:rtl w:val="true"/>
        </w:rPr>
        <w:t>العام المخصوص بالمتصل لیس مجازا،</w:t>
      </w:r>
      <w:bookmarkEnd w:id="2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غیر مفید للبعض، و إلّا لم یفد المتصل شیئا، فلا یکون مجازا فی البعض، بل المجموع منه و من المتصل یفید البعض حقیقة، و لأنّ انضمام غیر المستقل لو أفاد التجوز لکان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المخصوص بالمنفصل العقلی أو اللفظی، فإنّه مجاز، لأنّه موضوع للعموم و قد استعمل فی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التمسک به مطلقا إلّا بالمجمل، لأنّ کونه حجة فی بعض موارده لا یتوقف علی کونه حجة فی الآخر، و إلّا لزم الدور أو الترجیح من غیر مرجح، و لأنّ المقتضی فی غیر محل التخصیص ثابت، و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رفع الحکم عن محل</w:t>
      </w:r>
      <w:r>
        <w:rPr>
          <w:rStyle w:val="FootnoteAnchor"/>
          <w:rtl w:val="true"/>
        </w:rPr>
        <w:footnoteReference w:id="458"/>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للمانعیّة، فإنّ رفع الحکم عن محل التخصیص یجامع ثبوته فی محل</w:t>
      </w:r>
      <w:r>
        <w:rPr>
          <w:rStyle w:val="FootnoteAnchor"/>
          <w:rtl w:val="true"/>
        </w:rPr>
        <w:footnoteReference w:id="459"/>
      </w:r>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أبو ثور</w:t>
      </w:r>
      <w:r>
        <w:rPr>
          <w:rStyle w:val="FootnoteAnchor"/>
          <w:rtl w:val="true"/>
        </w:rPr>
        <w:footnoteReference w:id="460"/>
      </w:r>
      <w:r>
        <w:rPr>
          <w:rFonts w:ascii="IRNazanin" w:hAnsi="IRNazanin" w:eastAsia="IRNazanin"/>
          <w:color w:val="111111"/>
          <w:sz w:val="28"/>
          <w:sz w:val="28"/>
          <w:szCs w:val="28"/>
          <w:rtl w:val="true"/>
          <w:lang w:bidi="fa-IR"/>
        </w:rPr>
        <w:t>، و ابن أبان</w:t>
      </w:r>
      <w:r>
        <w:rPr>
          <w:rStyle w:val="FootnoteAnchor"/>
          <w:rtl w:val="true"/>
        </w:rPr>
        <w:footnoteReference w:id="46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عن حقیقته، و لیس بعض المجازات أولی</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249" w:name="pg2360_37052"/>
    </w:p>
    <w:p>
      <w:pPr>
        <w:pStyle w:val="BookText"/>
        <w:rPr/>
      </w:pPr>
      <w:bookmarkEnd w:id="249"/>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عدم الأولویة، فإنّ کل الباقی أقرب إلی الجمیع من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الاستدلال بالعام استقصاء البحث فی طلب المخصص، و إلّا لما جاز التمسک بالحقیقة إلّا بعد الاستقصاء فی طلب</w:t>
      </w:r>
      <w:r>
        <w:rPr>
          <w:rStyle w:val="FootnoteAnchor"/>
          <w:rtl w:val="true"/>
        </w:rPr>
        <w:footnoteReference w:id="463"/>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ابن سریج</w:t>
      </w:r>
      <w:r>
        <w:rPr>
          <w:rStyle w:val="FootnoteAnchor"/>
          <w:rtl w:val="true"/>
        </w:rPr>
        <w:footnoteReference w:id="46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وجوده لا یصحّ التمسک بالعام فی جمیع موارده، فیکون عدمه شرطا، و الجهل بالشرط یقتضی الجهل بالمشروط</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العدم الظن</w:t>
      </w:r>
      <w:r>
        <w:rPr>
          <w:rFonts w:eastAsia="IRNazanin" w:cs="IRNazanin"/>
          <w:color w:val="111111"/>
          <w:sz w:val="28"/>
          <w:szCs w:val="28"/>
          <w:rtl w:val="true"/>
          <w:lang w:bidi="fa-IR"/>
        </w:rPr>
        <w:t>.</w:t>
      </w:r>
    </w:p>
    <w:p>
      <w:pPr>
        <w:pStyle w:val="Heading4"/>
        <w:numPr>
          <w:ilvl w:val="3"/>
          <w:numId w:val="1"/>
        </w:numPr>
        <w:rPr/>
      </w:pPr>
      <w:bookmarkStart w:id="250" w:name="__RefHeading___Toc2792588_3804643083"/>
      <w:bookmarkStart w:id="251" w:name="_Toc97"/>
      <w:bookmarkEnd w:id="250"/>
      <w:r>
        <w:rPr>
          <w:rtl w:val="true"/>
        </w:rPr>
        <w:t>البحث الثالث</w:t>
      </w:r>
      <w:r>
        <w:rPr>
          <w:rtl w:val="true"/>
        </w:rPr>
        <w:t xml:space="preserve">: </w:t>
      </w:r>
      <w:r>
        <w:rPr>
          <w:rtl w:val="true"/>
        </w:rPr>
        <w:t>فی الاستثناء،</w:t>
      </w:r>
      <w:bookmarkEnd w:id="251"/>
    </w:p>
    <w:p>
      <w:pPr>
        <w:pStyle w:val="BookText"/>
        <w:rPr/>
      </w:pPr>
      <w:r>
        <w:rPr>
          <w:rFonts w:ascii="IRNazanin" w:hAnsi="IRNazanin" w:eastAsia="IRNazanin"/>
          <w:color w:val="111111"/>
          <w:sz w:val="28"/>
          <w:sz w:val="28"/>
          <w:szCs w:val="28"/>
          <w:rtl w:val="true"/>
          <w:lang w:bidi="fa-IR"/>
        </w:rPr>
        <w:t xml:space="preserve">و هو إخراج بعض ما یتناوله اللفظ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ساواها، و إنّما یتحقق الإخراج مع وجوب الدخول لولاه، و لأنّه کذلک فی الأعداد، فکذا فی غیرها، دفعا للاشتراک و المجاز</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حقیقة فی المتصل، و مجاز فی المنفصل، لأنّه لو کان الإخراج متحققا فیه، لکان إمّا من اللفظ، و هو باطل، و إلّا لکان مشترکا، أو من المعنی، و هو باطل، و إلّا لجاز استثناء کل شی‌ء من کل شی‌ء بتقدیر معنی یشترکان فیه</w:t>
      </w:r>
      <w:r>
        <w:rPr>
          <w:rFonts w:eastAsia="IRNazanin" w:cs="IRNazanin"/>
          <w:color w:val="111111"/>
          <w:sz w:val="28"/>
          <w:szCs w:val="28"/>
          <w:rtl w:val="true"/>
          <w:lang w:bidi="fa-IR"/>
        </w:rPr>
        <w:t>.</w:t>
      </w:r>
      <w:bookmarkStart w:id="252" w:name="pg2360_37053"/>
    </w:p>
    <w:p>
      <w:pPr>
        <w:pStyle w:val="BookText"/>
        <w:rPr/>
      </w:pPr>
      <w:bookmarkEnd w:id="252"/>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یَقْتُلَ مُؤْمِناً إِلَّا خَطَأً</w:t>
      </w:r>
      <w:r>
        <w:rPr>
          <w:rStyle w:val="FootnoteAnchor"/>
          <w:rtl w:val="true"/>
        </w:rPr>
        <w:footnoteReference w:id="466"/>
      </w:r>
      <w:r>
        <w:rPr>
          <w:rFonts w:ascii="Amiri" w:hAnsi="Amiri" w:eastAsia="Amiri" w:cs="Amiri"/>
          <w:color w:val="111111"/>
          <w:sz w:val="28"/>
          <w:sz w:val="28"/>
          <w:szCs w:val="28"/>
          <w:rtl w:val="true"/>
          <w:lang w:bidi="ar-SA"/>
        </w:rPr>
        <w:t>إِلَّا أَنْ تَکُونَ تِجارَةً</w:t>
      </w:r>
      <w:r>
        <w:rPr>
          <w:rStyle w:val="FootnoteAnchor"/>
          <w:rtl w:val="true"/>
        </w:rPr>
        <w:footnoteReference w:id="467"/>
      </w:r>
      <w:r>
        <w:rPr>
          <w:rFonts w:ascii="Amiri" w:hAnsi="Amiri" w:eastAsia="Amiri" w:cs="Amiri"/>
          <w:color w:val="111111"/>
          <w:sz w:val="28"/>
          <w:sz w:val="28"/>
          <w:szCs w:val="28"/>
          <w:rtl w:val="true"/>
          <w:lang w:bidi="ar-SA"/>
        </w:rPr>
        <w:t>إِلَّا إِبْلِیسَ</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إِلَّا قِیلًا سَلاماً سَلاماً</w:t>
      </w:r>
      <w:r>
        <w:rPr>
          <w:rStyle w:val="FootnoteAnchor"/>
          <w:rtl w:val="true"/>
        </w:rPr>
        <w:footnoteReference w:id="469"/>
      </w:r>
      <w:r>
        <w:rPr>
          <w:rFonts w:ascii="IRNazanin" w:hAnsi="IRNazanin" w:eastAsia="IRNazanin"/>
          <w:color w:val="111111"/>
          <w:sz w:val="28"/>
          <w:sz w:val="28"/>
          <w:szCs w:val="28"/>
          <w:rtl w:val="true"/>
          <w:lang w:bidi="fa-IR"/>
        </w:rPr>
        <w:t>لا یعطی کونه حقیقة، و مطلق الاستعمال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الاتصال عادة، و إلّا لم یستقر شی‌ء من الإیقاعات، و قول ابن عباس</w:t>
      </w:r>
      <w:r>
        <w:rPr>
          <w:rStyle w:val="FootnoteAnchor"/>
          <w:rtl w:val="true"/>
        </w:rPr>
        <w:footnoteReference w:id="4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الغزالی أنکر نسبة ذلک إلی ابن عباس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المستصفی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علی اقتران النیة و جواز تأخیر اللفظ ظاهرا</w:t>
      </w:r>
      <w:r>
        <w:rPr>
          <w:rFonts w:eastAsia="IRNazanin" w:cs="IRNazanin"/>
          <w:color w:val="111111"/>
          <w:sz w:val="28"/>
          <w:szCs w:val="28"/>
          <w:rtl w:val="true"/>
          <w:lang w:bidi="fa-IR"/>
        </w:rPr>
        <w:t>.</w:t>
      </w:r>
    </w:p>
    <w:p>
      <w:pPr>
        <w:pStyle w:val="Heading4"/>
        <w:numPr>
          <w:ilvl w:val="3"/>
          <w:numId w:val="1"/>
        </w:numPr>
        <w:rPr/>
      </w:pPr>
      <w:bookmarkStart w:id="253" w:name="__RefHeading___Toc2792590_3804643083"/>
      <w:bookmarkStart w:id="254" w:name="_Toc98"/>
      <w:bookmarkEnd w:id="253"/>
      <w:r>
        <w:rPr>
          <w:rtl w:val="true"/>
        </w:rPr>
        <w:t>البحث الرابع</w:t>
      </w:r>
      <w:r>
        <w:rPr>
          <w:rtl w:val="true"/>
        </w:rPr>
        <w:t xml:space="preserve">: </w:t>
      </w:r>
      <w:r>
        <w:rPr>
          <w:rtl w:val="true"/>
        </w:rPr>
        <w:t>فی أحکام الاستثناء</w:t>
      </w:r>
      <w:r>
        <w:rPr>
          <w:rtl w:val="true"/>
        </w:rPr>
        <w:t>.</w:t>
      </w:r>
      <w:bookmarkEnd w:id="2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الاستثناء المستوعب، و یجوز الأکثر، للإجماع علی أنّ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عندی عشرة إلّا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یلزمه واحد، و قول القاضی باشتراط الأقل</w:t>
      </w:r>
      <w:r>
        <w:rPr>
          <w:rStyle w:val="FootnoteAnchor"/>
          <w:rtl w:val="true"/>
        </w:rPr>
        <w:footnoteReference w:id="471"/>
      </w:r>
      <w:r>
        <w:rPr>
          <w:rFonts w:ascii="Amiri" w:hAnsi="Amiri" w:eastAsia="Amiri" w:cs="Amiri"/>
          <w:color w:val="111111"/>
          <w:sz w:val="28"/>
          <w:sz w:val="28"/>
          <w:szCs w:val="28"/>
          <w:rtl w:val="true"/>
          <w:lang w:bidi="ar-SA"/>
        </w:rPr>
        <w:t>باطل،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Style w:val="FootnoteAnchor"/>
          <w:rtl w:val="true"/>
        </w:rPr>
        <w:footnoteReference w:id="472"/>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Style w:val="FootnoteAnchor"/>
          <w:rtl w:val="true"/>
        </w:rPr>
        <w:footnoteReference w:id="473"/>
      </w:r>
      <w:r>
        <w:rPr>
          <w:rFonts w:ascii="IRNazanin" w:hAnsi="IRNazanin" w:eastAsia="IRNazanin"/>
          <w:color w:val="111111"/>
          <w:sz w:val="28"/>
          <w:sz w:val="28"/>
          <w:szCs w:val="28"/>
          <w:rtl w:val="true"/>
          <w:lang w:bidi="fa-IR"/>
        </w:rPr>
        <w:t>، و احتجاجه بأنّ الأصل بطلان الاستثناء</w:t>
      </w:r>
    </w:p>
    <w:p>
      <w:pPr>
        <w:pStyle w:val="BookText"/>
        <w:rPr/>
      </w:pPr>
      <w:r>
        <w:rPr>
          <w:rFonts w:ascii="IRNazanin" w:hAnsi="IRNazanin" w:eastAsia="IRNazanin"/>
          <w:color w:val="111111"/>
          <w:sz w:val="28"/>
          <w:sz w:val="28"/>
          <w:szCs w:val="28"/>
          <w:rtl w:val="true"/>
          <w:lang w:bidi="fa-IR"/>
        </w:rPr>
        <w:t>خرج عنه القلیل لأنّه فی معرض النسیان، فیبقی الأکثر و المساوی</w:t>
      </w:r>
      <w:r>
        <w:rPr>
          <w:rStyle w:val="FootnoteAnchor"/>
          <w:rtl w:val="true"/>
        </w:rPr>
        <w:footnoteReference w:id="474"/>
      </w:r>
      <w:r>
        <w:rPr>
          <w:rFonts w:ascii="IRNazanin" w:hAnsi="IRNazanin" w:eastAsia="IRNazanin"/>
          <w:color w:val="111111"/>
          <w:sz w:val="28"/>
          <w:sz w:val="28"/>
          <w:szCs w:val="28"/>
          <w:rtl w:val="true"/>
          <w:lang w:bidi="fa-IR"/>
        </w:rPr>
        <w:t>ضعیف، لأنّ المستثنی و المستثنی منه کاللفظ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الاستثناء من الإثبات نفی إجماعا، و بالعکس، خلافا لأبی حنیفة</w:t>
      </w:r>
      <w:r>
        <w:rPr>
          <w:rStyle w:val="FootnoteAnchor"/>
          <w:rtl w:val="true"/>
        </w:rPr>
        <w:footnoteReference w:id="475"/>
      </w:r>
      <w:r>
        <w:rPr>
          <w:rFonts w:ascii="IRNazanin" w:hAnsi="IRNazanin" w:eastAsia="IRNazanin"/>
          <w:color w:val="111111"/>
          <w:sz w:val="28"/>
          <w:sz w:val="28"/>
          <w:szCs w:val="28"/>
          <w:rtl w:val="true"/>
          <w:lang w:bidi="fa-IR"/>
        </w:rPr>
        <w:t>، و إلّا لم یکتف فی الإسلام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الثبوت</w:t>
      </w:r>
      <w:r>
        <w:rPr>
          <w:rStyle w:val="FootnoteAnchor"/>
          <w:rtl w:val="true"/>
        </w:rPr>
        <w:footnoteReference w:id="476"/>
      </w:r>
      <w:r>
        <w:rPr>
          <w:rFonts w:ascii="IRNazanin" w:hAnsi="IRNazanin" w:eastAsia="IRNazanin"/>
          <w:color w:val="111111"/>
          <w:sz w:val="28"/>
          <w:sz w:val="28"/>
          <w:szCs w:val="28"/>
          <w:rtl w:val="true"/>
          <w:lang w:bidi="fa-IR"/>
        </w:rPr>
        <w:t>فی قوله</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w:t>
      </w:r>
      <w:r>
        <w:rPr>
          <w:rStyle w:val="FootnoteAnchor"/>
          <w:rtl w:val="true"/>
        </w:rPr>
        <w:footnoteReference w:id="479"/>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بأنّ الاستثناء یقتضی رفع الحکم، و هو أعم من الحکم بالنفی و الإثبات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 اللفظ یدل علی الصورة الذهنیة المطابقة للخارجیة، و صرف</w:t>
      </w:r>
      <w:r>
        <w:rPr>
          <w:rStyle w:val="FootnoteAnchor"/>
          <w:rtl w:val="true"/>
        </w:rPr>
        <w:footnoteReference w:id="481"/>
      </w:r>
      <w:r>
        <w:rPr>
          <w:rFonts w:ascii="IRNazanin" w:hAnsi="IRNazanin" w:eastAsia="IRNazanin"/>
          <w:color w:val="111111"/>
          <w:sz w:val="28"/>
          <w:sz w:val="28"/>
          <w:szCs w:val="28"/>
          <w:rtl w:val="true"/>
          <w:lang w:bidi="fa-IR"/>
        </w:rPr>
        <w:t>الاستثناء إلی الحکم یقتضی زواله، و لا یستلزم الحکم بالثبوت، و صرفه إلی العدم الخارجی یقتضی نفی العدم، و هو یستلزم الثبوت، لکن الأوّل أولی، لأنّ تعلق الألفاظ بالامور الذهنیة بالذات، و الخارجیة بتوسط الذهنیة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 أنّ الإخراج لیس من الصلاة و النکاح، فلا بد من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صلاة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نکاح إلّا نکاحا 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w:t>
      </w:r>
      <w:r>
        <w:rPr>
          <w:rStyle w:val="FootnoteAnchor"/>
          <w:rtl w:val="true"/>
        </w:rPr>
        <w:footnoteReference w:id="483"/>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واردان فی طرف الإثبات أیضا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فی تقدیر الاستثناء،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بالمستثنی منه الباقی، و حرف الاستثناء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بانتفاء الإخراج منه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و المستثنی منه عبارة عن الباقی، فله صیغتان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بالمستثنی منه معناه، ثمّ اخرج بالاستثناء بعضه، و اسند بعد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تعدد الاستثناء، رجع الجمیع إلی المستثنی منه مع العطف، أو مساواة الثانی</w:t>
      </w:r>
      <w:r>
        <w:rPr>
          <w:rStyle w:val="FootnoteAnchor"/>
          <w:rtl w:val="true"/>
        </w:rPr>
        <w:footnoteReference w:id="485"/>
      </w:r>
      <w:r>
        <w:rPr>
          <w:rFonts w:ascii="IRNazanin" w:hAnsi="IRNazanin" w:eastAsia="IRNazanin"/>
          <w:color w:val="111111"/>
          <w:sz w:val="28"/>
          <w:sz w:val="28"/>
          <w:szCs w:val="28"/>
          <w:rtl w:val="true"/>
          <w:lang w:bidi="fa-IR"/>
        </w:rPr>
        <w:t>أو زیادته، و إلّا رجع الثانی</w:t>
      </w:r>
      <w:r>
        <w:rPr>
          <w:rStyle w:val="FootnoteAnchor"/>
          <w:rtl w:val="true"/>
        </w:rPr>
        <w:footnoteReference w:id="486"/>
      </w:r>
      <w:r>
        <w:rPr>
          <w:rFonts w:ascii="IRNazanin" w:hAnsi="IRNazanin" w:eastAsia="IRNazanin"/>
          <w:color w:val="111111"/>
          <w:sz w:val="28"/>
          <w:sz w:val="28"/>
          <w:szCs w:val="28"/>
          <w:rtl w:val="true"/>
          <w:lang w:bidi="fa-IR"/>
        </w:rPr>
        <w:t>إلی متلوّه، لا إلی المجموع</w:t>
      </w:r>
      <w:r>
        <w:rPr>
          <w:rStyle w:val="FootnoteAnchor"/>
          <w:rtl w:val="true"/>
        </w:rPr>
        <w:footnoteReference w:id="487"/>
      </w:r>
      <w:r>
        <w:rPr>
          <w:rFonts w:ascii="IRNazanin" w:hAnsi="IRNazanin" w:eastAsia="IRNazanin"/>
          <w:color w:val="111111"/>
          <w:sz w:val="28"/>
          <w:sz w:val="28"/>
          <w:szCs w:val="28"/>
          <w:rtl w:val="true"/>
          <w:lang w:bidi="fa-IR"/>
        </w:rPr>
        <w:t>، و لا إلی المستثنی منه، و إلّا لزم التناقض أو ترجیح العود إلی الأبعد مع الصلاحیة إلی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تعقب الجمل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الجمیع، قیاسا علی الشرط، و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خمسة و خمسة إلّا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لاقتضاء العطف التسویة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الأخیرة، لأنّه خلاف الأصل، فیصار إلیه لدفع محذور الهذریة فیما یرفع الضرورة و هو الواحد، و اختصت الأخیرة للقرب، و لأنّه یرجع إلی الأخیرة فی الاستثناء من الاستثناء، فکذا فی غیره دفعا للاشتراک و المجاز، و لأنّ الظاهر أنّه لم ینتقل</w:t>
      </w:r>
      <w:r>
        <w:rPr>
          <w:rStyle w:val="FootnoteAnchor"/>
          <w:rtl w:val="true"/>
        </w:rPr>
        <w:footnoteReference w:id="489"/>
      </w:r>
      <w:r>
        <w:rPr>
          <w:rFonts w:ascii="IRNazanin" w:hAnsi="IRNazanin" w:eastAsia="IRNazanin"/>
          <w:color w:val="111111"/>
          <w:sz w:val="28"/>
          <w:sz w:val="28"/>
          <w:szCs w:val="28"/>
          <w:rtl w:val="true"/>
          <w:lang w:bidi="fa-IR"/>
        </w:rPr>
        <w:t>عن الاولی إلّا بعد استیفاء غرضه منها</w:t>
      </w:r>
      <w:r>
        <w:rPr>
          <w:rStyle w:val="FootnoteAnchor"/>
          <w:rtl w:val="true"/>
        </w:rPr>
        <w:footnoteReference w:id="4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المرتضی رضی اللّه عنه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لأنّ الاستعمال دلیل الحقیقة، و قد وجد فیهما، و لحسن الاستفهام، و لصحة حمل کل الجمل أو بعضها فی الحال و الظرفین، فکذا فی الاستثناء</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ظهر الإضراب عن الاولی، بأن یختلفا نوعا سواء اتحدت القضیة کالقذف، أو لا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ربیعة و العلماء هم الفقهاء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اسما و حکما و یتحد النوع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ربیعة و أکرم مضر إلّا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أحدهما و اتحد النوع</w:t>
      </w:r>
      <w:r>
        <w:rPr>
          <w:rStyle w:val="FootnoteAnchor"/>
          <w:rtl w:val="true"/>
        </w:rPr>
        <w:footnoteReference w:id="492"/>
      </w:r>
      <w:r>
        <w:rPr>
          <w:rFonts w:ascii="IRNazanin" w:hAnsi="IRNazanin" w:eastAsia="IRNazanin"/>
          <w:color w:val="111111"/>
          <w:sz w:val="28"/>
          <w:sz w:val="28"/>
          <w:szCs w:val="28"/>
          <w:rtl w:val="true"/>
          <w:lang w:bidi="fa-IR"/>
        </w:rPr>
        <w:t>و لیس الثانی ضمیرا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ربیعة و أطعم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ربیعة و أکرم ربیعة إلّا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الاستثناء یرجع إلی الأخیرة، و إن تعلقت إحداهما بالاخری بأن اضمر حکم الاولی فی الثانیة،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ربیعة و مضر إلّا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 الاولی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ربیعة و اخلع علیهم إلّا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 إلی</w:t>
      </w:r>
    </w:p>
    <w:p>
      <w:pPr>
        <w:pStyle w:val="BookText"/>
        <w:rPr/>
      </w:pPr>
      <w:r>
        <w:rPr>
          <w:rFonts w:ascii="IRNazanin" w:hAnsi="IRNazanin" w:eastAsia="IRNazanin"/>
          <w:color w:val="111111"/>
          <w:sz w:val="28"/>
          <w:sz w:val="28"/>
          <w:szCs w:val="28"/>
          <w:rtl w:val="true"/>
          <w:lang w:bidi="fa-IR"/>
        </w:rPr>
        <w:t>الجمیع</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التفصیل حسن، و قد اعترضنا علی ما تقدم من الأدلة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الشرط، و هو ما یتوقف علیه تأثیر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صیغته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تختص بالمحتمل،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تشترک بینه و بین المتحقق،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شرطه الاتصال، و الأولی تقدیمه لفظا، لتقدمه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یتحد الشرط و المشروط، و قد یتعددان، أو أحدهما، إمّا علی الجمع</w:t>
      </w:r>
      <w:r>
        <w:rPr>
          <w:rStyle w:val="FootnoteAnchor"/>
          <w:rtl w:val="true"/>
        </w:rPr>
        <w:footnoteReference w:id="494"/>
      </w:r>
      <w:r>
        <w:rPr>
          <w:rFonts w:ascii="IRNazanin" w:hAnsi="IRNazanin" w:eastAsia="IRNazanin"/>
          <w:color w:val="111111"/>
          <w:sz w:val="28"/>
          <w:sz w:val="28"/>
          <w:szCs w:val="28"/>
          <w:rtl w:val="true"/>
          <w:lang w:bidi="fa-IR"/>
        </w:rPr>
        <w:t>أو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فی الرجوع إلی الجمیع فی الجمل المتعددة أو ما یلیه حکم الاستثناء، سواء تقدّم أو تأخر، و وافق أبو حنیفة الشافعی هنا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الشرط إمّا عقلی کالحیاة، أو شرعی کالطهارة، أو لغوی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دخلت الدار أکرمتک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المشروط یحصل عند وجود المؤثر، و أوّل زمان وجود الشرط إن أمکن وجوده دفعة، و إلّا بآخر</w:t>
      </w:r>
      <w:r>
        <w:rPr>
          <w:rStyle w:val="FootnoteAnchor"/>
          <w:rtl w:val="true"/>
        </w:rPr>
        <w:footnoteReference w:id="496"/>
      </w:r>
      <w:r>
        <w:rPr>
          <w:rFonts w:ascii="IRNazanin" w:hAnsi="IRNazanin" w:eastAsia="IRNazanin"/>
          <w:color w:val="111111"/>
          <w:sz w:val="28"/>
          <w:sz w:val="28"/>
          <w:szCs w:val="28"/>
          <w:rtl w:val="true"/>
          <w:lang w:bidi="fa-IR"/>
        </w:rPr>
        <w:t>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الصفة و هی تقتضی تخصیص الموصوف بها،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بنی تمیم الطوال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 فی الرجوع</w:t>
      </w:r>
      <w:r>
        <w:rPr>
          <w:rStyle w:val="FootnoteAnchor"/>
          <w:rtl w:val="true"/>
        </w:rPr>
        <w:footnoteReference w:id="497"/>
      </w:r>
      <w:r>
        <w:rPr>
          <w:rFonts w:ascii="IRNazanin" w:hAnsi="IRNazanin" w:eastAsia="IRNazanin"/>
          <w:color w:val="111111"/>
          <w:sz w:val="28"/>
          <w:sz w:val="28"/>
          <w:szCs w:val="28"/>
          <w:rtl w:val="true"/>
          <w:lang w:bidi="fa-IR"/>
        </w:rPr>
        <w:t>إلی الجمیع فی المتعددة</w:t>
      </w:r>
      <w:r>
        <w:rPr>
          <w:rStyle w:val="FootnoteAnchor"/>
          <w:rtl w:val="true"/>
        </w:rPr>
        <w:footnoteReference w:id="498"/>
      </w:r>
      <w:r>
        <w:rPr>
          <w:rFonts w:ascii="IRNazanin" w:hAnsi="IRNazanin" w:eastAsia="IRNazanin"/>
          <w:color w:val="111111"/>
          <w:sz w:val="28"/>
          <w:sz w:val="28"/>
          <w:szCs w:val="28"/>
          <w:rtl w:val="true"/>
          <w:lang w:bidi="fa-IR"/>
        </w:rPr>
        <w:t>أو إلی الأخیرة کالاستثناء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الغایة و هی طرف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ألفاظها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مخالفة ما بعدها لما قبلها، و إلّا لم تکن غایة إذا</w:t>
      </w:r>
      <w:r>
        <w:rPr>
          <w:rStyle w:val="FootnoteAnchor"/>
          <w:rtl w:val="true"/>
        </w:rPr>
        <w:footnoteReference w:id="499"/>
      </w:r>
      <w:r>
        <w:rPr>
          <w:rFonts w:ascii="IRNazanin" w:hAnsi="IRNazanin" w:eastAsia="IRNazanin"/>
          <w:color w:val="111111"/>
          <w:sz w:val="28"/>
          <w:sz w:val="28"/>
          <w:szCs w:val="28"/>
          <w:rtl w:val="true"/>
          <w:lang w:bidi="fa-IR"/>
        </w:rPr>
        <w:t>کانت منفصلة بمفصل محسوس کصیام النهار، و إلّا فلا کالمرفق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تعددها، و إلّا لکانت الأخیرة هی الطرف إن ترتبت، أو المجموع هو الغایة إن اتفقت</w:t>
      </w:r>
      <w:r>
        <w:rPr>
          <w:rFonts w:eastAsia="IRNazanin" w:cs="IRNazanin"/>
          <w:color w:val="111111"/>
          <w:sz w:val="28"/>
          <w:szCs w:val="28"/>
          <w:rtl w:val="true"/>
          <w:lang w:bidi="fa-IR"/>
        </w:rPr>
        <w:t>.</w:t>
      </w:r>
      <w:bookmarkStart w:id="255" w:name="pg2360_37059"/>
    </w:p>
    <w:p>
      <w:pPr>
        <w:pStyle w:val="Heading3"/>
        <w:numPr>
          <w:ilvl w:val="2"/>
          <w:numId w:val="1"/>
        </w:numPr>
        <w:rPr/>
      </w:pPr>
      <w:bookmarkStart w:id="256" w:name="__RefHeading___Toc2792592_3804643083"/>
      <w:bookmarkStart w:id="257" w:name="_Toc99"/>
      <w:bookmarkEnd w:id="255"/>
      <w:bookmarkEnd w:id="256"/>
      <w:r>
        <w:rPr>
          <w:rtl w:val="true"/>
        </w:rPr>
        <w:t>الفصل الثالث</w:t>
      </w:r>
      <w:r>
        <w:rPr>
          <w:rtl w:val="true"/>
        </w:rPr>
        <w:t xml:space="preserve">: </w:t>
      </w:r>
      <w:r>
        <w:rPr>
          <w:rtl w:val="true"/>
        </w:rPr>
        <w:t>فی المخصوص بالمنفصل</w:t>
      </w:r>
      <w:bookmarkEnd w:id="257"/>
    </w:p>
    <w:p>
      <w:pPr>
        <w:pStyle w:val="Heading4"/>
        <w:numPr>
          <w:ilvl w:val="3"/>
          <w:numId w:val="1"/>
        </w:numPr>
        <w:rPr/>
      </w:pPr>
      <w:bookmarkStart w:id="258" w:name="__RefHeading___Toc2792594_3804643083"/>
      <w:bookmarkStart w:id="259" w:name="_Toc100"/>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60" w:name="__RefHeading___Toc2792596_3804643083"/>
      <w:bookmarkStart w:id="261" w:name="_Toc101"/>
      <w:bookmarkEnd w:id="260"/>
      <w:r>
        <w:rPr>
          <w:rtl w:val="true"/>
        </w:rPr>
        <w:t>الأوّل</w:t>
      </w:r>
      <w:r>
        <w:rPr>
          <w:rtl w:val="true"/>
        </w:rPr>
        <w:t xml:space="preserve">: </w:t>
      </w:r>
      <w:r>
        <w:rPr>
          <w:rtl w:val="true"/>
        </w:rPr>
        <w:t>یجوز التخصیص بالعقل،</w:t>
      </w:r>
      <w:bookmarkEnd w:id="261"/>
    </w:p>
    <w:p>
      <w:pPr>
        <w:pStyle w:val="BookText"/>
        <w:rPr/>
      </w:pPr>
      <w:r>
        <w:rPr>
          <w:rFonts w:ascii="IRNazanin" w:hAnsi="IRNazanin" w:eastAsia="IRNazanin"/>
          <w:color w:val="111111"/>
          <w:sz w:val="28"/>
          <w:sz w:val="28"/>
          <w:szCs w:val="28"/>
          <w:rtl w:val="true"/>
          <w:lang w:bidi="fa-IR"/>
        </w:rPr>
        <w:t>إمّا ضرورة کإخراجه تعالی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فإنّ الضرورة تقضی بامتناع</w:t>
      </w:r>
      <w:r>
        <w:rPr>
          <w:rStyle w:val="FootnoteAnchor"/>
          <w:rtl w:val="true"/>
        </w:rPr>
        <w:footnoteReference w:id="501"/>
      </w:r>
      <w:r>
        <w:rPr>
          <w:rFonts w:ascii="IRNazanin" w:hAnsi="IRNazanin" w:eastAsia="IRNazanin"/>
          <w:color w:val="111111"/>
          <w:sz w:val="28"/>
          <w:sz w:val="28"/>
          <w:szCs w:val="28"/>
          <w:rtl w:val="true"/>
          <w:lang w:bidi="fa-IR"/>
        </w:rPr>
        <w:t>خلقه لذاته، أو نظرا کإخراج الصبی و المجنون من آیة الحج</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 متأخر، و بالقیاس علی امتناع النسخ به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الصغری، و یبطل القیاس بمقطوع الید، فإنّ غسلها منسوخ عنه عقلا</w:t>
      </w:r>
      <w:r>
        <w:rPr>
          <w:rStyle w:val="FootnoteAnchor"/>
          <w:rtl w:val="true"/>
        </w:rPr>
        <w:footnoteReference w:id="5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2792598_3804643083"/>
      <w:bookmarkStart w:id="263" w:name="_Toc102"/>
      <w:bookmarkEnd w:id="262"/>
      <w:r>
        <w:rPr>
          <w:rtl w:val="true"/>
        </w:rPr>
        <w:t>البحث الثانی</w:t>
      </w:r>
      <w:r>
        <w:rPr>
          <w:rtl w:val="true"/>
        </w:rPr>
        <w:t xml:space="preserve">: </w:t>
      </w:r>
      <w:r>
        <w:rPr>
          <w:rtl w:val="true"/>
        </w:rPr>
        <w:t>یجوز تخصیص الکتاب بالکتاب،</w:t>
      </w:r>
      <w:bookmarkEnd w:id="2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لوقوعه فی قوله تعالی</w:t>
      </w:r>
      <w:r>
        <w:rPr>
          <w:rFonts w:eastAsia="IRNazanin" w:cs="IRNazanin"/>
          <w:color w:val="111111"/>
          <w:sz w:val="28"/>
          <w:szCs w:val="28"/>
          <w:rtl w:val="true"/>
          <w:lang w:bidi="fa-IR"/>
        </w:rPr>
        <w:t>:</w:t>
      </w:r>
      <w:bookmarkStart w:id="264" w:name="pg2360_37060"/>
    </w:p>
    <w:p>
      <w:pPr>
        <w:pStyle w:val="BookText"/>
        <w:rPr/>
      </w:pPr>
      <w:bookmarkEnd w:id="264"/>
      <w:r>
        <w:rPr>
          <w:rFonts w:ascii="Amiri" w:hAnsi="Amiri" w:eastAsia="Amiri" w:cs="Amiri"/>
          <w:color w:val="111111"/>
          <w:sz w:val="28"/>
          <w:sz w:val="28"/>
          <w:szCs w:val="28"/>
          <w:rtl w:val="true"/>
          <w:lang w:bidi="ar-SA"/>
        </w:rPr>
        <w:t>وَ الْمُطَلَّقاتُ یَتَرَبَّصْنَ بِأَنْفُسِهِنَ</w:t>
      </w:r>
      <w:r>
        <w:rPr>
          <w:rStyle w:val="FootnoteAnchor"/>
          <w:rtl w:val="true"/>
        </w:rPr>
        <w:footnoteReference w:id="505"/>
      </w: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أُولاتُ الْأَحْمالِ أَجَلُهُنَّ أَنْ یَضَعْنَ حَمْلَهُنَ</w:t>
      </w:r>
      <w:r>
        <w:rPr>
          <w:rStyle w:val="FootnoteAnchor"/>
          <w:rtl w:val="true"/>
        </w:rPr>
        <w:footnoteReference w:id="506"/>
      </w:r>
      <w:r>
        <w:rPr>
          <w:rFonts w:ascii="Amiri" w:hAnsi="Amiri" w:eastAsia="Amiri" w:cs="Amiri"/>
          <w:color w:val="111111"/>
          <w:sz w:val="28"/>
          <w:sz w:val="28"/>
          <w:szCs w:val="28"/>
          <w:rtl w:val="true"/>
          <w:lang w:bidi="ar-SA"/>
        </w:rPr>
        <w:t>،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w:t>
      </w:r>
      <w:r>
        <w:rPr>
          <w:rStyle w:val="FootnoteAnchor"/>
          <w:rtl w:val="true"/>
        </w:rPr>
        <w:footnoteReference w:id="507"/>
      </w: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w:t>
      </w:r>
      <w:r>
        <w:rPr>
          <w:rStyle w:val="FootnoteAnchor"/>
          <w:rtl w:val="true"/>
        </w:rPr>
        <w:footnoteReference w:id="508"/>
      </w:r>
      <w:r>
        <w:rPr>
          <w:rFonts w:ascii="IRNazanin" w:hAnsi="IRNazanin" w:eastAsia="IRNazanin"/>
          <w:color w:val="111111"/>
          <w:sz w:val="28"/>
          <w:sz w:val="28"/>
          <w:szCs w:val="28"/>
          <w:rtl w:val="true"/>
          <w:lang w:bidi="fa-IR"/>
        </w:rPr>
        <w:t>، و لاستحالة العمل بهما، و إهمالهما، و بالعام فی جمیع الصور، فتعین العمل به فی غیر صورة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احتجت الظاهریة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لِتُبَیِّنَ لِلنَّاسِ ما نُزِّلَ إِلَیْهِمْ</w:t>
      </w:r>
      <w:r>
        <w:rPr>
          <w:rStyle w:val="FootnoteAnchor"/>
          <w:rtl w:val="true"/>
        </w:rPr>
        <w:footnoteReference w:id="509"/>
      </w:r>
      <w:r>
        <w:rPr>
          <w:rFonts w:ascii="IRNazanin" w:hAnsi="IRNazanin" w:eastAsia="IRNazanin"/>
          <w:color w:val="111111"/>
          <w:sz w:val="28"/>
          <w:sz w:val="28"/>
          <w:szCs w:val="28"/>
          <w:rtl w:val="true"/>
          <w:lang w:bidi="fa-IR"/>
        </w:rPr>
        <w:t>فلا یحصل التخصیص إلّا بقوله علیه السّلام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تِبْیاناً لِکُلِّ شَیْ‌ءٍ</w:t>
      </w:r>
      <w:r>
        <w:rPr>
          <w:rStyle w:val="FootnoteAnchor"/>
          <w:rtl w:val="true"/>
        </w:rPr>
        <w:footnoteReference w:id="511"/>
      </w:r>
      <w:r>
        <w:rPr>
          <w:rFonts w:ascii="IRNazanin" w:hAnsi="IRNazanin" w:eastAsia="IRNazanin"/>
          <w:color w:val="111111"/>
          <w:sz w:val="28"/>
          <w:sz w:val="28"/>
          <w:szCs w:val="28"/>
          <w:rtl w:val="true"/>
          <w:lang w:bidi="fa-IR"/>
        </w:rPr>
        <w:t>، و لأنّ تلاوته بیان، و لاختصاصه بالمشتبه، و لا اشتباه مع ورود التخصیص</w:t>
      </w:r>
      <w:r>
        <w:rPr>
          <w:rFonts w:eastAsia="IRNazanin" w:cs="IRNazanin"/>
          <w:color w:val="111111"/>
          <w:sz w:val="28"/>
          <w:szCs w:val="28"/>
          <w:rtl w:val="true"/>
          <w:lang w:bidi="fa-IR"/>
        </w:rPr>
        <w:t>.</w:t>
      </w:r>
    </w:p>
    <w:p>
      <w:pPr>
        <w:pStyle w:val="Heading4"/>
        <w:numPr>
          <w:ilvl w:val="3"/>
          <w:numId w:val="1"/>
        </w:numPr>
        <w:rPr/>
      </w:pPr>
      <w:bookmarkStart w:id="265" w:name="__RefHeading___Toc2792600_3804643083"/>
      <w:bookmarkStart w:id="266" w:name="_Toc103"/>
      <w:bookmarkEnd w:id="265"/>
      <w:r>
        <w:rPr>
          <w:rtl w:val="true"/>
        </w:rPr>
        <w:t>البحث الثالث</w:t>
      </w:r>
      <w:r>
        <w:rPr>
          <w:rtl w:val="true"/>
        </w:rPr>
        <w:t xml:space="preserve">: </w:t>
      </w:r>
      <w:r>
        <w:rPr>
          <w:rtl w:val="true"/>
        </w:rPr>
        <w:t>یجوز تخصیص السنة المتواترة بمثلها،</w:t>
      </w:r>
      <w:bookmarkEnd w:id="266"/>
    </w:p>
    <w:p>
      <w:pPr>
        <w:pStyle w:val="BookText"/>
        <w:rPr/>
      </w:pPr>
      <w:r>
        <w:rPr>
          <w:rFonts w:ascii="IRNazanin" w:hAnsi="IRNazanin" w:eastAsia="IRNazanin"/>
          <w:color w:val="111111"/>
          <w:sz w:val="28"/>
          <w:sz w:val="28"/>
          <w:szCs w:val="28"/>
          <w:rtl w:val="true"/>
          <w:lang w:bidi="fa-IR"/>
        </w:rPr>
        <w:t>کتخصیص قوله علیه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فیما دون خمسة أوسق صدقة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267" w:name="pg2360_37061"/>
    </w:p>
    <w:p>
      <w:pPr>
        <w:pStyle w:val="BookText"/>
        <w:rPr/>
      </w:pPr>
      <w:bookmarkEnd w:id="267"/>
      <w:r>
        <w:rPr>
          <w:rFonts w:ascii="Amiri" w:hAnsi="Amiri" w:eastAsia="Amiri" w:cs="Amiri"/>
          <w:color w:val="111111"/>
          <w:sz w:val="28"/>
          <w:sz w:val="28"/>
          <w:szCs w:val="28"/>
          <w:rtl w:val="true"/>
          <w:lang w:bidi="ar-SA"/>
        </w:rPr>
        <w:t>و بالقرآن،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تِبْیاناً لِکُلِّ شَیْ‌ءٍ</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بها، کتخصیص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w:t>
      </w:r>
      <w:r>
        <w:rPr>
          <w:rStyle w:val="FootnoteAnchor"/>
          <w:rtl w:val="true"/>
        </w:rPr>
        <w:footnoteReference w:id="515"/>
      </w:r>
      <w:r>
        <w:rPr>
          <w:rFonts w:ascii="IRNazanin" w:hAnsi="IRNazanin" w:eastAsia="IRNazanin"/>
          <w:color w:val="111111"/>
          <w:sz w:val="28"/>
          <w:sz w:val="28"/>
          <w:szCs w:val="28"/>
          <w:rtl w:val="true"/>
          <w:lang w:bidi="fa-IR"/>
        </w:rPr>
        <w:t>و آیة الجلد</w:t>
      </w:r>
      <w:r>
        <w:rPr>
          <w:rStyle w:val="FootnoteAnchor"/>
          <w:rtl w:val="true"/>
        </w:rPr>
        <w:footnoteReference w:id="516"/>
      </w:r>
      <w:r>
        <w:rPr>
          <w:rFonts w:ascii="IRNazanin" w:hAnsi="IRNazanin" w:eastAsia="IRNazanin"/>
          <w:color w:val="111111"/>
          <w:sz w:val="28"/>
          <w:sz w:val="28"/>
          <w:szCs w:val="28"/>
          <w:rtl w:val="true"/>
          <w:lang w:bidi="fa-IR"/>
        </w:rPr>
        <w:t>برجم المحصن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تخصیصهما بالإجماع، کتخصیص آیة الإرث</w:t>
      </w:r>
      <w:r>
        <w:rPr>
          <w:rStyle w:val="FootnoteAnchor"/>
          <w:rtl w:val="true"/>
        </w:rPr>
        <w:footnoteReference w:id="517"/>
      </w:r>
      <w:r>
        <w:rPr>
          <w:rFonts w:ascii="IRNazanin" w:hAnsi="IRNazanin" w:eastAsia="IRNazanin"/>
          <w:color w:val="111111"/>
          <w:sz w:val="28"/>
          <w:sz w:val="28"/>
          <w:szCs w:val="28"/>
          <w:rtl w:val="true"/>
          <w:lang w:bidi="fa-IR"/>
        </w:rPr>
        <w:t>بالإجماع علی أنّ العبد لا 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تخصیصه بهما، لأنّ وقوعه مع سبق أحدهما خطأ</w:t>
      </w:r>
      <w:r>
        <w:rPr>
          <w:rFonts w:eastAsia="IRNazanin" w:cs="IRNazanin"/>
          <w:color w:val="111111"/>
          <w:sz w:val="28"/>
          <w:szCs w:val="28"/>
          <w:rtl w:val="true"/>
          <w:lang w:bidi="fa-IR"/>
        </w:rPr>
        <w:t>.</w:t>
      </w:r>
    </w:p>
    <w:p>
      <w:pPr>
        <w:pStyle w:val="Heading4"/>
        <w:numPr>
          <w:ilvl w:val="3"/>
          <w:numId w:val="1"/>
        </w:numPr>
        <w:rPr/>
      </w:pPr>
      <w:bookmarkStart w:id="268" w:name="__RefHeading___Toc2792602_3804643083"/>
      <w:bookmarkStart w:id="269" w:name="_Toc104"/>
      <w:bookmarkEnd w:id="268"/>
      <w:r>
        <w:rPr>
          <w:rtl w:val="true"/>
        </w:rPr>
        <w:t>البحث الرابع</w:t>
      </w:r>
      <w:r>
        <w:rPr>
          <w:rtl w:val="true"/>
        </w:rPr>
        <w:t xml:space="preserve">: </w:t>
      </w:r>
      <w:r>
        <w:rPr>
          <w:rtl w:val="true"/>
        </w:rPr>
        <w:t>یجوز تخصیص الکتاب و السنة المتواترة بفعله علیه السّلام إن تناوله حکم الخطاب فی حقّه</w:t>
      </w:r>
      <w:r>
        <w:rPr>
          <w:rtl w:val="true"/>
        </w:rPr>
        <w:t>.</w:t>
      </w:r>
      <w:bookmarkEnd w:id="269"/>
    </w:p>
    <w:p>
      <w:pPr>
        <w:pStyle w:val="Heading5"/>
        <w:numPr>
          <w:ilvl w:val="4"/>
          <w:numId w:val="1"/>
        </w:numPr>
        <w:rPr/>
      </w:pPr>
      <w:bookmarkStart w:id="270" w:name="__RefHeading___Toc2792604_3804643083"/>
      <w:bookmarkStart w:id="271" w:name="_Toc105"/>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ثمّ إن عمّ غیره و ثبت وجوب التأسی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 أو فی تلک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تخصیصا فی حقنا أیضا، لکن المخصص فی الحقیقة إنّما هو الفعل مع دلیل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اختص بنا و ثبت التأسی؛ کان الفعل و دلیل التأسی تخصیصا فی حقنا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المانع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التأسی عام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272" w:name="pg2360_37062"/>
    </w:p>
    <w:p>
      <w:pPr>
        <w:pStyle w:val="BookText"/>
        <w:rPr/>
      </w:pPr>
      <w:bookmarkEnd w:id="27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الدلیل مع الفعل</w:t>
      </w:r>
      <w:r>
        <w:rPr>
          <w:rFonts w:eastAsia="IRNazanin" w:cs="IRNazanin"/>
          <w:color w:val="111111"/>
          <w:sz w:val="28"/>
          <w:szCs w:val="28"/>
          <w:rtl w:val="true"/>
          <w:lang w:bidi="fa-IR"/>
        </w:rPr>
        <w:t>.</w:t>
      </w:r>
    </w:p>
    <w:p>
      <w:pPr>
        <w:pStyle w:val="Heading5"/>
        <w:numPr>
          <w:ilvl w:val="4"/>
          <w:numId w:val="1"/>
        </w:numPr>
        <w:rPr/>
      </w:pPr>
      <w:bookmarkStart w:id="273" w:name="__RefHeading___Toc2792606_3804643083"/>
      <w:bookmarkStart w:id="274" w:name="_Toc106"/>
      <w:bookmarkEnd w:id="273"/>
      <w:r>
        <w:rPr>
          <w:rtl w:val="true"/>
        </w:rPr>
        <w:t>تذنیب</w:t>
      </w:r>
      <w:bookmarkEnd w:id="274"/>
    </w:p>
    <w:p>
      <w:pPr>
        <w:pStyle w:val="BookText"/>
        <w:rPr/>
      </w:pPr>
      <w:r>
        <w:rPr>
          <w:rFonts w:ascii="IRNazanin" w:hAnsi="IRNazanin" w:eastAsia="IRNazanin"/>
          <w:color w:val="111111"/>
          <w:sz w:val="28"/>
          <w:sz w:val="28"/>
          <w:szCs w:val="28"/>
          <w:rtl w:val="true"/>
          <w:lang w:bidi="fa-IR"/>
        </w:rPr>
        <w:t>لو فعل أحد بحضرته علیه السّلام ما ینافی العام و لم ینکر علیه، کان مختصا به، فإن ثبت أنّ حکمه علیه السّلام فی الواحد حکمه علی الجمیع</w:t>
      </w:r>
      <w:r>
        <w:rPr>
          <w:rStyle w:val="FootnoteAnchor"/>
          <w:rtl w:val="true"/>
        </w:rPr>
        <w:footnoteReference w:id="5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أخر، و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علی الواحد حکمی علی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لم نعثر علیه فی کتب الحدیث، نعم أورده المجلسی فی البحار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عن الغوالی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التقریر تخصیصا للجمیع</w:t>
      </w:r>
      <w:r>
        <w:rPr>
          <w:rFonts w:eastAsia="IRNazanin" w:cs="IRNazanin"/>
          <w:color w:val="111111"/>
          <w:sz w:val="28"/>
          <w:szCs w:val="28"/>
          <w:rtl w:val="true"/>
          <w:lang w:bidi="fa-IR"/>
        </w:rPr>
        <w:t>.</w:t>
      </w:r>
    </w:p>
    <w:p>
      <w:pPr>
        <w:pStyle w:val="Heading4"/>
        <w:numPr>
          <w:ilvl w:val="3"/>
          <w:numId w:val="1"/>
        </w:numPr>
        <w:rPr/>
      </w:pPr>
      <w:bookmarkStart w:id="275" w:name="__RefHeading___Toc2792608_3804643083"/>
      <w:bookmarkStart w:id="276" w:name="_Toc107"/>
      <w:bookmarkEnd w:id="275"/>
      <w:r>
        <w:rPr>
          <w:rtl w:val="true"/>
        </w:rPr>
        <w:t>البحث الخامس</w:t>
      </w:r>
      <w:r>
        <w:rPr>
          <w:rtl w:val="true"/>
        </w:rPr>
        <w:t xml:space="preserve">: </w:t>
      </w:r>
      <w:r>
        <w:rPr>
          <w:rtl w:val="true"/>
        </w:rPr>
        <w:t>یجوز تخصیص الکتاب بخبر الواحد،</w:t>
      </w:r>
      <w:bookmarkEnd w:id="276"/>
    </w:p>
    <w:p>
      <w:pPr>
        <w:pStyle w:val="BookText"/>
        <w:rPr/>
      </w:pPr>
      <w:r>
        <w:rPr>
          <w:rFonts w:ascii="Amiri" w:hAnsi="Amiri" w:eastAsia="Amiri" w:cs="Amiri"/>
          <w:color w:val="111111"/>
          <w:sz w:val="28"/>
          <w:sz w:val="28"/>
          <w:szCs w:val="28"/>
          <w:rtl w:val="true"/>
          <w:lang w:bidi="ar-SA"/>
        </w:rPr>
        <w:t>لأنّهما دلیلان، و لا یجوز نفیهما، و لا العمل بهما، و لا بالعام فی جمیع موارده، فتعیّن التخصیص جمعا بین الدلیلین، و قد وقع، کتخصیص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w:t>
      </w:r>
      <w:r>
        <w:rPr>
          <w:rStyle w:val="FootnoteAnchor"/>
          <w:rtl w:val="true"/>
        </w:rPr>
        <w:footnoteReference w:id="520"/>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المرأة علی عمتها، و لا علی خالتها</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و کذا آیة الإرث</w:t>
      </w:r>
      <w:r>
        <w:rPr>
          <w:rStyle w:val="FootnoteAnchor"/>
          <w:rtl w:val="true"/>
        </w:rPr>
        <w:footnoteReference w:id="522"/>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الکافر المسلم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277" w:name="pg2360_37063"/>
    </w:p>
    <w:p>
      <w:pPr>
        <w:pStyle w:val="BookText"/>
        <w:rPr/>
      </w:pPr>
      <w:bookmarkEnd w:id="277"/>
      <w:r>
        <w:rPr>
          <w:rFonts w:ascii="IRNazanin" w:hAnsi="IRNazanin" w:eastAsia="IRNazanin"/>
          <w:color w:val="111111"/>
          <w:sz w:val="28"/>
          <w:sz w:val="28"/>
          <w:szCs w:val="28"/>
          <w:rtl w:val="true"/>
          <w:lang w:bidi="fa-IR"/>
        </w:rPr>
        <w:t>و السید المرتضی رضی اللّه عنه منع من ذلک، لأنّ خبر الواحد لیس حجة عنده، فکیف یعارض القرآن</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القاضی</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غیره</w:t>
      </w:r>
      <w:r>
        <w:rPr>
          <w:rStyle w:val="FootnoteAnchor"/>
          <w:rtl w:val="true"/>
        </w:rPr>
        <w:footnoteReference w:id="526"/>
      </w:r>
      <w:r>
        <w:rPr>
          <w:rFonts w:ascii="IRNazanin" w:hAnsi="IRNazanin" w:eastAsia="IRNazanin"/>
          <w:color w:val="111111"/>
          <w:sz w:val="28"/>
          <w:sz w:val="28"/>
          <w:szCs w:val="28"/>
          <w:rtl w:val="true"/>
          <w:lang w:bidi="fa-IR"/>
        </w:rPr>
        <w:t>، لأنّ العام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متنه قطعی و دلالته ظنیة، و خبر الواحد بالعکس، فتساویا</w:t>
      </w:r>
      <w:r>
        <w:rPr>
          <w:rFonts w:eastAsia="IRNazanin" w:cs="IRNazanin"/>
          <w:color w:val="111111"/>
          <w:sz w:val="28"/>
          <w:szCs w:val="28"/>
          <w:rtl w:val="true"/>
          <w:lang w:bidi="fa-IR"/>
        </w:rPr>
        <w:t>.</w:t>
      </w:r>
    </w:p>
    <w:p>
      <w:pPr>
        <w:pStyle w:val="Heading4"/>
        <w:numPr>
          <w:ilvl w:val="3"/>
          <w:numId w:val="1"/>
        </w:numPr>
        <w:rPr/>
      </w:pPr>
      <w:bookmarkStart w:id="278" w:name="__RefHeading___Toc2792610_3804643083"/>
      <w:bookmarkStart w:id="279" w:name="_Toc108"/>
      <w:bookmarkEnd w:id="278"/>
      <w:r>
        <w:rPr>
          <w:rtl w:val="true"/>
        </w:rPr>
        <w:t>البحث السادس</w:t>
      </w:r>
      <w:r>
        <w:rPr>
          <w:rtl w:val="true"/>
        </w:rPr>
        <w:t xml:space="preserve">: </w:t>
      </w:r>
      <w:r>
        <w:rPr>
          <w:rtl w:val="true"/>
        </w:rPr>
        <w:t>القیاس عندنا لیس بحجة،</w:t>
      </w:r>
      <w:bookmarkEnd w:id="279"/>
    </w:p>
    <w:p>
      <w:pPr>
        <w:pStyle w:val="BookText"/>
        <w:rPr/>
      </w:pPr>
      <w:r>
        <w:rPr>
          <w:rFonts w:ascii="IRNazanin" w:hAnsi="IRNazanin" w:eastAsia="IRNazanin"/>
          <w:color w:val="111111"/>
          <w:sz w:val="28"/>
          <w:sz w:val="28"/>
          <w:szCs w:val="28"/>
          <w:rtl w:val="true"/>
          <w:lang w:bidi="fa-IR"/>
        </w:rPr>
        <w:t>علی ما یأتی، فلا یکون مخصصا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نصّ فیه علی العلّة، فالأقوی عندی أنّه حجة، و حینئذ یجوز أن یکون مخصصا، کتخصیص وَ أَحَلَّ اللَّهُ الْبَیْعَ</w:t>
      </w:r>
      <w:r>
        <w:rPr>
          <w:rStyle w:val="FootnoteAnchor"/>
          <w:rtl w:val="true"/>
        </w:rPr>
        <w:footnoteReference w:id="527"/>
      </w:r>
      <w:r>
        <w:rPr>
          <w:rFonts w:ascii="IRNazanin" w:hAnsi="IRNazanin" w:eastAsia="IRNazanin"/>
          <w:color w:val="111111"/>
          <w:sz w:val="28"/>
          <w:sz w:val="28"/>
          <w:szCs w:val="28"/>
          <w:rtl w:val="true"/>
          <w:lang w:bidi="fa-IR"/>
        </w:rPr>
        <w:t>بالمنع من بیع الزبیب بالعنب</w:t>
      </w:r>
      <w:r>
        <w:rPr>
          <w:rStyle w:val="FootnoteAnchor"/>
          <w:rtl w:val="true"/>
        </w:rPr>
        <w:footnoteReference w:id="528"/>
      </w:r>
      <w:r>
        <w:rPr>
          <w:rFonts w:ascii="IRNazanin" w:hAnsi="IRNazanin" w:eastAsia="IRNazanin"/>
          <w:color w:val="111111"/>
          <w:sz w:val="28"/>
          <w:sz w:val="28"/>
          <w:szCs w:val="28"/>
          <w:rtl w:val="true"/>
          <w:lang w:bidi="fa-IR"/>
        </w:rPr>
        <w:t>، قیاسا علی بیع التمر بالرطب، لما نصّ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ینقص إذا جفّ</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لأنّهما دلیلان، و قد تعارضا، فلا یجوز إسقاطهما، و لا العمل بأحدهما دون الآخر، فتعیّن العمل بهما، و إنّما یصح مع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فی المفهوم،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مخصص لقوله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زکاة</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إن قلنا إنّه حجة، و إلّا فلا</w:t>
      </w:r>
      <w:r>
        <w:rPr>
          <w:rFonts w:eastAsia="Amiri" w:cs="Amiri" w:ascii="Amiri" w:hAnsi="Amiri"/>
          <w:color w:val="111111"/>
          <w:sz w:val="28"/>
          <w:szCs w:val="28"/>
          <w:rtl w:val="true"/>
          <w:lang w:bidi="ar-SA"/>
        </w:rPr>
        <w:t>.</w:t>
      </w:r>
      <w:bookmarkStart w:id="280" w:name="pg2360_37064"/>
    </w:p>
    <w:p>
      <w:pPr>
        <w:pStyle w:val="Heading4"/>
        <w:numPr>
          <w:ilvl w:val="3"/>
          <w:numId w:val="1"/>
        </w:numPr>
        <w:rPr/>
      </w:pPr>
      <w:bookmarkStart w:id="281" w:name="__RefHeading___Toc2792612_3804643083"/>
      <w:bookmarkStart w:id="282" w:name="_Toc109"/>
      <w:bookmarkEnd w:id="280"/>
      <w:bookmarkEnd w:id="281"/>
      <w:r>
        <w:rPr>
          <w:rtl w:val="true"/>
        </w:rPr>
        <w:t>البحث السابع</w:t>
      </w:r>
      <w:r>
        <w:rPr>
          <w:rtl w:val="true"/>
        </w:rPr>
        <w:t xml:space="preserve">: </w:t>
      </w:r>
      <w:r>
        <w:rPr>
          <w:rtl w:val="true"/>
        </w:rPr>
        <w:t>العام و الخاص المتعارضان إن اقترنا کان الخاص مخصصا له، لقوّة دلالته،</w:t>
      </w:r>
      <w:bookmarkEnd w:id="282"/>
    </w:p>
    <w:p>
      <w:pPr>
        <w:pStyle w:val="BookText"/>
        <w:rPr/>
      </w:pPr>
      <w:r>
        <w:rPr>
          <w:rFonts w:ascii="IRNazanin" w:hAnsi="IRNazanin" w:eastAsia="IRNazanin"/>
          <w:color w:val="111111"/>
          <w:sz w:val="28"/>
          <w:sz w:val="28"/>
          <w:szCs w:val="28"/>
          <w:rtl w:val="true"/>
          <w:lang w:bidi="fa-IR"/>
        </w:rPr>
        <w:t>و لأنّ فیه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تأخر الخاص قبل حضور وقت العمل بالعام، إن جوّزنا تأخیر البیان عن وقت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ورد بعد الوقت، کان ناسخا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تقدم، بنی العام علی الخاص،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حنیفة علی أنّ العام ناسخ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متأخر مناف، کما لو تأخر الخاص، و بقول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نأخذ بالأحدث فالأحدث</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و لأنّ العام کالناص علی الجزئیات، و لمّا کان الأصل ناسخا فکذا العام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أولی من النسخ، و یخصّ قول ابن عباس بالخاص المتأخر، و التنصیص علی الجزئیات لا یحتمل التخصیص، بخلاف العام فلا یساویه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جهل التاریخ بنی العام علی الخاص، لما تقدم، و لأنّ الفقهاء لم یزالوا یخصصون العام بالخاص مع عدم علمهم بالتاریخ</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حنیفة توقف، لتردده بین کونه مخصصا</w:t>
      </w:r>
      <w:r>
        <w:rPr>
          <w:rStyle w:val="FootnoteAnchor"/>
          <w:rtl w:val="true"/>
        </w:rPr>
        <w:footnoteReference w:id="534"/>
      </w:r>
      <w:r>
        <w:rPr>
          <w:rFonts w:ascii="IRNazanin" w:hAnsi="IRNazanin" w:eastAsia="IRNazanin"/>
          <w:color w:val="111111"/>
          <w:sz w:val="28"/>
          <w:sz w:val="28"/>
          <w:szCs w:val="28"/>
          <w:rtl w:val="true"/>
          <w:lang w:bidi="fa-IR"/>
        </w:rPr>
        <w:t>و ناسخا و منسوخا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283" w:name="pg2360_37065"/>
    </w:p>
    <w:p>
      <w:pPr>
        <w:pStyle w:val="Heading3"/>
        <w:numPr>
          <w:ilvl w:val="2"/>
          <w:numId w:val="1"/>
        </w:numPr>
        <w:rPr/>
      </w:pPr>
      <w:bookmarkStart w:id="284" w:name="__RefHeading___Toc2792614_3804643083"/>
      <w:bookmarkStart w:id="285" w:name="_Toc110"/>
      <w:bookmarkEnd w:id="283"/>
      <w:bookmarkEnd w:id="284"/>
      <w:r>
        <w:rPr>
          <w:rtl w:val="true"/>
        </w:rPr>
        <w:t>الفصل الرابع</w:t>
      </w:r>
      <w:r>
        <w:rPr>
          <w:rtl w:val="true"/>
        </w:rPr>
        <w:t xml:space="preserve">: </w:t>
      </w:r>
      <w:r>
        <w:rPr>
          <w:rtl w:val="true"/>
        </w:rPr>
        <w:t>فیما ظن أنّه مخصص و لیس کذلک</w:t>
      </w:r>
      <w:bookmarkEnd w:id="285"/>
    </w:p>
    <w:p>
      <w:pPr>
        <w:pStyle w:val="Heading4"/>
        <w:numPr>
          <w:ilvl w:val="3"/>
          <w:numId w:val="1"/>
        </w:numPr>
        <w:rPr/>
      </w:pPr>
      <w:bookmarkStart w:id="286" w:name="__RefHeading___Toc2792616_3804643083"/>
      <w:bookmarkStart w:id="287" w:name="_Toc111"/>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88" w:name="__RefHeading___Toc2792618_3804643083"/>
      <w:bookmarkStart w:id="289" w:name="_Toc112"/>
      <w:bookmarkEnd w:id="288"/>
      <w:r>
        <w:rPr>
          <w:rtl w:val="true"/>
        </w:rPr>
        <w:t>الأوّل</w:t>
      </w:r>
      <w:r>
        <w:rPr>
          <w:rtl w:val="true"/>
        </w:rPr>
        <w:t xml:space="preserve">: </w:t>
      </w:r>
      <w:r>
        <w:rPr>
          <w:rtl w:val="true"/>
        </w:rPr>
        <w:t>الجواب إن لم یستقل بنفسه لذاته،</w:t>
      </w:r>
      <w:bookmarkEnd w:id="289"/>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ینقص إذا جفّ</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أو للعرف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بالسؤال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استقل فلا إشکال فی المساوی، و الأعم فی غیر محل السؤال، و الأخص إن کان فی الجواب تنبیه علی الباقی، و کان السائل مجتهدا، و لا تفوت المصلحة بالاجتهاد، و 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الأعم فی محل السؤال فالحق أنّ العبرة بعموم اللفظ، لا بخصوص السبب، لقیام المقتضی، و هو اللفظ الموضوع له السالم عن کون خصوص السبب مانعا، 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بالعام و لا تخصّوه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أکثر الوقائع وردت علی أسباب خاصّة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الشافعی علی أحد قولیه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إن کان ما وقع السؤال عنه تخصص به، و إلّا لزم تأخیر البیان عن وقت</w:t>
      </w:r>
      <w:r>
        <w:rPr>
          <w:rStyle w:val="FootnoteAnchor"/>
          <w:rtl w:val="true"/>
        </w:rPr>
        <w:footnoteReference w:id="537"/>
      </w:r>
      <w:r>
        <w:rPr>
          <w:rFonts w:ascii="Amiri" w:hAnsi="Amiri" w:eastAsia="Amiri" w:cs="Amiri"/>
          <w:color w:val="111111"/>
          <w:sz w:val="28"/>
          <w:sz w:val="28"/>
          <w:szCs w:val="28"/>
          <w:rtl w:val="true"/>
          <w:lang w:bidi="ar-SA"/>
        </w:rPr>
        <w:t>الحاجة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bookmarkStart w:id="290" w:name="pg2360_37066"/>
    </w:p>
    <w:p>
      <w:pPr>
        <w:pStyle w:val="BookText"/>
        <w:rPr/>
      </w:pPr>
      <w:bookmarkEnd w:id="290"/>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یجیب بالأعم، نعم دلالته فی محل السؤال أقوی</w:t>
      </w:r>
      <w:r>
        <w:rPr>
          <w:rFonts w:eastAsia="IRNazanin" w:cs="IRNazanin"/>
          <w:color w:val="111111"/>
          <w:sz w:val="28"/>
          <w:szCs w:val="28"/>
          <w:rtl w:val="true"/>
          <w:lang w:bidi="fa-IR"/>
        </w:rPr>
        <w:t>.</w:t>
      </w:r>
    </w:p>
    <w:p>
      <w:pPr>
        <w:pStyle w:val="Heading4"/>
        <w:numPr>
          <w:ilvl w:val="3"/>
          <w:numId w:val="1"/>
        </w:numPr>
        <w:rPr/>
      </w:pPr>
      <w:bookmarkStart w:id="291" w:name="__RefHeading___Toc2792620_3804643083"/>
      <w:bookmarkStart w:id="292" w:name="_Toc113"/>
      <w:bookmarkEnd w:id="291"/>
      <w:r>
        <w:rPr>
          <w:rtl w:val="true"/>
        </w:rPr>
        <w:t>البحث الثانی</w:t>
      </w:r>
      <w:r>
        <w:rPr>
          <w:rtl w:val="true"/>
        </w:rPr>
        <w:t xml:space="preserve">: </w:t>
      </w:r>
      <w:r>
        <w:rPr>
          <w:rtl w:val="true"/>
        </w:rPr>
        <w:t>مذهب الراوی لیس مخصصا،</w:t>
      </w:r>
      <w:bookmarkEnd w:id="292"/>
    </w:p>
    <w:p>
      <w:pPr>
        <w:pStyle w:val="BookText"/>
        <w:rPr/>
      </w:pPr>
      <w:r>
        <w:rPr>
          <w:rFonts w:ascii="IRNazanin" w:hAnsi="IRNazanin" w:eastAsia="IRNazanin"/>
          <w:color w:val="111111"/>
          <w:sz w:val="28"/>
          <w:sz w:val="28"/>
          <w:szCs w:val="28"/>
          <w:rtl w:val="true"/>
          <w:lang w:bidi="fa-IR"/>
        </w:rPr>
        <w:t>لجواز توهم ما لیس بدلیل دلیلا، و لا طعن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البعض لیس مخصصا، لعدم التنافی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إهاب دبغ فقد طهر</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دباغها طهورها</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و ظاهر العموم أولی من المفهوم لو کان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العادة لیست مخصصة، لأنّ أفعال العباد لیست حجة علی الشرع، إلّا أن یعضدها الإجماع، أو تقریره علیه السّلام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کونه علیه السّلام مخاطبا لا یقتضی خروجه عن عموم الخبر،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بِکُلِّ شَیْ‌ءٍ عَلِیمٌ</w:t>
      </w:r>
      <w:r>
        <w:rPr>
          <w:rStyle w:val="FootnoteAnchor"/>
          <w:rtl w:val="true"/>
        </w:rPr>
        <w:footnoteReference w:id="541"/>
      </w:r>
      <w:r>
        <w:rPr>
          <w:rFonts w:ascii="IRNazanin" w:hAnsi="IRNazanin" w:eastAsia="IRNazanin"/>
          <w:color w:val="111111"/>
          <w:sz w:val="28"/>
          <w:sz w:val="28"/>
          <w:szCs w:val="28"/>
          <w:rtl w:val="true"/>
          <w:lang w:bidi="fa-IR"/>
        </w:rPr>
        <w:t>بخلاف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علو منصبه صلّی اللّه علیه و آله لا یخرجه عن عموم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العبودیّة و الکفر لا یخرجان المتصف بهما عن العموم، إلّا فیما یشترط فیه الملک أو الإسلام، و وجوب الخدمة أعمّ من دلیل العبادة، فلا یتقدم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 المدح أو</w:t>
      </w:r>
      <w:r>
        <w:rPr>
          <w:rStyle w:val="FootnoteAnchor"/>
          <w:rtl w:val="true"/>
        </w:rPr>
        <w:footnoteReference w:id="542"/>
      </w:r>
      <w:r>
        <w:rPr>
          <w:rFonts w:ascii="IRNazanin" w:hAnsi="IRNazanin" w:eastAsia="IRNazanin"/>
          <w:color w:val="111111"/>
          <w:sz w:val="28"/>
          <w:sz w:val="28"/>
          <w:szCs w:val="28"/>
          <w:rtl w:val="true"/>
          <w:lang w:bidi="fa-IR"/>
        </w:rPr>
        <w:t>الذم لیس مخصصا، إذ لا منافاة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إرادة الخصوص</w:t>
      </w:r>
      <w:r>
        <w:rPr>
          <w:rStyle w:val="FootnoteAnchor"/>
          <w:rtl w:val="true"/>
        </w:rPr>
        <w:footnoteReference w:id="543"/>
      </w:r>
      <w:r>
        <w:rPr>
          <w:rFonts w:ascii="IRNazanin" w:hAnsi="IRNazanin" w:eastAsia="IRNazanin"/>
          <w:color w:val="111111"/>
          <w:sz w:val="28"/>
          <w:sz w:val="28"/>
          <w:szCs w:val="28"/>
          <w:rtl w:val="true"/>
          <w:lang w:bidi="fa-IR"/>
        </w:rPr>
        <w:t>من الخبر المحذوف عن المعطوف لا یقتضی تخصیص الخبر المذکور عن المعطوف علیه،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 و لا ذو عهد فی عهده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لعدم اقتضاء العطف التشریک العام، و لاحتمال تمامیة المعطوف، و لیس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قول الحنفیة</w:t>
      </w:r>
      <w:r>
        <w:rPr>
          <w:rStyle w:val="FootnoteAnchor"/>
          <w:rtl w:val="true"/>
        </w:rPr>
        <w:footnoteReference w:id="545"/>
      </w:r>
      <w:r>
        <w:rPr>
          <w:rFonts w:ascii="IRNazanin" w:hAnsi="IRNazanin" w:eastAsia="IRNazanin"/>
          <w:color w:val="111111"/>
          <w:sz w:val="28"/>
          <w:sz w:val="28"/>
          <w:szCs w:val="28"/>
          <w:rtl w:val="true"/>
          <w:lang w:bidi="fa-IR"/>
        </w:rPr>
        <w:t>، لأنّ العطف علی المبتدأ یقتضی الاشتراک فی الخبر، فالملفوظ إن کان خبرا عنهما ثبت التخصیص، و إلّا کان عطف جملة علی جملة اخری، و لیس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ردّ الاستثناء أو الصفة أو الحکم إلی بعض العموم؛ لا یخصصه عند القاضی عبد الجبار</w:t>
      </w:r>
      <w:r>
        <w:rPr>
          <w:rStyle w:val="FootnoteAnchor"/>
          <w:rtl w:val="true"/>
        </w:rPr>
        <w:footnoteReference w:id="546"/>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یَعْفُونَ</w:t>
      </w:r>
      <w:r>
        <w:rPr>
          <w:rStyle w:val="FootnoteAnchor"/>
          <w:rtl w:val="true"/>
        </w:rPr>
        <w:footnoteReference w:id="547"/>
      </w:r>
      <w:r>
        <w:rPr>
          <w:rFonts w:ascii="IRNazanin" w:hAnsi="IRNazanin" w:eastAsia="IRNazanin"/>
          <w:color w:val="111111"/>
          <w:sz w:val="28"/>
          <w:sz w:val="28"/>
          <w:szCs w:val="28"/>
          <w:rtl w:val="true"/>
          <w:lang w:bidi="fa-IR"/>
        </w:rPr>
        <w:t>المختص بالکاملات لا یخصص</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جُناحَ عَلَیْکُمْ إِنْ طَلَّقْتُمُ النِّساءَ</w:t>
      </w:r>
      <w:r>
        <w:rPr>
          <w:rStyle w:val="FootnoteAnchor"/>
          <w:rtl w:val="true"/>
        </w:rPr>
        <w:footnoteReference w:id="548"/>
      </w:r>
      <w:r>
        <w:rPr>
          <w:rFonts w:ascii="Amiri" w:hAnsi="Amiri" w:eastAsia="Amiri" w:cs="Amiri"/>
          <w:color w:val="111111"/>
          <w:sz w:val="28"/>
          <w:sz w:val="28"/>
          <w:szCs w:val="28"/>
          <w:rtl w:val="true"/>
          <w:lang w:bidi="ar-SA"/>
        </w:rPr>
        <w:t>، و الصفة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یُحْدِثُ بَعْدَ ذلِکَ أَمْراً</w:t>
      </w:r>
      <w:r>
        <w:rPr>
          <w:rStyle w:val="FootnoteAnchor"/>
          <w:rtl w:val="true"/>
        </w:rPr>
        <w:footnoteReference w:id="549"/>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فی الرجعة، و إنّما یتأتّی فی الرجعی، و الحکم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w:t>
      </w:r>
      <w:r>
        <w:rPr>
          <w:rStyle w:val="FootnoteAnchor"/>
          <w:rtl w:val="true"/>
        </w:rPr>
        <w:footnoteReference w:id="550"/>
      </w:r>
      <w:r>
        <w:rPr>
          <w:rFonts w:ascii="Amiri" w:hAnsi="Amiri" w:eastAsia="Amiri" w:cs="Amiri"/>
          <w:color w:val="111111"/>
          <w:sz w:val="28"/>
          <w:sz w:val="28"/>
          <w:szCs w:val="28"/>
          <w:rtl w:val="true"/>
          <w:lang w:bidi="ar-SA"/>
        </w:rPr>
        <w:t>المختص بالرجعیات لا یخصص وَ الْمُطَلَّقاتُ یَتَرَبَّصْنَ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293" w:name="pg2360_37068"/>
    </w:p>
    <w:p>
      <w:pPr>
        <w:pStyle w:val="BookText"/>
        <w:rPr/>
      </w:pPr>
      <w:bookmarkEnd w:id="293"/>
      <w:r>
        <w:rPr>
          <w:rFonts w:ascii="IRNazanin" w:hAnsi="IRNazanin" w:eastAsia="IRNazanin"/>
          <w:color w:val="111111"/>
          <w:sz w:val="28"/>
          <w:sz w:val="28"/>
          <w:szCs w:val="28"/>
          <w:rtl w:val="true"/>
          <w:lang w:bidi="fa-IR"/>
        </w:rPr>
        <w:t>و المرتضی رحمه اللّه توقف</w:t>
      </w:r>
      <w:r>
        <w:rPr>
          <w:rStyle w:val="FootnoteAnchor"/>
          <w:rtl w:val="true"/>
        </w:rPr>
        <w:footnoteReference w:id="552"/>
      </w:r>
      <w:r>
        <w:rPr>
          <w:rFonts w:ascii="IRNazanin" w:hAnsi="IRNazanin" w:eastAsia="IRNazanin"/>
          <w:color w:val="111111"/>
          <w:sz w:val="28"/>
          <w:sz w:val="28"/>
          <w:szCs w:val="28"/>
          <w:rtl w:val="true"/>
          <w:lang w:bidi="fa-IR"/>
        </w:rPr>
        <w:t>، و هو الأقرب، فإنّه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الرجال إلّا من افتدی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حمل الرجال علی الذین یصحّ عود الاستثناء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و حمله علی العموم یقتضی المجازیة فی الاستثناء، إذ یصیر 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یفتدی بعضهم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الکنایة فی الاستثناء یجب رجوعها إلی المذکور المتقدم أجمع لا بعضه، و إذا تعارض المجازان وجب التوقف</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792622_3804643083"/>
      <w:bookmarkStart w:id="295" w:name="_Toc114"/>
      <w:bookmarkEnd w:id="294"/>
      <w:r>
        <w:rPr>
          <w:rtl w:val="true"/>
        </w:rPr>
        <w:t>الفصل الخامس</w:t>
      </w:r>
      <w:r>
        <w:rPr>
          <w:rtl w:val="true"/>
        </w:rPr>
        <w:t xml:space="preserve">: </w:t>
      </w:r>
      <w:r>
        <w:rPr>
          <w:rtl w:val="true"/>
        </w:rPr>
        <w:t>فی المطلق و المقید</w:t>
      </w:r>
      <w:bookmarkEnd w:id="295"/>
    </w:p>
    <w:p>
      <w:pPr>
        <w:pStyle w:val="BookText"/>
        <w:rPr/>
      </w:pPr>
      <w:r>
        <w:rPr>
          <w:rFonts w:ascii="Amiri" w:hAnsi="Amiri" w:eastAsia="Amiri" w:cs="Amiri"/>
          <w:color w:val="111111"/>
          <w:sz w:val="28"/>
          <w:sz w:val="28"/>
          <w:szCs w:val="28"/>
          <w:rtl w:val="true"/>
          <w:lang w:bidi="ar-SA"/>
        </w:rPr>
        <w:t>إن اختلفا فلا تقیید،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الزَّکاةَ</w:t>
      </w:r>
      <w:r>
        <w:rPr>
          <w:rStyle w:val="FootnoteAnchor"/>
          <w:rtl w:val="true"/>
        </w:rPr>
        <w:footnoteReference w:id="5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أعتقوا رقبة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تماثلا و اتحد السبب، حمل المطلق علی المقید، عملا بالدلیلین، و حمل التقیید علی الاستحباب مجاز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اختلف</w:t>
      </w:r>
      <w:r>
        <w:rPr>
          <w:rStyle w:val="FootnoteAnchor"/>
          <w:rtl w:val="true"/>
        </w:rPr>
        <w:footnoteReference w:id="555"/>
      </w:r>
      <w:r>
        <w:rPr>
          <w:rFonts w:ascii="IRNazanin" w:hAnsi="IRNazanin" w:eastAsia="IRNazanin"/>
          <w:color w:val="111111"/>
          <w:sz w:val="28"/>
          <w:sz w:val="28"/>
          <w:szCs w:val="28"/>
          <w:rtl w:val="true"/>
          <w:lang w:bidi="fa-IR"/>
        </w:rPr>
        <w:t>لم یجب</w:t>
      </w:r>
      <w:r>
        <w:rPr>
          <w:rStyle w:val="FootnoteAnchor"/>
          <w:rtl w:val="true"/>
        </w:rPr>
        <w:footnoteReference w:id="556"/>
      </w:r>
      <w:r>
        <w:rPr>
          <w:rFonts w:ascii="IRNazanin" w:hAnsi="IRNazanin" w:eastAsia="IRNazanin"/>
          <w:color w:val="111111"/>
          <w:sz w:val="28"/>
          <w:sz w:val="28"/>
          <w:szCs w:val="28"/>
          <w:rtl w:val="true"/>
          <w:lang w:bidi="fa-IR"/>
        </w:rPr>
        <w:t>، لإمکان التنصیص علی بقاء المطلق علی إطلاقه، و احتجاج بعض الأشعریة علی التقیید لفظا بأنّ القرآن کالکلمة الواحدة، و بالقیاس علی الشهادة</w:t>
      </w:r>
      <w:r>
        <w:rPr>
          <w:rStyle w:val="FootnoteAnchor"/>
          <w:rtl w:val="true"/>
        </w:rPr>
        <w:footnoteReference w:id="557"/>
      </w:r>
      <w:r>
        <w:rPr>
          <w:rFonts w:ascii="IRNazanin" w:hAnsi="IRNazanin" w:eastAsia="IRNazanin"/>
          <w:color w:val="111111"/>
          <w:sz w:val="28"/>
          <w:sz w:val="28"/>
          <w:szCs w:val="28"/>
          <w:rtl w:val="true"/>
          <w:lang w:bidi="fa-IR"/>
        </w:rPr>
        <w:t>ضعیف، لأنّ المراد بالوحدة عدم التناقض، و التقیید فی الشهادة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بالعدالة فی کل الصور بالإجماع، لا بالتقیید فی الطلاق</w:t>
      </w:r>
      <w:r>
        <w:rPr>
          <w:rStyle w:val="FootnoteAnchor"/>
          <w:rtl w:val="true"/>
        </w:rPr>
        <w:footnoteReference w:id="558"/>
      </w:r>
      <w:r>
        <w:rPr>
          <w:rFonts w:ascii="IRNazanin" w:hAnsi="IRNazanin" w:eastAsia="IRNazanin"/>
          <w:color w:val="111111"/>
          <w:sz w:val="28"/>
          <w:sz w:val="28"/>
          <w:szCs w:val="28"/>
          <w:rtl w:val="true"/>
          <w:lang w:bidi="fa-IR"/>
        </w:rPr>
        <w:t>، و منع الحنفیة منه بالقیاس</w:t>
      </w:r>
      <w:r>
        <w:rPr>
          <w:rStyle w:val="FootnoteAnchor"/>
          <w:rtl w:val="true"/>
        </w:rPr>
        <w:footnoteReference w:id="559"/>
      </w:r>
      <w:r>
        <w:rPr>
          <w:rFonts w:ascii="IRNazanin" w:hAnsi="IRNazanin" w:eastAsia="IRNazanin"/>
          <w:color w:val="111111"/>
          <w:sz w:val="28"/>
          <w:sz w:val="28"/>
          <w:szCs w:val="28"/>
          <w:rtl w:val="true"/>
          <w:lang w:bidi="fa-IR"/>
        </w:rPr>
        <w:t>مناف لمذهبهم،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نسخ لأنّ الإطلاق یقتضی التخییر</w:t>
      </w:r>
      <w:r>
        <w:rPr>
          <w:rStyle w:val="FootnoteAnchor"/>
          <w:rtl w:val="true"/>
        </w:rPr>
        <w:footnoteReference w:id="560"/>
      </w:r>
      <w:r>
        <w:rPr>
          <w:rFonts w:ascii="IRNazanin" w:hAnsi="IRNazanin" w:eastAsia="IRNazanin"/>
          <w:color w:val="111111"/>
          <w:sz w:val="28"/>
          <w:sz w:val="28"/>
          <w:szCs w:val="28"/>
          <w:rtl w:val="true"/>
          <w:lang w:bidi="fa-IR"/>
        </w:rPr>
        <w:t>ضعیف، لأنّ المطلق لا یدل علی الأفراد</w:t>
      </w:r>
      <w:r>
        <w:rPr>
          <w:rFonts w:eastAsia="IRNazanin" w:cs="IRNazanin"/>
          <w:color w:val="111111"/>
          <w:sz w:val="28"/>
          <w:szCs w:val="28"/>
          <w:rtl w:val="true"/>
          <w:lang w:bidi="fa-IR"/>
        </w:rPr>
        <w:t>.</w:t>
      </w:r>
      <w:bookmarkStart w:id="296" w:name="pg2360_37071"/>
    </w:p>
    <w:p>
      <w:pPr>
        <w:pStyle w:val="Heading2"/>
        <w:numPr>
          <w:ilvl w:val="1"/>
          <w:numId w:val="1"/>
        </w:numPr>
        <w:rPr/>
      </w:pPr>
      <w:bookmarkStart w:id="297" w:name="__RefHeading___Toc2792624_3804643083"/>
      <w:bookmarkStart w:id="298" w:name="_Toc115"/>
      <w:bookmarkEnd w:id="296"/>
      <w:bookmarkEnd w:id="297"/>
      <w:r>
        <w:rPr>
          <w:rtl w:val="true"/>
        </w:rPr>
        <w:t>المقصد الخامس فی المجمل و المبیّن و فیه فصول</w:t>
      </w:r>
      <w:bookmarkEnd w:id="29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2792626_3804643083"/>
      <w:bookmarkStart w:id="300" w:name="_Toc116"/>
      <w:bookmarkEnd w:id="299"/>
      <w:r>
        <w:rPr>
          <w:rtl w:val="true"/>
        </w:rPr>
        <w:t>اشارة</w:t>
      </w:r>
      <w:bookmarkStart w:id="301" w:name="pg2360_37073"/>
      <w:bookmarkEnd w:id="300"/>
    </w:p>
    <w:p>
      <w:pPr>
        <w:pStyle w:val="Heading3"/>
        <w:numPr>
          <w:ilvl w:val="2"/>
          <w:numId w:val="1"/>
        </w:numPr>
        <w:rPr/>
      </w:pPr>
      <w:bookmarkStart w:id="302" w:name="__RefHeading___Toc2792628_3804643083"/>
      <w:bookmarkStart w:id="303" w:name="_Toc117"/>
      <w:bookmarkEnd w:id="301"/>
      <w:bookmarkEnd w:id="302"/>
      <w:r>
        <w:rPr>
          <w:rtl w:val="true"/>
        </w:rPr>
        <w:t>الأوّل</w:t>
      </w:r>
      <w:r>
        <w:rPr>
          <w:rtl w:val="true"/>
        </w:rPr>
        <w:t xml:space="preserve">: </w:t>
      </w:r>
      <w:r>
        <w:rPr>
          <w:rtl w:val="true"/>
        </w:rPr>
        <w:t>فی المجمل و فیه مباحث</w:t>
      </w:r>
      <w:r>
        <w:rPr>
          <w:rtl w:val="true"/>
        </w:rPr>
        <w:t>:</w:t>
      </w:r>
      <w:bookmarkEnd w:id="303"/>
    </w:p>
    <w:p>
      <w:pPr>
        <w:pStyle w:val="Heading4"/>
        <w:numPr>
          <w:ilvl w:val="3"/>
          <w:numId w:val="1"/>
        </w:numPr>
        <w:rPr/>
      </w:pPr>
      <w:bookmarkStart w:id="304" w:name="__RefHeading___Toc2792630_3804643083"/>
      <w:bookmarkStart w:id="305" w:name="_Toc118"/>
      <w:bookmarkEnd w:id="304"/>
      <w:r>
        <w:rPr>
          <w:rtl w:val="true"/>
        </w:rPr>
        <w:t>[</w:t>
      </w:r>
      <w:r>
        <w:rPr>
          <w:rtl w:val="true"/>
        </w:rPr>
        <w:t xml:space="preserve">البحث الاول الإجمال قد یکون فی اللفظ إمّا حال استعماله فی موضوعه، </w:t>
      </w:r>
      <w:r>
        <w:rPr>
          <w:rtl w:val="true"/>
        </w:rPr>
        <w:t>...]</w:t>
      </w:r>
      <w:bookmarkEnd w:id="30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قد یکون فی اللفظ إمّا حال استعماله فی موضوعه، کالمشترک المحتمل لمعانیه، و المتواطئ المحتمل لکل فرد من جزئیاته</w:t>
      </w:r>
      <w:r>
        <w:rPr>
          <w:rStyle w:val="FootnoteAnchor"/>
          <w:rtl w:val="true"/>
        </w:rPr>
        <w:footnoteReference w:id="561"/>
      </w:r>
      <w:r>
        <w:rPr>
          <w:rFonts w:ascii="Amiri" w:hAnsi="Amiri" w:eastAsia="Amiri" w:cs="Amiri"/>
          <w:color w:val="111111"/>
          <w:sz w:val="28"/>
          <w:sz w:val="28"/>
          <w:szCs w:val="28"/>
          <w:rtl w:val="true"/>
          <w:lang w:bidi="ar-SA"/>
        </w:rPr>
        <w:t>عند الأمر بأحدها،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w:t>
      </w:r>
      <w:r>
        <w:rPr>
          <w:rStyle w:val="FootnoteAnchor"/>
          <w:rtl w:val="true"/>
        </w:rPr>
        <w:footnoteReference w:id="562"/>
      </w:r>
      <w:r>
        <w:rPr>
          <w:rFonts w:ascii="Amiri" w:hAnsi="Amiri" w:eastAsia="Amiri" w:cs="Amiri"/>
          <w:color w:val="111111"/>
          <w:sz w:val="28"/>
          <w:sz w:val="28"/>
          <w:szCs w:val="28"/>
          <w:rtl w:val="true"/>
          <w:lang w:bidi="ar-SA"/>
        </w:rPr>
        <w:t>، أو حال استعماله فی بعض موضوعه، کالعام المخصص بالمجمل، مثل وَ أُحِلَّ لَکُمْ ما وَراءَ ذلِکُمْ</w:t>
      </w:r>
      <w:r>
        <w:rPr>
          <w:rStyle w:val="FootnoteAnchor"/>
          <w:rtl w:val="true"/>
        </w:rPr>
        <w:footnoteReference w:id="563"/>
      </w:r>
      <w:r>
        <w:rPr>
          <w:rFonts w:ascii="Amiri" w:hAnsi="Amiri" w:eastAsia="Amiri" w:cs="Amiri"/>
          <w:color w:val="111111"/>
          <w:sz w:val="28"/>
          <w:sz w:val="28"/>
          <w:szCs w:val="28"/>
          <w:rtl w:val="true"/>
          <w:lang w:bidi="ar-SA"/>
        </w:rPr>
        <w:t>حیث قیّد بالإحصان المجهول،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لَکُمْ بَهِیمَةُ الْأَنْعامِ إِلَّا ما یُتْلی عَلَیْکُمْ</w:t>
      </w:r>
      <w:r>
        <w:rPr>
          <w:rStyle w:val="FootnoteAnchor"/>
          <w:rtl w:val="true"/>
        </w:rPr>
        <w:footnoteReference w:id="564"/>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w:t>
      </w:r>
      <w:r>
        <w:rPr>
          <w:rStyle w:val="FootnoteAnchor"/>
          <w:rtl w:val="true"/>
        </w:rPr>
        <w:footnoteReference w:id="565"/>
      </w:r>
      <w:r>
        <w:rPr>
          <w:rFonts w:ascii="IRNazanin" w:hAnsi="IRNazanin" w:eastAsia="IRNazanin"/>
          <w:color w:val="111111"/>
          <w:sz w:val="28"/>
          <w:sz w:val="28"/>
          <w:szCs w:val="28"/>
          <w:rtl w:val="true"/>
          <w:lang w:bidi="fa-IR"/>
        </w:rPr>
        <w:t>ثمّ یقول الرسول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البعض، أو حال کونه مستعملا لا فی موضوعه و لا فی بعضه کالأسماء الشرعیة و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فی الفعل، إذ الوقوع لا یدل علی الوجه</w:t>
      </w:r>
      <w:r>
        <w:rPr>
          <w:rFonts w:eastAsia="IRNazanin" w:cs="IRNazanin"/>
          <w:color w:val="111111"/>
          <w:sz w:val="28"/>
          <w:szCs w:val="28"/>
          <w:rtl w:val="true"/>
          <w:lang w:bidi="fa-IR"/>
        </w:rPr>
        <w:t>.</w:t>
      </w:r>
    </w:p>
    <w:p>
      <w:pPr>
        <w:pStyle w:val="Heading4"/>
        <w:numPr>
          <w:ilvl w:val="3"/>
          <w:numId w:val="1"/>
        </w:numPr>
        <w:rPr/>
      </w:pPr>
      <w:bookmarkStart w:id="306" w:name="__RefHeading___Toc2792632_3804643083"/>
      <w:bookmarkStart w:id="307" w:name="_Toc119"/>
      <w:bookmarkEnd w:id="306"/>
      <w:r>
        <w:rPr>
          <w:rtl w:val="true"/>
        </w:rPr>
        <w:t>البحث الثانی</w:t>
      </w:r>
      <w:r>
        <w:rPr>
          <w:rtl w:val="true"/>
        </w:rPr>
        <w:t xml:space="preserve">: </w:t>
      </w:r>
      <w:r>
        <w:rPr>
          <w:rtl w:val="true"/>
        </w:rPr>
        <w:t>المجمل جائز فی الحکمة، و واقع، کالآیات المتقدمة</w:t>
      </w:r>
      <w:r>
        <w:rPr>
          <w:rtl w:val="true"/>
        </w:rPr>
        <w:t>.</w:t>
      </w:r>
      <w:bookmarkEnd w:id="30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المخالف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 الإفهام، و إلّا لزم العبث، فإن ذکر معه البیان طال</w:t>
      </w:r>
      <w:bookmarkStart w:id="308" w:name="pg2360_37074"/>
    </w:p>
    <w:p>
      <w:pPr>
        <w:pStyle w:val="BookText"/>
        <w:rPr/>
      </w:pPr>
      <w:bookmarkEnd w:id="308"/>
      <w:r>
        <w:rPr>
          <w:rFonts w:ascii="IRNazanin" w:hAnsi="IRNazanin" w:eastAsia="IRNazanin"/>
          <w:color w:val="111111"/>
          <w:sz w:val="28"/>
          <w:sz w:val="28"/>
          <w:szCs w:val="28"/>
          <w:rtl w:val="true"/>
          <w:lang w:bidi="fa-IR"/>
        </w:rPr>
        <w:t>بغیر فائدة، و إلّا لزم التکلیف بالمحال</w:t>
      </w:r>
      <w:r>
        <w:rPr>
          <w:rStyle w:val="FootnoteAnchor"/>
          <w:rtl w:val="true"/>
        </w:rPr>
        <w:footnoteReference w:id="566"/>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شرح جمع الجوامع للجلال 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فی شرح قول ابن السبکی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الملازمة الاولی إن کان المطلوب الإفهام التفصیلی، و المنع من الثانیة لجواز اقتران التطویل بمصلحة خفیة أو</w:t>
      </w:r>
      <w:r>
        <w:rPr>
          <w:rStyle w:val="FootnoteAnchor"/>
          <w:rtl w:val="true"/>
        </w:rPr>
        <w:footnoteReference w:id="568"/>
      </w:r>
      <w:r>
        <w:rPr>
          <w:rFonts w:ascii="IRNazanin" w:hAnsi="IRNazanin" w:eastAsia="IRNazanin"/>
          <w:color w:val="111111"/>
          <w:sz w:val="28"/>
          <w:sz w:val="28"/>
          <w:szCs w:val="28"/>
          <w:rtl w:val="true"/>
          <w:lang w:bidi="fa-IR"/>
        </w:rPr>
        <w:t>ظاهرة و هی الاستعداد للامتثال قبل البیان فیحصل الثواب</w:t>
      </w:r>
      <w:r>
        <w:rPr>
          <w:rFonts w:eastAsia="IRNazanin" w:cs="IRNazanin"/>
          <w:color w:val="111111"/>
          <w:sz w:val="28"/>
          <w:szCs w:val="28"/>
          <w:rtl w:val="true"/>
          <w:lang w:bidi="fa-IR"/>
        </w:rPr>
        <w:t>.</w:t>
      </w:r>
    </w:p>
    <w:p>
      <w:pPr>
        <w:pStyle w:val="Heading4"/>
        <w:numPr>
          <w:ilvl w:val="3"/>
          <w:numId w:val="1"/>
        </w:numPr>
        <w:rPr/>
      </w:pPr>
      <w:bookmarkStart w:id="309" w:name="__RefHeading___Toc2792634_3804643083"/>
      <w:bookmarkStart w:id="310" w:name="_Toc120"/>
      <w:bookmarkEnd w:id="309"/>
      <w:r>
        <w:rPr>
          <w:rtl w:val="true"/>
        </w:rPr>
        <w:t>البحث الثالث</w:t>
      </w:r>
      <w:r>
        <w:rPr>
          <w:rtl w:val="true"/>
        </w:rPr>
        <w:t xml:space="preserve">: </w:t>
      </w:r>
      <w:r>
        <w:rPr>
          <w:rtl w:val="true"/>
        </w:rPr>
        <w:t>التحلیل و التحریم المضافان إلی الأعیان لیس مجملا،</w:t>
      </w:r>
      <w:bookmarkEnd w:id="310"/>
    </w:p>
    <w:p>
      <w:pPr>
        <w:pStyle w:val="BookText"/>
        <w:rPr/>
      </w:pPr>
      <w:r>
        <w:rPr>
          <w:rFonts w:ascii="Amiri" w:hAnsi="Amiri" w:eastAsia="Amiri" w:cs="Amiri"/>
          <w:color w:val="111111"/>
          <w:sz w:val="28"/>
          <w:sz w:val="28"/>
          <w:szCs w:val="28"/>
          <w:rtl w:val="true"/>
          <w:lang w:bidi="ar-SA"/>
        </w:rPr>
        <w:t>لسبق فهم تحریم الأکل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w:t>
      </w:r>
      <w:r>
        <w:rPr>
          <w:rStyle w:val="FootnoteAnchor"/>
          <w:rtl w:val="true"/>
        </w:rPr>
        <w:footnoteReference w:id="569"/>
      </w:r>
      <w:r>
        <w:rPr>
          <w:rFonts w:ascii="Amiri" w:hAnsi="Amiri" w:eastAsia="Amiri" w:cs="Amiri"/>
          <w:color w:val="111111"/>
          <w:sz w:val="28"/>
          <w:sz w:val="28"/>
          <w:szCs w:val="28"/>
          <w:rtl w:val="true"/>
          <w:lang w:bidi="ar-SA"/>
        </w:rPr>
        <w:t>و الوطء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الکرخی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متعلقهما غیر مقدور، فلا بدّ من إضمار</w:t>
      </w:r>
      <w:r>
        <w:rPr>
          <w:rStyle w:val="FootnoteAnchor"/>
          <w:rtl w:val="true"/>
        </w:rPr>
        <w:footnoteReference w:id="571"/>
      </w:r>
      <w:r>
        <w:rPr>
          <w:rFonts w:ascii="IRNazanin" w:hAnsi="IRNazanin" w:eastAsia="IRNazanin"/>
          <w:color w:val="111111"/>
          <w:sz w:val="28"/>
          <w:sz w:val="28"/>
          <w:szCs w:val="28"/>
          <w:rtl w:val="true"/>
          <w:lang w:bidi="fa-IR"/>
        </w:rPr>
        <w:t>، و لا اختصاص</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عدم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المسح</w:t>
      </w:r>
      <w:r>
        <w:rPr>
          <w:rStyle w:val="FootnoteAnchor"/>
          <w:rtl w:val="true"/>
        </w:rPr>
        <w:footnoteReference w:id="573"/>
      </w:r>
      <w:r>
        <w:rPr>
          <w:rFonts w:ascii="IRNazanin" w:hAnsi="IRNazanin" w:eastAsia="IRNazanin"/>
          <w:color w:val="111111"/>
          <w:sz w:val="28"/>
          <w:sz w:val="28"/>
          <w:szCs w:val="28"/>
          <w:rtl w:val="true"/>
          <w:lang w:bidi="fa-IR"/>
        </w:rPr>
        <w:t>لیست مجملة، لأنّ الباء إن کانت للتبعیض ثبت التواطؤ، و إلّا وجب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احتجت الحنفیة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الجمیع و البعض، فثبت الإجمال</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إجمال فی الفعل المنفی</w:t>
      </w:r>
      <w:r>
        <w:rPr>
          <w:rStyle w:val="FootnoteAnchor"/>
          <w:rtl w:val="true"/>
        </w:rPr>
        <w:footnoteReference w:id="575"/>
      </w:r>
      <w:r>
        <w:rPr>
          <w:rFonts w:ascii="IRNazanin" w:hAnsi="IRNazanin" w:eastAsia="IRNazanin"/>
          <w:color w:val="111111"/>
          <w:sz w:val="28"/>
          <w:sz w:val="28"/>
          <w:szCs w:val="28"/>
          <w:rtl w:val="true"/>
          <w:lang w:bidi="fa-IR"/>
        </w:rPr>
        <w:t>، إذ أقرب المجاز</w:t>
      </w:r>
      <w:r>
        <w:rPr>
          <w:rStyle w:val="FootnoteAnchor"/>
          <w:rtl w:val="true"/>
        </w:rPr>
        <w:footnoteReference w:id="576"/>
      </w:r>
      <w:r>
        <w:rPr>
          <w:rFonts w:ascii="IRNazanin" w:hAnsi="IRNazanin" w:eastAsia="IRNazanin"/>
          <w:color w:val="111111"/>
          <w:sz w:val="28"/>
          <w:sz w:val="28"/>
          <w:szCs w:val="28"/>
          <w:rtl w:val="true"/>
          <w:lang w:bidi="fa-IR"/>
        </w:rPr>
        <w:t>إلی نفی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w:t>
      </w:r>
      <w:r>
        <w:rPr>
          <w:rStyle w:val="FootnoteAnchor"/>
          <w:rtl w:val="true"/>
        </w:rPr>
        <w:footnoteReference w:id="577"/>
      </w:r>
      <w:r>
        <w:rPr>
          <w:rFonts w:ascii="IRNazanin" w:hAnsi="IRNazanin" w:eastAsia="IRNazanin"/>
          <w:color w:val="111111"/>
          <w:sz w:val="28"/>
          <w:sz w:val="28"/>
          <w:szCs w:val="28"/>
          <w:rtl w:val="true"/>
          <w:lang w:bidi="fa-IR"/>
        </w:rPr>
        <w:t>لنفی جمیع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الصحة المشارکة</w:t>
      </w:r>
      <w:r>
        <w:rPr>
          <w:rStyle w:val="FootnoteAnchor"/>
          <w:rtl w:val="true"/>
        </w:rPr>
        <w:footnoteReference w:id="578"/>
      </w:r>
      <w:r>
        <w:rPr>
          <w:rFonts w:ascii="IRNazanin" w:hAnsi="IRNazanin" w:eastAsia="IRNazanin"/>
          <w:color w:val="111111"/>
          <w:sz w:val="28"/>
          <w:sz w:val="28"/>
          <w:szCs w:val="28"/>
          <w:rtl w:val="true"/>
          <w:lang w:bidi="fa-IR"/>
        </w:rPr>
        <w:t>فی العموم، و دلالة المطابقة هنا و إن انتفت لا یلزم انتفاء دلالة الالتزام، لأنّ اللفظ بعد استقرار الدلالة صار کالعام، فإذا خص فی بعض الموارد و هی الذات، بقی الباقی مندرجا تحت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عبد اللّه</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مولده فی البصرة عام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وفاته ببغداد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عنه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قوّة عجیبة فی التدریس و طول نفس فی الإملاء مع ضیق صدر عند لقاء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موجود، فلا بدّ من مضمر ینصرف النفی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 و لا تخصیص لبعض المضمرات دون بعض</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إجمال فی آیة السرقة</w:t>
      </w:r>
      <w:r>
        <w:rPr>
          <w:rStyle w:val="FootnoteAnchor"/>
          <w:rtl w:val="true"/>
        </w:rPr>
        <w:footnoteReference w:id="581"/>
      </w:r>
      <w:r>
        <w:rPr>
          <w:rFonts w:ascii="IRNazanin" w:hAnsi="IRNazanin" w:eastAsia="IRNazanin"/>
          <w:color w:val="111111"/>
          <w:sz w:val="28"/>
          <w:sz w:val="28"/>
          <w:szCs w:val="28"/>
          <w:rtl w:val="true"/>
          <w:lang w:bidi="fa-IR"/>
        </w:rPr>
        <w:t>، إذ القطع حقیقة فی الإبانة، و الید فی العضو من المنکب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الخطأ و النسیان</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المفهوم 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إجمال فی العدد</w:t>
      </w:r>
      <w:r>
        <w:rPr>
          <w:rStyle w:val="FootnoteAnchor"/>
          <w:rtl w:val="true"/>
        </w:rPr>
        <w:footnoteReference w:id="583"/>
      </w:r>
      <w:r>
        <w:rPr>
          <w:rFonts w:ascii="IRNazanin" w:hAnsi="IRNazanin" w:eastAsia="IRNazanin"/>
          <w:color w:val="111111"/>
          <w:sz w:val="28"/>
          <w:sz w:val="28"/>
          <w:szCs w:val="28"/>
          <w:rtl w:val="true"/>
          <w:lang w:bidi="fa-IR"/>
        </w:rPr>
        <w:t>المنکّر، للخروج عن العهدة بأقل مراتبه، و هو الثلاثة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الحاکم بالإجمال هنا عدم قصر اللفظ علی الثلاثة فهو حق، و إن أراد عدم تناوله الثلاثة فهو خطأ</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bookmarkStart w:id="311" w:name="pg2360_37077"/>
    </w:p>
    <w:p>
      <w:pPr>
        <w:pStyle w:val="Heading3"/>
        <w:numPr>
          <w:ilvl w:val="2"/>
          <w:numId w:val="1"/>
        </w:numPr>
        <w:rPr/>
      </w:pPr>
      <w:bookmarkStart w:id="312" w:name="__RefHeading___Toc2792636_3804643083"/>
      <w:bookmarkStart w:id="313" w:name="_Toc121"/>
      <w:bookmarkEnd w:id="311"/>
      <w:bookmarkEnd w:id="312"/>
      <w:r>
        <w:rPr>
          <w:rtl w:val="true"/>
        </w:rPr>
        <w:t>الفصل الثانی</w:t>
      </w:r>
      <w:r>
        <w:rPr>
          <w:rtl w:val="true"/>
        </w:rPr>
        <w:t xml:space="preserve">: </w:t>
      </w:r>
      <w:r>
        <w:rPr>
          <w:rtl w:val="true"/>
        </w:rPr>
        <w:t>فی المبیّن و فیه مباحث</w:t>
      </w:r>
      <w:r>
        <w:rPr>
          <w:rtl w:val="true"/>
        </w:rPr>
        <w:t>:</w:t>
      </w:r>
      <w:bookmarkEnd w:id="313"/>
    </w:p>
    <w:p>
      <w:pPr>
        <w:pStyle w:val="Heading4"/>
        <w:numPr>
          <w:ilvl w:val="3"/>
          <w:numId w:val="1"/>
        </w:numPr>
        <w:rPr/>
      </w:pPr>
      <w:bookmarkStart w:id="314" w:name="__RefHeading___Toc2792638_3804643083"/>
      <w:bookmarkStart w:id="315" w:name="_Toc122"/>
      <w:bookmarkEnd w:id="314"/>
      <w:r>
        <w:rPr>
          <w:rtl w:val="true"/>
        </w:rPr>
        <w:t>الأوّل</w:t>
      </w:r>
      <w:r>
        <w:rPr>
          <w:rtl w:val="true"/>
        </w:rPr>
        <w:t xml:space="preserve">: </w:t>
      </w:r>
      <w:r>
        <w:rPr>
          <w:rtl w:val="true"/>
        </w:rPr>
        <w:t>البیان قد یکون بالقول، و هو ظاهر</w:t>
      </w:r>
      <w:r>
        <w:rPr>
          <w:rtl w:val="true"/>
        </w:rPr>
        <w:t>.</w:t>
      </w:r>
      <w:bookmarkEnd w:id="31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قد یکون بالقول</w:t>
      </w:r>
      <w:r>
        <w:rPr>
          <w:rStyle w:val="FootnoteAnchor"/>
          <w:rtl w:val="true"/>
        </w:rPr>
        <w:footnoteReference w:id="585"/>
      </w:r>
      <w:r>
        <w:rPr>
          <w:rFonts w:ascii="IRNazanin" w:hAnsi="IRNazanin" w:eastAsia="IRNazanin"/>
          <w:color w:val="111111"/>
          <w:sz w:val="28"/>
          <w:sz w:val="28"/>
          <w:szCs w:val="28"/>
          <w:rtl w:val="true"/>
          <w:lang w:bidi="fa-IR"/>
        </w:rPr>
        <w:t>،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بالفعل، کما بیّن علیه السّلام الصلاة و الحج، و یعلم کونه بیانا إمّا بالضرورة من قصده،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و شبهه،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أو بالنظر، کما لو ذکر مجملا وقت الحاجة و فعل ما یصلح للبیان و لم یبین، فإنّه یکون بیانا، و إلّا لتأخر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بالترک، کما لو رکع فی الثانیة بغیر قنوت، فیعلم نفی وجوبه، أو یسکت عن بیان الحادثة، فیعلم انتفاء الحکم، أو یترک فعلا یتناوله و امّته خطابه، فیدل علی تخصیصه إن کان قبل فعله، أو نسخه عنه إن کان بعد فعله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یطول فلا یقع بیانا</w:t>
      </w:r>
      <w:r>
        <w:rPr>
          <w:rStyle w:val="FootnoteAnchor"/>
          <w:rtl w:val="true"/>
        </w:rPr>
        <w:footnoteReference w:id="588"/>
      </w:r>
      <w:r>
        <w:rPr>
          <w:rFonts w:ascii="IRNazanin" w:hAnsi="IRNazanin" w:eastAsia="IRNazanin"/>
          <w:color w:val="111111"/>
          <w:sz w:val="28"/>
          <w:sz w:val="28"/>
          <w:szCs w:val="28"/>
          <w:rtl w:val="true"/>
          <w:lang w:bidi="fa-IR"/>
        </w:rPr>
        <w:t>، فقد أخطأ</w:t>
      </w:r>
      <w:r>
        <w:rPr>
          <w:rStyle w:val="FootnoteAnchor"/>
          <w:rtl w:val="true"/>
        </w:rPr>
        <w:footnoteReference w:id="589"/>
      </w:r>
      <w:r>
        <w:rPr>
          <w:rFonts w:ascii="IRNazanin" w:hAnsi="IRNazanin" w:eastAsia="IRNazanin"/>
          <w:color w:val="111111"/>
          <w:sz w:val="28"/>
          <w:sz w:val="28"/>
          <w:szCs w:val="28"/>
          <w:rtl w:val="true"/>
          <w:lang w:bidi="fa-IR"/>
        </w:rPr>
        <w:t>، لأنّ القول قد یکون أطول</w:t>
      </w:r>
      <w:r>
        <w:rPr>
          <w:rFonts w:eastAsia="IRNazanin" w:cs="IRNazanin"/>
          <w:color w:val="111111"/>
          <w:sz w:val="28"/>
          <w:szCs w:val="28"/>
          <w:rtl w:val="true"/>
          <w:lang w:bidi="fa-IR"/>
        </w:rPr>
        <w:t>.</w:t>
      </w:r>
      <w:bookmarkStart w:id="316" w:name="pg2360_37078"/>
    </w:p>
    <w:p>
      <w:pPr>
        <w:pStyle w:val="Heading4"/>
        <w:numPr>
          <w:ilvl w:val="3"/>
          <w:numId w:val="1"/>
        </w:numPr>
        <w:rPr/>
      </w:pPr>
      <w:bookmarkStart w:id="317" w:name="__RefHeading___Toc2792640_3804643083"/>
      <w:bookmarkStart w:id="318" w:name="_Toc123"/>
      <w:bookmarkEnd w:id="316"/>
      <w:bookmarkEnd w:id="317"/>
      <w:r>
        <w:rPr>
          <w:rtl w:val="true"/>
        </w:rPr>
        <w:t>البحث الثانی</w:t>
      </w:r>
      <w:r>
        <w:rPr>
          <w:rtl w:val="true"/>
        </w:rPr>
        <w:t xml:space="preserve">: </w:t>
      </w:r>
      <w:r>
        <w:rPr>
          <w:rtl w:val="true"/>
        </w:rPr>
        <w:t>الفعل و القول إن اتفقا، فالأوّل بیان و الثانی تأکید</w:t>
      </w:r>
      <w:r>
        <w:rPr>
          <w:rtl w:val="true"/>
        </w:rPr>
        <w:t>.</w:t>
      </w:r>
      <w:bookmarkEnd w:id="318"/>
    </w:p>
    <w:p>
      <w:pPr>
        <w:pStyle w:val="BookText"/>
        <w:rPr/>
      </w:pPr>
      <w:r>
        <w:rPr>
          <w:rFonts w:ascii="IRNazanin" w:hAnsi="IRNazanin" w:eastAsia="IRNazanin"/>
          <w:color w:val="111111"/>
          <w:sz w:val="28"/>
          <w:sz w:val="28"/>
          <w:szCs w:val="28"/>
          <w:rtl w:val="true"/>
          <w:lang w:bidi="fa-IR"/>
        </w:rPr>
        <w:t>و إن تنافیا، کما لو طاف طوافین و أمر بواحد، قال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بیان</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لأنّه بیان بذاته</w:t>
      </w:r>
      <w:r>
        <w:rPr>
          <w:rStyle w:val="FootnoteAnchor"/>
          <w:rtl w:val="true"/>
        </w:rPr>
        <w:footnoteReference w:id="591"/>
      </w:r>
      <w:r>
        <w:rPr>
          <w:rFonts w:ascii="IRNazanin" w:hAnsi="IRNazanin" w:eastAsia="IRNazanin"/>
          <w:color w:val="111111"/>
          <w:sz w:val="28"/>
          <w:sz w:val="28"/>
          <w:szCs w:val="28"/>
          <w:rtl w:val="true"/>
          <w:lang w:bidi="fa-IR"/>
        </w:rPr>
        <w:t>، و لأنّه جمع بین الدلیلین، إذ الفعل یحتمل أنّه</w:t>
      </w:r>
      <w:r>
        <w:rPr>
          <w:rStyle w:val="FootnoteAnchor"/>
          <w:rtl w:val="true"/>
        </w:rPr>
        <w:footnoteReference w:id="592"/>
      </w:r>
      <w:r>
        <w:rPr>
          <w:rFonts w:ascii="IRNazanin" w:hAnsi="IRNazanin" w:eastAsia="IRNazanin"/>
          <w:color w:val="111111"/>
          <w:sz w:val="28"/>
          <w:sz w:val="28"/>
          <w:szCs w:val="28"/>
          <w:rtl w:val="true"/>
          <w:lang w:bidi="fa-IR"/>
        </w:rPr>
        <w:t>من خواصه علیه السّلام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2792642_3804643083"/>
      <w:bookmarkStart w:id="320" w:name="_Toc124"/>
      <w:bookmarkEnd w:id="319"/>
      <w:r>
        <w:rPr>
          <w:rtl w:val="true"/>
        </w:rPr>
        <w:t>البحث الثالث</w:t>
      </w:r>
      <w:r>
        <w:rPr>
          <w:rtl w:val="true"/>
        </w:rPr>
        <w:t xml:space="preserve">: </w:t>
      </w:r>
      <w:r>
        <w:rPr>
          <w:rtl w:val="true"/>
        </w:rPr>
        <w:t>البیان قد یساوی المبیّن فی القوة و الضعف،</w:t>
      </w:r>
      <w:bookmarkEnd w:id="320"/>
    </w:p>
    <w:p>
      <w:pPr>
        <w:pStyle w:val="BookText"/>
        <w:rPr/>
      </w:pPr>
      <w:r>
        <w:rPr>
          <w:rFonts w:ascii="IRNazanin" w:hAnsi="IRNazanin" w:eastAsia="IRNazanin"/>
          <w:color w:val="111111"/>
          <w:sz w:val="28"/>
          <w:sz w:val="28"/>
          <w:szCs w:val="28"/>
          <w:rtl w:val="true"/>
          <w:lang w:bidi="fa-IR"/>
        </w:rPr>
        <w:t>و قد یکون معلوما و المبیّن مظنونا، و بالعکس کما فی تخصیص المعلوم بالمظنون، و لا فرق بین الواجب و غیره فی وجوب بیانهما</w:t>
      </w:r>
      <w:r>
        <w:rPr>
          <w:rFonts w:eastAsia="IRNazanin" w:cs="IRNazanin"/>
          <w:color w:val="111111"/>
          <w:sz w:val="28"/>
          <w:szCs w:val="28"/>
          <w:rtl w:val="true"/>
          <w:lang w:bidi="fa-IR"/>
        </w:rPr>
        <w:t>.</w:t>
      </w:r>
    </w:p>
    <w:p>
      <w:pPr>
        <w:pStyle w:val="Heading4"/>
        <w:numPr>
          <w:ilvl w:val="3"/>
          <w:numId w:val="1"/>
        </w:numPr>
        <w:rPr/>
      </w:pPr>
      <w:bookmarkStart w:id="321" w:name="__RefHeading___Toc2792644_3804643083"/>
      <w:bookmarkStart w:id="322" w:name="_Toc125"/>
      <w:bookmarkEnd w:id="321"/>
      <w:r>
        <w:rPr>
          <w:rtl w:val="true"/>
        </w:rPr>
        <w:t>البحث الرابع</w:t>
      </w:r>
      <w:r>
        <w:rPr>
          <w:rtl w:val="true"/>
        </w:rPr>
        <w:t xml:space="preserve">: </w:t>
      </w:r>
      <w:r>
        <w:rPr>
          <w:rtl w:val="true"/>
        </w:rPr>
        <w:t>الإجماع علی أنّه لا یجوز تأخیر البیان عن وقت الحاجة،</w:t>
      </w:r>
      <w:bookmarkEnd w:id="322"/>
    </w:p>
    <w:p>
      <w:pPr>
        <w:pStyle w:val="Heading5"/>
        <w:numPr>
          <w:ilvl w:val="4"/>
          <w:numId w:val="1"/>
        </w:numPr>
        <w:rPr/>
      </w:pPr>
      <w:bookmarkStart w:id="323" w:name="__RefHeading___Toc2792646_3804643083"/>
      <w:bookmarkStart w:id="324" w:name="_Toc126"/>
      <w:bookmarkEnd w:id="323"/>
      <w:r>
        <w:rPr>
          <w:rtl w:val="true"/>
        </w:rPr>
        <w:t>اشارة</w:t>
      </w:r>
      <w:bookmarkEnd w:id="32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عند من یجوّز تکلیف المحال</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أبو الحسین من تأخیره</w:t>
      </w:r>
      <w:r>
        <w:rPr>
          <w:rStyle w:val="FootnoteAnchor"/>
          <w:rtl w:val="true"/>
        </w:rPr>
        <w:footnoteReference w:id="595"/>
      </w:r>
      <w:r>
        <w:rPr>
          <w:rFonts w:ascii="IRNazanin" w:hAnsi="IRNazanin" w:eastAsia="IRNazanin"/>
          <w:color w:val="111111"/>
          <w:sz w:val="28"/>
          <w:sz w:val="28"/>
          <w:szCs w:val="28"/>
          <w:rtl w:val="true"/>
          <w:lang w:bidi="fa-IR"/>
        </w:rPr>
        <w:t>إلی وقت الحاجة فی کل خطاب له ظاهر یراد منه غیره، مثل العام المخصوص، و المجاز،</w:t>
      </w:r>
    </w:p>
    <w:p>
      <w:pPr>
        <w:pStyle w:val="BookText"/>
        <w:rPr/>
      </w:pPr>
      <w:r>
        <w:rPr>
          <w:rFonts w:ascii="IRNazanin" w:hAnsi="IRNazanin" w:eastAsia="IRNazanin"/>
          <w:color w:val="111111"/>
          <w:sz w:val="28"/>
          <w:sz w:val="28"/>
          <w:szCs w:val="28"/>
          <w:rtl w:val="true"/>
          <w:lang w:bidi="fa-IR"/>
        </w:rPr>
        <w:t>و النسخ، و تعیین النکرة، و اکتفی بالإجمالی</w:t>
      </w:r>
      <w:r>
        <w:rPr>
          <w:rStyle w:val="FootnoteAnchor"/>
          <w:rtl w:val="true"/>
        </w:rPr>
        <w:footnoteReference w:id="596"/>
      </w:r>
      <w:r>
        <w:rPr>
          <w:rFonts w:ascii="IRNazanin" w:hAnsi="IRNazanin" w:eastAsia="IRNazanin"/>
          <w:color w:val="111111"/>
          <w:sz w:val="28"/>
          <w:sz w:val="28"/>
          <w:szCs w:val="28"/>
          <w:rtl w:val="true"/>
          <w:lang w:bidi="fa-IR"/>
        </w:rPr>
        <w:t>، و جوّز فی مثل المتواطئة و المشترکة</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الأشاعرة التأخیر فی الجمیع إلی وقت الحاجة</w:t>
      </w:r>
      <w:r>
        <w:rPr>
          <w:rStyle w:val="FootnoteAnchor"/>
          <w:rtl w:val="true"/>
        </w:rPr>
        <w:footnoteReference w:id="5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المعتزلة علی المنع فی الجمیع إلّا النسخ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أبو الحسین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ما یعلم من الخطاب خلافه مع عدم الإشعار إغراء بالجهل، فیکون قبیحا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احتجت الأشاعرة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فَإِذا قَرَأْناهُ فَاتَّبِعْ قُرْآنَهُ ثُمَّ إِنَّ عَلَیْنا بَیانَهُ</w:t>
      </w:r>
      <w:r>
        <w:rPr>
          <w:rStyle w:val="FootnoteAnchor"/>
          <w:rtl w:val="true"/>
        </w:rPr>
        <w:footnoteReference w:id="600"/>
      </w:r>
      <w:r>
        <w:rPr>
          <w:rFonts w:ascii="Amiri" w:hAnsi="Amiri" w:eastAsia="Amiri" w:cs="Amiri"/>
          <w:color w:val="111111"/>
          <w:sz w:val="28"/>
          <w:sz w:val="28"/>
          <w:szCs w:val="28"/>
          <w:rtl w:val="true"/>
          <w:lang w:bidi="ar-SA"/>
        </w:rPr>
        <w:t>، و بأنّه أمر بذبح بقرة معینة،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لا ذَلُولٌ</w:t>
      </w:r>
      <w:r>
        <w:rPr>
          <w:rStyle w:val="FootnoteAnchor"/>
          <w:rtl w:val="true"/>
        </w:rPr>
        <w:footnoteReference w:id="601"/>
      </w:r>
      <w:r>
        <w:rPr>
          <w:rFonts w:ascii="Amiri" w:hAnsi="Amiri" w:eastAsia="Amiri" w:cs="Amiri"/>
          <w:color w:val="111111"/>
          <w:sz w:val="28"/>
          <w:sz w:val="28"/>
          <w:szCs w:val="28"/>
          <w:rtl w:val="true"/>
          <w:lang w:bidi="ar-SA"/>
        </w:rPr>
        <w:t>و لم یبینها وقت الخطاب، و إلّا لما سألوا، و بقول ابن الزبعری 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 ما تَعْبُدُونَ مِنْ دُونِ اللَّهِ حَصَبُ جَهَنَّمَ</w:t>
      </w:r>
      <w:r>
        <w:rPr>
          <w:rStyle w:val="FootnoteAnchor"/>
          <w:rtl w:val="true"/>
        </w:rPr>
        <w:footnoteReference w:id="6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لأخصمنّ محمدا، قد عبدت الملائکة و المسیح</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و بأنّه یجوز تخصیص المیت قبل الفعل إجماعا، و ذلک یقتضی الشک فی المراد بالخطاب مع عدم تقدم البیان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325" w:name="pg2360_37080"/>
    </w:p>
    <w:p>
      <w:pPr>
        <w:pStyle w:val="BookText"/>
        <w:rPr/>
      </w:pPr>
      <w:bookmarkEnd w:id="325"/>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الإغراء لو لم یتقرر فی العقل تجویز التخصیص، کما فی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جهل من السائل،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تتناول العقلاء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مشروط بالسلامة، و هو ثابت عند کل عاقل، و نحن مکلفون باعتقاد عموم التکلیف قبل الموت بشرط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السید المرتضی رحمه اللّه تأخیر التبلیغ إلی وقت الحاجة، لإمکان اقتضاء المصلحة ذلک</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بالتبلیغ لا یقتضی الفور و لا العموم، لانصراف المنزل إلی القرآن عرفا</w:t>
      </w:r>
      <w:r>
        <w:rPr>
          <w:rFonts w:eastAsia="IRNazanin" w:cs="IRNazanin"/>
          <w:color w:val="111111"/>
          <w:sz w:val="28"/>
          <w:szCs w:val="28"/>
          <w:rtl w:val="true"/>
          <w:lang w:bidi="fa-IR"/>
        </w:rPr>
        <w:t>.</w:t>
      </w:r>
    </w:p>
    <w:p>
      <w:pPr>
        <w:pStyle w:val="Heading5"/>
        <w:numPr>
          <w:ilvl w:val="4"/>
          <w:numId w:val="1"/>
        </w:numPr>
        <w:rPr/>
      </w:pPr>
      <w:bookmarkStart w:id="326" w:name="__RefHeading___Toc2792648_3804643083"/>
      <w:bookmarkStart w:id="327" w:name="_Toc127"/>
      <w:bookmarkEnd w:id="326"/>
      <w:r>
        <w:rPr>
          <w:rtl w:val="true"/>
        </w:rPr>
        <w:t>تذنیب</w:t>
      </w:r>
      <w:bookmarkEnd w:id="3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أن یسمع اللّه تعالی المکلف العام من غیر إسماع المخصص، و یکون مکلفا له بطلب الخاص، فإن وجده</w:t>
      </w:r>
      <w:r>
        <w:rPr>
          <w:rStyle w:val="FootnoteAnchor"/>
          <w:rtl w:val="true"/>
        </w:rPr>
        <w:footnoteReference w:id="606"/>
      </w:r>
      <w:r>
        <w:rPr>
          <w:rFonts w:ascii="Amiri" w:hAnsi="Amiri" w:eastAsia="Amiri" w:cs="Amiri"/>
          <w:color w:val="111111"/>
          <w:sz w:val="28"/>
          <w:sz w:val="28"/>
          <w:szCs w:val="28"/>
          <w:rtl w:val="true"/>
          <w:lang w:bidi="ar-SA"/>
        </w:rPr>
        <w:t>عمل به، و إلّا عمل بظاهر العام، لأنّهم سمعوا فَاقْتُلُوا الْمُشْرِکِینَ</w:t>
      </w:r>
      <w:r>
        <w:rPr>
          <w:rStyle w:val="FootnoteAnchor"/>
          <w:rtl w:val="true"/>
        </w:rPr>
        <w:footnoteReference w:id="607"/>
      </w:r>
      <w:r>
        <w:rPr>
          <w:rFonts w:ascii="IRNazanin" w:hAnsi="IRNazanin" w:eastAsia="IRNazanin"/>
          <w:color w:val="111111"/>
          <w:sz w:val="28"/>
          <w:sz w:val="28"/>
          <w:szCs w:val="28"/>
          <w:rtl w:val="true"/>
          <w:lang w:bidi="fa-IR"/>
        </w:rPr>
        <w:t>و لم یسمعوا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سنّوا بهم سنّة أهل الکتاب</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إلّا</w:t>
      </w:r>
      <w:bookmarkStart w:id="328" w:name="pg2360_37081"/>
    </w:p>
    <w:p>
      <w:pPr>
        <w:pStyle w:val="BookText"/>
        <w:rPr/>
      </w:pPr>
      <w:bookmarkEnd w:id="328"/>
      <w:r>
        <w:rPr>
          <w:rFonts w:ascii="IRNazanin" w:hAnsi="IRNazanin" w:eastAsia="IRNazanin"/>
          <w:color w:val="111111"/>
          <w:sz w:val="28"/>
          <w:sz w:val="28"/>
          <w:szCs w:val="28"/>
          <w:rtl w:val="true"/>
          <w:lang w:bidi="fa-IR"/>
        </w:rPr>
        <w:t>بعد حین، و لجواز إسماع العام</w:t>
      </w:r>
      <w:r>
        <w:rPr>
          <w:rStyle w:val="FootnoteAnchor"/>
          <w:rtl w:val="true"/>
        </w:rPr>
        <w:footnoteReference w:id="609"/>
      </w:r>
      <w:r>
        <w:rPr>
          <w:rFonts w:ascii="IRNazanin" w:hAnsi="IRNazanin" w:eastAsia="IRNazanin"/>
          <w:color w:val="111111"/>
          <w:sz w:val="28"/>
          <w:sz w:val="28"/>
          <w:szCs w:val="28"/>
          <w:rtl w:val="true"/>
          <w:lang w:bidi="fa-IR"/>
        </w:rPr>
        <w:t>المخصوص بالعقل و إن افتقر إلی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الهذیل</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علی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إغراء بالجهل، و منعا عن العمل بالعموم إلّا بعد البحث عن المخصص فی أقطار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إغراء مع ظن التخصیص و عدم الیقین بالعموم، و ظن الاستغراق کاف فی الاحتجاج و العمل بالعام، فعلی هذا لا یجوز العمل بالعام قبل البحث عن المخصص إجماعا</w:t>
      </w:r>
      <w:r>
        <w:rPr>
          <w:rFonts w:eastAsia="IRNazanin" w:cs="IRNazanin"/>
          <w:color w:val="111111"/>
          <w:sz w:val="28"/>
          <w:szCs w:val="28"/>
          <w:rtl w:val="true"/>
          <w:lang w:bidi="fa-IR"/>
        </w:rPr>
        <w:t>.</w:t>
      </w:r>
    </w:p>
    <w:p>
      <w:pPr>
        <w:pStyle w:val="Heading4"/>
        <w:numPr>
          <w:ilvl w:val="3"/>
          <w:numId w:val="1"/>
        </w:numPr>
        <w:rPr/>
      </w:pPr>
      <w:bookmarkStart w:id="329" w:name="__RefHeading___Toc2792650_3804643083"/>
      <w:bookmarkStart w:id="330" w:name="_Toc128"/>
      <w:bookmarkEnd w:id="329"/>
      <w:r>
        <w:rPr>
          <w:rtl w:val="true"/>
        </w:rPr>
        <w:t>البحث الخامس</w:t>
      </w:r>
      <w:r>
        <w:rPr>
          <w:rtl w:val="true"/>
        </w:rPr>
        <w:t xml:space="preserve">: </w:t>
      </w:r>
      <w:r>
        <w:rPr>
          <w:rtl w:val="true"/>
        </w:rPr>
        <w:t>کل من یرید اللّه تعالی إفهامه بالخطاب وجب بیانه له،</w:t>
      </w:r>
      <w:bookmarkEnd w:id="330"/>
    </w:p>
    <w:p>
      <w:pPr>
        <w:pStyle w:val="BookText"/>
        <w:rPr/>
      </w:pPr>
      <w:r>
        <w:rPr>
          <w:rFonts w:ascii="IRNazanin" w:hAnsi="IRNazanin" w:eastAsia="IRNazanin"/>
          <w:color w:val="111111"/>
          <w:sz w:val="28"/>
          <w:sz w:val="28"/>
          <w:szCs w:val="28"/>
          <w:rtl w:val="true"/>
          <w:lang w:bidi="fa-IR"/>
        </w:rPr>
        <w:t>إمّا لأن یعمل به کالعالم فی الصلاة، أو لا لذلک</w:t>
      </w:r>
      <w:r>
        <w:rPr>
          <w:rStyle w:val="FootnoteAnchor"/>
          <w:rtl w:val="true"/>
        </w:rPr>
        <w:footnoteReference w:id="611"/>
      </w:r>
      <w:r>
        <w:rPr>
          <w:rFonts w:ascii="IRNazanin" w:hAnsi="IRNazanin" w:eastAsia="IRNazanin"/>
          <w:color w:val="111111"/>
          <w:sz w:val="28"/>
          <w:sz w:val="28"/>
          <w:szCs w:val="28"/>
          <w:rtl w:val="true"/>
          <w:lang w:bidi="fa-IR"/>
        </w:rPr>
        <w:t>کالعالم المکلف بمعرفة أحکام الحیض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یرید اللّه إفهامه لا یجب علیه بیانه 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یراد منه العمل کالعامی، فإنّه یراد منه التکلیف بما یفتیه المفتی</w:t>
      </w:r>
      <w:r>
        <w:rPr>
          <w:rFonts w:eastAsia="IRNazanin" w:cs="IRNazanin"/>
          <w:color w:val="111111"/>
          <w:sz w:val="28"/>
          <w:szCs w:val="28"/>
          <w:rtl w:val="true"/>
          <w:lang w:bidi="fa-IR"/>
        </w:rPr>
        <w:t>.</w:t>
      </w:r>
      <w:bookmarkStart w:id="331" w:name="pg2360_37082"/>
    </w:p>
    <w:p>
      <w:pPr>
        <w:pStyle w:val="Heading3"/>
        <w:numPr>
          <w:ilvl w:val="2"/>
          <w:numId w:val="1"/>
        </w:numPr>
        <w:rPr/>
      </w:pPr>
      <w:bookmarkStart w:id="332" w:name="__RefHeading___Toc2792652_3804643083"/>
      <w:bookmarkStart w:id="333" w:name="_Toc129"/>
      <w:bookmarkEnd w:id="331"/>
      <w:bookmarkEnd w:id="332"/>
      <w:r>
        <w:rPr>
          <w:rtl w:val="true"/>
        </w:rPr>
        <w:t>الفصل الثالث</w:t>
      </w:r>
      <w:r>
        <w:rPr>
          <w:rtl w:val="true"/>
        </w:rPr>
        <w:t xml:space="preserve">: </w:t>
      </w:r>
      <w:r>
        <w:rPr>
          <w:rtl w:val="true"/>
        </w:rPr>
        <w:t>فی الظاهر و المؤوّل</w:t>
      </w:r>
      <w:bookmarkEnd w:id="333"/>
    </w:p>
    <w:p>
      <w:pPr>
        <w:pStyle w:val="BookText"/>
        <w:rPr/>
      </w:pPr>
      <w:r>
        <w:rPr>
          <w:rFonts w:ascii="IRNazanin" w:hAnsi="IRNazanin" w:eastAsia="IRNazanin"/>
          <w:color w:val="111111"/>
          <w:sz w:val="28"/>
          <w:sz w:val="28"/>
          <w:szCs w:val="28"/>
          <w:rtl w:val="true"/>
          <w:lang w:bidi="fa-IR"/>
        </w:rPr>
        <w:t>و قد مضی تعریفهما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التأویل بعید 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بعض الحنفیة قوله علیه السّلام لابن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أسلم علی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أربعا و فارق سائرهن</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بابتداء النکاح، أو إمساک المتقدمات، لقرب عهده بالإسلام</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أبعد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لفیروز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إسلامه علی الاختین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أیتهما شئت و فارق الاخری</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فإنّه اقتضی التخییر من غیر تفصیل</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سِتِّینَ مِسْکِیناً</w:t>
      </w:r>
      <w:r>
        <w:rPr>
          <w:rStyle w:val="FootnoteAnchor"/>
          <w:rtl w:val="true"/>
        </w:rPr>
        <w:footnoteReference w:id="616"/>
      </w:r>
      <w:r>
        <w:rPr>
          <w:rFonts w:ascii="IRNazanin" w:hAnsi="IRNazanin" w:eastAsia="IRNazanin"/>
          <w:color w:val="111111"/>
          <w:sz w:val="28"/>
          <w:sz w:val="28"/>
          <w:szCs w:val="28"/>
          <w:rtl w:val="true"/>
          <w:lang w:bidi="fa-IR"/>
        </w:rPr>
        <w:t xml:space="preserve">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للتساوی فی رفع</w:t>
      </w:r>
      <w:r>
        <w:rPr>
          <w:rStyle w:val="FootnoteAnchor"/>
          <w:rtl w:val="true"/>
        </w:rPr>
        <w:footnoteReference w:id="617"/>
      </w:r>
      <w:r>
        <w:rPr>
          <w:rFonts w:ascii="IRNazanin" w:hAnsi="IRNazanin" w:eastAsia="IRNazanin"/>
          <w:color w:val="111111"/>
          <w:sz w:val="28"/>
          <w:sz w:val="28"/>
          <w:szCs w:val="28"/>
          <w:rtl w:val="true"/>
          <w:lang w:bidi="fa-IR"/>
        </w:rPr>
        <w:t>الحاجة بین ستین مسکینا یوما و بین واحد ستین یوما، لإمکان قصد فضل</w:t>
      </w:r>
    </w:p>
    <w:p>
      <w:pPr>
        <w:pStyle w:val="BookText"/>
        <w:rPr/>
      </w:pPr>
      <w:r>
        <w:rPr>
          <w:rFonts w:ascii="IRNazanin" w:hAnsi="IRNazanin" w:eastAsia="IRNazanin"/>
          <w:color w:val="111111"/>
          <w:sz w:val="28"/>
          <w:sz w:val="28"/>
          <w:szCs w:val="28"/>
          <w:rtl w:val="true"/>
          <w:lang w:bidi="fa-IR"/>
        </w:rPr>
        <w:t>الجماعة، و حصول مستجاب الدعوة فیهم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ببعید حمل آیة الزکاة</w:t>
      </w:r>
      <w:r>
        <w:rPr>
          <w:rStyle w:val="FootnoteAnchor"/>
          <w:rtl w:val="true"/>
        </w:rPr>
        <w:footnoteReference w:id="618"/>
      </w:r>
      <w:r>
        <w:rPr>
          <w:rFonts w:ascii="IRNazanin" w:hAnsi="IRNazanin" w:eastAsia="IRNazanin"/>
          <w:color w:val="111111"/>
          <w:sz w:val="28"/>
          <w:sz w:val="28"/>
          <w:szCs w:val="28"/>
          <w:rtl w:val="true"/>
          <w:lang w:bidi="fa-IR"/>
        </w:rPr>
        <w:t>علی بیان المصرف، لأنّ سیاق الآیة للردّ علی لمزهم فی المعطین، و رضاهم إذا</w:t>
      </w:r>
      <w:r>
        <w:rPr>
          <w:rStyle w:val="FootnoteAnchor"/>
          <w:rtl w:val="true"/>
        </w:rPr>
        <w:footnoteReference w:id="619"/>
      </w:r>
      <w:r>
        <w:rPr>
          <w:rFonts w:ascii="IRNazanin" w:hAnsi="IRNazanin" w:eastAsia="IRNazanin"/>
          <w:color w:val="111111"/>
          <w:sz w:val="28"/>
          <w:sz w:val="28"/>
          <w:szCs w:val="28"/>
          <w:rtl w:val="true"/>
          <w:lang w:bidi="fa-IR"/>
        </w:rPr>
        <w:t>أخذوا، و سخطهم إن منعوا</w:t>
      </w:r>
      <w:r>
        <w:rPr>
          <w:rFonts w:eastAsia="IRNazanin" w:cs="IRNazanin"/>
          <w:color w:val="111111"/>
          <w:sz w:val="28"/>
          <w:szCs w:val="28"/>
          <w:rtl w:val="true"/>
          <w:lang w:bidi="fa-IR"/>
        </w:rPr>
        <w:t>.</w:t>
      </w:r>
      <w:bookmarkStart w:id="334" w:name="pg2360_37085"/>
    </w:p>
    <w:p>
      <w:pPr>
        <w:pStyle w:val="Heading2"/>
        <w:numPr>
          <w:ilvl w:val="1"/>
          <w:numId w:val="1"/>
        </w:numPr>
        <w:rPr/>
      </w:pPr>
      <w:bookmarkStart w:id="335" w:name="__RefHeading___Toc2792654_3804643083"/>
      <w:bookmarkStart w:id="336" w:name="_Toc130"/>
      <w:bookmarkEnd w:id="334"/>
      <w:bookmarkEnd w:id="335"/>
      <w:r>
        <w:rPr>
          <w:rtl w:val="true"/>
        </w:rPr>
        <w:t>المقصد السّادس فی الأفعال و فیه مباحث</w:t>
      </w:r>
      <w:bookmarkEnd w:id="3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2792656_3804643083"/>
      <w:bookmarkStart w:id="338" w:name="_Toc131"/>
      <w:bookmarkEnd w:id="337"/>
      <w:r>
        <w:rPr>
          <w:rtl w:val="true"/>
        </w:rPr>
        <w:t>اشارة</w:t>
      </w:r>
      <w:bookmarkStart w:id="339" w:name="pg2360_37087"/>
      <w:bookmarkEnd w:id="338"/>
    </w:p>
    <w:p>
      <w:pPr>
        <w:pStyle w:val="Heading3"/>
        <w:numPr>
          <w:ilvl w:val="2"/>
          <w:numId w:val="1"/>
        </w:numPr>
        <w:rPr/>
      </w:pPr>
      <w:bookmarkStart w:id="340" w:name="__RefHeading___Toc2792658_3804643083"/>
      <w:bookmarkStart w:id="341" w:name="_Toc132"/>
      <w:bookmarkEnd w:id="339"/>
      <w:bookmarkEnd w:id="340"/>
      <w:r>
        <w:rPr>
          <w:rtl w:val="true"/>
        </w:rPr>
        <w:t>الأوّل</w:t>
      </w:r>
      <w:r>
        <w:rPr>
          <w:rtl w:val="true"/>
        </w:rPr>
        <w:t xml:space="preserve">: </w:t>
      </w:r>
      <w:r>
        <w:rPr>
          <w:rtl w:val="true"/>
        </w:rPr>
        <w:t>ذهبت الإمامیة إلی امتناع صدور الذنب من الأنبیاء،</w:t>
      </w:r>
      <w:bookmarkEnd w:id="3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الإمامیة إلی امتناع صدور الذنب من</w:t>
      </w:r>
      <w:r>
        <w:rPr>
          <w:rStyle w:val="FootnoteAnchor"/>
          <w:rtl w:val="true"/>
        </w:rPr>
        <w:footnoteReference w:id="620"/>
      </w:r>
      <w:r>
        <w:rPr>
          <w:rFonts w:ascii="IRNazanin" w:hAnsi="IRNazanin" w:eastAsia="IRNazanin"/>
          <w:color w:val="111111"/>
          <w:sz w:val="28"/>
          <w:sz w:val="28"/>
          <w:szCs w:val="28"/>
          <w:rtl w:val="true"/>
          <w:lang w:bidi="fa-IR"/>
        </w:rPr>
        <w:t>الأنبیاء،</w:t>
      </w:r>
    </w:p>
    <w:p>
      <w:pPr>
        <w:pStyle w:val="BookText"/>
        <w:rPr/>
      </w:pPr>
      <w:r>
        <w:rPr>
          <w:rFonts w:ascii="IRNazanin" w:hAnsi="IRNazanin" w:eastAsia="IRNazanin"/>
          <w:color w:val="111111"/>
          <w:sz w:val="28"/>
          <w:sz w:val="28"/>
          <w:szCs w:val="28"/>
          <w:rtl w:val="true"/>
          <w:lang w:bidi="fa-IR"/>
        </w:rPr>
        <w:t>سواء کان الذنب صغیرا أو کبیرا، و لا فرق بین العمد و النسیان، لا قبل النبوة و لا بعدها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 لوجب اتباعهم، لعموم الأمر بالاتباع، مع الجهل بکونه معصیة، و لارتفع</w:t>
      </w:r>
      <w:r>
        <w:rPr>
          <w:rStyle w:val="FootnoteAnchor"/>
          <w:rtl w:val="true"/>
        </w:rPr>
        <w:footnoteReference w:id="622"/>
      </w:r>
      <w:r>
        <w:rPr>
          <w:rFonts w:ascii="IRNazanin" w:hAnsi="IRNazanin" w:eastAsia="IRNazanin"/>
          <w:color w:val="111111"/>
          <w:sz w:val="28"/>
          <w:sz w:val="28"/>
          <w:szCs w:val="28"/>
          <w:rtl w:val="true"/>
          <w:lang w:bidi="fa-IR"/>
        </w:rPr>
        <w:t>الوثوق و</w:t>
      </w:r>
      <w:r>
        <w:rPr>
          <w:rStyle w:val="FootnoteAnchor"/>
          <w:rtl w:val="true"/>
        </w:rPr>
        <w:footnoteReference w:id="623"/>
      </w:r>
      <w:r>
        <w:rPr>
          <w:rFonts w:ascii="IRNazanin" w:hAnsi="IRNazanin" w:eastAsia="IRNazanin"/>
          <w:color w:val="111111"/>
          <w:sz w:val="28"/>
          <w:sz w:val="28"/>
          <w:szCs w:val="28"/>
          <w:rtl w:val="true"/>
          <w:lang w:bidi="fa-IR"/>
        </w:rPr>
        <w:t>الأمان عن إخباره، فتنتفی فائدة البعثة، و لعدم الانقیاد إلی طاعتهم مع العلم، فیسقط محلهم، و هو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العقلاء علی امتناع</w:t>
      </w:r>
      <w:r>
        <w:rPr>
          <w:rStyle w:val="FootnoteAnchor"/>
          <w:rtl w:val="true"/>
        </w:rPr>
        <w:footnoteReference w:id="624"/>
      </w:r>
      <w:r>
        <w:rPr>
          <w:rFonts w:ascii="IRNazanin" w:hAnsi="IRNazanin" w:eastAsia="IRNazanin"/>
          <w:color w:val="111111"/>
          <w:sz w:val="28"/>
          <w:sz w:val="28"/>
          <w:szCs w:val="28"/>
          <w:rtl w:val="true"/>
          <w:lang w:bidi="fa-IR"/>
        </w:rPr>
        <w:t>الکفر منهم</w:t>
      </w:r>
      <w:r>
        <w:rPr>
          <w:rStyle w:val="FootnoteAnchor"/>
          <w:rtl w:val="true"/>
        </w:rPr>
        <w:footnoteReference w:id="625"/>
      </w:r>
      <w:r>
        <w:rPr>
          <w:rFonts w:ascii="IRNazanin" w:hAnsi="IRNazanin" w:eastAsia="IRNazanin"/>
          <w:color w:val="111111"/>
          <w:sz w:val="28"/>
          <w:sz w:val="28"/>
          <w:szCs w:val="28"/>
          <w:rtl w:val="true"/>
          <w:lang w:bidi="fa-IR"/>
        </w:rPr>
        <w:t>، إلّا الفضیلیة، حیث جوزوا الذنب علیهم، و کل ذنب</w:t>
      </w:r>
      <w:r>
        <w:rPr>
          <w:rStyle w:val="FootnoteAnchor"/>
          <w:rtl w:val="true"/>
        </w:rPr>
        <w:footnoteReference w:id="626"/>
      </w:r>
      <w:r>
        <w:rPr>
          <w:rFonts w:ascii="IRNazanin" w:hAnsi="IRNazanin" w:eastAsia="IRNazanin"/>
          <w:color w:val="111111"/>
          <w:sz w:val="28"/>
          <w:sz w:val="28"/>
          <w:szCs w:val="28"/>
          <w:rtl w:val="true"/>
          <w:lang w:bidi="fa-IR"/>
        </w:rPr>
        <w:t>عندهم کفر</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الجمهور صدور الخطأ فی الاعتقاد الذی لا یوجب کفرا، کالحکم بعدم بقاء الأعراض مثلا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یتعلق بالتبلیغ فقد أجمعوا علی عصمتهم فیه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342" w:name="pg2360_37088"/>
    </w:p>
    <w:p>
      <w:pPr>
        <w:pStyle w:val="BookText"/>
        <w:rPr/>
      </w:pPr>
      <w:bookmarkEnd w:id="342"/>
      <w:r>
        <w:rPr>
          <w:rFonts w:ascii="IRNazanin" w:hAnsi="IRNazanin" w:eastAsia="IRNazanin"/>
          <w:color w:val="111111"/>
          <w:sz w:val="28"/>
          <w:sz w:val="28"/>
          <w:szCs w:val="28"/>
          <w:rtl w:val="true"/>
          <w:lang w:bidi="fa-IR"/>
        </w:rPr>
        <w:t>و ما یتعلق بالفتوی کذلک، إلّا الخطأ سهوا، فقد جوّزه بعضهم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الحشویة جوّزوا الکبائر علیهم</w:t>
      </w:r>
      <w:r>
        <w:rPr>
          <w:rStyle w:val="FootnoteAnchor"/>
          <w:rtl w:val="true"/>
        </w:rPr>
        <w:footnoteReference w:id="630"/>
      </w:r>
      <w:r>
        <w:rPr>
          <w:rFonts w:ascii="IRNazanin" w:hAnsi="IRNazanin" w:eastAsia="IRNazanin"/>
          <w:color w:val="111111"/>
          <w:sz w:val="28"/>
          <w:sz w:val="28"/>
          <w:szCs w:val="28"/>
          <w:rtl w:val="true"/>
          <w:lang w:bidi="fa-IR"/>
        </w:rPr>
        <w:t>عمدا، و أنّه وقع</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جوّزه عقلا و منعه سمعا</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الجبائی منع من الصغیرة و الکبیرة إلّا علی سبیل التأویل</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بعضهم منع من العمد و التأویل، و جوّزه سهوا إلّا أنّهم لقوّة عقولهم مطالبون بالتحفظ من ذلک</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و أکثر المعتزلة منعوا من الکبیرة و جوّزوا الصغیرة سهوا و خطأ و عمدا و تأویلا إلّا المنفّر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ما ذکرناه أولا</w:t>
      </w:r>
      <w:r>
        <w:rPr>
          <w:rFonts w:eastAsia="IRNazanin" w:cs="IRNazanin"/>
          <w:color w:val="111111"/>
          <w:sz w:val="28"/>
          <w:szCs w:val="28"/>
          <w:rtl w:val="true"/>
          <w:lang w:bidi="fa-IR"/>
        </w:rPr>
        <w:t>.</w:t>
      </w:r>
    </w:p>
    <w:p>
      <w:pPr>
        <w:pStyle w:val="Heading3"/>
        <w:numPr>
          <w:ilvl w:val="2"/>
          <w:numId w:val="1"/>
        </w:numPr>
        <w:rPr/>
      </w:pPr>
      <w:bookmarkStart w:id="343" w:name="__RefHeading___Toc2792660_3804643083"/>
      <w:bookmarkStart w:id="344" w:name="_Toc133"/>
      <w:bookmarkEnd w:id="343"/>
      <w:r>
        <w:rPr>
          <w:rtl w:val="true"/>
        </w:rPr>
        <w:t>البحث الثانی</w:t>
      </w:r>
      <w:r>
        <w:rPr>
          <w:rtl w:val="true"/>
        </w:rPr>
        <w:t xml:space="preserve">: </w:t>
      </w:r>
      <w:r>
        <w:rPr>
          <w:rtl w:val="true"/>
        </w:rPr>
        <w:t>الحق عندی أنّ فعله علیه السّلام إذا لم یظهر فیه قصد القربة لم یدل علی حکم فی حقنا، لاحتمال الإباحة</w:t>
      </w:r>
      <w:r>
        <w:rPr>
          <w:rtl w:val="true"/>
        </w:rPr>
        <w:t>.</w:t>
      </w:r>
      <w:bookmarkEnd w:id="34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الموجبون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w:t>
      </w:r>
      <w:r>
        <w:rPr>
          <w:rStyle w:val="FootnoteAnchor"/>
          <w:rtl w:val="true"/>
        </w:rPr>
        <w:footnoteReference w:id="636"/>
      </w:r>
      <w:r>
        <w:rPr>
          <w:rFonts w:ascii="Amiri" w:hAnsi="Amiri" w:eastAsia="Amiri" w:cs="Amiri"/>
          <w:color w:val="111111"/>
          <w:sz w:val="28"/>
          <w:sz w:val="28"/>
          <w:szCs w:val="28"/>
          <w:rtl w:val="true"/>
          <w:lang w:bidi="ar-SA"/>
        </w:rPr>
        <w:t>لَقَدْ کانَ لَکُمْ فِی رَسُولِ اللَّهِ أُسْوَةٌ حَسَنَةٌ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اتَّبِعُوهُ</w:t>
      </w:r>
      <w:r>
        <w:rPr>
          <w:rStyle w:val="FootnoteAnchor"/>
          <w:rtl w:val="true"/>
        </w:rPr>
        <w:footnoteReference w:id="638"/>
      </w:r>
      <w:r>
        <w:rPr>
          <w:rFonts w:ascii="Amiri" w:hAnsi="Amiri" w:eastAsia="Amiri" w:cs="Amiri"/>
          <w:color w:val="111111"/>
          <w:sz w:val="28"/>
          <w:sz w:val="28"/>
          <w:szCs w:val="28"/>
          <w:rtl w:val="true"/>
          <w:lang w:bidi="ar-SA"/>
        </w:rPr>
        <w:t>فَاتَّبِعُونِی</w:t>
      </w:r>
      <w:r>
        <w:rPr>
          <w:rStyle w:val="FootnoteAnchor"/>
          <w:rtl w:val="true"/>
        </w:rPr>
        <w:footnoteReference w:id="639"/>
      </w:r>
      <w:r>
        <w:rPr>
          <w:rFonts w:ascii="Amiri" w:hAnsi="Amiri" w:eastAsia="Amiri" w:cs="Amiri"/>
          <w:color w:val="111111"/>
          <w:sz w:val="28"/>
          <w:sz w:val="28"/>
          <w:szCs w:val="28"/>
          <w:rtl w:val="true"/>
          <w:lang w:bidi="ar-SA"/>
        </w:rPr>
        <w:t>وَ ما آتاکُمُ الرَّسُولُ فَخُذُوهُ</w:t>
      </w:r>
      <w:r>
        <w:rPr>
          <w:rStyle w:val="FootnoteAnchor"/>
          <w:rtl w:val="true"/>
        </w:rPr>
        <w:footnoteReference w:id="640"/>
      </w:r>
      <w:r>
        <w:rPr>
          <w:rFonts w:ascii="Amiri" w:hAnsi="Amiri" w:eastAsia="Amiri" w:cs="Amiri"/>
          <w:color w:val="111111"/>
          <w:sz w:val="28"/>
          <w:sz w:val="28"/>
          <w:szCs w:val="28"/>
          <w:rtl w:val="true"/>
          <w:lang w:bidi="ar-SA"/>
        </w:rPr>
        <w:t>وَ أَطِیعُوا اللَّهَ وَ أَطِیعُوا الرَّسُولَ</w:t>
      </w:r>
      <w:r>
        <w:rPr>
          <w:rStyle w:val="FootnoteAnchor"/>
          <w:rtl w:val="true"/>
        </w:rPr>
        <w:footnoteReference w:id="641"/>
      </w:r>
      <w:r>
        <w:rPr>
          <w:rFonts w:ascii="Amiri" w:hAnsi="Amiri" w:eastAsia="Amiri" w:cs="Amiri"/>
          <w:color w:val="111111"/>
          <w:sz w:val="28"/>
          <w:sz w:val="28"/>
          <w:szCs w:val="28"/>
          <w:rtl w:val="true"/>
          <w:lang w:bidi="ar-SA"/>
        </w:rPr>
        <w:t>زَوَّجْناکَها لِکَیْ لا یَکُونَ عَلَی الْمُؤْمِنِینَ حَرَجٌ</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لأنّه أحوط</w:t>
      </w:r>
      <w:r>
        <w:rPr>
          <w:rStyle w:val="FootnoteAnchor"/>
          <w:rtl w:val="true"/>
        </w:rPr>
        <w:footnoteReference w:id="6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أنّه قول ابن سریج، و أبی سعید الاصطخری، و أبی علی بن خیران، ثمّ ذکر أدلتهم فی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و زاد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ابن أبی هریرة، و ابن خیران، و الحنابلة، و جماعة من المعتزلة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حقیقة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الاشتراک، لکن</w:t>
      </w:r>
      <w:r>
        <w:rPr>
          <w:rStyle w:val="FootnoteAnchor"/>
          <w:rtl w:val="true"/>
        </w:rPr>
        <w:footnoteReference w:id="644"/>
      </w:r>
      <w:r>
        <w:rPr>
          <w:rFonts w:ascii="IRNazanin" w:hAnsi="IRNazanin" w:eastAsia="IRNazanin"/>
          <w:color w:val="111111"/>
          <w:sz w:val="28"/>
          <w:sz w:val="28"/>
          <w:szCs w:val="28"/>
          <w:rtl w:val="true"/>
          <w:lang w:bidi="fa-IR"/>
        </w:rPr>
        <w:t>لا یدل علی الفعل، خصوصا مع سبق ذکر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الاسوة إنّما تتحقق مع علم وجه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بالإیتاء القول، بقرینة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نَهاکُمْ عَنْهُ فَانْتَهُوا</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الطاعة موافقة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الحرج یدل علی الإباحة، لا علی مطلوبهم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إنّما یصحّ فیما علم وجهه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بذلک الأفعال الطبیعیة، کالقیام و القعود و الأکل، و ما ثبت</w:t>
      </w:r>
      <w:r>
        <w:rPr>
          <w:rStyle w:val="FootnoteAnchor"/>
          <w:rtl w:val="true"/>
        </w:rPr>
        <w:footnoteReference w:id="646"/>
      </w:r>
      <w:bookmarkStart w:id="345" w:name="pg2360_37090"/>
    </w:p>
    <w:p>
      <w:pPr>
        <w:pStyle w:val="BookText"/>
        <w:rPr/>
      </w:pPr>
      <w:bookmarkEnd w:id="345"/>
      <w:r>
        <w:rPr>
          <w:rFonts w:ascii="IRNazanin" w:hAnsi="IRNazanin" w:eastAsia="IRNazanin"/>
          <w:color w:val="111111"/>
          <w:sz w:val="28"/>
          <w:sz w:val="28"/>
          <w:szCs w:val="28"/>
          <w:rtl w:val="true"/>
          <w:lang w:bidi="fa-IR"/>
        </w:rPr>
        <w:t>تخصیصه علیه السّلام به، کالوصال، و الزیادة علی الأربع</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وقع بیانا فإنّه یتبع فیه إجماعا، کقطع ید</w:t>
      </w:r>
      <w:r>
        <w:rPr>
          <w:rStyle w:val="FootnoteAnchor"/>
          <w:rtl w:val="true"/>
        </w:rPr>
        <w:footnoteReference w:id="648"/>
      </w:r>
      <w:r>
        <w:rPr>
          <w:rFonts w:ascii="IRNazanin" w:hAnsi="IRNazanin" w:eastAsia="IRNazanin"/>
          <w:color w:val="111111"/>
          <w:sz w:val="28"/>
          <w:sz w:val="28"/>
          <w:szCs w:val="28"/>
          <w:rtl w:val="true"/>
          <w:lang w:bidi="fa-IR"/>
        </w:rPr>
        <w:t>السارق، و الغسل من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Style w:val="FootnoteAnchor"/>
          <w:rtl w:val="true"/>
        </w:rPr>
        <w:footnoteReference w:id="649"/>
      </w:r>
      <w:r>
        <w:rPr>
          <w:rFonts w:ascii="IRNazanin" w:hAnsi="IRNazanin" w:eastAsia="IRNazanin"/>
          <w:color w:val="111111"/>
          <w:sz w:val="28"/>
          <w:sz w:val="28"/>
          <w:szCs w:val="28"/>
          <w:rtl w:val="true"/>
          <w:lang w:bidi="fa-IR"/>
        </w:rPr>
        <w:t>علمت صفته وجب التأسی به، فإن کان واجبا کنّا متعبدین بإیقاعه واجبا، و إن کان ندبا تعبدنا بالندب، و إن کان مباحا تعبدنا باعتقاد</w:t>
      </w:r>
      <w:r>
        <w:rPr>
          <w:rStyle w:val="FootnoteAnchor"/>
          <w:rtl w:val="true"/>
        </w:rPr>
        <w:footnoteReference w:id="650"/>
      </w:r>
      <w:r>
        <w:rPr>
          <w:rFonts w:ascii="Amiri" w:hAnsi="Amiri" w:eastAsia="Amiri" w:cs="Amiri"/>
          <w:color w:val="111111"/>
          <w:sz w:val="28"/>
          <w:sz w:val="28"/>
          <w:szCs w:val="28"/>
          <w:rtl w:val="true"/>
          <w:lang w:bidi="ar-SA"/>
        </w:rPr>
        <w:t>إباحته،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لِمَنْ کانَ یَرْجُوا اللَّهَ</w:t>
      </w:r>
      <w:r>
        <w:rPr>
          <w:rStyle w:val="FootnoteAnchor"/>
          <w:rtl w:val="true"/>
        </w:rPr>
        <w:footnoteReference w:id="651"/>
      </w:r>
      <w:r>
        <w:rPr>
          <w:rFonts w:ascii="IRNazanin" w:hAnsi="IRNazanin" w:eastAsia="IRNazanin"/>
          <w:color w:val="111111"/>
          <w:sz w:val="28"/>
          <w:sz w:val="28"/>
          <w:szCs w:val="28"/>
          <w:rtl w:val="true"/>
          <w:lang w:bidi="fa-IR"/>
        </w:rPr>
        <w:t>و الاسوة الإتیان بفعل الغیر لأنّه فعله، و قوله لِمَنْ کانَ یَرْجُوا اللَّهَ تخویف علی الترک، و للإجماع علی الرجوع فی الأحکام إلی أفعاله</w:t>
      </w:r>
      <w:r>
        <w:rPr>
          <w:rStyle w:val="FootnoteAnchor"/>
          <w:rtl w:val="true"/>
        </w:rPr>
        <w:footnoteReference w:id="652"/>
      </w:r>
      <w:r>
        <w:rPr>
          <w:rFonts w:ascii="IRNazanin" w:hAnsi="IRNazanin" w:eastAsia="IRNazanin"/>
          <w:color w:val="111111"/>
          <w:sz w:val="28"/>
          <w:sz w:val="28"/>
          <w:szCs w:val="28"/>
          <w:rtl w:val="true"/>
          <w:lang w:bidi="fa-IR"/>
        </w:rPr>
        <w:t>علیه السّلام، کقبلة الصائم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792662_3804643083"/>
      <w:bookmarkStart w:id="347" w:name="_Toc134"/>
      <w:bookmarkEnd w:id="346"/>
      <w:r>
        <w:rPr>
          <w:rtl w:val="true"/>
        </w:rPr>
        <w:t>البحث الثالث</w:t>
      </w:r>
      <w:r>
        <w:rPr>
          <w:rtl w:val="true"/>
        </w:rPr>
        <w:t xml:space="preserve">: </w:t>
      </w:r>
      <w:r>
        <w:rPr>
          <w:rtl w:val="true"/>
        </w:rPr>
        <w:t>یعلم الوجه بالنص، و بوقوعه امتثالا أو بیانا</w:t>
      </w:r>
      <w:r>
        <w:rPr>
          <w:rtl w:val="true"/>
        </w:rPr>
        <w:t>.</w:t>
      </w:r>
      <w:bookmarkEnd w:id="3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الإباحة بالفعل الخالی عن البیان مع الحکم بامتناع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الندب بقصد القربة مع أصالة عدم الوجوب، و بفعله علی وجه القربة، أو دائما ثمّ یترکه من غیر نسخ، و بأن یخیّر بینه</w:t>
      </w:r>
      <w:bookmarkStart w:id="348" w:name="pg2360_37091"/>
    </w:p>
    <w:p>
      <w:pPr>
        <w:pStyle w:val="BookText"/>
        <w:rPr/>
      </w:pPr>
      <w:bookmarkEnd w:id="348"/>
      <w:r>
        <w:rPr>
          <w:rFonts w:ascii="IRNazanin" w:hAnsi="IRNazanin" w:eastAsia="IRNazanin"/>
          <w:color w:val="111111"/>
          <w:sz w:val="28"/>
          <w:sz w:val="28"/>
          <w:szCs w:val="28"/>
          <w:rtl w:val="true"/>
          <w:lang w:bidi="fa-IR"/>
        </w:rPr>
        <w:t>و بین مندوب، و بوقوعه قضاء 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بالتخییر بینه و بین واجب، و بإیقاعه مع أمارة الوجوب کالأذان، و بوقوعه قضاء للواجب، أو جزاء لشرط موجب کالنذر، و بتحریمه لو لا الوجوب کالجمع بین رکوعین</w:t>
      </w:r>
      <w:r>
        <w:rPr>
          <w:rStyle w:val="FootnoteAnchor"/>
          <w:rtl w:val="true"/>
        </w:rPr>
        <w:footnoteReference w:id="654"/>
      </w:r>
      <w:r>
        <w:rPr>
          <w:rFonts w:ascii="IRNazanin" w:hAnsi="IRNazanin" w:eastAsia="IRNazanin"/>
          <w:color w:val="111111"/>
          <w:sz w:val="28"/>
          <w:sz w:val="28"/>
          <w:szCs w:val="28"/>
          <w:rtl w:val="true"/>
          <w:lang w:bidi="fa-IR"/>
        </w:rPr>
        <w:t>فی الکسوف</w:t>
      </w:r>
      <w:r>
        <w:rPr>
          <w:rFonts w:eastAsia="IRNazanin" w:cs="IRNazanin"/>
          <w:color w:val="111111"/>
          <w:sz w:val="28"/>
          <w:szCs w:val="28"/>
          <w:rtl w:val="true"/>
          <w:lang w:bidi="fa-IR"/>
        </w:rPr>
        <w:t>.</w:t>
      </w:r>
    </w:p>
    <w:p>
      <w:pPr>
        <w:pStyle w:val="Heading3"/>
        <w:numPr>
          <w:ilvl w:val="2"/>
          <w:numId w:val="1"/>
        </w:numPr>
        <w:rPr/>
      </w:pPr>
      <w:bookmarkStart w:id="349" w:name="__RefHeading___Toc2792664_3804643083"/>
      <w:bookmarkStart w:id="350" w:name="_Toc135"/>
      <w:bookmarkEnd w:id="349"/>
      <w:r>
        <w:rPr>
          <w:rtl w:val="true"/>
        </w:rPr>
        <w:t>البحث الرابع</w:t>
      </w:r>
      <w:r>
        <w:rPr>
          <w:rtl w:val="true"/>
        </w:rPr>
        <w:t xml:space="preserve">: </w:t>
      </w:r>
      <w:r>
        <w:rPr>
          <w:rtl w:val="true"/>
        </w:rPr>
        <w:t>الفعلان إذا تعارضا و کانا من الرسول علیه السّلام علم أنّ السابق منسوخ إذا علم تعبده علیه السّلام به ما لم ینسخ</w:t>
      </w:r>
      <w:r>
        <w:rPr>
          <w:rtl w:val="true"/>
        </w:rPr>
        <w:t>.</w:t>
      </w:r>
      <w:bookmarkEnd w:id="350"/>
    </w:p>
    <w:p>
      <w:pPr>
        <w:pStyle w:val="BookText"/>
        <w:rPr/>
      </w:pPr>
      <w:r>
        <w:rPr>
          <w:rFonts w:ascii="IRNazanin" w:hAnsi="IRNazanin" w:eastAsia="IRNazanin"/>
          <w:color w:val="111111"/>
          <w:sz w:val="28"/>
          <w:sz w:val="28"/>
          <w:szCs w:val="28"/>
          <w:rtl w:val="true"/>
          <w:lang w:bidi="fa-IR"/>
        </w:rPr>
        <w:t>و لو کان أحدهما منه و الآخر من غیره و أقرّه علیه السّلام علم خروج الفاعل من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عارض فعله علیه السّلام قوله، و تقدم القول مع عدم تراخی الفعل، و اختص القول به علیه السّلام جاز عند من یجوّز النسخ قبل الوقت لا عند من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 بامّته عمل بالقول، لئلا یلغی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اشترک فکذلک، جمعا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تراخی الفعل، و کان القول عاما، کان منسوخا عنّا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 بنا کان نسخا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 به کان نسخا عنه، ثمّ یجب علینا مثل فعله للتأسی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تقدم الفعل و تعقبه القول و اختص به، دلّ علی تخصیصه من العموم الدال علی وجوب الفعل لکل واحد</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 بامّته دل علی اختصاصه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اشترک دل علی سقوط حکم الفعل</w:t>
      </w:r>
      <w:r>
        <w:rPr>
          <w:rStyle w:val="FootnoteAnchor"/>
          <w:rtl w:val="true"/>
        </w:rPr>
        <w:footnoteReference w:id="656"/>
      </w:r>
      <w:r>
        <w:rPr>
          <w:rFonts w:ascii="IRNazanin" w:hAnsi="IRNazanin" w:eastAsia="IRNazanin"/>
          <w:color w:val="111111"/>
          <w:sz w:val="28"/>
          <w:sz w:val="28"/>
          <w:szCs w:val="28"/>
          <w:rtl w:val="true"/>
          <w:lang w:bidi="fa-IR"/>
        </w:rPr>
        <w:t>عنه و عنهم</w:t>
      </w:r>
      <w:r>
        <w:rPr>
          <w:rFonts w:eastAsia="IRNazanin" w:cs="IRNazanin"/>
          <w:color w:val="111111"/>
          <w:sz w:val="28"/>
          <w:szCs w:val="28"/>
          <w:rtl w:val="true"/>
          <w:lang w:bidi="fa-IR"/>
        </w:rPr>
        <w:t>.</w:t>
      </w:r>
      <w:bookmarkStart w:id="351" w:name="pg2360_37092"/>
    </w:p>
    <w:p>
      <w:pPr>
        <w:pStyle w:val="BookText"/>
        <w:rPr/>
      </w:pPr>
      <w:bookmarkEnd w:id="351"/>
      <w:r>
        <w:rPr>
          <w:rFonts w:ascii="IRNazanin" w:hAnsi="IRNazanin" w:eastAsia="IRNazanin"/>
          <w:color w:val="111111"/>
          <w:sz w:val="28"/>
          <w:sz w:val="28"/>
          <w:szCs w:val="28"/>
          <w:rtl w:val="true"/>
          <w:lang w:bidi="fa-IR"/>
        </w:rPr>
        <w:t>و إن تراخی القول کان ناسخا</w:t>
      </w:r>
      <w:r>
        <w:rPr>
          <w:rStyle w:val="FootnoteAnchor"/>
          <w:rtl w:val="true"/>
        </w:rPr>
        <w:footnoteReference w:id="657"/>
      </w:r>
      <w:r>
        <w:rPr>
          <w:rFonts w:ascii="IRNazanin" w:hAnsi="IRNazanin" w:eastAsia="IRNazanin"/>
          <w:color w:val="111111"/>
          <w:sz w:val="28"/>
          <w:sz w:val="28"/>
          <w:szCs w:val="28"/>
          <w:rtl w:val="true"/>
          <w:lang w:bidi="fa-IR"/>
        </w:rPr>
        <w:t>فیمن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جهل تقدم الفعل قدم القول، لقوة دلالته، لاستغنائه عن الفعل دون العکس، و للعلم بتناول القول لنا دون الفعل، لجواز تأخره</w:t>
      </w:r>
      <w:r>
        <w:rPr>
          <w:rStyle w:val="FootnoteAnchor"/>
          <w:rtl w:val="true"/>
        </w:rPr>
        <w:footnoteReference w:id="658"/>
      </w:r>
      <w:r>
        <w:rPr>
          <w:rFonts w:ascii="IRNazanin" w:hAnsi="IRNazanin" w:eastAsia="IRNazanin"/>
          <w:color w:val="111111"/>
          <w:sz w:val="28"/>
          <w:sz w:val="28"/>
          <w:szCs w:val="28"/>
          <w:rtl w:val="true"/>
          <w:lang w:bidi="fa-IR"/>
        </w:rPr>
        <w:t>فیکون متناولا لنا و تقدمه فلا یتناولنا</w:t>
      </w:r>
      <w:r>
        <w:rPr>
          <w:rFonts w:eastAsia="IRNazanin" w:cs="IRNazanin"/>
          <w:color w:val="111111"/>
          <w:sz w:val="28"/>
          <w:szCs w:val="28"/>
          <w:rtl w:val="true"/>
          <w:lang w:bidi="fa-IR"/>
        </w:rPr>
        <w:t>.</w:t>
      </w:r>
    </w:p>
    <w:p>
      <w:pPr>
        <w:pStyle w:val="Heading3"/>
        <w:numPr>
          <w:ilvl w:val="2"/>
          <w:numId w:val="1"/>
        </w:numPr>
        <w:rPr/>
      </w:pPr>
      <w:bookmarkStart w:id="352" w:name="__RefHeading___Toc2792666_3804643083"/>
      <w:bookmarkStart w:id="353" w:name="_Toc136"/>
      <w:bookmarkEnd w:id="352"/>
      <w:r>
        <w:rPr>
          <w:rtl w:val="true"/>
        </w:rPr>
        <w:t>البحث الخامس</w:t>
      </w:r>
      <w:r>
        <w:rPr>
          <w:rtl w:val="true"/>
        </w:rPr>
        <w:t xml:space="preserve">: </w:t>
      </w:r>
      <w:r>
        <w:rPr>
          <w:rtl w:val="true"/>
        </w:rPr>
        <w:t>الأقرب أنّه علیه السّلام قبل النبوة لم یکن متعبدا بشرع أحد، و إلّا لاشتهر، و لافتخر به أربابها</w:t>
      </w:r>
      <w:r>
        <w:rPr>
          <w:rtl w:val="true"/>
        </w:rPr>
        <w:t>.</w:t>
      </w:r>
      <w:bookmarkEnd w:id="353"/>
    </w:p>
    <w:p>
      <w:pPr>
        <w:pStyle w:val="BookText"/>
        <w:rPr/>
      </w:pPr>
      <w:r>
        <w:rPr>
          <w:rFonts w:ascii="IRNazanin" w:hAnsi="IRNazanin" w:eastAsia="IRNazanin"/>
          <w:color w:val="111111"/>
          <w:sz w:val="28"/>
          <w:sz w:val="28"/>
          <w:szCs w:val="28"/>
          <w:rtl w:val="true"/>
          <w:lang w:bidi="fa-IR"/>
        </w:rPr>
        <w:t>و نمنع عموم دعوة من سبقه علیه السّلام له</w:t>
      </w:r>
      <w:r>
        <w:rPr>
          <w:rStyle w:val="FootnoteAnchor"/>
          <w:rtl w:val="true"/>
        </w:rPr>
        <w:footnoteReference w:id="659"/>
      </w:r>
      <w:r>
        <w:rPr>
          <w:rFonts w:ascii="IRNazanin" w:hAnsi="IRNazanin" w:eastAsia="IRNazanin"/>
          <w:color w:val="111111"/>
          <w:sz w:val="28"/>
          <w:sz w:val="28"/>
          <w:szCs w:val="28"/>
          <w:rtl w:val="true"/>
          <w:lang w:bidi="fa-IR"/>
        </w:rPr>
        <w:t>أو وصول شرعه إلیه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رکوب الدابة حسن عقلا، و کذا أکل اللحم المذکّی، إذ لا ضرر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طوافه بالبیت لا یدل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النبوة فالحق أنّه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أخطأ من زعم أنّه متعبد بشرع إبراهیم أو موسی أو عیسی علیهم السّلام</w:t>
      </w:r>
      <w:r>
        <w:rPr>
          <w:rStyle w:val="FootnoteAnchor"/>
          <w:rtl w:val="true"/>
        </w:rPr>
        <w:footnoteReference w:id="6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أصحاب أبی حنیفة، و عن أحمد فی إحدی الروایتین عنه، و عن بعض أصحاب الشافعی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اوحی إلیه کما اوحی إلیهم، فشرعه أصل، و لم یجب رجوعه إلیهم فی الحوادث، بل کان ینتظر الوحی، و غضب علی عمر حیث</w:t>
      </w:r>
    </w:p>
    <w:p>
      <w:pPr>
        <w:pStyle w:val="BookText"/>
        <w:rPr/>
      </w:pPr>
      <w:r>
        <w:rPr>
          <w:rFonts w:ascii="IRNazanin" w:hAnsi="IRNazanin" w:eastAsia="IRNazanin"/>
          <w:color w:val="111111"/>
          <w:sz w:val="28"/>
          <w:sz w:val="28"/>
          <w:szCs w:val="28"/>
          <w:rtl w:val="true"/>
          <w:lang w:bidi="fa-IR"/>
        </w:rPr>
        <w:t>طالع</w:t>
      </w:r>
      <w:r>
        <w:rPr>
          <w:rStyle w:val="FootnoteAnchor"/>
          <w:rtl w:val="true"/>
        </w:rPr>
        <w:footnoteReference w:id="661"/>
      </w:r>
      <w:r>
        <w:rPr>
          <w:rFonts w:ascii="IRNazanin" w:hAnsi="IRNazanin" w:eastAsia="IRNazanin"/>
          <w:color w:val="111111"/>
          <w:sz w:val="28"/>
          <w:sz w:val="28"/>
          <w:szCs w:val="28"/>
          <w:rtl w:val="true"/>
          <w:lang w:bidi="fa-IR"/>
        </w:rPr>
        <w:t>فی التوراة،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موسی حیا لما وسعه إلّا اتّباعی</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و لأنّه کان یجب علینا البحث فی الوقائع للتأسی به، و حفظ کتب الأنبیاء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w:t>
      </w:r>
      <w:r>
        <w:rPr>
          <w:rStyle w:val="FootnoteAnchor"/>
          <w:rtl w:val="true"/>
        </w:rPr>
        <w:footnoteReference w:id="664"/>
      </w:r>
      <w:r>
        <w:rPr>
          <w:rFonts w:ascii="IRNazanin" w:hAnsi="IRNazanin" w:eastAsia="IRNazanin"/>
          <w:color w:val="111111"/>
          <w:sz w:val="28"/>
          <w:sz w:val="28"/>
          <w:szCs w:val="28"/>
          <w:rtl w:val="true"/>
          <w:lang w:bidi="fa-IR"/>
        </w:rPr>
        <w:t>أمره</w:t>
      </w:r>
      <w:r>
        <w:rPr>
          <w:rStyle w:val="FootnoteAnchor"/>
          <w:rtl w:val="true"/>
        </w:rPr>
        <w:footnoteReference w:id="665"/>
      </w:r>
      <w:r>
        <w:rPr>
          <w:rFonts w:ascii="Amiri" w:hAnsi="Amiri" w:eastAsia="Amiri" w:cs="Amiri"/>
          <w:color w:val="111111"/>
          <w:sz w:val="28"/>
          <w:sz w:val="28"/>
          <w:szCs w:val="28"/>
          <w:rtl w:val="true"/>
          <w:lang w:bidi="ar-SA"/>
        </w:rPr>
        <w:t>بالاقتداء بالهدی المشترک من التوحید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أَوْحَیْنا إِلَیْکَ کَما أَوْحَیْنا إِلی نُوحٍ</w:t>
      </w:r>
      <w:r>
        <w:rPr>
          <w:rStyle w:val="FootnoteAnchor"/>
          <w:rtl w:val="true"/>
        </w:rPr>
        <w:footnoteReference w:id="666"/>
      </w:r>
      <w:r>
        <w:rPr>
          <w:rFonts w:ascii="Amiri" w:hAnsi="Amiri" w:eastAsia="Amiri" w:cs="Amiri"/>
          <w:color w:val="111111"/>
          <w:sz w:val="28"/>
          <w:sz w:val="28"/>
          <w:szCs w:val="28"/>
          <w:rtl w:val="true"/>
          <w:lang w:bidi="ar-SA"/>
        </w:rPr>
        <w:t>شبّه الوحی بالوحی، لا الموحی به بالموحی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بِهَا النَّبِیُّونَ</w:t>
      </w:r>
      <w:r>
        <w:rPr>
          <w:rStyle w:val="FootnoteAnchor"/>
          <w:rtl w:val="true"/>
        </w:rPr>
        <w:footnoteReference w:id="667"/>
      </w:r>
      <w:r>
        <w:rPr>
          <w:rFonts w:ascii="IRNazanin" w:hAnsi="IRNazanin" w:eastAsia="IRNazanin"/>
          <w:color w:val="111111"/>
          <w:sz w:val="28"/>
          <w:sz w:val="28"/>
          <w:szCs w:val="28"/>
          <w:rtl w:val="true"/>
          <w:lang w:bidi="fa-IR"/>
        </w:rPr>
        <w:t>یرید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668"/>
      </w:r>
      <w:r>
        <w:rPr>
          <w:rFonts w:ascii="Amiri" w:hAnsi="Amiri" w:eastAsia="Amiri" w:cs="Amiri"/>
          <w:color w:val="111111"/>
          <w:sz w:val="28"/>
          <w:sz w:val="28"/>
          <w:szCs w:val="28"/>
          <w:rtl w:val="true"/>
          <w:lang w:bidi="ar-SA"/>
        </w:rPr>
        <w:t>، لأنّ</w:t>
      </w:r>
      <w:r>
        <w:rPr>
          <w:rStyle w:val="FootnoteAnchor"/>
          <w:rtl w:val="true"/>
        </w:rPr>
        <w:footnoteReference w:id="669"/>
      </w:r>
      <w:r>
        <w:rPr>
          <w:rFonts w:ascii="IRNazanin" w:hAnsi="IRNazanin" w:eastAsia="IRNazanin"/>
          <w:color w:val="111111"/>
          <w:sz w:val="28"/>
          <w:sz w:val="28"/>
          <w:szCs w:val="28"/>
          <w:rtl w:val="true"/>
          <w:lang w:bidi="fa-IR"/>
        </w:rPr>
        <w:t>جمیع</w:t>
      </w:r>
      <w:r>
        <w:rPr>
          <w:rStyle w:val="FootnoteAnchor"/>
          <w:rtl w:val="true"/>
        </w:rPr>
        <w:footnoteReference w:id="670"/>
      </w:r>
      <w:r>
        <w:rPr>
          <w:rFonts w:ascii="IRNazanin" w:hAnsi="IRNazanin" w:eastAsia="IRNazanin"/>
          <w:color w:val="111111"/>
          <w:sz w:val="28"/>
          <w:sz w:val="28"/>
          <w:szCs w:val="28"/>
          <w:rtl w:val="true"/>
          <w:lang w:bidi="fa-IR"/>
        </w:rPr>
        <w:t>الأنبیاء لم یحکموا بالجمیع</w:t>
      </w:r>
      <w:r>
        <w:rPr>
          <w:rFonts w:eastAsia="IRNazanin" w:cs="IRNazanin"/>
          <w:color w:val="111111"/>
          <w:sz w:val="28"/>
          <w:szCs w:val="28"/>
          <w:rtl w:val="true"/>
          <w:lang w:bidi="fa-IR"/>
        </w:rPr>
        <w:t>.</w:t>
      </w:r>
      <w:bookmarkStart w:id="354" w:name="pg2360_37095"/>
    </w:p>
    <w:p>
      <w:pPr>
        <w:pStyle w:val="Heading2"/>
        <w:numPr>
          <w:ilvl w:val="1"/>
          <w:numId w:val="1"/>
        </w:numPr>
        <w:rPr/>
      </w:pPr>
      <w:bookmarkStart w:id="355" w:name="__RefHeading___Toc2792668_3804643083"/>
      <w:bookmarkStart w:id="356" w:name="_Toc137"/>
      <w:bookmarkEnd w:id="354"/>
      <w:bookmarkEnd w:id="355"/>
      <w:r>
        <w:rPr>
          <w:rtl w:val="true"/>
        </w:rPr>
        <w:t>المقصد السّابع فی النّسخ و فیه مباحث</w:t>
      </w:r>
      <w:bookmarkEnd w:id="3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2792670_3804643083"/>
      <w:bookmarkStart w:id="358" w:name="_Toc138"/>
      <w:bookmarkEnd w:id="357"/>
      <w:r>
        <w:rPr>
          <w:rtl w:val="true"/>
        </w:rPr>
        <w:t>اشارة</w:t>
      </w:r>
      <w:bookmarkStart w:id="359" w:name="pg2360_37097"/>
      <w:bookmarkEnd w:id="358"/>
    </w:p>
    <w:p>
      <w:pPr>
        <w:pStyle w:val="Heading3"/>
        <w:numPr>
          <w:ilvl w:val="2"/>
          <w:numId w:val="1"/>
        </w:numPr>
        <w:rPr/>
      </w:pPr>
      <w:bookmarkStart w:id="360" w:name="__RefHeading___Toc2792672_3804643083"/>
      <w:bookmarkStart w:id="361" w:name="_Toc139"/>
      <w:bookmarkEnd w:id="359"/>
      <w:bookmarkEnd w:id="360"/>
      <w:r>
        <w:rPr>
          <w:rtl w:val="true"/>
        </w:rPr>
        <w:t>الأوّل</w:t>
      </w:r>
      <w:r>
        <w:rPr>
          <w:rtl w:val="true"/>
        </w:rPr>
        <w:t xml:space="preserve">: </w:t>
      </w:r>
      <w:r>
        <w:rPr>
          <w:rtl w:val="true"/>
        </w:rPr>
        <w:t>النسخ لغة</w:t>
      </w:r>
      <w:r>
        <w:rPr>
          <w:rtl w:val="true"/>
        </w:rPr>
        <w:t xml:space="preserve">: </w:t>
      </w:r>
      <w:r>
        <w:rPr>
          <w:rtl w:val="true"/>
        </w:rPr>
        <w:t>الإبطال</w:t>
      </w:r>
      <w:r>
        <w:rPr>
          <w:rtl w:val="true"/>
        </w:rPr>
        <w:t>.</w:t>
      </w:r>
      <w:bookmarkEnd w:id="361"/>
    </w:p>
    <w:p>
      <w:pPr>
        <w:pStyle w:val="BookText"/>
        <w:rPr/>
      </w:pP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شرعی بدلیل شرعی متأخر عنه</w:t>
      </w:r>
      <w:r>
        <w:rPr>
          <w:rStyle w:val="FootnoteAnchor"/>
          <w:rtl w:val="true"/>
        </w:rPr>
        <w:footnoteReference w:id="671"/>
      </w:r>
      <w:r>
        <w:rPr>
          <w:rFonts w:ascii="IRNazanin" w:hAnsi="IRNazanin" w:eastAsia="IRNazanin"/>
          <w:color w:val="111111"/>
          <w:sz w:val="28"/>
          <w:sz w:val="28"/>
          <w:szCs w:val="28"/>
          <w:rtl w:val="true"/>
          <w:lang w:bidi="fa-IR"/>
        </w:rPr>
        <w:t>علی وجه لولاه لکان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للوجودی و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المبتدأ الرافع لحکم عقلی، و العجز، لارتفاع الحکم بالعقل لا بدلیل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و الشرط، و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لولاه لکان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Style w:val="FootnoteAnchor"/>
          <w:rtl w:val="true"/>
        </w:rPr>
        <w:footnoteReference w:id="672"/>
      </w:r>
      <w:r>
        <w:rPr>
          <w:rFonts w:ascii="IRNazanin" w:hAnsi="IRNazanin" w:eastAsia="IRNazanin"/>
          <w:color w:val="111111"/>
          <w:sz w:val="28"/>
          <w:sz w:val="28"/>
          <w:szCs w:val="28"/>
          <w:rtl w:val="true"/>
          <w:lang w:bidi="fa-IR"/>
        </w:rPr>
        <w:t>نهی اللّه تعالی عن مثل فعل المأمور به، لأنّه لو لم یکن هذا النهی لم یکن مثل حکم الأمر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رفع؟ أو بیان انتهاء مدّة الحکم؟</w:t>
      </w:r>
    </w:p>
    <w:p>
      <w:pPr>
        <w:pStyle w:val="BookText"/>
        <w:rPr/>
      </w:pPr>
      <w:r>
        <w:rPr>
          <w:rFonts w:ascii="IRNazanin" w:hAnsi="IRNazanin" w:eastAsia="IRNazanin"/>
          <w:color w:val="111111"/>
          <w:sz w:val="28"/>
          <w:sz w:val="28"/>
          <w:szCs w:val="28"/>
          <w:rtl w:val="true"/>
          <w:lang w:bidi="fa-IR"/>
        </w:rPr>
        <w:t>فالقاضی أبو بکر علی الأوّل، لتعلق الخطاب بالفعل، فلا یعدم لذاته، فالمعدوم هو الناسخ</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إسحاق علی الثانی، إذ لیس انتفاء الباقی بطریان الحادث أولی من العکس، و کون الطاری متعلق السبب مشترک، و تجویز کثرته یبطل</w:t>
      </w:r>
      <w:r>
        <w:rPr>
          <w:rStyle w:val="FootnoteAnchor"/>
          <w:rtl w:val="true"/>
        </w:rPr>
        <w:footnoteReference w:id="674"/>
      </w:r>
      <w:r>
        <w:rPr>
          <w:rFonts w:ascii="IRNazanin" w:hAnsi="IRNazanin" w:eastAsia="IRNazanin"/>
          <w:color w:val="111111"/>
          <w:sz w:val="28"/>
          <w:sz w:val="28"/>
          <w:szCs w:val="28"/>
          <w:rtl w:val="true"/>
          <w:lang w:bidi="fa-IR"/>
        </w:rPr>
        <w:t>بامتناع اجتماع الأمثال، و لأنّ خطابه تعالی کلامه، و هو قدیم، و لأنّه تعالی إن علم الدوام</w:t>
      </w:r>
      <w:bookmarkStart w:id="362" w:name="pg2360_37098"/>
    </w:p>
    <w:p>
      <w:pPr>
        <w:pStyle w:val="BookText"/>
        <w:rPr/>
      </w:pPr>
      <w:bookmarkEnd w:id="362"/>
      <w:r>
        <w:rPr>
          <w:rFonts w:ascii="IRNazanin" w:hAnsi="IRNazanin" w:eastAsia="IRNazanin"/>
          <w:color w:val="111111"/>
          <w:sz w:val="28"/>
          <w:sz w:val="28"/>
          <w:szCs w:val="28"/>
          <w:rtl w:val="true"/>
          <w:lang w:bidi="fa-IR"/>
        </w:rPr>
        <w:t>فلا نسخ، و إلّا لانتهی</w:t>
      </w:r>
      <w:r>
        <w:rPr>
          <w:rStyle w:val="FootnoteAnchor"/>
          <w:rtl w:val="true"/>
        </w:rPr>
        <w:footnoteReference w:id="675"/>
      </w:r>
      <w:r>
        <w:rPr>
          <w:rFonts w:ascii="IRNazanin" w:hAnsi="IRNazanin" w:eastAsia="IRNazanin"/>
          <w:color w:val="111111"/>
          <w:sz w:val="28"/>
          <w:sz w:val="28"/>
          <w:szCs w:val="28"/>
          <w:rtl w:val="true"/>
          <w:lang w:bidi="fa-IR"/>
        </w:rPr>
        <w:t>الحکم لذاته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w:t>
      </w:r>
      <w:r>
        <w:rPr>
          <w:rStyle w:val="FootnoteAnchor"/>
          <w:rtl w:val="true"/>
        </w:rPr>
        <w:footnoteReference w:id="677"/>
      </w:r>
      <w:r>
        <w:rPr>
          <w:rFonts w:ascii="IRNazanin" w:hAnsi="IRNazanin" w:eastAsia="IRNazanin"/>
          <w:color w:val="111111"/>
          <w:sz w:val="28"/>
          <w:sz w:val="28"/>
          <w:szCs w:val="28"/>
          <w:rtl w:val="true"/>
          <w:lang w:bidi="fa-IR"/>
        </w:rPr>
        <w:t>أن یکون أولی من غیر علم السبب، و الخطاب عندنا حادث، و جاز تعلق علمه تعالی برفعه بالناسخ</w:t>
      </w:r>
      <w:r>
        <w:rPr>
          <w:rFonts w:eastAsia="IRNazanin" w:cs="IRNazanin"/>
          <w:color w:val="111111"/>
          <w:sz w:val="28"/>
          <w:szCs w:val="28"/>
          <w:rtl w:val="true"/>
          <w:lang w:bidi="fa-IR"/>
        </w:rPr>
        <w:t>.</w:t>
      </w:r>
    </w:p>
    <w:p>
      <w:pPr>
        <w:pStyle w:val="Heading3"/>
        <w:numPr>
          <w:ilvl w:val="2"/>
          <w:numId w:val="1"/>
        </w:numPr>
        <w:rPr/>
      </w:pPr>
      <w:bookmarkStart w:id="363" w:name="__RefHeading___Toc2792674_3804643083"/>
      <w:bookmarkStart w:id="364" w:name="_Toc140"/>
      <w:bookmarkEnd w:id="363"/>
      <w:r>
        <w:rPr>
          <w:rtl w:val="true"/>
        </w:rPr>
        <w:t>البحث الثانی</w:t>
      </w:r>
      <w:r>
        <w:rPr>
          <w:rtl w:val="true"/>
        </w:rPr>
        <w:t xml:space="preserve">: </w:t>
      </w:r>
      <w:r>
        <w:rPr>
          <w:rtl w:val="true"/>
        </w:rPr>
        <w:t>النسخ جائز عقلا، و واقع سمعا،</w:t>
      </w:r>
      <w:bookmarkEnd w:id="364"/>
    </w:p>
    <w:p>
      <w:pPr>
        <w:pStyle w:val="BookText"/>
        <w:rPr/>
      </w:pPr>
      <w:r>
        <w:rPr>
          <w:rFonts w:ascii="IRNazanin" w:hAnsi="IRNazanin" w:eastAsia="IRNazanin"/>
          <w:color w:val="111111"/>
          <w:sz w:val="28"/>
          <w:sz w:val="28"/>
          <w:szCs w:val="28"/>
          <w:rtl w:val="true"/>
          <w:lang w:bidi="fa-IR"/>
        </w:rPr>
        <w:t>لإمکان اشتمال الفعل علی المصلحة فی وقت دون آخر، و للقطع بثبوت نبوة محمد صلّی اللّه علیه و آله و الإجماع علی کون شرعه ناسخا لما تقدم من الشرائع</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احتجاج الیهود بأنّ موسی علیه السّلام إن بیّن دوام شرعه بطل النسخ، و إلّا اقتضی الفعل مرّة إن لم یبین انقطاعه، و وجب نقل المدّة إن بیّن، و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بالسبت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بأنّ الفعل إن کان حسنا امتنع النهی عنه، أو قبیحا فیمتنع الأمر به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لاحتمال ذکره</w:t>
      </w:r>
      <w:r>
        <w:rPr>
          <w:rStyle w:val="FootnoteAnchor"/>
          <w:rtl w:val="true"/>
        </w:rPr>
        <w:footnoteReference w:id="680"/>
      </w:r>
      <w:r>
        <w:rPr>
          <w:rFonts w:ascii="IRNazanin" w:hAnsi="IRNazanin" w:eastAsia="IRNazanin"/>
          <w:color w:val="111111"/>
          <w:sz w:val="28"/>
          <w:sz w:val="28"/>
          <w:szCs w:val="28"/>
          <w:rtl w:val="true"/>
          <w:lang w:bidi="fa-IR"/>
        </w:rPr>
        <w:t xml:space="preserve">المدّة إجمالا، و لم ینقل لانقطاع تواتر الیهود حیث استأصلهم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 منهم</w:t>
      </w:r>
      <w:r>
        <w:rPr>
          <w:rStyle w:val="FootnoteAnchor"/>
          <w:rtl w:val="true"/>
        </w:rPr>
        <w:footnoteReference w:id="681"/>
      </w:r>
      <w:r>
        <w:rPr>
          <w:rFonts w:ascii="IRNazanin" w:hAnsi="IRNazanin" w:eastAsia="IRNazanin"/>
          <w:color w:val="111111"/>
          <w:sz w:val="28"/>
          <w:sz w:val="28"/>
          <w:szCs w:val="28"/>
          <w:rtl w:val="true"/>
          <w:lang w:bidi="fa-IR"/>
        </w:rPr>
        <w:t>، و قول موسی لو سلّم لکن</w:t>
      </w:r>
      <w:r>
        <w:rPr>
          <w:rStyle w:val="FootnoteAnchor"/>
          <w:rtl w:val="true"/>
        </w:rPr>
        <w:footnoteReference w:id="682"/>
      </w:r>
      <w:bookmarkStart w:id="365" w:name="pg2360_37099"/>
    </w:p>
    <w:p>
      <w:pPr>
        <w:pStyle w:val="BookText"/>
        <w:rPr/>
      </w:pPr>
      <w:bookmarkEnd w:id="365"/>
      <w:r>
        <w:rPr>
          <w:rFonts w:ascii="IRNazanin" w:hAnsi="IRNazanin" w:eastAsia="IRNazanin"/>
          <w:color w:val="111111"/>
          <w:sz w:val="28"/>
          <w:sz w:val="28"/>
          <w:szCs w:val="28"/>
          <w:rtl w:val="true"/>
          <w:lang w:bidi="fa-IR"/>
        </w:rPr>
        <w:t>الأبدیة قد یراد بها الزمان المتطاول، کما فی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یستخدم العبد ست سنین ثمّ یعتق فی السابعة فإن أباه فلتثقب اذنه و یستخدم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یستخدم خمسین سنة ثمّ یعتق</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و کون الفعل حسنا أو قبیحا قد یختلف باختلاف الأزمان و الأحوال المتجددة، و هو</w:t>
      </w:r>
      <w:r>
        <w:rPr>
          <w:rStyle w:val="FootnoteAnchor"/>
          <w:rtl w:val="true"/>
        </w:rPr>
        <w:footnoteReference w:id="684"/>
      </w:r>
      <w:r>
        <w:rPr>
          <w:rFonts w:ascii="IRNazanin" w:hAnsi="IRNazanin" w:eastAsia="IRNazanin"/>
          <w:color w:val="111111"/>
          <w:sz w:val="28"/>
          <w:sz w:val="28"/>
          <w:szCs w:val="28"/>
          <w:rtl w:val="true"/>
          <w:lang w:bidi="fa-IR"/>
        </w:rPr>
        <w:t>معارض بوقوع النسخ عندهم، کما فی البقرة التی امروا بذبحها، فإنّه جعله مؤبدا علیهم ثمّ نسخه، و امروا</w:t>
      </w:r>
      <w:r>
        <w:rPr>
          <w:rStyle w:val="FootnoteAnchor"/>
          <w:rtl w:val="true"/>
        </w:rPr>
        <w:footnoteReference w:id="685"/>
      </w:r>
      <w:r>
        <w:rPr>
          <w:rFonts w:ascii="IRNazanin" w:hAnsi="IRNazanin" w:eastAsia="IRNazanin"/>
          <w:color w:val="111111"/>
          <w:sz w:val="28"/>
          <w:sz w:val="28"/>
          <w:szCs w:val="28"/>
          <w:rtl w:val="true"/>
          <w:lang w:bidi="fa-IR"/>
        </w:rPr>
        <w:t>بتقریب خروفین کل یوم بکرة و عشیّة ثمّ نسخه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792676_3804643083"/>
      <w:bookmarkStart w:id="367" w:name="_Toc141"/>
      <w:bookmarkEnd w:id="366"/>
      <w:r>
        <w:rPr>
          <w:rtl w:val="true"/>
        </w:rPr>
        <w:t>البحث الثالث</w:t>
      </w:r>
      <w:r>
        <w:rPr>
          <w:rtl w:val="true"/>
        </w:rPr>
        <w:t xml:space="preserve">: </w:t>
      </w:r>
      <w:r>
        <w:rPr>
          <w:rtl w:val="true"/>
        </w:rPr>
        <w:t>فی القرآن ما هو منسوخ،</w:t>
      </w:r>
      <w:bookmarkEnd w:id="367"/>
    </w:p>
    <w:p>
      <w:pPr>
        <w:pStyle w:val="BookText"/>
        <w:rPr/>
      </w:pPr>
      <w:r>
        <w:rPr>
          <w:rFonts w:ascii="IRNazanin" w:hAnsi="IRNazanin" w:eastAsia="IRNazanin"/>
          <w:color w:val="111111"/>
          <w:sz w:val="28"/>
          <w:sz w:val="28"/>
          <w:szCs w:val="28"/>
          <w:rtl w:val="true"/>
          <w:lang w:bidi="fa-IR"/>
        </w:rPr>
        <w:t>خلافا لأبی مسلم بن بحر الأصفهانی</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کان عالما بالتفسیر و بغیره من صنوف العلم و له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أصفهان و بلاد فارس للمقتدر العباسی و استمر إلی أن دخل ابن بویه أصفهان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عام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فی النحو، و مجموع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کآیة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تقدیم الصدقة علی المناجاة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ثبات الواحد</w:t>
      </w:r>
    </w:p>
    <w:p>
      <w:pPr>
        <w:pStyle w:val="BookText"/>
        <w:rPr/>
      </w:pPr>
      <w:r>
        <w:rPr>
          <w:rFonts w:ascii="Amiri" w:hAnsi="Amiri" w:eastAsia="Amiri" w:cs="Amiri"/>
          <w:color w:val="111111"/>
          <w:sz w:val="28"/>
          <w:sz w:val="28"/>
          <w:szCs w:val="28"/>
          <w:rtl w:val="true"/>
          <w:lang w:bidi="ar-SA"/>
        </w:rPr>
        <w:t>للعشرة</w:t>
      </w:r>
      <w:r>
        <w:rPr>
          <w:rStyle w:val="FootnoteAnchor"/>
          <w:rtl w:val="true"/>
        </w:rPr>
        <w:footnoteReference w:id="688"/>
      </w:r>
      <w:r>
        <w:rPr>
          <w:rFonts w:ascii="Amiri" w:hAnsi="Amiri" w:eastAsia="Amiri" w:cs="Amiri"/>
          <w:color w:val="111111"/>
          <w:sz w:val="28"/>
          <w:sz w:val="28"/>
          <w:szCs w:val="28"/>
          <w:rtl w:val="true"/>
          <w:lang w:bidi="ar-SA"/>
        </w:rPr>
        <w:t>، و القبلة</w:t>
      </w:r>
      <w:r>
        <w:rPr>
          <w:rStyle w:val="FootnoteAnchor"/>
          <w:rtl w:val="true"/>
        </w:rPr>
        <w:footnoteReference w:id="689"/>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احتجاجه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w:t>
      </w:r>
      <w:r>
        <w:rPr>
          <w:rStyle w:val="FootnoteAnchor"/>
          <w:rtl w:val="true"/>
        </w:rPr>
        <w:footnoteReference w:id="691"/>
      </w:r>
      <w:r>
        <w:rPr>
          <w:rFonts w:ascii="IRNazanin" w:hAnsi="IRNazanin" w:eastAsia="IRNazanin"/>
          <w:color w:val="111111"/>
          <w:sz w:val="28"/>
          <w:sz w:val="28"/>
          <w:szCs w:val="28"/>
          <w:rtl w:val="true"/>
          <w:lang w:bidi="fa-IR"/>
        </w:rPr>
        <w:t>و اعتذاره ببقاء حکم العدّة فی الحامل، و بأنّ الغرض فی تقدیم الصدقة التمییز بین المؤمنین و المنافقین، فلمّا حصل زال التعبد، و ببقاء الاستقبال لبیت المقدس عند الاشتباه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لأنّ المراد أنّه</w:t>
      </w:r>
      <w:r>
        <w:rPr>
          <w:rStyle w:val="FootnoteAnchor"/>
          <w:rtl w:val="true"/>
        </w:rPr>
        <w:footnoteReference w:id="693"/>
      </w:r>
      <w:r>
        <w:rPr>
          <w:rFonts w:ascii="IRNazanin" w:hAnsi="IRNazanin" w:eastAsia="IRNazanin"/>
          <w:color w:val="111111"/>
          <w:sz w:val="28"/>
          <w:sz w:val="28"/>
          <w:szCs w:val="28"/>
          <w:rtl w:val="true"/>
          <w:lang w:bidi="fa-IR"/>
        </w:rPr>
        <w:t>لم یتقدم</w:t>
      </w:r>
      <w:r>
        <w:rPr>
          <w:rStyle w:val="FootnoteAnchor"/>
          <w:rtl w:val="true"/>
        </w:rPr>
        <w:footnoteReference w:id="694"/>
      </w:r>
      <w:r>
        <w:rPr>
          <w:rFonts w:ascii="IRNazanin" w:hAnsi="IRNazanin" w:eastAsia="IRNazanin"/>
          <w:color w:val="111111"/>
          <w:sz w:val="28"/>
          <w:sz w:val="28"/>
          <w:szCs w:val="28"/>
          <w:rtl w:val="true"/>
          <w:lang w:bidi="fa-IR"/>
        </w:rPr>
        <w:t>من کتب اللّه تعالی ما یبطله و لا یأتیه المبطل من بعده، و عدّة الحامل بوضع الحمل سواء کان سنة أو أقل، فجعل السنة عدّة زال بالکلیة، و کون الصدقة للتمییز یقتضی کون الصحابة بأسرهم</w:t>
      </w:r>
      <w:r>
        <w:rPr>
          <w:rStyle w:val="FootnoteAnchor"/>
          <w:rtl w:val="true"/>
        </w:rPr>
        <w:footnoteReference w:id="695"/>
      </w:r>
      <w:r>
        <w:rPr>
          <w:rFonts w:ascii="IRNazanin" w:hAnsi="IRNazanin" w:eastAsia="IRNazanin"/>
          <w:color w:val="111111"/>
          <w:sz w:val="28"/>
          <w:sz w:val="28"/>
          <w:szCs w:val="28"/>
          <w:rtl w:val="true"/>
          <w:lang w:bidi="fa-IR"/>
        </w:rPr>
        <w:t>منافقین غیر علی علیه السّلام، فإنّه لم یتصدق سواه، و هو باطل، و الاستقبال إلی بیت المقدس کغیره عند الاشتباه، فالخصوصیة التی تعبد</w:t>
      </w:r>
      <w:r>
        <w:rPr>
          <w:rStyle w:val="FootnoteAnchor"/>
          <w:rtl w:val="true"/>
        </w:rPr>
        <w:footnoteReference w:id="696"/>
      </w:r>
      <w:r>
        <w:rPr>
          <w:rFonts w:ascii="IRNazanin" w:hAnsi="IRNazanin" w:eastAsia="IRNazanin"/>
          <w:color w:val="111111"/>
          <w:sz w:val="28"/>
          <w:sz w:val="28"/>
          <w:szCs w:val="28"/>
          <w:rtl w:val="true"/>
          <w:lang w:bidi="fa-IR"/>
        </w:rPr>
        <w:t>بها زائلة بالکلّیة</w:t>
      </w:r>
      <w:r>
        <w:rPr>
          <w:rFonts w:eastAsia="IRNazanin" w:cs="IRNazanin"/>
          <w:color w:val="111111"/>
          <w:sz w:val="28"/>
          <w:szCs w:val="28"/>
          <w:rtl w:val="true"/>
          <w:lang w:bidi="fa-IR"/>
        </w:rPr>
        <w:t>.</w:t>
      </w:r>
      <w:bookmarkStart w:id="368" w:name="pg2360_37101"/>
    </w:p>
    <w:p>
      <w:pPr>
        <w:pStyle w:val="Heading3"/>
        <w:numPr>
          <w:ilvl w:val="2"/>
          <w:numId w:val="1"/>
        </w:numPr>
        <w:rPr/>
      </w:pPr>
      <w:bookmarkStart w:id="369" w:name="__RefHeading___Toc2792678_3804643083"/>
      <w:bookmarkStart w:id="370" w:name="_Toc142"/>
      <w:bookmarkEnd w:id="368"/>
      <w:bookmarkEnd w:id="369"/>
      <w:r>
        <w:rPr>
          <w:rtl w:val="true"/>
        </w:rPr>
        <w:t>البحث الرابع</w:t>
      </w:r>
      <w:r>
        <w:rPr>
          <w:rtl w:val="true"/>
        </w:rPr>
        <w:t xml:space="preserve">: </w:t>
      </w:r>
      <w:r>
        <w:rPr>
          <w:rtl w:val="true"/>
        </w:rPr>
        <w:t>فی شرائط النسخ،</w:t>
      </w:r>
      <w:bookmarkEnd w:id="370"/>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الاستمرار، فإنّ المنقطع لا ینسخ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صحة تغیّره، کالقیام و القعود، و وجوه التصرف، و النفع و الضرر، لا ما وجب استمراره إمّا لکونه لطفا لا یتغیّر کالمعرفة، أو لکونه علی صفة هو علیها کوجوب الإنصاف و قبح الکذب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المنسوخ و الناسخ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تأخر 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توقیت الفعل بغایة معلومة 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الصِّیامَ إِلَی اللَّیْلِ</w:t>
      </w:r>
      <w:r>
        <w:rPr>
          <w:rStyle w:val="FootnoteAnchor"/>
          <w:rtl w:val="true"/>
        </w:rPr>
        <w:footnoteReference w:id="697"/>
      </w:r>
      <w:r>
        <w:rPr>
          <w:rFonts w:ascii="IRNazanin" w:hAnsi="IRNazanin" w:eastAsia="IRNazanin"/>
          <w:color w:val="111111"/>
          <w:sz w:val="28"/>
          <w:sz w:val="28"/>
          <w:szCs w:val="28"/>
          <w:rtl w:val="true"/>
          <w:lang w:bidi="fa-IR"/>
        </w:rPr>
        <w:t xml:space="preserve">لا بالمجهولة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دوموا علیه إلی أن أنسخه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وقوعه فی الأحکام الشرعیة دون أجناس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تناول لفظ المنسوخ للمنسوخ</w:t>
      </w:r>
      <w:r>
        <w:rPr>
          <w:rStyle w:val="FootnoteAnchor"/>
          <w:rtl w:val="true"/>
        </w:rPr>
        <w:footnoteReference w:id="698"/>
      </w:r>
      <w:r>
        <w:rPr>
          <w:rFonts w:ascii="IRNazanin" w:hAnsi="IRNazanin" w:eastAsia="IRNazanin"/>
          <w:color w:val="111111"/>
          <w:sz w:val="28"/>
          <w:sz w:val="28"/>
          <w:szCs w:val="28"/>
          <w:rtl w:val="true"/>
          <w:lang w:bidi="fa-IR"/>
        </w:rPr>
        <w:t>، لتساوی ما علم استمرار الحکم فیه بظاهر الخطاب أو بقرینة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النسخ قد یکون لا إلی بدل فیشترط</w:t>
      </w:r>
      <w:r>
        <w:rPr>
          <w:rStyle w:val="FootnoteAnchor"/>
          <w:rtl w:val="true"/>
        </w:rPr>
        <w:footnoteReference w:id="700"/>
      </w:r>
      <w:r>
        <w:rPr>
          <w:rFonts w:ascii="IRNazanin" w:hAnsi="IRNazanin" w:eastAsia="IRNazanin"/>
          <w:color w:val="111111"/>
          <w:sz w:val="28"/>
          <w:sz w:val="28"/>
          <w:szCs w:val="28"/>
          <w:rtl w:val="true"/>
          <w:lang w:bidi="fa-IR"/>
        </w:rPr>
        <w:t>وجود لفظ یدلّ علی الزوال، و قد یکون إلی بدل مضاد فیکفی ثبوت</w:t>
      </w:r>
      <w:r>
        <w:rPr>
          <w:rStyle w:val="FootnoteAnchor"/>
          <w:rtl w:val="true"/>
        </w:rPr>
        <w:footnoteReference w:id="701"/>
      </w:r>
      <w:r>
        <w:rPr>
          <w:rFonts w:ascii="IRNazanin" w:hAnsi="IRNazanin" w:eastAsia="IRNazanin"/>
          <w:color w:val="111111"/>
          <w:sz w:val="28"/>
          <w:sz w:val="28"/>
          <w:szCs w:val="28"/>
          <w:rtl w:val="true"/>
          <w:lang w:bidi="fa-IR"/>
        </w:rPr>
        <w:t>المضاد، و قد یکون إلی مخالف کنسخ عاشورا برمضان، و سائر الحقوق بالزکاة، فیشترط</w:t>
      </w:r>
      <w:r>
        <w:rPr>
          <w:rStyle w:val="FootnoteAnchor"/>
          <w:rtl w:val="true"/>
        </w:rPr>
        <w:footnoteReference w:id="702"/>
      </w:r>
      <w:r>
        <w:rPr>
          <w:rFonts w:ascii="IRNazanin" w:hAnsi="IRNazanin" w:eastAsia="IRNazanin"/>
          <w:color w:val="111111"/>
          <w:sz w:val="28"/>
          <w:sz w:val="28"/>
          <w:szCs w:val="28"/>
          <w:rtl w:val="true"/>
          <w:lang w:bidi="fa-IR"/>
        </w:rPr>
        <w:t>وجود ما یدل علی زوال</w:t>
      </w:r>
    </w:p>
    <w:p>
      <w:pPr>
        <w:pStyle w:val="BookText"/>
        <w:rPr/>
      </w:pPr>
      <w:r>
        <w:rPr>
          <w:rFonts w:ascii="IRNazanin" w:hAnsi="IRNazanin" w:eastAsia="IRNazanin"/>
          <w:color w:val="111111"/>
          <w:sz w:val="28"/>
          <w:sz w:val="28"/>
          <w:szCs w:val="28"/>
          <w:rtl w:val="true"/>
          <w:lang w:bidi="fa-IR"/>
        </w:rPr>
        <w:t>الأوّل، لعدم التنافی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نسخ الشی‌ء قبل فعله إجماعا، فإنّ العاصی و الکافر مخاطبان بالناسخ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نسخه قبل حضور وقته؟ المعتزلة علی المنع</w:t>
      </w:r>
      <w:r>
        <w:rPr>
          <w:rStyle w:val="FootnoteAnchor"/>
          <w:rtl w:val="true"/>
        </w:rPr>
        <w:footnoteReference w:id="703"/>
      </w:r>
      <w:r>
        <w:rPr>
          <w:rFonts w:ascii="IRNazanin" w:hAnsi="IRNazanin" w:eastAsia="IRNazanin"/>
          <w:color w:val="111111"/>
          <w:sz w:val="28"/>
          <w:sz w:val="28"/>
          <w:szCs w:val="28"/>
          <w:rtl w:val="true"/>
          <w:lang w:bidi="fa-IR"/>
        </w:rPr>
        <w:t>، خلافا للأشعریة</w:t>
      </w:r>
      <w:r>
        <w:rPr>
          <w:rStyle w:val="FootnoteAnchor"/>
          <w:rtl w:val="true"/>
        </w:rPr>
        <w:footnoteReference w:id="704"/>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من المصادر فی هذه النسبة تصریح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ذلک لزم البداء، إذ شروط البداء</w:t>
      </w:r>
      <w:r>
        <w:rPr>
          <w:rStyle w:val="FootnoteAnchor"/>
          <w:rtl w:val="true"/>
        </w:rPr>
        <w:footnoteReference w:id="705"/>
      </w:r>
      <w:r>
        <w:rPr>
          <w:rFonts w:ascii="IRNazanin" w:hAnsi="IRNazanin" w:eastAsia="IRNazanin"/>
          <w:color w:val="111111"/>
          <w:sz w:val="28"/>
          <w:sz w:val="28"/>
          <w:szCs w:val="28"/>
          <w:rtl w:val="true"/>
          <w:lang w:bidi="fa-IR"/>
        </w:rPr>
        <w:t>أربعة،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الفعل، و الوجه، و الوقت، و المکلف، و هی ثابتة هنا، و لأنّ الفعل بالنسبة إلی ذلک الوقت إن کان حسنا استحال النهی عنه</w:t>
      </w:r>
      <w:r>
        <w:rPr>
          <w:rStyle w:val="FootnoteAnchor"/>
          <w:rtl w:val="true"/>
        </w:rPr>
        <w:footnoteReference w:id="706"/>
      </w:r>
      <w:r>
        <w:rPr>
          <w:rFonts w:ascii="IRNazanin" w:hAnsi="IRNazanin" w:eastAsia="IRNazanin"/>
          <w:color w:val="111111"/>
          <w:sz w:val="28"/>
          <w:sz w:val="28"/>
          <w:szCs w:val="28"/>
          <w:rtl w:val="true"/>
          <w:lang w:bidi="fa-IR"/>
        </w:rPr>
        <w:t>، و إن کان</w:t>
      </w:r>
      <w:r>
        <w:rPr>
          <w:rStyle w:val="FootnoteAnchor"/>
          <w:rtl w:val="true"/>
        </w:rPr>
        <w:footnoteReference w:id="707"/>
      </w:r>
      <w:r>
        <w:rPr>
          <w:rFonts w:ascii="IRNazanin" w:hAnsi="IRNazanin" w:eastAsia="IRNazanin"/>
          <w:color w:val="111111"/>
          <w:sz w:val="28"/>
          <w:sz w:val="28"/>
          <w:szCs w:val="28"/>
          <w:rtl w:val="true"/>
          <w:lang w:bidi="fa-IR"/>
        </w:rPr>
        <w:t>قبیحا فیستحیل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اتحاد المتعلق، لتناول النهی مثل متناول</w:t>
      </w:r>
      <w:r>
        <w:rPr>
          <w:rStyle w:val="FootnoteAnchor"/>
          <w:rtl w:val="true"/>
        </w:rPr>
        <w:footnoteReference w:id="708"/>
      </w:r>
      <w:r>
        <w:rPr>
          <w:rFonts w:ascii="IRNazanin" w:hAnsi="IRNazanin" w:eastAsia="IRNazanin"/>
          <w:color w:val="111111"/>
          <w:sz w:val="28"/>
          <w:sz w:val="28"/>
          <w:szCs w:val="28"/>
          <w:rtl w:val="true"/>
          <w:lang w:bidi="fa-IR"/>
        </w:rPr>
        <w:t>الأمر، أو لتناول الأمر بالاعتقاد و النهی بالفعل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المتماثلان یستحیل کون أحدهما مصلحة فی وقت و الآخر مفسدة</w:t>
      </w:r>
    </w:p>
    <w:p>
      <w:pPr>
        <w:pStyle w:val="BookText"/>
        <w:rPr/>
      </w:pPr>
      <w:r>
        <w:rPr>
          <w:rFonts w:ascii="IRNazanin" w:hAnsi="IRNazanin" w:eastAsia="IRNazanin"/>
          <w:color w:val="111111"/>
          <w:sz w:val="28"/>
          <w:sz w:val="28"/>
          <w:szCs w:val="28"/>
          <w:rtl w:val="true"/>
          <w:lang w:bidi="fa-IR"/>
        </w:rPr>
        <w:t>فیه، و الأمر الأوّل یتناولهما، فکذا النهی، و لامتناع التمییز بینهما، فیستحیل الأمر بأحدهما و النهی عن الآخر، و أمّا تناول الأمر الاعتقاد فلیس کذلک، لأنّ لفظ الأمر یتناول الفعل، و لو سلّم فلا نزاع، لتغایر متعلق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علیه السّلام امر بالذبح و لم یفعل؛ للفداء، و لأنّ السید قد یأمر عبده بفعل بشرط أن لا ینهاه عنه</w:t>
      </w:r>
      <w:r>
        <w:rPr>
          <w:rStyle w:val="FootnoteAnchor"/>
          <w:rtl w:val="true"/>
        </w:rPr>
        <w:footnoteReference w:id="709"/>
      </w:r>
      <w:r>
        <w:rPr>
          <w:rFonts w:ascii="IRNazanin" w:hAnsi="IRNazanin" w:eastAsia="IRNazanin"/>
          <w:color w:val="111111"/>
          <w:sz w:val="28"/>
          <w:sz w:val="28"/>
          <w:szCs w:val="28"/>
          <w:rtl w:val="true"/>
          <w:lang w:bidi="fa-IR"/>
        </w:rPr>
        <w:t>، و لاحتمال کون الفعل و الأمر مصلحة قبل النسخ، ثمّ تتغیر مصلحة الأمر خاصة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Style w:val="FootnoteAnchor"/>
          <w:rtl w:val="true"/>
        </w:rPr>
        <w:footnoteReference w:id="711"/>
      </w:r>
      <w:r>
        <w:rPr>
          <w:rFonts w:ascii="Amiri" w:hAnsi="Amiri" w:eastAsia="Amiri" w:cs="Amiri"/>
          <w:color w:val="111111"/>
          <w:sz w:val="28"/>
          <w:sz w:val="28"/>
          <w:szCs w:val="28"/>
          <w:rtl w:val="true"/>
          <w:lang w:bidi="ar-SA"/>
        </w:rPr>
        <w:t>من أمر إبراهیم علیه السّلام بالذبح، لقوله تعالی قَدْ صَدَّقْتَ الرُّؤْیا</w:t>
      </w:r>
      <w:r>
        <w:rPr>
          <w:rStyle w:val="FootnoteAnchor"/>
          <w:rtl w:val="true"/>
        </w:rPr>
        <w:footnoteReference w:id="712"/>
      </w:r>
      <w:r>
        <w:rPr>
          <w:rFonts w:ascii="IRNazanin" w:hAnsi="IRNazanin" w:eastAsia="IRNazanin"/>
          <w:color w:val="111111"/>
          <w:sz w:val="28"/>
          <w:sz w:val="28"/>
          <w:szCs w:val="28"/>
          <w:rtl w:val="true"/>
          <w:lang w:bidi="fa-IR"/>
        </w:rPr>
        <w:t>نعم امر بمقدماته، و هو مع ظن الأمر به بلاء عظیم، و الفداء عن ظنه أنّه یؤمر بالذبح، سلمنا لکن قد ورد أنّه ذبح، لکن اللّه یوصل ما یقطعه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 إنّما یحسن</w:t>
      </w:r>
      <w:r>
        <w:rPr>
          <w:rStyle w:val="FootnoteAnchor"/>
          <w:rtl w:val="true"/>
        </w:rPr>
        <w:footnoteReference w:id="714"/>
      </w:r>
      <w:r>
        <w:rPr>
          <w:rFonts w:ascii="IRNazanin" w:hAnsi="IRNazanin" w:eastAsia="IRNazanin"/>
          <w:color w:val="111111"/>
          <w:sz w:val="28"/>
          <w:sz w:val="28"/>
          <w:szCs w:val="28"/>
          <w:rtl w:val="true"/>
          <w:lang w:bidi="fa-IR"/>
        </w:rPr>
        <w:t>منه ذلک</w:t>
      </w:r>
      <w:r>
        <w:rPr>
          <w:rStyle w:val="FootnoteAnchor"/>
          <w:rtl w:val="true"/>
        </w:rPr>
        <w:footnoteReference w:id="715"/>
      </w:r>
      <w:r>
        <w:rPr>
          <w:rFonts w:ascii="IRNazanin" w:hAnsi="IRNazanin" w:eastAsia="IRNazanin"/>
          <w:color w:val="111111"/>
          <w:sz w:val="28"/>
          <w:sz w:val="28"/>
          <w:szCs w:val="28"/>
          <w:rtl w:val="true"/>
          <w:lang w:bidi="fa-IR"/>
        </w:rPr>
        <w:t>لجواز البداء علیه، بخلافه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الأمر تابع لحسن الفعل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نسخ الشی‌ء لا إلی بدل، کآیة تقدیم الصدقة علی</w:t>
      </w:r>
    </w:p>
    <w:p>
      <w:pPr>
        <w:pStyle w:val="BookText"/>
        <w:rPr/>
      </w:pPr>
      <w:r>
        <w:rPr>
          <w:rFonts w:ascii="Amiri" w:hAnsi="Amiri" w:eastAsia="Amiri" w:cs="Amiri"/>
          <w:color w:val="111111"/>
          <w:sz w:val="28"/>
          <w:sz w:val="28"/>
          <w:szCs w:val="28"/>
          <w:rtl w:val="true"/>
          <w:lang w:bidi="ar-SA"/>
        </w:rPr>
        <w:t>المناجاة</w:t>
      </w:r>
      <w:r>
        <w:rPr>
          <w:rStyle w:val="FootnoteAnchor"/>
          <w:rtl w:val="true"/>
        </w:rPr>
        <w:footnoteReference w:id="716"/>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بِخَیْرٍ مِنْها أَوْ مِثْلِها</w:t>
      </w:r>
      <w:r>
        <w:rPr>
          <w:rStyle w:val="FootnoteAnchor"/>
          <w:rtl w:val="true"/>
        </w:rPr>
        <w:footnoteReference w:id="717"/>
      </w:r>
      <w:r>
        <w:rPr>
          <w:rFonts w:ascii="IRNazanin" w:hAnsi="IRNazanin" w:eastAsia="IRNazanin"/>
          <w:color w:val="111111"/>
          <w:sz w:val="28"/>
          <w:sz w:val="28"/>
          <w:szCs w:val="28"/>
          <w:rtl w:val="true"/>
          <w:lang w:bidi="fa-IR"/>
        </w:rPr>
        <w:t>لا یدل علی مطلوبهم</w:t>
      </w:r>
      <w:r>
        <w:rPr>
          <w:rStyle w:val="FootnoteAnchor"/>
          <w:rtl w:val="true"/>
        </w:rPr>
        <w:footnoteReference w:id="718"/>
      </w:r>
      <w:r>
        <w:rPr>
          <w:rFonts w:ascii="IRNazanin" w:hAnsi="IRNazanin" w:eastAsia="IRNazanin"/>
          <w:color w:val="111111"/>
          <w:sz w:val="28"/>
          <w:sz w:val="28"/>
          <w:szCs w:val="28"/>
          <w:rtl w:val="true"/>
          <w:lang w:bidi="fa-IR"/>
        </w:rPr>
        <w:t>، لجواز کون</w:t>
      </w:r>
      <w:r>
        <w:rPr>
          <w:rStyle w:val="FootnoteAnchor"/>
          <w:rtl w:val="true"/>
        </w:rPr>
        <w:footnoteReference w:id="719"/>
      </w:r>
      <w:r>
        <w:rPr>
          <w:rFonts w:ascii="IRNazanin" w:hAnsi="IRNazanin" w:eastAsia="IRNazanin"/>
          <w:color w:val="111111"/>
          <w:sz w:val="28"/>
          <w:sz w:val="28"/>
          <w:szCs w:val="28"/>
          <w:rtl w:val="true"/>
          <w:lang w:bidi="fa-IR"/>
        </w:rPr>
        <w:t>العدم خیرا من ثبوت الحکم فی وقت نسخه، أو أنّ المراد بِخَیْرٍ مِنْها فی اللفظ، إذ هو المفهوم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نسخ الشی‌ء</w:t>
      </w:r>
      <w:r>
        <w:rPr>
          <w:rStyle w:val="FootnoteAnchor"/>
          <w:rtl w:val="true"/>
        </w:rPr>
        <w:footnoteReference w:id="720"/>
      </w:r>
      <w:r>
        <w:rPr>
          <w:rFonts w:ascii="IRNazanin" w:hAnsi="IRNazanin" w:eastAsia="IRNazanin"/>
          <w:color w:val="111111"/>
          <w:sz w:val="28"/>
          <w:sz w:val="28"/>
          <w:szCs w:val="28"/>
          <w:rtl w:val="true"/>
          <w:lang w:bidi="fa-IR"/>
        </w:rPr>
        <w:t>إلی أثقل، کما فی الصوم الناسخ للتخییر بینه و بین الفدیة، و الحبس منسوخ بالجلد، و صوم عاشورا بصوم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أخف</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الأکثر ثوابا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نسخ التلاوة دون الحکم، و بالعکس، لأنّهما عبادتان لا تلازم</w:t>
      </w:r>
      <w:r>
        <w:rPr>
          <w:rStyle w:val="FootnoteAnchor"/>
          <w:rtl w:val="true"/>
        </w:rPr>
        <w:footnoteReference w:id="722"/>
      </w:r>
      <w:r>
        <w:rPr>
          <w:rFonts w:ascii="IRNazanin" w:hAnsi="IRNazanin" w:eastAsia="IRNazanin"/>
          <w:color w:val="111111"/>
          <w:sz w:val="28"/>
          <w:sz w:val="28"/>
          <w:szCs w:val="28"/>
          <w:rtl w:val="true"/>
          <w:lang w:bidi="fa-IR"/>
        </w:rPr>
        <w:t>بینهما، و قد وجد فی الاعتداد بالحول</w:t>
      </w:r>
      <w:r>
        <w:rPr>
          <w:rStyle w:val="FootnoteAnchor"/>
          <w:rtl w:val="true"/>
        </w:rPr>
        <w:footnoteReference w:id="723"/>
      </w:r>
      <w:r>
        <w:rPr>
          <w:rFonts w:ascii="IRNazanin" w:hAnsi="IRNazanin" w:eastAsia="IRNazanin"/>
          <w:color w:val="111111"/>
          <w:sz w:val="28"/>
          <w:sz w:val="28"/>
          <w:szCs w:val="28"/>
          <w:rtl w:val="true"/>
          <w:lang w:bidi="fa-IR"/>
        </w:rPr>
        <w:t>، و الرجم للشیخین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نسخ</w:t>
      </w:r>
      <w:r>
        <w:rPr>
          <w:rStyle w:val="FootnoteAnchor"/>
          <w:rtl w:val="true"/>
        </w:rPr>
        <w:footnoteReference w:id="725"/>
      </w:r>
      <w:r>
        <w:rPr>
          <w:rFonts w:ascii="IRNazanin" w:hAnsi="IRNazanin" w:eastAsia="IRNazanin"/>
          <w:color w:val="111111"/>
          <w:sz w:val="28"/>
          <w:sz w:val="28"/>
          <w:szCs w:val="28"/>
          <w:rtl w:val="true"/>
          <w:lang w:bidi="fa-IR"/>
        </w:rPr>
        <w:t>المقیّد بالتأبید، لأنّه کالعموم القابل للتخصیص، و لأنّ شرط النسخ الدوام</w:t>
      </w:r>
      <w:r>
        <w:rPr>
          <w:rStyle w:val="FootnoteAnchor"/>
          <w:rtl w:val="true"/>
        </w:rPr>
        <w:footnoteReference w:id="726"/>
      </w:r>
      <w:r>
        <w:rPr>
          <w:rFonts w:ascii="IRNazanin" w:hAnsi="IRNazanin" w:eastAsia="IRNazanin"/>
          <w:color w:val="111111"/>
          <w:sz w:val="28"/>
          <w:sz w:val="28"/>
          <w:szCs w:val="28"/>
          <w:rtl w:val="true"/>
          <w:lang w:bidi="fa-IR"/>
        </w:rPr>
        <w:t>، و لا تعاند بین الشی‌ء و شرطه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إن امتنع تغیّر</w:t>
      </w:r>
      <w:r>
        <w:rPr>
          <w:rStyle w:val="FootnoteAnchor"/>
          <w:rtl w:val="true"/>
        </w:rPr>
        <w:footnoteReference w:id="727"/>
      </w:r>
      <w:r>
        <w:rPr>
          <w:rFonts w:ascii="Amiri" w:hAnsi="Amiri" w:eastAsia="Amiri" w:cs="Amiri"/>
          <w:color w:val="111111"/>
          <w:sz w:val="28"/>
          <w:sz w:val="28"/>
          <w:szCs w:val="28"/>
          <w:rtl w:val="true"/>
          <w:lang w:bidi="ar-SA"/>
        </w:rPr>
        <w:t>مخبره، کحدوث العالم، امتنع نسخه، و إلّا جاز، مثل عمر نوح ألف سنة ثمّ بیّن من بعد أَلْفَ سَنَةٍ إِلَّا خَمْسِینَ عاماً</w:t>
      </w:r>
      <w:r>
        <w:rPr>
          <w:rStyle w:val="FootnoteAnchor"/>
          <w:rtl w:val="true"/>
        </w:rPr>
        <w:footnoteReference w:id="728"/>
      </w:r>
      <w:r>
        <w:rPr>
          <w:rFonts w:ascii="IRNazanin" w:hAnsi="IRNazanin" w:eastAsia="IRNazanin"/>
          <w:color w:val="111111"/>
          <w:sz w:val="28"/>
          <w:sz w:val="28"/>
          <w:szCs w:val="28"/>
          <w:rtl w:val="true"/>
          <w:lang w:bidi="fa-IR"/>
        </w:rPr>
        <w:t>، و الکذب غیر لازم، لأنّ الناسخ دل علی أنّ المراد البعض، کما دلّ النهی الناسخ للأمر علی أنّ المراد بالأمر البعض، و امتنع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 اللّه 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لاتحاد</w:t>
      </w:r>
    </w:p>
    <w:p>
      <w:pPr>
        <w:pStyle w:val="BookText"/>
        <w:rPr/>
      </w:pPr>
      <w:r>
        <w:rPr>
          <w:rFonts w:ascii="IRNazanin" w:hAnsi="IRNazanin" w:eastAsia="IRNazanin"/>
          <w:color w:val="111111"/>
          <w:sz w:val="28"/>
          <w:sz w:val="28"/>
          <w:szCs w:val="28"/>
          <w:rtl w:val="true"/>
          <w:lang w:bidi="fa-IR"/>
        </w:rPr>
        <w:t>المخبر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نسخ الإخبار</w:t>
      </w:r>
      <w:r>
        <w:rPr>
          <w:rStyle w:val="FootnoteAnchor"/>
          <w:rtl w:val="true"/>
        </w:rPr>
        <w:footnoteReference w:id="729"/>
      </w:r>
      <w:r>
        <w:rPr>
          <w:rFonts w:ascii="IRNazanin" w:hAnsi="IRNazanin" w:eastAsia="IRNazanin"/>
          <w:color w:val="111111"/>
          <w:sz w:val="28"/>
          <w:sz w:val="28"/>
          <w:szCs w:val="28"/>
          <w:rtl w:val="true"/>
          <w:lang w:bidi="fa-IR"/>
        </w:rPr>
        <w:t>عن الشی‌ء، لأنّه لا استبعاد فی أن یزیل اللّه تعالی عنّا التکلیف بالإخبار عن الشی‌ء حتی الخبر عن التوحید، کما منع الجنب القرآن، و صدق الخبر لا یمنع من زوال التعبد به إذا اشتمل علی مفسدة، و لا یجوز نسخه بالإخبار بنقیضه مع امتناع تغیّره، و العلم الذی علم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مصلحة لا تتغیر کالمعرفة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نسخه، و یجوز فی غیره إذا اشتمل علی وجه قبح</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نسخ الکتاب بمثله</w:t>
      </w:r>
      <w:r>
        <w:rPr>
          <w:rStyle w:val="FootnoteAnchor"/>
          <w:rtl w:val="true"/>
        </w:rPr>
        <w:footnoteReference w:id="731"/>
      </w:r>
      <w:r>
        <w:rPr>
          <w:rFonts w:ascii="Amiri" w:hAnsi="Amiri" w:eastAsia="Amiri" w:cs="Amiri"/>
          <w:color w:val="111111"/>
          <w:sz w:val="28"/>
          <w:sz w:val="28"/>
          <w:szCs w:val="28"/>
          <w:rtl w:val="true"/>
          <w:lang w:bidi="ar-SA"/>
        </w:rPr>
        <w:t>، کالعدّة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بالسنة المتواترة، لأنّهما قطعیّان تعارضا، و لا یجوز العمل بهما، و لا إهمالهما، و لا العمل بالمتقدم، فتعیّن المتأخر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الشافعی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نَأْتِ بِخَیْرٍ مِنْها أَوْ مِثْلِها</w:t>
      </w:r>
      <w:r>
        <w:rPr>
          <w:rStyle w:val="FootnoteAnchor"/>
          <w:rtl w:val="true"/>
        </w:rPr>
        <w:footnoteReference w:id="734"/>
      </w:r>
      <w:r>
        <w:rPr>
          <w:rFonts w:ascii="IRNazanin" w:hAnsi="IRNazanin" w:eastAsia="IRNazanin"/>
          <w:color w:val="111111"/>
          <w:sz w:val="28"/>
          <w:sz w:val="28"/>
          <w:szCs w:val="28"/>
          <w:rtl w:val="true"/>
          <w:lang w:bidi="fa-IR"/>
        </w:rPr>
        <w:t>أسند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 وصفه بالخیریة أو المساواة، و إنّما یتحقق فی القرآن و أبعاضه، و قوله</w:t>
      </w:r>
      <w:r>
        <w:rPr>
          <w:rStyle w:val="FootnoteAnchor"/>
          <w:rtl w:val="true"/>
        </w:rPr>
        <w:footnoteReference w:id="735"/>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لِتُبَیِّنَ لِلنَّاسِ ما نُزِّلَ إِلَیْهِمْ</w:t>
      </w:r>
      <w:r>
        <w:rPr>
          <w:rStyle w:val="FootnoteAnchor"/>
          <w:rtl w:val="true"/>
        </w:rPr>
        <w:footnoteReference w:id="736"/>
      </w:r>
      <w:r>
        <w:rPr>
          <w:rFonts w:ascii="IRNazanin" w:hAnsi="IRNazanin" w:eastAsia="IRNazanin"/>
          <w:color w:val="111111"/>
          <w:sz w:val="28"/>
          <w:sz w:val="28"/>
          <w:szCs w:val="28"/>
          <w:rtl w:val="true"/>
          <w:lang w:bidi="fa-IR"/>
        </w:rPr>
        <w:t>و الناسخ لیس بمبیّن،</w:t>
      </w:r>
    </w:p>
    <w:p>
      <w:p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737"/>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w:t>
      </w:r>
      <w:r>
        <w:rPr>
          <w:rStyle w:val="FootnoteAnchor"/>
          <w:rtl w:val="true"/>
        </w:rPr>
        <w:footnoteReference w:id="738"/>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المأتی به ناسخا، خصوصا و قد رتّب علی النسخ، و لأنّ السنة منه تعالی، و النسخ من البیان، لأنّه تخصیص بالأزمان، فهو بیان مدّة العبادة، أو</w:t>
      </w:r>
      <w:r>
        <w:rPr>
          <w:rStyle w:val="FootnoteAnchor"/>
          <w:rtl w:val="true"/>
        </w:rPr>
        <w:footnoteReference w:id="740"/>
      </w:r>
      <w:r>
        <w:rPr>
          <w:rFonts w:ascii="IRNazanin" w:hAnsi="IRNazanin" w:eastAsia="IRNazanin"/>
          <w:color w:val="111111"/>
          <w:sz w:val="28"/>
          <w:sz w:val="28"/>
          <w:szCs w:val="28"/>
          <w:rtl w:val="true"/>
          <w:lang w:bidi="fa-IR"/>
        </w:rPr>
        <w:t>المراد بالبیان التبلیغ، و هو أولی، لاقتضائه العموم، بخلاف ما قصده، لاختصاصه بالمجمل، و إنکار التبدیل منه یدل علی أنّه بوحی من اللّه بقرآن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نسخه بخبر الواحد فلا، لإجماع الصحابة علی ترک خبر الواحد إذا رفع حکم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الظاهریون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النسخ علی التخصیص، و لأنّه دلیل عارض المتواتر، و هو متأخر، و لوقوعه فی تحریم أکل کل ذی ناب الناسخ لقوله تعالی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أَجِدُ</w:t>
      </w:r>
      <w:r>
        <w:rPr>
          <w:rStyle w:val="FootnoteAnchor"/>
          <w:rtl w:val="true"/>
        </w:rPr>
        <w:footnoteReference w:id="741"/>
      </w:r>
      <w:r>
        <w:rPr>
          <w:rFonts w:ascii="Amiri" w:hAnsi="Amiri" w:eastAsia="Amiri" w:cs="Amiri"/>
          <w:color w:val="111111"/>
          <w:sz w:val="28"/>
          <w:sz w:val="28"/>
          <w:szCs w:val="28"/>
          <w:rtl w:val="true"/>
          <w:lang w:bidi="ar-SA"/>
        </w:rPr>
        <w:t>، و کذا نسخ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w:t>
      </w:r>
      <w:r>
        <w:rPr>
          <w:rStyle w:val="FootnoteAnchor"/>
          <w:rtl w:val="true"/>
        </w:rPr>
        <w:footnoteReference w:id="742"/>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المرأة علی عمتها و لا علی خالتها</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 و أهل قبا قبلوا خبر الواحد فی نسخ</w:t>
      </w:r>
    </w:p>
    <w:p>
      <w:pPr>
        <w:pStyle w:val="BookText"/>
        <w:rPr/>
      </w:pPr>
      <w:r>
        <w:rPr>
          <w:rFonts w:ascii="Amiri" w:hAnsi="Amiri" w:eastAsia="Amiri" w:cs="Amiri"/>
          <w:color w:val="111111"/>
          <w:sz w:val="28"/>
          <w:sz w:val="28"/>
          <w:szCs w:val="28"/>
          <w:rtl w:val="true"/>
          <w:lang w:bidi="ar-SA"/>
        </w:rPr>
        <w:t>القبلة</w:t>
      </w:r>
      <w:r>
        <w:rPr>
          <w:rStyle w:val="FootnoteAnchor"/>
          <w:rtl w:val="true"/>
        </w:rPr>
        <w:footnoteReference w:id="744"/>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فرّق بین التخصیص و النسخ، و المتواتر مقطوع فی متنه بخلاف الخبر، فلا مساواة، فلا یعارضه، و نفی الوجدان إلی تلک الغایة لا یدل علی العدم فیما بعد، و تحریم نکاح العمّة و الخالة مخصص لا ناسخ، و أهل قبا جاز أن یکونوا قد</w:t>
      </w:r>
      <w:r>
        <w:rPr>
          <w:rStyle w:val="FootnoteAnchor"/>
          <w:rtl w:val="true"/>
        </w:rPr>
        <w:footnoteReference w:id="746"/>
      </w:r>
      <w:r>
        <w:rPr>
          <w:rFonts w:ascii="IRNazanin" w:hAnsi="IRNazanin" w:eastAsia="IRNazanin"/>
          <w:color w:val="111111"/>
          <w:sz w:val="28"/>
          <w:sz w:val="28"/>
          <w:szCs w:val="28"/>
          <w:rtl w:val="true"/>
          <w:lang w:bidi="fa-IR"/>
        </w:rPr>
        <w:t>سمعوا منه علیه السّلام أنّه ینسخ حکم القبلة، أو سمعوا الصیاح فی المسجد لقربهم منه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نسخ السنة بالکتاب، لأنّ الاستقبال</w:t>
      </w:r>
      <w:r>
        <w:rPr>
          <w:rStyle w:val="FootnoteAnchor"/>
          <w:rtl w:val="true"/>
        </w:rPr>
        <w:footnoteReference w:id="748"/>
      </w:r>
      <w:r>
        <w:rPr>
          <w:rFonts w:ascii="Amiri" w:hAnsi="Amiri" w:eastAsia="Amiri" w:cs="Amiri"/>
          <w:color w:val="111111"/>
          <w:sz w:val="28"/>
          <w:sz w:val="28"/>
          <w:szCs w:val="28"/>
          <w:rtl w:val="true"/>
          <w:lang w:bidi="ar-SA"/>
        </w:rPr>
        <w:t>ناسخ للتوجه إلی بیت المقدس الثابت بالسنة،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بَاشِرُوهُنَ</w:t>
      </w:r>
      <w:r>
        <w:rPr>
          <w:rStyle w:val="FootnoteAnchor"/>
          <w:rtl w:val="true"/>
        </w:rPr>
        <w:footnoteReference w:id="749"/>
      </w:r>
      <w:r>
        <w:rPr>
          <w:rFonts w:ascii="IRNazanin" w:hAnsi="IRNazanin" w:eastAsia="IRNazanin"/>
          <w:color w:val="111111"/>
          <w:sz w:val="28"/>
          <w:sz w:val="28"/>
          <w:szCs w:val="28"/>
          <w:rtl w:val="true"/>
          <w:lang w:bidi="fa-IR"/>
        </w:rPr>
        <w:t>ناسخ لتحریم المباشرة و لیس فی القرآن، و صوم رمضان ناسخ لصوم عاشورا</w:t>
      </w:r>
      <w:r>
        <w:rPr>
          <w:rStyle w:val="FootnoteAnchor"/>
          <w:rtl w:val="true"/>
        </w:rPr>
        <w:footnoteReference w:id="750"/>
      </w:r>
      <w:r>
        <w:rPr>
          <w:rFonts w:ascii="IRNazanin" w:hAnsi="IRNazanin" w:eastAsia="IRNazanin"/>
          <w:color w:val="111111"/>
          <w:sz w:val="28"/>
          <w:sz w:val="28"/>
          <w:szCs w:val="28"/>
          <w:rtl w:val="true"/>
          <w:lang w:bidi="fa-IR"/>
        </w:rPr>
        <w:t>، و صلاة الخوف ناسخة لتأخیرها</w:t>
      </w:r>
      <w:r>
        <w:rPr>
          <w:rStyle w:val="FootnoteAnchor"/>
          <w:rtl w:val="true"/>
        </w:rPr>
        <w:footnoteReference w:id="751"/>
      </w:r>
      <w:r>
        <w:rPr>
          <w:rFonts w:ascii="IRNazanin" w:hAnsi="IRNazanin" w:eastAsia="IRNazanin"/>
          <w:color w:val="111111"/>
          <w:sz w:val="28"/>
          <w:sz w:val="28"/>
          <w:szCs w:val="28"/>
          <w:rtl w:val="true"/>
          <w:lang w:bidi="fa-IR"/>
        </w:rPr>
        <w:t>حتی ینقضی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الشافعی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لِتُبَیِّنَ لِلنَّاسِ ما نُزِّلَ إِلَیْهِمْ</w:t>
      </w:r>
      <w:r>
        <w:rPr>
          <w:rStyle w:val="FootnoteAnchor"/>
          <w:rtl w:val="true"/>
        </w:rPr>
        <w:footnoteReference w:id="752"/>
      </w:r>
      <w:r>
        <w:rPr>
          <w:rFonts w:ascii="IRNazanin" w:hAnsi="IRNazanin" w:eastAsia="IRNazanin"/>
          <w:color w:val="111111"/>
          <w:sz w:val="28"/>
          <w:sz w:val="28"/>
          <w:szCs w:val="28"/>
          <w:rtl w:val="true"/>
          <w:lang w:bidi="fa-IR"/>
        </w:rPr>
        <w:t>و الناسخ بیان، فیکون کل منهما</w:t>
      </w:r>
      <w:r>
        <w:rPr>
          <w:rStyle w:val="FootnoteAnchor"/>
          <w:rtl w:val="true"/>
        </w:rPr>
        <w:footnoteReference w:id="753"/>
      </w:r>
      <w:r>
        <w:rPr>
          <w:rFonts w:ascii="IRNazanin" w:hAnsi="IRNazanin" w:eastAsia="IRNazanin"/>
          <w:color w:val="111111"/>
          <w:sz w:val="28"/>
          <w:sz w:val="28"/>
          <w:szCs w:val="28"/>
          <w:rtl w:val="true"/>
          <w:lang w:bidi="fa-IR"/>
        </w:rPr>
        <w:t>بیانا للآخر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Style w:val="FootnoteAnchor"/>
          <w:rtl w:val="true"/>
        </w:rPr>
        <w:footnoteReference w:id="755"/>
      </w:r>
      <w:r>
        <w:rPr>
          <w:rFonts w:ascii="IRNazanin" w:hAnsi="IRNazanin" w:eastAsia="IRNazanin"/>
          <w:color w:val="111111"/>
          <w:sz w:val="28"/>
          <w:sz w:val="28"/>
          <w:szCs w:val="28"/>
          <w:rtl w:val="true"/>
          <w:lang w:bidi="fa-IR"/>
        </w:rPr>
        <w:t>لا یدل علی حصر کلامه فی البیان، و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نسخ السنة المتواترة بمثلها، و خبر الواحد بمثله</w:t>
      </w:r>
      <w:r>
        <w:rPr>
          <w:rStyle w:val="FootnoteAnchor"/>
          <w:rtl w:val="true"/>
        </w:rPr>
        <w:footnoteReference w:id="756"/>
      </w:r>
      <w:r>
        <w:rPr>
          <w:rFonts w:ascii="IRNazanin" w:hAnsi="IRNazanin" w:eastAsia="IRNazanin"/>
          <w:color w:val="111111"/>
          <w:sz w:val="28"/>
          <w:sz w:val="28"/>
          <w:szCs w:val="28"/>
          <w:rtl w:val="true"/>
          <w:lang w:bidi="fa-IR"/>
        </w:rPr>
        <w:t xml:space="preserve">،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 ألا فزوروها</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الواحد</w:t>
      </w:r>
      <w:r>
        <w:rPr>
          <w:rStyle w:val="FootnoteAnchor"/>
          <w:rtl w:val="true"/>
        </w:rPr>
        <w:footnoteReference w:id="758"/>
      </w:r>
      <w:r>
        <w:rPr>
          <w:rFonts w:ascii="IRNazanin" w:hAnsi="IRNazanin" w:eastAsia="IRNazanin"/>
          <w:color w:val="111111"/>
          <w:sz w:val="28"/>
          <w:sz w:val="28"/>
          <w:szCs w:val="28"/>
          <w:rtl w:val="true"/>
          <w:lang w:bidi="fa-IR"/>
        </w:rPr>
        <w:t>بالمتواتر، و بالعکس عقلا لا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لا ینسخ، لأنّ دلالته متوقفة علی وفاة الرسول علیه السّلام فلا ینسخ</w:t>
      </w:r>
      <w:r>
        <w:rPr>
          <w:rStyle w:val="FootnoteAnchor"/>
          <w:rtl w:val="true"/>
        </w:rPr>
        <w:footnoteReference w:id="759"/>
      </w:r>
      <w:r>
        <w:rPr>
          <w:rFonts w:ascii="IRNazanin" w:hAnsi="IRNazanin" w:eastAsia="IRNazanin"/>
          <w:color w:val="111111"/>
          <w:sz w:val="28"/>
          <w:sz w:val="28"/>
          <w:szCs w:val="28"/>
          <w:rtl w:val="true"/>
          <w:lang w:bidi="fa-IR"/>
        </w:rPr>
        <w:t>بالکتاب و لا بالسنة، لأنّهما سابقان علیه، فیقع باطلا، لأنّ إجماعهم علی خلافهما خطأ</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بالإجماع، لأنّ الثانی إمّا أن یکون عن دلیل فیکون الأوّل خطأ، أو لا عنه فیکون الثانی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ینسخ</w:t>
      </w:r>
      <w:r>
        <w:rPr>
          <w:rStyle w:val="FootnoteAnchor"/>
          <w:rtl w:val="true"/>
        </w:rPr>
        <w:footnoteReference w:id="760"/>
      </w:r>
      <w:r>
        <w:rPr>
          <w:rFonts w:ascii="IRNazanin" w:hAnsi="IRNazanin" w:eastAsia="IRNazanin"/>
          <w:color w:val="111111"/>
          <w:sz w:val="28"/>
          <w:sz w:val="28"/>
          <w:szCs w:val="28"/>
          <w:rtl w:val="true"/>
          <w:lang w:bidi="fa-IR"/>
        </w:rPr>
        <w:t>به، لأنّه إن نسخ نصا کان خطأ، أو إجماعا لزم تخطئة أحدهما</w:t>
      </w:r>
      <w:r>
        <w:rPr>
          <w:rStyle w:val="FootnoteAnchor"/>
          <w:rtl w:val="true"/>
        </w:rPr>
        <w:footnoteReference w:id="7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ذلک عن عیسی بن أبان و بعض المعتزلة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الإجماع عقیب الخلاف المستقر لیس بناسخ لتخییر</w:t>
      </w:r>
      <w:r>
        <w:rPr>
          <w:rStyle w:val="FootnoteAnchor"/>
          <w:rtl w:val="true"/>
        </w:rPr>
        <w:footnoteReference w:id="762"/>
      </w:r>
      <w:r>
        <w:rPr>
          <w:rFonts w:ascii="IRNazanin" w:hAnsi="IRNazanin" w:eastAsia="IRNazanin"/>
          <w:color w:val="111111"/>
          <w:sz w:val="28"/>
          <w:sz w:val="28"/>
          <w:szCs w:val="28"/>
          <w:rtl w:val="true"/>
          <w:lang w:bidi="fa-IR"/>
        </w:rPr>
        <w:t>العامی فی الأخذ بأیّهما شاء، بل مبین لزوال الشرط</w:t>
      </w:r>
      <w:r>
        <w:rPr>
          <w:rStyle w:val="FootnoteAnchor"/>
          <w:rtl w:val="true"/>
        </w:rPr>
        <w:footnoteReference w:id="763"/>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القیاس لا یکون</w:t>
      </w:r>
      <w:r>
        <w:rPr>
          <w:rStyle w:val="FootnoteAnchor"/>
          <w:rtl w:val="true"/>
        </w:rPr>
        <w:footnoteReference w:id="764"/>
      </w:r>
      <w:r>
        <w:rPr>
          <w:rFonts w:ascii="IRNazanin" w:hAnsi="IRNazanin" w:eastAsia="IRNazanin"/>
          <w:color w:val="111111"/>
          <w:sz w:val="28"/>
          <w:sz w:val="28"/>
          <w:szCs w:val="28"/>
          <w:rtl w:val="true"/>
          <w:lang w:bidi="fa-IR"/>
        </w:rPr>
        <w:t>ناسخا، و لا منسوخا، لأنّه لیس بحجة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نسخ الفحوی دون الأصل فممتنع، و إلّا انتقض الغرض، و کذا العکس، لأنّ بقاء التابع مع ارتفاع المتبوع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نسخهما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عبادة علی العبادات لیست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الزیادة علی النصّ فی العبادة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الحنفیة نسخ</w:t>
      </w:r>
      <w:r>
        <w:rPr>
          <w:rStyle w:val="FootnoteAnchor"/>
          <w:rtl w:val="true"/>
        </w:rPr>
        <w:footnoteReference w:id="765"/>
      </w:r>
      <w:r>
        <w:rPr>
          <w:rFonts w:ascii="IRNazanin" w:hAnsi="IRNazanin" w:eastAsia="IRNazanin"/>
          <w:color w:val="111111"/>
          <w:sz w:val="28"/>
          <w:sz w:val="28"/>
          <w:szCs w:val="28"/>
          <w:rtl w:val="true"/>
          <w:lang w:bidi="fa-IR"/>
        </w:rPr>
        <w:t>، و لیست نسخا عند الشافعی</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ما قیل هاهنا تفصیل أبی الحسین</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أنّ البحث هنا یتعلق بامور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الزیادة هل تقتضی زوال شی‌ء أم لا؟ و الحق ذلک، لأنّها أقل ما تقتضی زوال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الزوال هل یسمّی نسخا أم لا</w:t>
      </w:r>
      <w:r>
        <w:rPr>
          <w:rStyle w:val="FootnoteAnchor"/>
          <w:rtl w:val="true"/>
        </w:rPr>
        <w:footnoteReference w:id="768"/>
      </w:r>
      <w:r>
        <w:rPr>
          <w:rFonts w:ascii="IRNazanin" w:hAnsi="IRNazanin" w:eastAsia="IRNazanin"/>
          <w:color w:val="111111"/>
          <w:sz w:val="28"/>
          <w:sz w:val="28"/>
          <w:szCs w:val="28"/>
          <w:rtl w:val="true"/>
          <w:lang w:bidi="fa-IR"/>
        </w:rPr>
        <w:t>؟ الحق أنّ الزائل إن کان حکما شرعیا و کان المزیل متراخیا فهو نسخ،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إثبات</w:t>
      </w:r>
      <w:r>
        <w:rPr>
          <w:rStyle w:val="FootnoteAnchor"/>
          <w:rtl w:val="true"/>
        </w:rPr>
        <w:footnoteReference w:id="769"/>
      </w:r>
      <w:r>
        <w:rPr>
          <w:rFonts w:ascii="IRNazanin" w:hAnsi="IRNazanin" w:eastAsia="IRNazanin"/>
          <w:color w:val="111111"/>
          <w:sz w:val="28"/>
          <w:sz w:val="28"/>
          <w:szCs w:val="28"/>
          <w:rtl w:val="true"/>
          <w:lang w:bidi="fa-IR"/>
        </w:rPr>
        <w:t>الزیادة بخبر الواحد و القیاس؟ و الحق أنّ الزائل إن کان حکم العقل جاز، و إلّا فلا، إلّا أن یجوز نسخ الزائل بالظنی، فزیادة التغریب أو عشرین لا یزیل إلّا نفیهما الثابت عقلا، لأنّ إیجاب الثمانین مشترک بین نفی الزائد و عدمه، فلیس نسخا، فجاز ثبوته بخبر الواحد، و إجزاء الثمانین و کونها کمال الحدّ و تعلق ردّ الشهادة علیها تابع لنفی وجوب الزیادة، کما لو زید علی الفرائض الخمس، لتوقف الخروج عن العهدة و قبول الشهادة علی فعله مع جوازه بخبر الواحد، 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الثمانون کمال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فی الزیادة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الرقبة بالإیمان إن تأخر کان نسخا، لعموم الکتاب الدال علی جواز عتق الکافر، فلا یقبل فیه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قارن کان تخصیصا، فیقبل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إباحة قطع رجل السارق ثانیا رافعة لحظر قطعها</w:t>
      </w:r>
      <w:r>
        <w:rPr>
          <w:rStyle w:val="FootnoteAnchor"/>
          <w:rtl w:val="true"/>
        </w:rPr>
        <w:footnoteReference w:id="770"/>
      </w:r>
      <w:r>
        <w:rPr>
          <w:rFonts w:ascii="IRNazanin" w:hAnsi="IRNazanin" w:eastAsia="IRNazanin"/>
          <w:color w:val="111111"/>
          <w:sz w:val="28"/>
          <w:sz w:val="28"/>
          <w:szCs w:val="28"/>
          <w:rtl w:val="true"/>
          <w:lang w:bidi="fa-IR"/>
        </w:rPr>
        <w:t>الثابت بالعقل، فیجوز إثباتها بخبر الواحد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التخییر بین واجب معیّن و غیره، رافع لحکم عقلی،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قیام غیره مقامه، و إنّما علم عدم قیام غیره مقامه بأنّ الاصل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نصّ علی عدم قیام غیره مقامه، کان إثبات البدل ناسخا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فالحکم بالشاهد و الیمین زیادة للتخییر بین الحکم بالشاهدین و الشاهد و المرأتین، فیقبل</w:t>
      </w:r>
      <w:r>
        <w:rPr>
          <w:rStyle w:val="FootnoteAnchor"/>
          <w:rtl w:val="true"/>
        </w:rPr>
        <w:footnoteReference w:id="773"/>
      </w:r>
      <w:r>
        <w:rPr>
          <w:rFonts w:ascii="IRNazanin" w:hAnsi="IRNazanin" w:eastAsia="IRNazanin"/>
          <w:color w:val="111111"/>
          <w:sz w:val="28"/>
          <w:sz w:val="28"/>
          <w:szCs w:val="28"/>
          <w:rtl w:val="true"/>
          <w:lang w:bidi="fa-IR"/>
        </w:rPr>
        <w:t>فیه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زیادة رکعة علی الصبح قبل التشهد لیس نسخا للرکعتین، لعدم تناول النسخ الأفعال، و لا لوجوبهما، و لا لإجزائهما، لبقاء وجوبهما، و إجزاؤهما تابع لنفی الرکعة المعلوم بالعقل</w:t>
      </w:r>
      <w:r>
        <w:rPr>
          <w:rStyle w:val="FootnoteAnchor"/>
          <w:rtl w:val="true"/>
        </w:rPr>
        <w:footnoteReference w:id="774"/>
      </w:r>
      <w:r>
        <w:rPr>
          <w:rFonts w:ascii="IRNazanin" w:hAnsi="IRNazanin" w:eastAsia="IRNazanin"/>
          <w:color w:val="111111"/>
          <w:sz w:val="28"/>
          <w:sz w:val="28"/>
          <w:szCs w:val="28"/>
          <w:rtl w:val="true"/>
          <w:lang w:bidi="fa-IR"/>
        </w:rPr>
        <w:t>، نعم هو نسخ لوجوب التشهد عقیب الرکعتین، و لو زیدت بعد التشهد قبل التحلل لنسخت وجوب التحلل بالتسلیم، أو کونه ندبا و کلاهما</w:t>
      </w:r>
      <w:r>
        <w:rPr>
          <w:rStyle w:val="FootnoteAnchor"/>
          <w:rtl w:val="true"/>
        </w:rPr>
        <w:footnoteReference w:id="775"/>
      </w:r>
      <w:r>
        <w:rPr>
          <w:rFonts w:ascii="IRNazanin" w:hAnsi="IRNazanin" w:eastAsia="IRNazanin"/>
          <w:color w:val="111111"/>
          <w:sz w:val="28"/>
          <w:sz w:val="28"/>
          <w:szCs w:val="28"/>
          <w:rtl w:val="true"/>
          <w:lang w:bidi="fa-IR"/>
        </w:rPr>
        <w:t>حکم شرعی لا یقبل فیه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زیادة غسل عضو فی الطهارة یرفع نفی وجوبه 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إیجاب الصوم بعد اللیل رافع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اللَّیْلِ</w:t>
      </w:r>
      <w:r>
        <w:rPr>
          <w:rStyle w:val="FootnoteAnchor"/>
          <w:rtl w:val="true"/>
        </w:rPr>
        <w:footnoteReference w:id="776"/>
      </w:r>
      <w:r>
        <w:rPr>
          <w:rFonts w:ascii="IRNazanin" w:hAnsi="IRNazanin" w:eastAsia="IRNazanin"/>
          <w:color w:val="111111"/>
          <w:sz w:val="28"/>
          <w:sz w:val="28"/>
          <w:szCs w:val="28"/>
          <w:rtl w:val="true"/>
          <w:lang w:bidi="fa-IR"/>
        </w:rPr>
        <w:t>الثابت بالشرع، فلا یقبل فیه خبر الواحد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یوجب بعض اللیل، فإنّه یرفع حکما عقلیا، فجاز إثباته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إثبات بدل الشرط یرفع نفی</w:t>
      </w:r>
      <w:r>
        <w:rPr>
          <w:rStyle w:val="FootnoteAnchor"/>
          <w:rtl w:val="true"/>
        </w:rPr>
        <w:footnoteReference w:id="777"/>
      </w:r>
      <w:r>
        <w:rPr>
          <w:rFonts w:ascii="IRNazanin" w:hAnsi="IRNazanin" w:eastAsia="IRNazanin"/>
          <w:color w:val="111111"/>
          <w:sz w:val="28"/>
          <w:sz w:val="28"/>
          <w:szCs w:val="28"/>
          <w:rtl w:val="true"/>
          <w:lang w:bidi="fa-IR"/>
        </w:rPr>
        <w:t>کون البدل شرطا، و هو حکم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العبادة نسخ للمنقوص، و لیس نسخا لما لا تتوقف العبادة علیه</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ما لا تتوقف علیه صحة العبادة لا یکون نسخه نسخا للعبادة، 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أوجبت الصلاة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یکون نسخا للعبادة؟ فصّل السید المرتضی تفصیلا</w:t>
      </w:r>
      <w:r>
        <w:rPr>
          <w:rStyle w:val="FootnoteAnchor"/>
          <w:rtl w:val="true"/>
        </w:rPr>
        <w:footnoteReference w:id="779"/>
      </w:r>
      <w:r>
        <w:rPr>
          <w:rFonts w:ascii="IRNazanin" w:hAnsi="IRNazanin" w:eastAsia="IRNazanin"/>
          <w:color w:val="111111"/>
          <w:sz w:val="28"/>
          <w:sz w:val="28"/>
          <w:szCs w:val="28"/>
          <w:rtl w:val="true"/>
          <w:lang w:bidi="fa-IR"/>
        </w:rPr>
        <w:t>جیدا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الباقی بعد النقصان متی فعل لم یکن له حکم فی الشریعة و لم یجر مجری فعله قبل النقصان، کنقصان رکعتین، فهذا النقصان نسخ، و إلّا فلا، کما لو نقص من الحدّ عشرین، فنسخ الرکعتین یغیّر حکم الصلاة الشرعی، فإنّها لو فعلت بعد النسخ علی الحدّ الذی کانت تفعل علیه قبله</w:t>
      </w:r>
      <w:r>
        <w:rPr>
          <w:rStyle w:val="FootnoteAnchor"/>
          <w:rtl w:val="true"/>
        </w:rPr>
        <w:footnoteReference w:id="780"/>
      </w:r>
      <w:r>
        <w:rPr>
          <w:rFonts w:ascii="IRNazanin" w:hAnsi="IRNazanin" w:eastAsia="IRNazanin"/>
          <w:color w:val="111111"/>
          <w:sz w:val="28"/>
          <w:sz w:val="28"/>
          <w:szCs w:val="28"/>
          <w:rtl w:val="true"/>
          <w:lang w:bidi="fa-IR"/>
        </w:rPr>
        <w:t>لم یجز، فجملة الصلاة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نسخ الوضوء نسخا للصلاة، لأنّ حکم الصلاة باق علی ما کان، و لو نسخ القبلة بالتوجه إلی غیرها کان نسخا للصلاة، کما فی بیت المقدس، فإنّ الصلاة لو وقعت إلیه لم تجز، أمّا لو أسقط التوجه بالتحریم للاستقبال إلی ما کان أوّلا فهو نسخ للصلاة أیضا، إذ لو توجه إلی ما کان أوّلا لم یجز، و لو خیّر بین جمیع الجهات لم یکن</w:t>
      </w:r>
    </w:p>
    <w:p>
      <w:pPr>
        <w:pStyle w:val="BookText"/>
        <w:rPr/>
      </w:pPr>
      <w:r>
        <w:rPr>
          <w:rFonts w:ascii="IRNazanin" w:hAnsi="IRNazanin" w:eastAsia="IRNazanin"/>
          <w:color w:val="111111"/>
          <w:sz w:val="28"/>
          <w:sz w:val="28"/>
          <w:szCs w:val="28"/>
          <w:rtl w:val="true"/>
          <w:lang w:bidi="fa-IR"/>
        </w:rPr>
        <w:t>نسخا، لأنّه لو صلّی إلی ما کان أوّلا أجزأ</w:t>
      </w:r>
      <w:r>
        <w:rPr>
          <w:rStyle w:val="FootnoteAnchor"/>
          <w:rtl w:val="true"/>
        </w:rPr>
        <w:footnoteReference w:id="781"/>
      </w:r>
      <w:r>
        <w:rPr>
          <w:rFonts w:ascii="IRNazanin" w:hAnsi="IRNazanin" w:eastAsia="IRNazanin"/>
          <w:color w:val="111111"/>
          <w:sz w:val="28"/>
          <w:sz w:val="28"/>
          <w:szCs w:val="28"/>
          <w:rtl w:val="true"/>
          <w:lang w:bidi="fa-IR"/>
        </w:rPr>
        <w:t>، و إنّما نسخ التعیین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کون الخطاب ناسخا بالتنصیص علیه، و بالتضاد مع معرفة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قول الصحابی فی أنّ هذا الخبر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قوله فی أنّه ناسخ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یقبل لو قال إنّه منسوخ، سواء عین الناسخ أو أبهم</w:t>
      </w:r>
      <w:r>
        <w:rPr>
          <w:rStyle w:val="FootnoteAnchor"/>
          <w:rtl w:val="true"/>
        </w:rPr>
        <w:footnoteReference w:id="783"/>
      </w:r>
      <w:r>
        <w:rPr>
          <w:rFonts w:ascii="IRNazanin" w:hAnsi="IRNazanin" w:eastAsia="IRNazanin"/>
          <w:color w:val="111111"/>
          <w:sz w:val="28"/>
          <w:sz w:val="28"/>
          <w:szCs w:val="28"/>
          <w:rtl w:val="true"/>
          <w:lang w:bidi="fa-IR"/>
        </w:rPr>
        <w:t>، خلافا للکرخی فی الثانی</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bookmarkStart w:id="371" w:name="pg2360_371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2" w:name="__RefHeading___Toc2792680_3804643083"/>
      <w:bookmarkStart w:id="373" w:name="_Toc143"/>
      <w:bookmarkEnd w:id="371"/>
      <w:bookmarkEnd w:id="372"/>
      <w:r>
        <w:rPr>
          <w:rtl w:val="true"/>
        </w:rPr>
        <w:t>المقصد الثّامن فی الإجماع و فیه مباحث</w:t>
      </w:r>
      <w:bookmarkEnd w:id="3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عن اتفاق أهل الحلّ و العقد من أمّة محمد صلّی اللّه علیه و آله علی أمر من الامور، و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عندنا فظاهر، لأنّ المعصوم سید أمّة محمد علیه السّلام فإذا</w:t>
      </w:r>
      <w:r>
        <w:rPr>
          <w:rStyle w:val="FootnoteAnchor"/>
          <w:rtl w:val="true"/>
        </w:rPr>
        <w:footnoteReference w:id="785"/>
      </w:r>
      <w:r>
        <w:rPr>
          <w:rFonts w:ascii="IRNazanin" w:hAnsi="IRNazanin" w:eastAsia="IRNazanin"/>
          <w:color w:val="111111"/>
          <w:sz w:val="28"/>
          <w:sz w:val="28"/>
          <w:szCs w:val="28"/>
          <w:rtl w:val="true"/>
          <w:lang w:bidi="fa-IR"/>
        </w:rPr>
        <w:t>فرض اتفاقهم دخل الإمام علیه السّلام فیهم، فیکون حجة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787"/>
      </w:r>
      <w:r>
        <w:rPr>
          <w:rFonts w:ascii="Amiri" w:hAnsi="Amiri" w:eastAsia="Amiri" w:cs="Amiri"/>
          <w:color w:val="111111"/>
          <w:sz w:val="28"/>
          <w:sz w:val="28"/>
          <w:szCs w:val="28"/>
          <w:rtl w:val="true"/>
          <w:lang w:bidi="ar-SA"/>
        </w:rPr>
        <w:t>الجمهور 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غَیْرَ سَبِیلِ الْمُؤْمِنِینَ نُوَلِّهِ ما تَوَلَّی وَ نُصْلِهِ جَهَنَّمَ</w:t>
      </w:r>
      <w:r>
        <w:rPr>
          <w:rStyle w:val="FootnoteAnchor"/>
          <w:rtl w:val="true"/>
        </w:rPr>
        <w:footnoteReference w:id="788"/>
      </w:r>
      <w:r>
        <w:rPr>
          <w:rFonts w:ascii="Amiri" w:hAnsi="Amiri" w:eastAsia="Amiri" w:cs="Amiri"/>
          <w:color w:val="111111"/>
          <w:sz w:val="28"/>
          <w:sz w:val="28"/>
          <w:szCs w:val="28"/>
          <w:rtl w:val="true"/>
          <w:lang w:bidi="ar-SA"/>
        </w:rPr>
        <w:t>وَ کَذلِکَ جَعَلْناکُمْ أُمَّةً وَسَطاً</w:t>
      </w:r>
      <w:r>
        <w:rPr>
          <w:rStyle w:val="FootnoteAnchor"/>
          <w:rtl w:val="true"/>
        </w:rPr>
        <w:footnoteReference w:id="789"/>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Style w:val="FootnoteAnchor"/>
          <w:rtl w:val="true"/>
        </w:rPr>
        <w:footnoteReference w:id="790"/>
      </w:r>
      <w:r>
        <w:rPr>
          <w:rFonts w:ascii="IRNazanin" w:hAnsi="IRNazanin" w:eastAsia="IRNazanin"/>
          <w:color w:val="111111"/>
          <w:sz w:val="28"/>
          <w:sz w:val="28"/>
          <w:szCs w:val="28"/>
          <w:rtl w:val="true"/>
          <w:lang w:bidi="fa-IR"/>
        </w:rPr>
        <w:t>و هو یقتضی التعمیم</w:t>
      </w:r>
      <w:r>
        <w:rPr>
          <w:rStyle w:val="FootnoteAnchor"/>
          <w:rtl w:val="true"/>
        </w:rPr>
        <w:footnoteReference w:id="791"/>
      </w:r>
      <w:r>
        <w:rPr>
          <w:rFonts w:ascii="IRNazanin" w:hAnsi="IRNazanin" w:eastAsia="IRNazanin"/>
          <w:color w:val="111111"/>
          <w:sz w:val="28"/>
          <w:sz w:val="28"/>
          <w:szCs w:val="28"/>
          <w:rtl w:val="true"/>
          <w:lang w:bidi="fa-IR"/>
        </w:rPr>
        <w:t>، 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و هو متواتر فی</w:t>
      </w:r>
      <w:r>
        <w:rPr>
          <w:rStyle w:val="FootnoteAnchor"/>
          <w:rtl w:val="true"/>
        </w:rPr>
        <w:footnoteReference w:id="793"/>
      </w:r>
      <w:r>
        <w:rPr>
          <w:rFonts w:ascii="IRNazanin" w:hAnsi="IRNazanin" w:eastAsia="IRNazanin"/>
          <w:color w:val="111111"/>
          <w:sz w:val="28"/>
          <w:sz w:val="28"/>
          <w:szCs w:val="28"/>
          <w:rtl w:val="true"/>
          <w:lang w:bidi="fa-IR"/>
        </w:rPr>
        <w:t>المعنی، و بأنّ العادة تحیل اجتماع الخلق الکثیر علی الخطأ</w:t>
      </w:r>
      <w:r>
        <w:rPr>
          <w:rStyle w:val="FootnoteAnchor"/>
          <w:rtl w:val="true"/>
        </w:rPr>
        <w:footnoteReference w:id="7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روضة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یشکل الأوّل باشتراط تبیّن الهدی کالمعطوف علیه، و من جملته الدلیل الدال علی الحکم، و لأنّ السبیل لیس للعموم، و کذا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لأنّ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صاروا به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لمشارکته الطریق فی الإیصال، و التجوّز</w:t>
      </w:r>
      <w:r>
        <w:rPr>
          <w:rStyle w:val="FootnoteAnchor"/>
          <w:rtl w:val="true"/>
        </w:rPr>
        <w:footnoteReference w:id="795"/>
      </w:r>
      <w:r>
        <w:rPr>
          <w:rFonts w:ascii="IRNazanin" w:hAnsi="IRNazanin" w:eastAsia="IRNazanin"/>
          <w:color w:val="111111"/>
          <w:sz w:val="28"/>
          <w:sz w:val="28"/>
          <w:szCs w:val="28"/>
          <w:rtl w:val="true"/>
          <w:lang w:bidi="fa-IR"/>
        </w:rPr>
        <w:t>فیه أولی من الاتفاق علی الحکم، إذ لا مناسبة فیه، و لأنّ الآیة تدل علی نقیض المطلوب، إذ سبیل المؤمنین وجوب التمسک بالدلیل لا بالإجماع، و لعدم الملازمة بین تحریم اتباع غیر سبیل المؤمنین و وجوب اتباع سبیلهم، لثبوت الواسطة و هی ترک الاتباع، و لانتفاء العموم، إذ لو اتفقوا علی مباح</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وجب تناقض، و إلّا فالمطلوب، قال المرتضی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وجوب اتباع من علم إیمانه، لا من یکون باطنه بخلاف ظاهره، و إنّما یتحقق ذلک فی المعصوم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بأنّ وصف الامّة بالعدالة یستلزم وصف کل واحد بها، و هو باطل إجماعا، و لأنّ العدالة لیکونوا شهودا لا تؤثر فیها الصغائر، و لأنّ شهادتهم فی الآخرة، فالعدالة</w:t>
      </w:r>
      <w:r>
        <w:rPr>
          <w:rStyle w:val="FootnoteAnchor"/>
          <w:rtl w:val="true"/>
        </w:rPr>
        <w:footnoteReference w:id="798"/>
      </w:r>
      <w:r>
        <w:rPr>
          <w:rFonts w:ascii="IRNazanin" w:hAnsi="IRNazanin" w:eastAsia="IRNazanin"/>
          <w:color w:val="111111"/>
          <w:sz w:val="28"/>
          <w:sz w:val="28"/>
          <w:szCs w:val="28"/>
          <w:rtl w:val="true"/>
          <w:lang w:bidi="fa-IR"/>
        </w:rPr>
        <w:t>تتحقق</w:t>
      </w:r>
      <w:r>
        <w:rPr>
          <w:rStyle w:val="FootnoteAnchor"/>
          <w:rtl w:val="true"/>
        </w:rPr>
        <w:footnoteReference w:id="799"/>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بأنّ الظاهر بعض الامّة، فیحمل علی المعصوم، و لأنّ المفرد المحلّی بلام التعریف لا یفید</w:t>
      </w:r>
      <w:r>
        <w:rPr>
          <w:rStyle w:val="FootnoteAnchor"/>
          <w:rtl w:val="true"/>
        </w:rPr>
        <w:footnoteReference w:id="800"/>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من باب الآحاد، و المعنی یقتضی اشتراط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إحداث قول ثالث، للعلم بأنّ أحد القولین الأولین</w:t>
      </w:r>
      <w:r>
        <w:rPr>
          <w:rStyle w:val="FootnoteAnchor"/>
          <w:rtl w:val="true"/>
        </w:rPr>
        <w:footnoteReference w:id="801"/>
      </w:r>
      <w:r>
        <w:rPr>
          <w:rFonts w:ascii="IRNazanin" w:hAnsi="IRNazanin" w:eastAsia="IRNazanin"/>
          <w:color w:val="111111"/>
          <w:sz w:val="28"/>
          <w:sz w:val="28"/>
          <w:szCs w:val="28"/>
          <w:rtl w:val="true"/>
          <w:lang w:bidi="fa-IR"/>
        </w:rPr>
        <w:t>حق، إذ التقدیر أنّ الإمام المعصوم</w:t>
      </w:r>
      <w:r>
        <w:rPr>
          <w:rStyle w:val="FootnoteAnchor"/>
          <w:rtl w:val="true"/>
        </w:rPr>
        <w:footnoteReference w:id="802"/>
      </w:r>
      <w:r>
        <w:rPr>
          <w:rFonts w:ascii="IRNazanin" w:hAnsi="IRNazanin" w:eastAsia="IRNazanin"/>
          <w:color w:val="111111"/>
          <w:sz w:val="28"/>
          <w:sz w:val="28"/>
          <w:szCs w:val="28"/>
          <w:rtl w:val="true"/>
          <w:lang w:bidi="fa-IR"/>
        </w:rPr>
        <w:t>قائل بأحدهما، فإنّا فرضنا انقسام الامّة بأجمعها علی قولین، فیکون الثانی باطلا، و کذا الثالث</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الجمهور فقد جوّزه بعضهم إذا لم یشتمل علی رفع ما أجمعوا علیه، کحرمان الجد بعد قول بعضهم بتخصیصه، و بعضهم بمقاسمته الأخ، إذ لا یلزم منه مخالفة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آخرون، للإجماع من کل منهما علی وجوب الأخذ بقولهم أو بالقول الآخر</w:t>
      </w:r>
      <w:r>
        <w:rPr>
          <w:rStyle w:val="FootnoteAnchor"/>
          <w:rtl w:val="true"/>
        </w:rPr>
        <w:footnoteReference w:id="8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المحصول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روضة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حکمت الامّة بعدم الفصل بین المسألتین فی جمیع الأحکام امتنع الفصل، سواء اتحد الحکم کالتحلیل و التحریم فیهما، أو اختلف بأن یحکم البعض بالتحلیل فیهما و الآخر بالتحریم فیهما، أو لا ینقل إلینا منهم حکم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لم یفرّق أحد، و لم ینقل الحکم عنهم بعدم الفرق</w:t>
      </w:r>
      <w:r>
        <w:rPr>
          <w:rStyle w:val="FootnoteAnchor"/>
          <w:rtl w:val="true"/>
        </w:rPr>
        <w:footnoteReference w:id="806"/>
      </w:r>
      <w:r>
        <w:rPr>
          <w:rFonts w:ascii="IRNazanin" w:hAnsi="IRNazanin" w:eastAsia="IRNazanin"/>
          <w:color w:val="111111"/>
          <w:sz w:val="28"/>
          <w:sz w:val="28"/>
          <w:szCs w:val="28"/>
          <w:rtl w:val="true"/>
          <w:lang w:bidi="fa-IR"/>
        </w:rPr>
        <w:t>و اتحد طریق</w:t>
      </w:r>
    </w:p>
    <w:p>
      <w:pPr>
        <w:pStyle w:val="BookText"/>
        <w:rPr/>
      </w:pPr>
      <w:r>
        <w:rPr>
          <w:rFonts w:ascii="IRNazanin" w:hAnsi="IRNazanin" w:eastAsia="IRNazanin"/>
          <w:color w:val="111111"/>
          <w:sz w:val="28"/>
          <w:sz w:val="28"/>
          <w:szCs w:val="28"/>
          <w:rtl w:val="true"/>
          <w:lang w:bidi="fa-IR"/>
        </w:rPr>
        <w:t>الحکم، کالعمة و الخالة المندرجتین تحت حکم</w:t>
      </w:r>
      <w:r>
        <w:rPr>
          <w:rStyle w:val="FootnoteAnchor"/>
          <w:rtl w:val="true"/>
        </w:rPr>
        <w:footnoteReference w:id="807"/>
      </w:r>
      <w:r>
        <w:rPr>
          <w:rFonts w:ascii="IRNazanin" w:hAnsi="IRNazanin" w:eastAsia="IRNazanin"/>
          <w:color w:val="111111"/>
          <w:sz w:val="28"/>
          <w:sz w:val="28"/>
          <w:szCs w:val="28"/>
          <w:rtl w:val="true"/>
          <w:lang w:bidi="fa-IR"/>
        </w:rPr>
        <w:t>ذوی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 الطریق جاز الفرق، لانتفاء الإجماع، و لزوم أنّ من یوافق مجتهدا فی حکم، یوافقه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الإجماع بعد الخلاف، و هو کثیر، کاتفاق التابعین علی منع بیع امّهات الأولاد بعد اختلاف الصحابة فیه، و الإجماع علی تسویغ الأخذ بأی القولین شاء</w:t>
      </w:r>
      <w:r>
        <w:rPr>
          <w:rStyle w:val="FootnoteAnchor"/>
          <w:rtl w:val="true"/>
        </w:rPr>
        <w:footnoteReference w:id="808"/>
      </w:r>
      <w:r>
        <w:rPr>
          <w:rFonts w:ascii="IRNazanin" w:hAnsi="IRNazanin" w:eastAsia="IRNazanin"/>
          <w:color w:val="111111"/>
          <w:sz w:val="28"/>
          <w:sz w:val="28"/>
          <w:szCs w:val="28"/>
          <w:rtl w:val="true"/>
          <w:lang w:bidi="fa-IR"/>
        </w:rPr>
        <w:t>مع الاجتهاد مشروط بعدم الاتفاق علی أحدهما</w:t>
      </w:r>
      <w:r>
        <w:rPr>
          <w:rStyle w:val="FootnoteAnchor"/>
          <w:rtl w:val="true"/>
        </w:rPr>
        <w:footnoteReference w:id="809"/>
      </w:r>
      <w:r>
        <w:rPr>
          <w:rFonts w:ascii="IRNazanin" w:hAnsi="IRNazanin" w:eastAsia="IRNazanin"/>
          <w:color w:val="111111"/>
          <w:sz w:val="28"/>
          <w:sz w:val="28"/>
          <w:szCs w:val="28"/>
          <w:rtl w:val="true"/>
          <w:lang w:bidi="fa-IR"/>
        </w:rPr>
        <w:t>، مع منعه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أجمع أهل العصر الثانی علی أحد قولی أهل العصر الأوّل کان إجماعا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احتجاج أکثر الحنفیة و الشافعیة و جماعة من المتکلمین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 الرَّسُولِ</w:t>
      </w:r>
      <w:r>
        <w:rPr>
          <w:rStyle w:val="FootnoteAnchor"/>
          <w:rtl w:val="true"/>
        </w:rPr>
        <w:footnoteReference w:id="811"/>
      </w:r>
      <w:r>
        <w:rPr>
          <w:rFonts w:ascii="IRNazanin" w:hAnsi="IRNazanin" w:eastAsia="IRNazanin"/>
          <w:color w:val="111111"/>
          <w:sz w:val="28"/>
          <w:sz w:val="28"/>
          <w:szCs w:val="28"/>
          <w:rtl w:val="true"/>
          <w:lang w:bidi="fa-IR"/>
        </w:rPr>
        <w:t>، و بتدافع الإجماعین، و بالمعارضة بالموت، و لأنّه إن کان لدلیل لم یخف علی</w:t>
      </w:r>
      <w:r>
        <w:rPr>
          <w:rStyle w:val="FootnoteAnchor"/>
          <w:rtl w:val="true"/>
        </w:rPr>
        <w:footnoteReference w:id="812"/>
      </w:r>
      <w:r>
        <w:rPr>
          <w:rFonts w:ascii="IRNazanin" w:hAnsi="IRNazanin" w:eastAsia="IRNazanin"/>
          <w:color w:val="111111"/>
          <w:sz w:val="28"/>
          <w:sz w:val="28"/>
          <w:szCs w:val="28"/>
          <w:rtl w:val="true"/>
          <w:lang w:bidi="fa-IR"/>
        </w:rPr>
        <w:t>الصحابة، و لأنّ الإجماع یستلزم</w:t>
      </w:r>
    </w:p>
    <w:p>
      <w:pPr>
        <w:pStyle w:val="BookText"/>
        <w:rPr/>
      </w:pPr>
      <w:r>
        <w:rPr>
          <w:rFonts w:ascii="IRNazanin" w:hAnsi="IRNazanin" w:eastAsia="IRNazanin"/>
          <w:color w:val="111111"/>
          <w:sz w:val="28"/>
          <w:sz w:val="28"/>
          <w:szCs w:val="28"/>
          <w:rtl w:val="true"/>
          <w:lang w:bidi="fa-IR"/>
        </w:rPr>
        <w:t>القطع، و هو قول ثالث</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لعدم التنازع، و لأنّ العمل بالإجماع ردّ إلی اللّه تعالی و رسوله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الإجماع علی تسویغ الأخذ بأی القولین مشروط بعدم الاتفاق، و هو یقدح فی الإجماع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الإجماع علی التخییر، فإنّ کل طائفة تعتقد أنّ الحق فی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الموت لیس بحجة</w:t>
      </w:r>
      <w:r>
        <w:rPr>
          <w:rStyle w:val="FootnoteAnchor"/>
          <w:rtl w:val="true"/>
        </w:rPr>
        <w:footnoteReference w:id="815"/>
      </w:r>
      <w:r>
        <w:rPr>
          <w:rFonts w:ascii="IRNazanin" w:hAnsi="IRNazanin" w:eastAsia="IRNazanin"/>
          <w:color w:val="111111"/>
          <w:sz w:val="28"/>
          <w:sz w:val="28"/>
          <w:szCs w:val="28"/>
          <w:rtl w:val="true"/>
          <w:lang w:bidi="fa-IR"/>
        </w:rPr>
        <w:t>، بل هو کاشف عن کون قول الاخری حجة، لأنّهم کل الامّة، و لا یلزم انقلاب الخطأ حقّا، لمنع فرض موت المصیبین قبل المصیر إلی قولهم من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خفاء الدلیل عن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هنا جائز، لأنّ الإجماع علی أحد القولین لا بعینه مشروط بعدم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أحد القسمین، صار القسم الثانی</w:t>
      </w:r>
      <w:r>
        <w:rPr>
          <w:rStyle w:val="FootnoteAnchor"/>
          <w:rtl w:val="true"/>
        </w:rPr>
        <w:footnoteReference w:id="816"/>
      </w:r>
      <w:r>
        <w:rPr>
          <w:rFonts w:ascii="IRNazanin" w:hAnsi="IRNazanin" w:eastAsia="IRNazanin"/>
          <w:color w:val="111111"/>
          <w:sz w:val="28"/>
          <w:sz w:val="28"/>
          <w:szCs w:val="28"/>
          <w:rtl w:val="true"/>
          <w:lang w:bidi="fa-IR"/>
        </w:rPr>
        <w:t>کلّ الامّة، و کذا إذا کفر أحدهما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رجع أحدهما إلی قول الآخر، کان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تعاکس الطائفتین فی</w:t>
      </w:r>
    </w:p>
    <w:p>
      <w:pPr>
        <w:pStyle w:val="BookText"/>
        <w:rPr/>
      </w:pPr>
      <w:r>
        <w:rPr>
          <w:rFonts w:ascii="IRNazanin" w:hAnsi="IRNazanin" w:eastAsia="IRNazanin"/>
          <w:color w:val="111111"/>
          <w:sz w:val="28"/>
          <w:sz w:val="28"/>
          <w:szCs w:val="28"/>
          <w:rtl w:val="true"/>
          <w:lang w:bidi="fa-IR"/>
        </w:rPr>
        <w:t>القولین عند الجمهور، لا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انقراض أهل</w:t>
      </w:r>
      <w:r>
        <w:rPr>
          <w:rStyle w:val="FootnoteAnchor"/>
          <w:rtl w:val="true"/>
        </w:rPr>
        <w:footnoteReference w:id="817"/>
      </w:r>
      <w:r>
        <w:rPr>
          <w:rFonts w:ascii="IRNazanin" w:hAnsi="IRNazanin" w:eastAsia="IRNazanin"/>
          <w:color w:val="111111"/>
          <w:sz w:val="28"/>
          <w:sz w:val="28"/>
          <w:szCs w:val="28"/>
          <w:rtl w:val="true"/>
          <w:lang w:bidi="fa-IR"/>
        </w:rPr>
        <w:t>العصر غیر شرط</w:t>
      </w:r>
      <w:r>
        <w:rPr>
          <w:rStyle w:val="FootnoteAnchor"/>
          <w:rtl w:val="true"/>
        </w:rPr>
        <w:footnoteReference w:id="818"/>
      </w:r>
      <w:r>
        <w:rPr>
          <w:rFonts w:ascii="IRNazanin" w:hAnsi="IRNazanin" w:eastAsia="IRNazanin"/>
          <w:color w:val="111111"/>
          <w:sz w:val="28"/>
          <w:sz w:val="28"/>
          <w:szCs w:val="28"/>
          <w:rtl w:val="true"/>
          <w:lang w:bidi="fa-IR"/>
        </w:rPr>
        <w:t>، لعموم الأدلة، و لعدم انعقاد الإجماع لو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و التأمل إنّما یصح مع الخلاف، لا 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الإجماع بخبر الواحد جائز، فوجب العمل، لحصول الظن به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البعض و سکوت الباقین عن الإنکار لیس بإجماع، لاحتمال السکوت عدم الاجتهاد، أو ثبوته لکن یعتقد إصابة کل مجتهد، أو حصول مانع من</w:t>
      </w:r>
      <w:r>
        <w:rPr>
          <w:rStyle w:val="FootnoteAnchor"/>
          <w:rtl w:val="true"/>
        </w:rPr>
        <w:footnoteReference w:id="820"/>
      </w:r>
      <w:r>
        <w:rPr>
          <w:rFonts w:ascii="IRNazanin" w:hAnsi="IRNazanin" w:eastAsia="IRNazanin"/>
          <w:color w:val="111111"/>
          <w:sz w:val="28"/>
          <w:sz w:val="28"/>
          <w:szCs w:val="28"/>
          <w:rtl w:val="true"/>
          <w:lang w:bidi="fa-IR"/>
        </w:rPr>
        <w:t>إظهار معتقده، أو انتظار وقت الإنکار، أو علمه بعدم القبول، أو خوفه، أو ظن قیام غیره مقامه فی الإنکار، أو اعتقد أنّه صغیرة، فلیس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الجبائی علی أنّه حجة بعد انقراض</w:t>
      </w:r>
      <w:r>
        <w:rPr>
          <w:rStyle w:val="FootnoteAnchor"/>
          <w:rtl w:val="true"/>
        </w:rPr>
        <w:footnoteReference w:id="821"/>
      </w:r>
      <w:r>
        <w:rPr>
          <w:rFonts w:ascii="IRNazanin" w:hAnsi="IRNazanin" w:eastAsia="IRNazanin"/>
          <w:color w:val="111111"/>
          <w:sz w:val="28"/>
          <w:sz w:val="28"/>
          <w:szCs w:val="28"/>
          <w:rtl w:val="true"/>
          <w:lang w:bidi="fa-IR"/>
        </w:rPr>
        <w:t>العصر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العادة بالإنکار أو إظهار ما یعتقدونه من القول مع عدم التقیة، و لا تقیة هنا، و إلّا لاشتهرت</w:t>
      </w:r>
      <w:r>
        <w:rPr>
          <w:rStyle w:val="FootnoteAnchor"/>
          <w:rtl w:val="true"/>
        </w:rPr>
        <w:footnoteReference w:id="8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أبو الحسین عنه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اشتراطه انقراض العصر فی تحقق الإجماع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العادة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قال بعض الصحابة قولا و لم یعرف له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استدل أهل العصر بدلیل، أو ذکروا تأویلا، جاز لمن بعدهم الاستدلال بآخر</w:t>
      </w:r>
      <w:r>
        <w:rPr>
          <w:rStyle w:val="FootnoteAnchor"/>
          <w:rtl w:val="true"/>
        </w:rPr>
        <w:footnoteReference w:id="823"/>
      </w:r>
      <w:r>
        <w:rPr>
          <w:rFonts w:ascii="IRNazanin" w:hAnsi="IRNazanin" w:eastAsia="IRNazanin"/>
          <w:color w:val="111111"/>
          <w:sz w:val="28"/>
          <w:sz w:val="28"/>
          <w:szCs w:val="28"/>
          <w:rtl w:val="true"/>
          <w:lang w:bidi="fa-IR"/>
        </w:rPr>
        <w:t>، أو ذکر تأویل لا یستلزم عدم التأویل الأوّل، فلو تأوّل الأوّلون المشترک بأحد معنییه لم یکن لأهل العصر الثانی تأویله بالمعنی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العترة حجة،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824"/>
      </w:r>
      <w:r>
        <w:rPr>
          <w:rFonts w:ascii="IRNazanin" w:hAnsi="IRNazanin" w:eastAsia="IRNazanin"/>
          <w:color w:val="111111"/>
          <w:sz w:val="28"/>
          <w:sz w:val="28"/>
          <w:szCs w:val="28"/>
          <w:rtl w:val="true"/>
          <w:lang w:bidi="fa-IR"/>
        </w:rPr>
        <w:t>و لمّا نزلت أخذ رسول اللّه صلّی اللّه علیه و آله کساء و وضعه علیه و علی علی و فاطمة و الحسن و الحسین علیهم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أهل البیت؟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و الخطأ رجس، فیکون منفیّا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لأنّهم أعرف بالأحکام، لاستفادتها من الوحی، و هم علیهم السّلام مهبطه، و النبی علیه السّلام فیهم و منهم و ملازم لهم، فأفعاله غیر خفیّة عنهم، و أفعالهم کذلک، و معاشرتهم له أکثر من غیرهم، فهم أعرف بالأحکام، و هم عن الخطأ أبعد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الآیة علی الزوجات</w:t>
      </w:r>
      <w:r>
        <w:rPr>
          <w:rStyle w:val="FootnoteAnchor"/>
          <w:rtl w:val="true"/>
        </w:rPr>
        <w:footnoteReference w:id="827"/>
      </w:r>
      <w:r>
        <w:rPr>
          <w:rFonts w:ascii="IRNazanin" w:hAnsi="IRNazanin" w:eastAsia="IRNazanin"/>
          <w:color w:val="111111"/>
          <w:sz w:val="28"/>
          <w:sz w:val="28"/>
          <w:szCs w:val="28"/>
          <w:rtl w:val="true"/>
          <w:lang w:bidi="fa-IR"/>
        </w:rPr>
        <w:t>باطل، لمخالفته الخبر المتواتر من لفّ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لو کان کذلک لقال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نفی حقیقة الرجس یقتضی نفی جزئیاته أجمع، خصوصا مع تأکید التطهیر، و هو غیر ثابت فی حق الزوجات، لوقوع الذنب منهنّ، فلم یبق لها محمل</w:t>
      </w:r>
      <w:r>
        <w:rPr>
          <w:rStyle w:val="FootnoteAnchor"/>
          <w:rtl w:val="true"/>
        </w:rPr>
        <w:footnoteReference w:id="828"/>
      </w:r>
      <w:r>
        <w:rPr>
          <w:rFonts w:ascii="IRNazanin" w:hAnsi="IRNazanin" w:eastAsia="IRNazanin"/>
          <w:color w:val="111111"/>
          <w:sz w:val="28"/>
          <w:sz w:val="28"/>
          <w:szCs w:val="28"/>
          <w:rtl w:val="true"/>
          <w:lang w:bidi="fa-IR"/>
        </w:rPr>
        <w:t>سوی المعصومین، و هم من ذکرناه، إذ لا قائل بغیرهم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نفی الرجس عن أهل البیت یقتضی نفیه عمّن ذکرناه</w:t>
      </w:r>
      <w:r>
        <w:rPr>
          <w:rStyle w:val="FootnoteAnchor"/>
          <w:rtl w:val="true"/>
        </w:rPr>
        <w:footnoteReference w:id="829"/>
      </w:r>
      <w:r>
        <w:rPr>
          <w:rFonts w:ascii="IRNazanin" w:hAnsi="IRNazanin" w:eastAsia="IRNazanin"/>
          <w:color w:val="111111"/>
          <w:sz w:val="28"/>
          <w:sz w:val="28"/>
          <w:szCs w:val="28"/>
          <w:rtl w:val="true"/>
          <w:lang w:bidi="fa-IR"/>
        </w:rPr>
        <w:t>، لأنّهم من أهل البیت إجماعا، و لا قائل بقصره علی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أهل المدینة لیس بحجة، لأنّهم بعض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المعصوم إذا</w:t>
      </w:r>
      <w:r>
        <w:rPr>
          <w:rStyle w:val="FootnoteAnchor"/>
          <w:rtl w:val="true"/>
        </w:rPr>
        <w:footnoteReference w:id="830"/>
      </w:r>
      <w:r>
        <w:rPr>
          <w:rFonts w:ascii="IRNazanin" w:hAnsi="IRNazanin" w:eastAsia="IRNazanin"/>
          <w:color w:val="111111"/>
          <w:sz w:val="28"/>
          <w:sz w:val="28"/>
          <w:szCs w:val="28"/>
          <w:rtl w:val="true"/>
          <w:lang w:bidi="fa-IR"/>
        </w:rPr>
        <w:t>لم یکن فیهم لم یعتد بقولهم، و إلّا فالحجة فی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مالک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المدینة لتنفی خبثها کما تنفی الکیر خبث الحدید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لا یدل علی المطلوب، لمنعه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لنفی دلالته ثانیا، لاحتمال ذلک فی زمانه و عدم عمومه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إجماع المشایخ الثلاثة أو الشیخین لیس بحجة، لعدم تناول الأدلّة لهم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إجماع الصحابة مع مخالفة التابعین البالغین رتبة الاجتهاد لیس بحجة، لأنّهم رجعوا إلی أقوالهم، فلو کانت خطأ لما رجعوا إلیها، و لا یتأتّی عندنا لدخول</w:t>
      </w:r>
    </w:p>
    <w:p>
      <w:pPr>
        <w:pStyle w:val="BookText"/>
        <w:rPr/>
      </w:pPr>
      <w:r>
        <w:rPr>
          <w:rFonts w:ascii="IRNazanin" w:hAnsi="IRNazanin" w:eastAsia="IRNazanin"/>
          <w:color w:val="111111"/>
          <w:sz w:val="28"/>
          <w:sz w:val="28"/>
          <w:szCs w:val="28"/>
          <w:rtl w:val="true"/>
          <w:lang w:bidi="fa-IR"/>
        </w:rPr>
        <w:t>المعصوم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إنّما هو حجة عندنا لاشتماله علی قول المعصوم، فکل</w:t>
      </w:r>
      <w:r>
        <w:rPr>
          <w:rStyle w:val="FootnoteAnchor"/>
          <w:rtl w:val="true"/>
        </w:rPr>
        <w:footnoteReference w:id="832"/>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قول الإمام فی جملة أقوالها فإجماعها حجة لأجله، لا لأجل الإجماع</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الجمهور فقد اختلفوا فی انعقاد الإجماع مع مخالفة المخطئین من أهل القبلة فی مسائل الاصول، فإن کفروا بالمخالفة لم یعتد بخلافهم، لکن لا یجوز التمسک بإجماعنا علی کفرهم فی تلک المسائل، لأنّ خروجهم من الإجماع متوقف علی کفرهم فیها</w:t>
      </w:r>
      <w:r>
        <w:rPr>
          <w:rStyle w:val="FootnoteAnchor"/>
          <w:rtl w:val="true"/>
        </w:rPr>
        <w:footnoteReference w:id="834"/>
      </w:r>
      <w:r>
        <w:rPr>
          <w:rFonts w:ascii="IRNazanin" w:hAnsi="IRNazanin" w:eastAsia="IRNazanin"/>
          <w:color w:val="111111"/>
          <w:sz w:val="28"/>
          <w:sz w:val="28"/>
          <w:szCs w:val="28"/>
          <w:rtl w:val="true"/>
          <w:lang w:bidi="fa-IR"/>
        </w:rPr>
        <w:t>، فلو أثبتناه بإجماعنا خاصّة دار، و إن لم یکفروا لم ینعقد الإجماع بدونهم، لأنّ من عداهم بعض المؤمنین، فیعتبر عندهم قول العصاة، لأنّهم مؤمنون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ینعقد مع مخالفة الواحد و الاثنین، لأنّ من عداهم بعض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أبو بکر الرازی</w:t>
      </w:r>
      <w:r>
        <w:rPr>
          <w:rStyle w:val="FootnoteAnchor"/>
          <w:rtl w:val="true"/>
        </w:rPr>
        <w:footnoteReference w:id="83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کتابا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الخیاط</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علیهم مع خروج الواحد و الاثنین کالأسود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لتعذر العلم بالإجماع 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 أنّه مجاز، و الثانی أنّه معلوم فی زمن الصحابة لضبطهم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الإجماع إلّا عن دلیل أو أمارة، و إلّا لکان خطأ، و الفائدة منع</w:t>
      </w:r>
      <w:r>
        <w:rPr>
          <w:rStyle w:val="FootnoteAnchor"/>
          <w:rtl w:val="true"/>
        </w:rPr>
        <w:footnoteReference w:id="838"/>
      </w:r>
      <w:r>
        <w:rPr>
          <w:rFonts w:ascii="IRNazanin" w:hAnsi="IRNazanin" w:eastAsia="IRNazanin"/>
          <w:color w:val="111111"/>
          <w:sz w:val="28"/>
          <w:sz w:val="28"/>
          <w:szCs w:val="28"/>
          <w:rtl w:val="true"/>
          <w:lang w:bidi="fa-IR"/>
        </w:rPr>
        <w:t>المخالفة و ترک البحث عن الدلیل، و بیع المراضاة و اجرة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فلدلیل لم ینقل، و عدم العلم لا یدل علی العدم، و الأمارة جاز أن تکون ظاهرة فیتفق الإجماع بها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من موافقة الإجماع لخبر صدوره عنه، خلافا لأبی عبد اللّه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الإجماع قول کل الامّة من زمن الرسول علیه السّلام إلی یوم القیامة، و إلّا لانتفت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قول الکفّار، لأنّ آیة المشاقّة تدل علی اتباع المؤمنین، و کذا الاخری، لأنّ لفظ الامّة منصرف</w:t>
      </w:r>
      <w:r>
        <w:rPr>
          <w:rStyle w:val="FootnoteAnchor"/>
          <w:rtl w:val="true"/>
        </w:rPr>
        <w:footnoteReference w:id="840"/>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قول العوام، لأنّ قولهم لا لدلیل، فیکون خطأ، فلو کان قول العلماء أیضا</w:t>
      </w:r>
      <w:r>
        <w:rPr>
          <w:rStyle w:val="FootnoteAnchor"/>
          <w:rtl w:val="true"/>
        </w:rPr>
        <w:footnoteReference w:id="841"/>
      </w:r>
      <w:r>
        <w:rPr>
          <w:rFonts w:ascii="IRNazanin" w:hAnsi="IRNazanin" w:eastAsia="IRNazanin"/>
          <w:color w:val="111111"/>
          <w:sz w:val="28"/>
          <w:sz w:val="28"/>
          <w:szCs w:val="28"/>
          <w:rtl w:val="true"/>
          <w:lang w:bidi="fa-IR"/>
        </w:rPr>
        <w:t>خطأ لزم الإجماع علی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عبرة</w:t>
      </w:r>
      <w:r>
        <w:rPr>
          <w:rStyle w:val="FootnoteAnchor"/>
          <w:rtl w:val="true"/>
        </w:rPr>
        <w:footnoteReference w:id="842"/>
      </w:r>
      <w:r>
        <w:rPr>
          <w:rFonts w:ascii="IRNazanin" w:hAnsi="IRNazanin" w:eastAsia="IRNazanin"/>
          <w:color w:val="111111"/>
          <w:sz w:val="28"/>
          <w:sz w:val="28"/>
          <w:szCs w:val="28"/>
          <w:rtl w:val="true"/>
          <w:lang w:bidi="fa-IR"/>
        </w:rPr>
        <w:t>بقول المجتهد فی فنّ فیما أجمعوا علیه فی غیر ذلک الفنّ، فلا عبرة بقول المتکلم فی الفقه،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بقول الحافظ للأحکام</w:t>
      </w:r>
      <w:r>
        <w:rPr>
          <w:rStyle w:val="FootnoteAnchor"/>
          <w:rtl w:val="true"/>
        </w:rPr>
        <w:footnoteReference w:id="843"/>
      </w:r>
      <w:r>
        <w:rPr>
          <w:rFonts w:ascii="IRNazanin" w:hAnsi="IRNazanin" w:eastAsia="IRNazanin"/>
          <w:color w:val="111111"/>
          <w:sz w:val="28"/>
          <w:sz w:val="28"/>
          <w:szCs w:val="28"/>
          <w:rtl w:val="true"/>
          <w:lang w:bidi="fa-IR"/>
        </w:rPr>
        <w:t>و المذاهب، إذا لم یتمکن من الاجتهاد، لأنّه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قول الاصولی المتمکن من الاجتهاد و إن لم یحفظ الأحکام، لتمکنه من معرفة الخطأ و الصواب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بلوغ التواتر فی المجمعین، لتناول الأدلة</w:t>
      </w:r>
      <w:r>
        <w:rPr>
          <w:rStyle w:val="FootnoteAnchor"/>
          <w:rtl w:val="true"/>
        </w:rPr>
        <w:footnoteReference w:id="844"/>
      </w:r>
      <w:r>
        <w:rPr>
          <w:rFonts w:ascii="Amiri" w:hAnsi="Amiri" w:eastAsia="Amiri" w:cs="Amiri"/>
          <w:color w:val="111111"/>
          <w:sz w:val="28"/>
          <w:sz w:val="28"/>
          <w:szCs w:val="28"/>
          <w:rtl w:val="true"/>
          <w:lang w:bidi="ar-SA"/>
        </w:rPr>
        <w:t>من عداهم، و لا کونهم صحابة، لأنّ قول التابعین سَبِیلِ الْمُؤْمِنِینَ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احتجاج الظاهریة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یتناولهم، و بإمکان ضبطهم، و بأنّ قول أهل العصر الثانی إن لم یکن لدلیل فهو خطأ، و إلّا لم یخف عن الصحابة، و بأنّ إجماع الصحابة علی جواز الاجتهاد فیما لم یجمعوا علیه</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لاقتضائه سقوط الإجماع بموت واحد، و أنتم لا تقولون به</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الضبط ینافی الفرض، لأنّا فرضنا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التابعین بالدلیل لوقوع الواقعة معهم فبحثوا، و لم یقع فی زمن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الإجماع علی الاجتهاد مشروط بعدم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یتوقف صحة الإجماع علیه لا یجوز التمسک به فیه</w:t>
      </w:r>
      <w:r>
        <w:rPr>
          <w:rStyle w:val="FootnoteAnchor"/>
          <w:rtl w:val="true"/>
        </w:rPr>
        <w:footnoteReference w:id="848"/>
      </w:r>
      <w:r>
        <w:rPr>
          <w:rFonts w:ascii="IRNazanin" w:hAnsi="IRNazanin" w:eastAsia="IRNazanin"/>
          <w:color w:val="111111"/>
          <w:sz w:val="28"/>
          <w:sz w:val="28"/>
          <w:szCs w:val="28"/>
          <w:rtl w:val="true"/>
          <w:lang w:bidi="fa-IR"/>
        </w:rPr>
        <w:t>، و إلّا دار، و ما لا یتوقف جائز، فیجوز إثبات حدوث الأجسام به، لإمکان الاستدلال علی وجود الصانع بحدوث الأعراض، و لا یجوز إثبات القادر و العالم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حجة فی الآراء و الحروب؟ الأقرب أنّه حجة، لأنّ غیره غیر سبیل المؤمنین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یجوز خطأ بعض الامّة فی مسألة و الآخر فی الاخری</w:t>
      </w:r>
      <w:r>
        <w:rPr>
          <w:rStyle w:val="FootnoteAnchor"/>
          <w:rtl w:val="true"/>
        </w:rPr>
        <w:footnoteReference w:id="849"/>
      </w:r>
      <w:r>
        <w:rPr>
          <w:rFonts w:ascii="IRNazanin" w:hAnsi="IRNazanin" w:eastAsia="IRNazanin"/>
          <w:color w:val="111111"/>
          <w:sz w:val="28"/>
          <w:sz w:val="28"/>
          <w:szCs w:val="28"/>
          <w:rtl w:val="true"/>
          <w:lang w:bidi="fa-IR"/>
        </w:rPr>
        <w:t>؟ أمّا عندنا فلا،</w:t>
      </w:r>
    </w:p>
    <w:p>
      <w:pPr>
        <w:pStyle w:val="BookText"/>
        <w:rPr/>
      </w:pPr>
      <w:r>
        <w:rPr>
          <w:rFonts w:ascii="IRNazanin" w:hAnsi="IRNazanin" w:eastAsia="IRNazanin"/>
          <w:color w:val="111111"/>
          <w:sz w:val="28"/>
          <w:sz w:val="28"/>
          <w:szCs w:val="28"/>
          <w:rtl w:val="true"/>
          <w:lang w:bidi="fa-IR"/>
        </w:rPr>
        <w:t>لأنّ المعصوم لا یخطئ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فالأکثر منع، کقول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لا یرث و العبد یرث، و قول الآخرین بالعکس، لاستلزامه تخطئة کلّ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جوّز، لأنّ الممتنع خطأ کل الامّة، و المخطئ هنا فی کل مسألة بعض الامّة، و لا یلزم من إصابة مجتهد فی حکم إصابته فی الجمیع</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یجوز اتفاق الامّة علی الکفر؟ أمّا عندنا فلا، لوجود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به، لخروجهم عن الامّة و عن المؤمنین حینئذ</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آخرون، لأنّ وجوب اتباع سَبِیلِ الْمُؤْمِنِینَ</w:t>
      </w:r>
      <w:r>
        <w:rPr>
          <w:rStyle w:val="FootnoteAnchor"/>
          <w:rtl w:val="true"/>
        </w:rPr>
        <w:footnoteReference w:id="852"/>
      </w:r>
      <w:r>
        <w:rPr>
          <w:rFonts w:ascii="IRNazanin" w:hAnsi="IRNazanin" w:eastAsia="IRNazanin"/>
          <w:color w:val="111111"/>
          <w:sz w:val="28"/>
          <w:sz w:val="28"/>
          <w:szCs w:val="28"/>
          <w:rtl w:val="true"/>
          <w:lang w:bidi="fa-IR"/>
        </w:rPr>
        <w:t>یستلزم ثبوته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اشتراک</w:t>
      </w:r>
      <w:r>
        <w:rPr>
          <w:rStyle w:val="FootnoteAnchor"/>
          <w:rtl w:val="true"/>
        </w:rPr>
        <w:footnoteReference w:id="854"/>
      </w:r>
      <w:r>
        <w:rPr>
          <w:rFonts w:ascii="IRNazanin" w:hAnsi="IRNazanin" w:eastAsia="IRNazanin"/>
          <w:color w:val="111111"/>
          <w:sz w:val="28"/>
          <w:sz w:val="28"/>
          <w:szCs w:val="28"/>
          <w:rtl w:val="true"/>
          <w:lang w:bidi="fa-IR"/>
        </w:rPr>
        <w:t>الامّة فی عدم علم ما لم یکلّفوا به، إذ لا محذور فیه إذا لم یکن عدم العلم به</w:t>
      </w:r>
      <w:r>
        <w:rPr>
          <w:rStyle w:val="FootnoteAnchor"/>
          <w:rtl w:val="true"/>
        </w:rPr>
        <w:footnoteReference w:id="855"/>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المجمع علیه إن کان له مدخل فی الإسلام، کان جاحده کافرا، و إلّا فلا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الإجماع الصادر عن الاجتهاد حق عند الجمهور</w:t>
      </w:r>
      <w:r>
        <w:rPr>
          <w:rStyle w:val="FootnoteAnchor"/>
          <w:rtl w:val="true"/>
        </w:rPr>
        <w:footnoteReference w:id="856"/>
      </w:r>
      <w:r>
        <w:rPr>
          <w:rFonts w:ascii="IRNazanin" w:hAnsi="IRNazanin" w:eastAsia="IRNazanin"/>
          <w:color w:val="111111"/>
          <w:sz w:val="28"/>
          <w:sz w:val="28"/>
          <w:szCs w:val="28"/>
          <w:rtl w:val="true"/>
          <w:lang w:bidi="fa-IR"/>
        </w:rPr>
        <w:t>، و هذا لا یتأتّی علی</w:t>
      </w:r>
    </w:p>
    <w:p>
      <w:pPr>
        <w:pStyle w:val="BookText"/>
        <w:rPr/>
      </w:pPr>
      <w:r>
        <w:rPr>
          <w:rFonts w:ascii="IRNazanin" w:hAnsi="IRNazanin" w:eastAsia="IRNazanin"/>
          <w:color w:val="111111"/>
          <w:sz w:val="28"/>
          <w:sz w:val="28"/>
          <w:szCs w:val="28"/>
          <w:rtl w:val="true"/>
          <w:lang w:bidi="fa-IR"/>
        </w:rPr>
        <w:t>قولنا، لأنّ المعصوم شرط فی الإجماع، و لا یکون عن اجتهاد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جوّز أبو عبد اللّه البصری انعقاد الإجماع عقیب إجماع علی خلافه، لجواز أن یقع مشروطا</w:t>
      </w:r>
      <w:r>
        <w:rPr>
          <w:rStyle w:val="FootnoteAnchor"/>
          <w:rtl w:val="true"/>
        </w:rPr>
        <w:footnoteReference w:id="857"/>
      </w:r>
      <w:r>
        <w:rPr>
          <w:rFonts w:ascii="IRNazanin" w:hAnsi="IRNazanin" w:eastAsia="IRNazanin"/>
          <w:color w:val="111111"/>
          <w:sz w:val="28"/>
          <w:sz w:val="28"/>
          <w:szCs w:val="28"/>
          <w:rtl w:val="true"/>
          <w:lang w:bidi="fa-IR"/>
        </w:rPr>
        <w:t>، إلّا أنّه لم یقع، لأنّ أهل الإجماع أجمعوا علی العمل بما أجمعوا علیه فی کل عصر</w:t>
      </w:r>
      <w:r>
        <w:rPr>
          <w:rStyle w:val="FootnoteAnchor"/>
          <w:rtl w:val="true"/>
        </w:rPr>
        <w:footnoteReference w:id="858"/>
      </w:r>
      <w:r>
        <w:rPr>
          <w:rFonts w:ascii="IRNazanin" w:hAnsi="IRNazanin" w:eastAsia="IRNazanin"/>
          <w:color w:val="111111"/>
          <w:sz w:val="28"/>
          <w:sz w:val="28"/>
          <w:szCs w:val="28"/>
          <w:rtl w:val="true"/>
          <w:lang w:bidi="fa-IR"/>
        </w:rPr>
        <w:t>، و یلزم</w:t>
      </w:r>
      <w:r>
        <w:rPr>
          <w:rStyle w:val="FootnoteAnchor"/>
          <w:rtl w:val="true"/>
        </w:rPr>
        <w:footnoteReference w:id="859"/>
      </w:r>
      <w:r>
        <w:rPr>
          <w:rFonts w:ascii="IRNazanin" w:hAnsi="IRNazanin" w:eastAsia="IRNazanin"/>
          <w:color w:val="111111"/>
          <w:sz w:val="28"/>
          <w:sz w:val="28"/>
          <w:szCs w:val="28"/>
          <w:rtl w:val="true"/>
          <w:lang w:bidi="fa-IR"/>
        </w:rPr>
        <w:t>تطرّق التجویز</w:t>
      </w:r>
      <w:r>
        <w:rPr>
          <w:rStyle w:val="FootnoteAnchor"/>
          <w:rtl w:val="true"/>
        </w:rPr>
        <w:footnoteReference w:id="860"/>
      </w:r>
      <w:r>
        <w:rPr>
          <w:rFonts w:ascii="IRNazanin" w:hAnsi="IRNazanin" w:eastAsia="IRNazanin"/>
          <w:color w:val="111111"/>
          <w:sz w:val="28"/>
          <w:sz w:val="28"/>
          <w:szCs w:val="28"/>
          <w:rtl w:val="true"/>
          <w:lang w:bidi="fa-IR"/>
        </w:rPr>
        <w:t>إلیه</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الأکثرون منعوه</w:t>
      </w:r>
      <w:r>
        <w:rPr>
          <w:rStyle w:val="FootnoteAnchor"/>
          <w:rtl w:val="true"/>
        </w:rPr>
        <w:footnoteReference w:id="862"/>
      </w:r>
      <w:r>
        <w:rPr>
          <w:rFonts w:ascii="IRNazanin" w:hAnsi="IRNazanin" w:eastAsia="IRNazanin"/>
          <w:color w:val="111111"/>
          <w:sz w:val="28"/>
          <w:sz w:val="28"/>
          <w:szCs w:val="28"/>
          <w:rtl w:val="true"/>
          <w:lang w:bidi="fa-IR"/>
        </w:rPr>
        <w:t>، لاستلزامه الخطأ علی أحد الإجماعین</w:t>
      </w:r>
      <w:r>
        <w:rPr>
          <w:rFonts w:eastAsia="IRNazanin" w:cs="IRNazanin"/>
          <w:color w:val="111111"/>
          <w:sz w:val="28"/>
          <w:szCs w:val="28"/>
          <w:rtl w:val="true"/>
          <w:lang w:bidi="fa-IR"/>
        </w:rPr>
        <w:t>.</w:t>
      </w:r>
      <w:bookmarkStart w:id="374" w:name="pg2360_37131"/>
    </w:p>
    <w:p>
      <w:pPr>
        <w:pStyle w:val="Heading2"/>
        <w:numPr>
          <w:ilvl w:val="1"/>
          <w:numId w:val="1"/>
        </w:numPr>
        <w:rPr/>
      </w:pPr>
      <w:bookmarkStart w:id="375" w:name="__RefHeading___Toc2792682_3804643083"/>
      <w:bookmarkStart w:id="376" w:name="_Toc144"/>
      <w:bookmarkEnd w:id="374"/>
      <w:bookmarkEnd w:id="375"/>
      <w:r>
        <w:rPr>
          <w:rtl w:val="true"/>
        </w:rPr>
        <w:t>المقصد التّاسع فی الأخبار و فیه فصول</w:t>
      </w:r>
      <w:bookmarkEnd w:id="3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2792684_3804643083"/>
      <w:bookmarkStart w:id="378" w:name="_Toc145"/>
      <w:bookmarkEnd w:id="377"/>
      <w:r>
        <w:rPr>
          <w:rtl w:val="true"/>
        </w:rPr>
        <w:t>اشارة</w:t>
      </w:r>
      <w:bookmarkStart w:id="379" w:name="pg2360_37133"/>
      <w:bookmarkEnd w:id="378"/>
    </w:p>
    <w:p>
      <w:pPr>
        <w:pStyle w:val="Heading3"/>
        <w:numPr>
          <w:ilvl w:val="2"/>
          <w:numId w:val="1"/>
        </w:numPr>
        <w:rPr/>
      </w:pPr>
      <w:bookmarkStart w:id="380" w:name="__RefHeading___Toc2792686_3804643083"/>
      <w:bookmarkStart w:id="381" w:name="_Toc146"/>
      <w:bookmarkEnd w:id="379"/>
      <w:bookmarkEnd w:id="380"/>
      <w:r>
        <w:rPr>
          <w:rtl w:val="true"/>
        </w:rPr>
        <w:t>[</w:t>
      </w:r>
      <w:r>
        <w:rPr>
          <w:rtl w:val="true"/>
        </w:rPr>
        <w:t>الفصل</w:t>
      </w:r>
      <w:r>
        <w:rPr>
          <w:rtl w:val="true"/>
        </w:rPr>
        <w:t xml:space="preserve">] </w:t>
      </w:r>
      <w:r>
        <w:rPr>
          <w:rtl w:val="true"/>
        </w:rPr>
        <w:t>الأوّل فی ماهیّته و فیه مباحث</w:t>
      </w:r>
      <w:r>
        <w:rPr>
          <w:rtl w:val="true"/>
        </w:rPr>
        <w:t>:</w:t>
      </w:r>
      <w:bookmarkEnd w:id="381"/>
    </w:p>
    <w:p>
      <w:pPr>
        <w:pStyle w:val="Heading4"/>
        <w:numPr>
          <w:ilvl w:val="3"/>
          <w:numId w:val="1"/>
        </w:numPr>
        <w:rPr/>
      </w:pPr>
      <w:bookmarkStart w:id="382" w:name="__RefHeading___Toc2792688_3804643083"/>
      <w:bookmarkStart w:id="383" w:name="_Toc147"/>
      <w:bookmarkEnd w:id="382"/>
      <w:r>
        <w:rPr>
          <w:rtl w:val="true"/>
        </w:rPr>
        <w:t>[</w:t>
      </w:r>
      <w:r>
        <w:rPr>
          <w:rtl w:val="true"/>
        </w:rPr>
        <w:t>البحث</w:t>
      </w:r>
      <w:r>
        <w:rPr>
          <w:rtl w:val="true"/>
        </w:rPr>
        <w:t xml:space="preserve">] </w:t>
      </w:r>
      <w:r>
        <w:rPr>
          <w:rtl w:val="true"/>
        </w:rPr>
        <w:t>الأوّل</w:t>
      </w:r>
      <w:r>
        <w:rPr>
          <w:rtl w:val="true"/>
        </w:rPr>
        <w:t xml:space="preserve">: </w:t>
      </w:r>
      <w:r>
        <w:rPr>
          <w:rtl w:val="true"/>
        </w:rPr>
        <w:t>إذا حکمت النفس بأمر علی آخر</w:t>
      </w:r>
      <w:r>
        <w:rPr>
          <w:rtl w:val="true"/>
        </w:rPr>
        <w:t xml:space="preserve">- </w:t>
      </w:r>
      <w:r>
        <w:rPr>
          <w:rtl w:val="true"/>
        </w:rPr>
        <w:t>إیجابا أو سلبا</w:t>
      </w:r>
      <w:r>
        <w:rPr>
          <w:rtl w:val="true"/>
        </w:rPr>
        <w:t xml:space="preserve">- </w:t>
      </w:r>
      <w:r>
        <w:rPr>
          <w:rtl w:val="true"/>
        </w:rPr>
        <w:t>سمّی ذلک الحکم خبرا</w:t>
      </w:r>
      <w:r>
        <w:rPr>
          <w:rtl w:val="true"/>
        </w:rPr>
        <w:t>.</w:t>
      </w:r>
      <w:bookmarkEnd w:id="383"/>
    </w:p>
    <w:p>
      <w:pPr>
        <w:pStyle w:val="BookText"/>
        <w:rPr/>
      </w:pPr>
      <w:r>
        <w:rPr>
          <w:rFonts w:ascii="IRNazanin" w:hAnsi="IRNazanin" w:eastAsia="IRNazanin"/>
          <w:color w:val="111111"/>
          <w:sz w:val="28"/>
          <w:sz w:val="28"/>
          <w:szCs w:val="28"/>
          <w:rtl w:val="true"/>
          <w:lang w:bidi="fa-IR"/>
        </w:rPr>
        <w:t>و معانی هذا المفردات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لهذه الماهیّة أعراض ذاتیة، کالصدق و الکذب أو التصدیق و التکذیب، فتذکر هذه الأعراض</w:t>
      </w:r>
      <w:r>
        <w:rPr>
          <w:rStyle w:val="FootnoteAnchor"/>
          <w:rtl w:val="true"/>
        </w:rPr>
        <w:footnoteReference w:id="863"/>
      </w:r>
      <w:r>
        <w:rPr>
          <w:rFonts w:ascii="IRNazanin" w:hAnsi="IRNazanin" w:eastAsia="IRNazanin"/>
          <w:color w:val="111111"/>
          <w:sz w:val="28"/>
          <w:sz w:val="28"/>
          <w:szCs w:val="28"/>
          <w:rtl w:val="true"/>
          <w:lang w:bidi="fa-IR"/>
        </w:rPr>
        <w:t>عند اشتباه الترکیب الخبری بغیره من أنواع الترکیبات</w:t>
      </w:r>
      <w:r>
        <w:rPr>
          <w:rStyle w:val="FootnoteAnchor"/>
          <w:rtl w:val="true"/>
        </w:rPr>
        <w:footnoteReference w:id="864"/>
      </w:r>
      <w:r>
        <w:rPr>
          <w:rFonts w:ascii="IRNazanin" w:hAnsi="IRNazanin" w:eastAsia="IRNazanin"/>
          <w:color w:val="111111"/>
          <w:sz w:val="28"/>
          <w:sz w:val="28"/>
          <w:szCs w:val="28"/>
          <w:rtl w:val="true"/>
          <w:lang w:bidi="fa-IR"/>
        </w:rPr>
        <w:t>، کالاستفهام و شبهه علی سبیل التنبیه لما هو معلوم الماهیّة لیتمیز عن غیره، و لو اخذت هذه الأشیاء علی سبیل التعریف الحقیقی کان 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یطلق بالحقیقة علی القول المحتمل للصدق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بالمجاز علی غیره،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تخبّرنی العینان ما القلب کاتم</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2792690_3804643083"/>
      <w:bookmarkStart w:id="385" w:name="_Toc148"/>
      <w:bookmarkEnd w:id="384"/>
      <w:r>
        <w:rPr>
          <w:rtl w:val="true"/>
        </w:rPr>
        <w:t>البحث الثانی</w:t>
      </w:r>
      <w:r>
        <w:rPr>
          <w:rtl w:val="true"/>
        </w:rPr>
        <w:t xml:space="preserve">: </w:t>
      </w:r>
      <w:r>
        <w:rPr>
          <w:rtl w:val="true"/>
        </w:rPr>
        <w:t>قال السید المرتضی رضی اللّه عنه</w:t>
      </w:r>
      <w:r>
        <w:rPr>
          <w:rtl w:val="true"/>
        </w:rPr>
        <w:t xml:space="preserve">: </w:t>
      </w:r>
      <w:r>
        <w:rPr>
          <w:rtl w:val="true"/>
        </w:rPr>
        <w:t>لا بدّ فی کون الصیغة خبرا من قصد المخبر،</w:t>
      </w:r>
      <w:bookmarkEnd w:id="38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لصدورها عن الساهی و الحاکی و النائم و المتجوز فی الأمر، کقوله تعالی</w:t>
      </w:r>
      <w:r>
        <w:rPr>
          <w:rFonts w:eastAsia="IRNazanin" w:cs="IRNazanin"/>
          <w:color w:val="111111"/>
          <w:sz w:val="28"/>
          <w:szCs w:val="28"/>
          <w:rtl w:val="true"/>
          <w:lang w:bidi="fa-IR"/>
        </w:rPr>
        <w:t>:</w:t>
      </w:r>
      <w:bookmarkStart w:id="386" w:name="pg2360_37134"/>
    </w:p>
    <w:p>
      <w:pPr>
        <w:pStyle w:val="BookText"/>
        <w:rPr/>
      </w:pPr>
      <w:bookmarkEnd w:id="386"/>
      <w:r>
        <w:rPr>
          <w:rFonts w:ascii="Amiri" w:hAnsi="Amiri" w:eastAsia="Amiri" w:cs="Amiri"/>
          <w:color w:val="111111"/>
          <w:sz w:val="28"/>
          <w:sz w:val="28"/>
          <w:szCs w:val="28"/>
          <w:rtl w:val="true"/>
          <w:lang w:bidi="ar-SA"/>
        </w:rPr>
        <w:t>وَ الْجُرُوحَ قِصاصٌ</w:t>
      </w:r>
      <w:r>
        <w:rPr>
          <w:rStyle w:val="FootnoteAnchor"/>
          <w:rtl w:val="true"/>
        </w:rPr>
        <w:footnoteReference w:id="866"/>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الأقرب خلافه، لأنّه لفظ موضوع</w:t>
      </w:r>
      <w:r>
        <w:rPr>
          <w:rStyle w:val="FootnoteAnchor"/>
          <w:rtl w:val="true"/>
        </w:rPr>
        <w:footnoteReference w:id="868"/>
      </w:r>
      <w:r>
        <w:rPr>
          <w:rFonts w:ascii="IRNazanin" w:hAnsi="IRNazanin" w:eastAsia="IRNazanin"/>
          <w:color w:val="111111"/>
          <w:sz w:val="28"/>
          <w:sz w:val="28"/>
          <w:szCs w:val="28"/>
          <w:rtl w:val="true"/>
          <w:lang w:bidi="fa-IR"/>
        </w:rPr>
        <w:t>للخبریّة، فلا یتوقف علی الإرادة فی الدلالة، کغیره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الجبائیان أنّ للصیغة صفة معللة بتلک الإرادة</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خطأ، لأنّ تلک الصفة</w:t>
      </w:r>
      <w:r>
        <w:rPr>
          <w:rStyle w:val="FootnoteAnchor"/>
          <w:rtl w:val="true"/>
        </w:rPr>
        <w:footnoteReference w:id="870"/>
      </w:r>
      <w:r>
        <w:rPr>
          <w:rFonts w:ascii="IRNazanin" w:hAnsi="IRNazanin" w:eastAsia="IRNazanin"/>
          <w:color w:val="111111"/>
          <w:sz w:val="28"/>
          <w:sz w:val="28"/>
          <w:szCs w:val="28"/>
          <w:rtl w:val="true"/>
          <w:lang w:bidi="fa-IR"/>
        </w:rPr>
        <w:t>لیست قائمة بمجموع الحروف، لعدم الاجتماع، و لا بالبعض، و إلّا لاستغنی عن الباقی</w:t>
      </w:r>
      <w:r>
        <w:rPr>
          <w:rFonts w:eastAsia="IRNazanin" w:cs="IRNazanin"/>
          <w:color w:val="111111"/>
          <w:sz w:val="28"/>
          <w:szCs w:val="28"/>
          <w:rtl w:val="true"/>
          <w:lang w:bidi="fa-IR"/>
        </w:rPr>
        <w:t>.</w:t>
      </w:r>
    </w:p>
    <w:p>
      <w:pPr>
        <w:pStyle w:val="Heading4"/>
        <w:numPr>
          <w:ilvl w:val="3"/>
          <w:numId w:val="1"/>
        </w:numPr>
        <w:rPr/>
      </w:pPr>
      <w:bookmarkStart w:id="387" w:name="__RefHeading___Toc2792692_3804643083"/>
      <w:bookmarkStart w:id="388" w:name="_Toc149"/>
      <w:bookmarkEnd w:id="387"/>
      <w:r>
        <w:rPr>
          <w:rtl w:val="true"/>
        </w:rPr>
        <w:t>البحث الثالث</w:t>
      </w:r>
      <w:r>
        <w:rPr>
          <w:rtl w:val="true"/>
        </w:rPr>
        <w:t xml:space="preserve">: </w:t>
      </w:r>
      <w:r>
        <w:rPr>
          <w:rtl w:val="true"/>
        </w:rPr>
        <w:t>إذا قلنا</w:t>
      </w:r>
      <w:r>
        <w:rPr>
          <w:rtl w:val="true"/>
        </w:rPr>
        <w:t>: (</w:t>
      </w:r>
      <w:r>
        <w:rPr>
          <w:rtl w:val="true"/>
        </w:rPr>
        <w:t>زید قائم</w:t>
      </w:r>
      <w:r>
        <w:rPr>
          <w:rtl w:val="true"/>
        </w:rPr>
        <w:t xml:space="preserve">) </w:t>
      </w:r>
      <w:r>
        <w:rPr>
          <w:rtl w:val="true"/>
        </w:rPr>
        <w:t>فمدلول الخبر</w:t>
      </w:r>
      <w:bookmarkEnd w:id="388"/>
    </w:p>
    <w:p>
      <w:pPr>
        <w:pStyle w:val="BookText"/>
        <w:rPr/>
      </w:pPr>
      <w:r>
        <w:rPr>
          <w:rFonts w:ascii="IRNazanin" w:hAnsi="IRNazanin" w:eastAsia="IRNazanin"/>
          <w:color w:val="111111"/>
          <w:sz w:val="28"/>
          <w:sz w:val="28"/>
          <w:szCs w:val="28"/>
          <w:rtl w:val="true"/>
          <w:lang w:bidi="fa-IR"/>
        </w:rPr>
        <w:t>الحکم بثبوت القیام لزید، لا ثبوت قیامه فی نفس الأمر، و إلّا لم یدخل الکذب فی جنس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871"/>
      </w:r>
      <w:r>
        <w:rPr>
          <w:rFonts w:ascii="Amiri" w:hAnsi="Amiri" w:eastAsia="Amiri" w:cs="Amiri"/>
          <w:color w:val="111111"/>
          <w:sz w:val="28"/>
          <w:sz w:val="28"/>
          <w:szCs w:val="28"/>
          <w:rtl w:val="true"/>
          <w:lang w:bidi="ar-SA"/>
        </w:rPr>
        <w:t>إنّ</w:t>
      </w:r>
      <w:r>
        <w:rPr>
          <w:rStyle w:val="FootnoteAnchor"/>
          <w:rtl w:val="true"/>
        </w:rPr>
        <w:footnoteReference w:id="872"/>
      </w:r>
      <w:r>
        <w:rPr>
          <w:rFonts w:ascii="IRNazanin" w:hAnsi="IRNazanin" w:eastAsia="IRNazanin"/>
          <w:color w:val="111111"/>
          <w:sz w:val="28"/>
          <w:sz w:val="28"/>
          <w:szCs w:val="28"/>
          <w:rtl w:val="true"/>
          <w:lang w:bidi="fa-IR"/>
        </w:rPr>
        <w:t>هذا الحکم إن طابق المخبر عنه فهو صادق، و إلّا فهو کاذب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أثبت الجاحظ</w:t>
      </w:r>
      <w:r>
        <w:rPr>
          <w:rStyle w:val="FootnoteAnchor"/>
          <w:rtl w:val="true"/>
        </w:rPr>
        <w:footnoteReference w:id="873"/>
      </w:r>
      <w:r>
        <w:rPr>
          <w:rFonts w:ascii="Amiri" w:hAnsi="Amiri" w:eastAsia="Amiri" w:cs="Amiri"/>
          <w:color w:val="111111"/>
          <w:sz w:val="28"/>
          <w:sz w:val="28"/>
          <w:szCs w:val="28"/>
          <w:rtl w:val="true"/>
          <w:lang w:bidi="ar-SA"/>
        </w:rPr>
        <w:t>واسطة،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w:t>
      </w:r>
      <w:bookmarkStart w:id="389" w:name="pg2360_37135"/>
    </w:p>
    <w:p>
      <w:pPr>
        <w:pStyle w:val="BookText"/>
        <w:rPr/>
      </w:pPr>
      <w:bookmarkEnd w:id="389"/>
      <w:r>
        <w:rPr>
          <w:rFonts w:ascii="Amiri" w:hAnsi="Amiri" w:eastAsia="Amiri" w:cs="Amiri"/>
          <w:color w:val="111111"/>
          <w:sz w:val="28"/>
          <w:sz w:val="28"/>
          <w:szCs w:val="28"/>
          <w:rtl w:val="true"/>
          <w:lang w:bidi="ar-SA"/>
        </w:rPr>
        <w:t>جِنَّةٌ</w:t>
      </w:r>
      <w:r>
        <w:rPr>
          <w:rStyle w:val="FootnoteAnchor"/>
          <w:rtl w:val="true"/>
        </w:rPr>
        <w:footnoteReference w:id="874"/>
      </w:r>
      <w:r>
        <w:rPr>
          <w:rFonts w:ascii="IRNazanin" w:hAnsi="IRNazanin" w:eastAsia="IRNazanin"/>
          <w:color w:val="111111"/>
          <w:sz w:val="28"/>
          <w:sz w:val="28"/>
          <w:szCs w:val="28"/>
          <w:rtl w:val="true"/>
          <w:lang w:bidi="fa-IR"/>
        </w:rPr>
        <w:t>، و لأنّ المخبر عن الظن لا یوصف بالکذب إذا لم یطابق</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خلافه، و الواسطة فی الآیة ثابتة، لأنّ افتراء الکذب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نمنع من عدم الوصف فی الظن، و الجاحظ بنی ذلک علی مذهبه من أنّ المعارف ضروریة، و أنّ غیر العارف معذور، و أنّ الوصف بالکذب یقتضی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مسیلمة صادقان أو کاذبان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إن جعلناه خبرا واحدا، و إلّا کان صادقا فی أحد الخبرین دون الآخر</w:t>
      </w:r>
      <w:r>
        <w:rPr>
          <w:rFonts w:eastAsia="IRNazanin" w:cs="IRNazanin"/>
          <w:color w:val="111111"/>
          <w:sz w:val="28"/>
          <w:szCs w:val="28"/>
          <w:rtl w:val="true"/>
          <w:lang w:bidi="fa-IR"/>
        </w:rPr>
        <w:t>.</w:t>
      </w:r>
    </w:p>
    <w:p>
      <w:pPr>
        <w:pStyle w:val="Heading4"/>
        <w:numPr>
          <w:ilvl w:val="3"/>
          <w:numId w:val="1"/>
        </w:numPr>
        <w:rPr/>
      </w:pPr>
      <w:bookmarkStart w:id="390" w:name="__RefHeading___Toc2792694_3804643083"/>
      <w:bookmarkStart w:id="391" w:name="_Toc150"/>
      <w:bookmarkEnd w:id="390"/>
      <w:r>
        <w:rPr>
          <w:rtl w:val="true"/>
        </w:rPr>
        <w:t>البحث الرابع</w:t>
      </w:r>
      <w:r>
        <w:rPr>
          <w:rtl w:val="true"/>
        </w:rPr>
        <w:t xml:space="preserve">: </w:t>
      </w:r>
      <w:r>
        <w:rPr>
          <w:rtl w:val="true"/>
        </w:rPr>
        <w:t>الخبر إمّا أن یعلم صدقه، أو کذبه، أو یخفی الأمران</w:t>
      </w:r>
      <w:r>
        <w:rPr>
          <w:rtl w:val="true"/>
        </w:rPr>
        <w:t>.</w:t>
      </w:r>
      <w:bookmarkEnd w:id="391"/>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ضروری، کالمتواتر، و ما علم وجود مخبره بالضرورة، و إمّا کسبی، کالخبر المطابق لما علم وجود مخبره اکتسابا، و خبر اللّه تعالی، و خبر رسوله علیه السّلام، و خبر الأئمّة علیهم السّلام، و الخبر المتواتر معنی، و الخبر المحفوف</w:t>
      </w:r>
      <w:r>
        <w:rPr>
          <w:rStyle w:val="FootnoteAnchor"/>
          <w:rtl w:val="true"/>
        </w:rPr>
        <w:footnoteReference w:id="876"/>
      </w:r>
      <w:r>
        <w:rPr>
          <w:rFonts w:ascii="IRNazanin" w:hAnsi="IRNazanin" w:eastAsia="IRNazanin"/>
          <w:color w:val="111111"/>
          <w:sz w:val="28"/>
          <w:sz w:val="28"/>
          <w:szCs w:val="28"/>
          <w:rtl w:val="true"/>
          <w:lang w:bidi="fa-IR"/>
        </w:rPr>
        <w:t>بالقرائن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منافاته الضروری أو الکسبی، و منه قول من لم یکذب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الخبر و المخبر عنه متغایران، فلا یکون هذا إخبارا عن نفسه، و کذا الخبر المنافی لدلیل قاطع</w:t>
      </w:r>
      <w:r>
        <w:rPr>
          <w:rFonts w:eastAsia="IRNazanin" w:cs="IRNazanin"/>
          <w:color w:val="111111"/>
          <w:sz w:val="28"/>
          <w:szCs w:val="28"/>
          <w:rtl w:val="true"/>
          <w:lang w:bidi="fa-IR"/>
        </w:rPr>
        <w:t>.</w:t>
      </w:r>
      <w:bookmarkStart w:id="392" w:name="pg2360_37136"/>
    </w:p>
    <w:p>
      <w:pPr>
        <w:pStyle w:val="Heading4"/>
        <w:numPr>
          <w:ilvl w:val="3"/>
          <w:numId w:val="1"/>
        </w:numPr>
        <w:rPr/>
      </w:pPr>
      <w:bookmarkStart w:id="393" w:name="__RefHeading___Toc2792696_3804643083"/>
      <w:bookmarkStart w:id="394" w:name="_Toc151"/>
      <w:bookmarkEnd w:id="392"/>
      <w:bookmarkEnd w:id="393"/>
      <w:r>
        <w:rPr>
          <w:rtl w:val="true"/>
        </w:rPr>
        <w:t>البحث الخامس</w:t>
      </w:r>
      <w:r>
        <w:rPr>
          <w:rtl w:val="true"/>
        </w:rPr>
        <w:t xml:space="preserve">: </w:t>
      </w:r>
      <w:r>
        <w:rPr>
          <w:rtl w:val="true"/>
        </w:rPr>
        <w:t>إنکار السمّنیّة إفادة التواتر العلم، ضروری البطلان،</w:t>
      </w:r>
      <w:bookmarkEnd w:id="394"/>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السمّنیّة إفادة التواتر العلم</w:t>
      </w:r>
      <w:r>
        <w:rPr>
          <w:rStyle w:val="FootnoteAnchor"/>
          <w:rtl w:val="true"/>
        </w:rPr>
        <w:footnoteReference w:id="877"/>
      </w:r>
      <w:r>
        <w:rPr>
          <w:rFonts w:ascii="IRNazanin" w:hAnsi="IRNazanin" w:eastAsia="IRNazanin"/>
          <w:color w:val="111111"/>
          <w:sz w:val="28"/>
          <w:sz w:val="28"/>
          <w:szCs w:val="28"/>
          <w:rtl w:val="true"/>
          <w:lang w:bidi="fa-IR"/>
        </w:rPr>
        <w:t>، ضروری البطلان،</w:t>
      </w:r>
    </w:p>
    <w:p>
      <w:pPr>
        <w:pStyle w:val="BookText"/>
        <w:rPr/>
      </w:pPr>
      <w:r>
        <w:rPr>
          <w:rFonts w:ascii="IRNazanin" w:hAnsi="IRNazanin" w:eastAsia="IRNazanin"/>
          <w:color w:val="111111"/>
          <w:sz w:val="28"/>
          <w:sz w:val="28"/>
          <w:szCs w:val="28"/>
          <w:rtl w:val="true"/>
          <w:lang w:bidi="fa-IR"/>
        </w:rPr>
        <w:t>و تجویز الکذب علی کل واحد لا یستلزمه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العلم عقیبه ضروری، و إلّا لافتقر إلی دلیل، فلا یحصل للعوام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الحسین البصری، و الکعبی، و الجوینی</w:t>
      </w:r>
      <w:r>
        <w:rPr>
          <w:rStyle w:val="FootnoteAnchor"/>
          <w:rtl w:val="true"/>
        </w:rPr>
        <w:footnoteReference w:id="878"/>
      </w:r>
      <w:r>
        <w:rPr>
          <w:rFonts w:ascii="IRNazanin" w:hAnsi="IRNazanin" w:eastAsia="IRNazanin"/>
          <w:color w:val="111111"/>
          <w:sz w:val="28"/>
          <w:sz w:val="28"/>
          <w:szCs w:val="28"/>
          <w:rtl w:val="true"/>
          <w:lang w:bidi="fa-IR"/>
        </w:rPr>
        <w:t>، و الغزالی</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رحل إلی نیسابور ثمّ إلی بغداد فالحجاز فبلاد الشام فمصر، و عاد إلی بلدته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صناعته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یقول بتشدید الزای، 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طوس لمن قال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مجلدات،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فی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المستصفی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المنخول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نظری، لتوقفه علی العلم بمقدمات نظریة، کانتفاء المواطاة و الدواعی إلی الکذب، و کون</w:t>
      </w:r>
      <w:bookmarkStart w:id="395" w:name="pg2360_37137"/>
    </w:p>
    <w:p>
      <w:pPr>
        <w:pStyle w:val="BookText"/>
        <w:rPr/>
      </w:pPr>
      <w:bookmarkEnd w:id="395"/>
      <w:r>
        <w:rPr>
          <w:rFonts w:ascii="IRNazanin" w:hAnsi="IRNazanin" w:eastAsia="IRNazanin"/>
          <w:color w:val="111111"/>
          <w:sz w:val="28"/>
          <w:sz w:val="28"/>
          <w:szCs w:val="28"/>
          <w:rtl w:val="true"/>
          <w:lang w:bidi="fa-IR"/>
        </w:rPr>
        <w:t>المخبر عنه محسوسا لا لبس فیه، و استحالة</w:t>
      </w:r>
      <w:r>
        <w:rPr>
          <w:rStyle w:val="FootnoteAnchor"/>
          <w:rtl w:val="true"/>
        </w:rPr>
        <w:footnoteReference w:id="880"/>
      </w:r>
      <w:r>
        <w:rPr>
          <w:rFonts w:ascii="IRNazanin" w:hAnsi="IRNazanin" w:eastAsia="IRNazanin"/>
          <w:color w:val="111111"/>
          <w:sz w:val="28"/>
          <w:sz w:val="28"/>
          <w:szCs w:val="28"/>
          <w:rtl w:val="true"/>
          <w:lang w:bidi="fa-IR"/>
        </w:rPr>
        <w:t>کون الخبر کذبا عند هذه، فیجب کونه صدقا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 لأنّ المقتضی لحصول هذه الأشیاء</w:t>
      </w:r>
      <w:r>
        <w:rPr>
          <w:rStyle w:val="FootnoteAnchor"/>
          <w:rtl w:val="true"/>
        </w:rPr>
        <w:footnoteReference w:id="882"/>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المرتضی توقف فی القولین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2792698_3804643083"/>
      <w:bookmarkStart w:id="397" w:name="_Toc152"/>
      <w:bookmarkEnd w:id="396"/>
      <w:r>
        <w:rPr>
          <w:rtl w:val="true"/>
        </w:rPr>
        <w:t>البحث السادس</w:t>
      </w:r>
      <w:r>
        <w:rPr>
          <w:rtl w:val="true"/>
        </w:rPr>
        <w:t xml:space="preserve">: </w:t>
      </w:r>
      <w:r>
        <w:rPr>
          <w:rtl w:val="true"/>
        </w:rPr>
        <w:t>یشترط فی العلم انتفاؤه اضطرارا عن السامع، لاستحالة تحصیل الحاصل</w:t>
      </w:r>
      <w:bookmarkEnd w:id="397"/>
    </w:p>
    <w:p>
      <w:pPr>
        <w:pStyle w:val="BookText"/>
        <w:rPr/>
      </w:pPr>
      <w:r>
        <w:rPr>
          <w:rFonts w:ascii="IRNazanin" w:hAnsi="IRNazanin" w:eastAsia="IRNazanin"/>
          <w:color w:val="111111"/>
          <w:sz w:val="28"/>
          <w:sz w:val="28"/>
          <w:szCs w:val="28"/>
          <w:rtl w:val="true"/>
          <w:lang w:bidi="fa-IR"/>
        </w:rPr>
        <w:t>و مثله</w:t>
      </w:r>
      <w:r>
        <w:rPr>
          <w:rStyle w:val="FootnoteAnchor"/>
          <w:rtl w:val="true"/>
        </w:rPr>
        <w:footnoteReference w:id="884"/>
      </w:r>
      <w:r>
        <w:rPr>
          <w:rFonts w:ascii="IRNazanin" w:hAnsi="IRNazanin" w:eastAsia="IRNazanin"/>
          <w:color w:val="111111"/>
          <w:sz w:val="28"/>
          <w:sz w:val="28"/>
          <w:szCs w:val="28"/>
          <w:rtl w:val="true"/>
          <w:lang w:bidi="fa-IR"/>
        </w:rPr>
        <w:t>، و تقویة الضروری</w:t>
      </w:r>
      <w:r>
        <w:rPr>
          <w:rStyle w:val="FootnoteAnchor"/>
          <w:rtl w:val="true"/>
        </w:rPr>
        <w:footnoteReference w:id="885"/>
      </w:r>
      <w:r>
        <w:rPr>
          <w:rFonts w:ascii="IRNazanin" w:hAnsi="IRNazanin" w:eastAsia="IRNazanin"/>
          <w:color w:val="111111"/>
          <w:sz w:val="28"/>
          <w:sz w:val="28"/>
          <w:szCs w:val="28"/>
          <w:rtl w:val="true"/>
          <w:lang w:bidi="fa-IR"/>
        </w:rPr>
        <w:t>، و أن لا تسبق شبهة إلی السامع أو تقلید ینافی موجب الخبر، و هذا شرط اختص به السید المرتضی رضی اللّه عنه</w:t>
      </w:r>
      <w:r>
        <w:rPr>
          <w:rStyle w:val="FootnoteAnchor"/>
          <w:rtl w:val="true"/>
        </w:rPr>
        <w:footnoteReference w:id="886"/>
      </w:r>
      <w:r>
        <w:rPr>
          <w:rFonts w:ascii="IRNazanin" w:hAnsi="IRNazanin" w:eastAsia="IRNazanin"/>
          <w:color w:val="111111"/>
          <w:sz w:val="28"/>
          <w:sz w:val="28"/>
          <w:szCs w:val="28"/>
          <w:rtl w:val="true"/>
          <w:lang w:bidi="fa-IR"/>
        </w:rPr>
        <w:t>، و هو جید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یستند المخبرون إلی الإحساس، و استواء الطرفین و الواسطة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العدد</w:t>
      </w:r>
      <w:r>
        <w:rPr>
          <w:rStyle w:val="FootnoteAnchor"/>
          <w:rtl w:val="true"/>
        </w:rPr>
        <w:footnoteReference w:id="887"/>
      </w:r>
      <w:r>
        <w:rPr>
          <w:rFonts w:ascii="IRNazanin" w:hAnsi="IRNazanin" w:eastAsia="IRNazanin"/>
          <w:color w:val="111111"/>
          <w:sz w:val="28"/>
          <w:sz w:val="28"/>
          <w:szCs w:val="28"/>
          <w:rtl w:val="true"/>
          <w:lang w:bidi="fa-IR"/>
        </w:rPr>
        <w:t>، خلافا للقاضی حیث اعتبره و توقف فی الخمسة</w:t>
      </w:r>
      <w:r>
        <w:rPr>
          <w:rStyle w:val="FootnoteAnchor"/>
          <w:rtl w:val="true"/>
        </w:rPr>
        <w:footnoteReference w:id="888"/>
      </w:r>
      <w:r>
        <w:rPr>
          <w:rFonts w:ascii="IRNazanin" w:hAnsi="IRNazanin" w:eastAsia="IRNazanin"/>
          <w:color w:val="111111"/>
          <w:sz w:val="28"/>
          <w:sz w:val="28"/>
          <w:szCs w:val="28"/>
          <w:rtl w:val="true"/>
          <w:lang w:bidi="fa-IR"/>
        </w:rPr>
        <w:t>، و لبعضهم حیث اعتبر اثنی عشر عدد النقباء</w:t>
      </w:r>
      <w:r>
        <w:rPr>
          <w:rStyle w:val="FootnoteAnchor"/>
          <w:rtl w:val="true"/>
        </w:rPr>
        <w:footnoteReference w:id="889"/>
      </w:r>
      <w:r>
        <w:rPr>
          <w:rFonts w:ascii="Amiri" w:hAnsi="Amiri" w:eastAsia="Amiri" w:cs="Amiri"/>
          <w:color w:val="111111"/>
          <w:sz w:val="28"/>
          <w:sz w:val="28"/>
          <w:szCs w:val="28"/>
          <w:rtl w:val="true"/>
          <w:lang w:bidi="ar-SA"/>
        </w:rPr>
        <w:t>، و لأبی الهذیل حیث اعتبر العشرین،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مِنْکُمْ عِشْرُونَ</w:t>
      </w:r>
      <w:r>
        <w:rPr>
          <w:rStyle w:val="FootnoteAnchor"/>
          <w:rtl w:val="true"/>
        </w:rPr>
        <w:footnoteReference w:id="890"/>
      </w:r>
      <w:r>
        <w:rPr>
          <w:rStyle w:val="FootnoteAnchor"/>
          <w:rtl w:val="true"/>
        </w:rPr>
        <w:footnoteReference w:id="891"/>
      </w:r>
      <w:r>
        <w:rPr>
          <w:rFonts w:ascii="Amiri" w:hAnsi="Amiri" w:eastAsia="Amiri" w:cs="Amiri"/>
          <w:color w:val="111111"/>
          <w:sz w:val="28"/>
          <w:sz w:val="28"/>
          <w:szCs w:val="28"/>
          <w:rtl w:val="true"/>
          <w:lang w:bidi="ar-SA"/>
        </w:rPr>
        <w:t>، و لآخرین حیث اعتبروا أربعین،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اتَّبَعَکَ مِنَ الْمُؤْمِنِینَ</w:t>
      </w:r>
      <w:r>
        <w:rPr>
          <w:rStyle w:val="FootnoteAnchor"/>
          <w:rtl w:val="true"/>
        </w:rPr>
        <w:footnoteReference w:id="892"/>
      </w:r>
      <w:r>
        <w:rPr>
          <w:rStyle w:val="FootnoteAnchor"/>
          <w:rtl w:val="true"/>
        </w:rPr>
        <w:footnoteReference w:id="8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لقوم حیث اعتبروا سبعین،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لآخرین حیث اعتبروا ثلاث مائة و ثلاثة عشر عدد أهل 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الضابطة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ذلک کله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أن لا یحصرهم عدد، و لا یحویهم بلد، و لا عدم اتفاقهم فی الدین،</w:t>
      </w:r>
    </w:p>
    <w:p>
      <w:pPr>
        <w:pStyle w:val="BookText"/>
        <w:rPr/>
      </w:pPr>
      <w:r>
        <w:rPr>
          <w:rFonts w:ascii="IRNazanin" w:hAnsi="IRNazanin" w:eastAsia="IRNazanin"/>
          <w:color w:val="111111"/>
          <w:sz w:val="28"/>
          <w:sz w:val="28"/>
          <w:szCs w:val="28"/>
          <w:rtl w:val="true"/>
          <w:lang w:bidi="fa-IR"/>
        </w:rPr>
        <w:t>خلافا للیهود</w:t>
      </w:r>
      <w:r>
        <w:rPr>
          <w:rStyle w:val="FootnoteAnchor"/>
          <w:rtl w:val="true"/>
        </w:rPr>
        <w:footnoteReference w:id="894"/>
      </w:r>
      <w:r>
        <w:rPr>
          <w:rFonts w:ascii="IRNazanin" w:hAnsi="IRNazanin" w:eastAsia="IRNazanin"/>
          <w:color w:val="111111"/>
          <w:sz w:val="28"/>
          <w:sz w:val="28"/>
          <w:szCs w:val="28"/>
          <w:rtl w:val="true"/>
          <w:lang w:bidi="fa-IR"/>
        </w:rPr>
        <w:t>، و لا فی النسب، و لا وجود المعصوم، خلافا لابن الراوندی</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نسبته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مجالس و مناظرات مع جماعة من علماء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الراوندی الزندیق الشهیر کان أوّلا من متکلمی المعتزلة ثمّ تزندق و اشتهر بالإلحاد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کان غایة فی 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شهرآشوب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مطعون علیه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ذکر السید المرتضی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أنّه إنّما عمل الکتب التی شنّع بها علیه مغالطة للمعتزلة لیبیّن لهم عن استقصاء نقصانها و کان یتبرأ منها تبرأ ظاهرا و ینتحی من عملها و تصنیفها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برحبة مالک بن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الرقة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له کتب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فضیحة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 للقمّی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المتواتر معنی</w:t>
      </w:r>
      <w:r>
        <w:rPr>
          <w:rStyle w:val="FootnoteAnchor"/>
          <w:rtl w:val="true"/>
        </w:rPr>
        <w:footnoteReference w:id="896"/>
      </w:r>
      <w:r>
        <w:rPr>
          <w:rFonts w:ascii="IRNazanin" w:hAnsi="IRNazanin" w:eastAsia="IRNazanin"/>
          <w:color w:val="111111"/>
          <w:sz w:val="28"/>
          <w:sz w:val="28"/>
          <w:szCs w:val="28"/>
          <w:rtl w:val="true"/>
          <w:lang w:bidi="fa-IR"/>
        </w:rPr>
        <w:t>یفید العلم بأمر مشترک، تدل علیه الجزئیات المنقولة آحادا بالتضمن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bookmarkStart w:id="398" w:name="pg2360_37140"/>
    </w:p>
    <w:p>
      <w:pPr>
        <w:pStyle w:val="Heading3"/>
        <w:numPr>
          <w:ilvl w:val="2"/>
          <w:numId w:val="1"/>
        </w:numPr>
        <w:rPr/>
      </w:pPr>
      <w:bookmarkStart w:id="399" w:name="__RefHeading___Toc2792700_3804643083"/>
      <w:bookmarkStart w:id="400" w:name="_Toc153"/>
      <w:bookmarkEnd w:id="398"/>
      <w:bookmarkEnd w:id="399"/>
      <w:r>
        <w:rPr>
          <w:rtl w:val="true"/>
        </w:rPr>
        <w:t>الفصل الثانی</w:t>
      </w:r>
      <w:r>
        <w:rPr>
          <w:rtl w:val="true"/>
        </w:rPr>
        <w:t xml:space="preserve">: </w:t>
      </w:r>
      <w:r>
        <w:rPr>
          <w:rtl w:val="true"/>
        </w:rPr>
        <w:t>فی الأخبار المعلوم صدقها أو کذبها و فیه بحثان</w:t>
      </w:r>
      <w:r>
        <w:rPr>
          <w:rtl w:val="true"/>
        </w:rPr>
        <w:t>:</w:t>
      </w:r>
      <w:bookmarkEnd w:id="400"/>
    </w:p>
    <w:p>
      <w:pPr>
        <w:pStyle w:val="Heading4"/>
        <w:numPr>
          <w:ilvl w:val="3"/>
          <w:numId w:val="1"/>
        </w:numPr>
        <w:rPr/>
      </w:pPr>
      <w:bookmarkStart w:id="401" w:name="__RefHeading___Toc2792702_3804643083"/>
      <w:bookmarkStart w:id="402" w:name="_Toc154"/>
      <w:bookmarkEnd w:id="401"/>
      <w:r>
        <w:rPr>
          <w:rtl w:val="true"/>
        </w:rPr>
        <w:t>[</w:t>
      </w:r>
      <w:r>
        <w:rPr>
          <w:rtl w:val="true"/>
        </w:rPr>
        <w:t>البحث</w:t>
      </w:r>
      <w:r>
        <w:rPr>
          <w:rtl w:val="true"/>
        </w:rPr>
        <w:t xml:space="preserve">] </w:t>
      </w:r>
      <w:r>
        <w:rPr>
          <w:rtl w:val="true"/>
        </w:rPr>
        <w:t>الأوّل</w:t>
      </w:r>
      <w:r>
        <w:rPr>
          <w:rtl w:val="true"/>
        </w:rPr>
        <w:t xml:space="preserve">: </w:t>
      </w:r>
      <w:r>
        <w:rPr>
          <w:rtl w:val="true"/>
        </w:rPr>
        <w:t>خبر اللّه تعالی صدق، و هو ظاهر عندنا،</w:t>
      </w:r>
      <w:bookmarkEnd w:id="402"/>
    </w:p>
    <w:p>
      <w:pPr>
        <w:pStyle w:val="BookText"/>
        <w:rPr/>
      </w:pPr>
      <w:r>
        <w:rPr>
          <w:rFonts w:ascii="IRNazanin" w:hAnsi="IRNazanin" w:eastAsia="IRNazanin"/>
          <w:color w:val="111111"/>
          <w:sz w:val="28"/>
          <w:sz w:val="28"/>
          <w:szCs w:val="28"/>
          <w:rtl w:val="true"/>
          <w:lang w:bidi="fa-IR"/>
        </w:rPr>
        <w:t>إذ الکذب قبیح ضرورة، و اللّه تعالی منزّه عن القبائح، فلا یصدر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الغزالی بأنّ کلامه تعالی قائم بالنفس، فیستحیل فیه الکذب، لاستحالة الجهل علیه</w:t>
      </w:r>
      <w:r>
        <w:rPr>
          <w:rStyle w:val="FootnoteAnchor"/>
          <w:rtl w:val="true"/>
        </w:rPr>
        <w:footnoteReference w:id="898"/>
      </w:r>
      <w:r>
        <w:rPr>
          <w:rFonts w:ascii="IRNazanin" w:hAnsi="IRNazanin" w:eastAsia="IRNazanin"/>
          <w:color w:val="111111"/>
          <w:sz w:val="28"/>
          <w:sz w:val="28"/>
          <w:szCs w:val="28"/>
          <w:rtl w:val="true"/>
          <w:lang w:bidi="fa-IR"/>
        </w:rPr>
        <w:t>ضعیف، لأنّ النزاع فی الکلام المسموع، و نمنع الملازمة بین استحالة الجهل و استحالة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الرسول صلّی اللّه علیه و آله صدق، لأنّ المعجزة دلّت علی صدقه، و إلّا لزم الإغراء بالقبیح، و عدم الفرق بین النبی و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یتأتّی شی‌ء من ذلک علی قواعد الأشاعرة، و إنّما یتم علی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جماعة إفادة المحتف بالقرائن العلم</w:t>
      </w:r>
      <w:r>
        <w:rPr>
          <w:rStyle w:val="FootnoteAnchor"/>
          <w:rtl w:val="true"/>
        </w:rPr>
        <w:footnoteReference w:id="899"/>
      </w:r>
      <w:r>
        <w:rPr>
          <w:rFonts w:ascii="IRNazanin" w:hAnsi="IRNazanin" w:eastAsia="IRNazanin"/>
          <w:color w:val="111111"/>
          <w:sz w:val="28"/>
          <w:sz w:val="28"/>
          <w:szCs w:val="28"/>
          <w:rtl w:val="true"/>
          <w:lang w:bidi="fa-IR"/>
        </w:rPr>
        <w:t>، للتخلف عنه فی بعض المواضع</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خطأ، لجواز عدم بعض</w:t>
      </w:r>
      <w:r>
        <w:rPr>
          <w:rStyle w:val="FootnoteAnchor"/>
          <w:rtl w:val="true"/>
        </w:rPr>
        <w:footnoteReference w:id="901"/>
      </w:r>
      <w:r>
        <w:rPr>
          <w:rFonts w:ascii="IRNazanin" w:hAnsi="IRNazanin" w:eastAsia="IRNazanin"/>
          <w:color w:val="111111"/>
          <w:sz w:val="28"/>
          <w:sz w:val="28"/>
          <w:szCs w:val="28"/>
          <w:rtl w:val="true"/>
          <w:lang w:bidi="fa-IR"/>
        </w:rPr>
        <w:t>الشرائط، خصوصا مع عدم الضبط لهذه الجهات</w:t>
      </w:r>
      <w:r>
        <w:rPr>
          <w:rStyle w:val="FootnoteAnchor"/>
          <w:rtl w:val="true"/>
        </w:rPr>
        <w:footnoteReference w:id="902"/>
      </w:r>
      <w:r>
        <w:rPr>
          <w:rFonts w:ascii="Amiri" w:hAnsi="Amiri" w:eastAsia="Amiri" w:cs="Amiri"/>
          <w:color w:val="111111"/>
          <w:sz w:val="28"/>
          <w:sz w:val="28"/>
          <w:szCs w:val="28"/>
          <w:rtl w:val="true"/>
          <w:lang w:bidi="ar-SA"/>
        </w:rPr>
        <w:t>بالعادة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bookmarkStart w:id="403" w:name="pg2360_37141"/>
    </w:p>
    <w:p>
      <w:pPr>
        <w:pStyle w:val="Heading4"/>
        <w:numPr>
          <w:ilvl w:val="3"/>
          <w:numId w:val="1"/>
        </w:numPr>
        <w:rPr/>
      </w:pPr>
      <w:bookmarkStart w:id="404" w:name="__RefHeading___Toc2792704_3804643083"/>
      <w:bookmarkStart w:id="405" w:name="_Toc155"/>
      <w:bookmarkEnd w:id="403"/>
      <w:bookmarkEnd w:id="404"/>
      <w:r>
        <w:rPr>
          <w:rtl w:val="true"/>
        </w:rPr>
        <w:t>البحث الثانی</w:t>
      </w:r>
      <w:r>
        <w:rPr>
          <w:rtl w:val="true"/>
        </w:rPr>
        <w:t xml:space="preserve">: </w:t>
      </w:r>
      <w:r>
        <w:rPr>
          <w:rtl w:val="true"/>
        </w:rPr>
        <w:t>الخبر إذا نافی مخبره وجود ما علم بالضرورة</w:t>
      </w:r>
      <w:r>
        <w:rPr>
          <w:rtl w:val="true"/>
        </w:rPr>
        <w:t xml:space="preserve">- </w:t>
      </w:r>
      <w:r>
        <w:rPr>
          <w:rtl w:val="true"/>
        </w:rPr>
        <w:t>حسّا أو وجدانا أو بدیهة</w:t>
      </w:r>
      <w:r>
        <w:rPr>
          <w:rtl w:val="true"/>
        </w:rPr>
        <w:t xml:space="preserve">- </w:t>
      </w:r>
      <w:r>
        <w:rPr>
          <w:rtl w:val="true"/>
        </w:rPr>
        <w:t>أو بالاستدلال؛ کاذب قطعا</w:t>
      </w:r>
      <w:r>
        <w:rPr>
          <w:rtl w:val="true"/>
        </w:rPr>
        <w:t>.</w:t>
      </w:r>
      <w:bookmarkEnd w:id="405"/>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إذا نافی مخبره وجود ما علم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 أو وجدانا أو بدیهة</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بالاستدلال؛ کاذب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من لم یکذب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إخبار عن صفة ما تقدم من الأخبار الصادقة، لا عن نفسه، لوجوب تأخر الحکایة عن المحکی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الاخبارات</w:t>
      </w:r>
      <w:r>
        <w:rPr>
          <w:rStyle w:val="FootnoteAnchor"/>
          <w:rtl w:val="true"/>
        </w:rPr>
        <w:footnoteReference w:id="905"/>
      </w:r>
      <w:r>
        <w:rPr>
          <w:rFonts w:ascii="IRNazanin" w:hAnsi="IRNazanin" w:eastAsia="IRNazanin"/>
          <w:color w:val="111111"/>
          <w:sz w:val="28"/>
          <w:sz w:val="28"/>
          <w:szCs w:val="28"/>
          <w:rtl w:val="true"/>
          <w:lang w:bidi="fa-IR"/>
        </w:rPr>
        <w:t>یستحیل ورودها عن النبی علیه السّلام إلّا أن تقبل تأویلا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کون الخبر الذی تتوفر الدواعی علی نقله؛ متواترا، إذا حصل خوف أو تقیّة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وقوع الکذب فی الأخبار المرویة عن الرسول علیه السّلام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سیکذب علیّ</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فإنّ هذا الخبر إن کان صدقا</w:t>
      </w:r>
      <w:r>
        <w:rPr>
          <w:rStyle w:val="FootnoteAnchor"/>
          <w:rtl w:val="true"/>
        </w:rPr>
        <w:footnoteReference w:id="907"/>
      </w:r>
      <w:r>
        <w:rPr>
          <w:rFonts w:ascii="IRNazanin" w:hAnsi="IRNazanin" w:eastAsia="IRNazanin"/>
          <w:color w:val="111111"/>
          <w:sz w:val="28"/>
          <w:sz w:val="28"/>
          <w:szCs w:val="28"/>
          <w:rtl w:val="true"/>
          <w:lang w:bidi="fa-IR"/>
        </w:rPr>
        <w:t>ثبت المطلوب فی غیره، و إلّا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w:t>
      </w:r>
      <w:r>
        <w:rPr>
          <w:rStyle w:val="FootnoteAnchor"/>
          <w:rtl w:val="true"/>
        </w:rPr>
        <w:footnoteReference w:id="908"/>
      </w:r>
      <w:r>
        <w:rPr>
          <w:rFonts w:ascii="IRNazanin" w:hAnsi="IRNazanin" w:eastAsia="IRNazanin"/>
          <w:color w:val="111111"/>
          <w:sz w:val="28"/>
          <w:sz w:val="28"/>
          <w:szCs w:val="28"/>
          <w:rtl w:val="true"/>
          <w:lang w:bidi="fa-IR"/>
        </w:rPr>
        <w:t>فی</w:t>
      </w:r>
      <w:r>
        <w:rPr>
          <w:rStyle w:val="FootnoteAnchor"/>
          <w:rtl w:val="true"/>
        </w:rPr>
        <w:footnoteReference w:id="909"/>
      </w:r>
      <w:r>
        <w:rPr>
          <w:rFonts w:ascii="IRNazanin" w:hAnsi="IRNazanin" w:eastAsia="IRNazanin"/>
          <w:color w:val="111111"/>
          <w:sz w:val="28"/>
          <w:sz w:val="28"/>
          <w:szCs w:val="28"/>
          <w:rtl w:val="true"/>
          <w:lang w:bidi="fa-IR"/>
        </w:rPr>
        <w:t>الأخبار ما یستحیل نسبتها إلیه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یقع من السلف تعمده</w:t>
      </w:r>
      <w:r>
        <w:rPr>
          <w:rStyle w:val="FootnoteAnchor"/>
          <w:rtl w:val="true"/>
        </w:rPr>
        <w:footnoteReference w:id="910"/>
      </w:r>
      <w:r>
        <w:rPr>
          <w:rFonts w:ascii="IRNazanin" w:hAnsi="IRNazanin" w:eastAsia="IRNazanin"/>
          <w:color w:val="111111"/>
          <w:sz w:val="28"/>
          <w:sz w:val="28"/>
          <w:szCs w:val="28"/>
          <w:rtl w:val="true"/>
          <w:lang w:bidi="fa-IR"/>
        </w:rPr>
        <w:t>، بل ربّما نقل الخبر بالمعنی فبدّل بما توهّمه مطابقا أو نسی البعض أو المسند</w:t>
      </w:r>
      <w:r>
        <w:rPr>
          <w:rStyle w:val="FootnoteAnchor"/>
          <w:rtl w:val="true"/>
        </w:rPr>
        <w:footnoteReference w:id="911"/>
      </w:r>
      <w:r>
        <w:rPr>
          <w:rFonts w:ascii="IRNazanin" w:hAnsi="IRNazanin" w:eastAsia="IRNazanin"/>
          <w:color w:val="111111"/>
          <w:sz w:val="28"/>
          <w:sz w:val="28"/>
          <w:szCs w:val="28"/>
          <w:rtl w:val="true"/>
          <w:lang w:bidi="fa-IR"/>
        </w:rPr>
        <w:t>إلیه، فتوهم</w:t>
      </w:r>
      <w:r>
        <w:rPr>
          <w:rStyle w:val="FootnoteAnchor"/>
          <w:rtl w:val="true"/>
        </w:rPr>
        <w:footnoteReference w:id="912"/>
      </w:r>
      <w:r>
        <w:rPr>
          <w:rFonts w:ascii="IRNazanin" w:hAnsi="IRNazanin" w:eastAsia="IRNazanin"/>
          <w:color w:val="111111"/>
          <w:sz w:val="28"/>
          <w:sz w:val="28"/>
          <w:szCs w:val="28"/>
          <w:rtl w:val="true"/>
          <w:lang w:bidi="fa-IR"/>
        </w:rPr>
        <w:t>أنّه عنه علیه السّلام، أو أهمل السبب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bookmarkStart w:id="406" w:name="pg2360_37142"/>
    </w:p>
    <w:p>
      <w:pPr>
        <w:pStyle w:val="BookText"/>
        <w:rPr/>
      </w:pPr>
      <w:bookmarkEnd w:id="406"/>
      <w:r>
        <w:rPr>
          <w:rFonts w:ascii="IRNazanin" w:hAnsi="IRNazanin" w:eastAsia="IRNazanin"/>
          <w:color w:val="111111"/>
          <w:sz w:val="28"/>
          <w:sz w:val="28"/>
          <w:szCs w:val="28"/>
          <w:rtl w:val="true"/>
          <w:lang w:bidi="fa-IR"/>
        </w:rPr>
        <w:t>ورد فیمن دلّس</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792706_3804643083"/>
      <w:bookmarkStart w:id="408" w:name="_Toc156"/>
      <w:bookmarkEnd w:id="407"/>
      <w:r>
        <w:rPr>
          <w:rtl w:val="true"/>
        </w:rPr>
        <w:t>الفصل الثالث</w:t>
      </w:r>
      <w:r>
        <w:rPr>
          <w:rtl w:val="true"/>
        </w:rPr>
        <w:t xml:space="preserve">: </w:t>
      </w:r>
      <w:r>
        <w:rPr>
          <w:rtl w:val="true"/>
        </w:rPr>
        <w:t>فی خبر الواحد و فیه مباحث</w:t>
      </w:r>
      <w:r>
        <w:rPr>
          <w:rtl w:val="true"/>
        </w:rPr>
        <w:t>:</w:t>
      </w:r>
      <w:bookmarkEnd w:id="408"/>
    </w:p>
    <w:p>
      <w:pPr>
        <w:pStyle w:val="Heading4"/>
        <w:numPr>
          <w:ilvl w:val="3"/>
          <w:numId w:val="1"/>
        </w:numPr>
        <w:rPr/>
      </w:pPr>
      <w:bookmarkStart w:id="409" w:name="__RefHeading___Toc2792708_3804643083"/>
      <w:bookmarkStart w:id="410" w:name="_Toc157"/>
      <w:bookmarkEnd w:id="409"/>
      <w:r>
        <w:rPr>
          <w:rtl w:val="true"/>
        </w:rPr>
        <w:t>الأوّل</w:t>
      </w:r>
      <w:r>
        <w:rPr>
          <w:rtl w:val="true"/>
        </w:rPr>
        <w:t xml:space="preserve">: </w:t>
      </w:r>
      <w:r>
        <w:rPr>
          <w:rtl w:val="true"/>
        </w:rPr>
        <w:t>الأکثر علی جواز التعبد به</w:t>
      </w:r>
      <w:r>
        <w:rPr>
          <w:rtl w:val="true"/>
        </w:rPr>
        <w:t>.</w:t>
      </w:r>
      <w:bookmarkEnd w:id="4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وقع؟ منع السید المرتضی رحمه اللّه منه</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أثبته أبو الحسین عقلا</w:t>
      </w:r>
      <w:r>
        <w:rPr>
          <w:rStyle w:val="FootnoteAnchor"/>
          <w:rtl w:val="true"/>
        </w:rPr>
        <w:footnoteReference w:id="915"/>
      </w:r>
      <w:r>
        <w:rPr>
          <w:rFonts w:ascii="IRNazanin" w:hAnsi="IRNazanin" w:eastAsia="IRNazanin"/>
          <w:color w:val="111111"/>
          <w:sz w:val="28"/>
          <w:sz w:val="28"/>
          <w:szCs w:val="28"/>
          <w:rtl w:val="true"/>
          <w:lang w:bidi="fa-IR"/>
        </w:rPr>
        <w:t>، و أبو جعفر الطوسی</w:t>
      </w:r>
      <w:r>
        <w:rPr>
          <w:rStyle w:val="FootnoteAnchor"/>
          <w:rtl w:val="true"/>
        </w:rPr>
        <w:footnoteReference w:id="916"/>
      </w:r>
      <w:r>
        <w:rPr>
          <w:rFonts w:ascii="IRNazanin" w:hAnsi="IRNazanin" w:eastAsia="IRNazanin"/>
          <w:color w:val="111111"/>
          <w:sz w:val="28"/>
          <w:sz w:val="28"/>
          <w:szCs w:val="28"/>
          <w:rtl w:val="true"/>
          <w:lang w:bidi="fa-IR"/>
        </w:rPr>
        <w:t>سمعا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ثبوت التعبد به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w:t>
      </w:r>
      <w:r>
        <w:rPr>
          <w:rStyle w:val="FootnoteAnchor"/>
          <w:rtl w:val="true"/>
        </w:rPr>
        <w:footnoteReference w:id="919"/>
      </w:r>
      <w:r>
        <w:rPr>
          <w:rFonts w:ascii="IRNazanin" w:hAnsi="IRNazanin" w:eastAsia="IRNazanin"/>
          <w:color w:val="111111"/>
          <w:sz w:val="28"/>
          <w:sz w:val="28"/>
          <w:szCs w:val="28"/>
          <w:rtl w:val="true"/>
          <w:lang w:bidi="fa-IR"/>
        </w:rPr>
        <w:t>أوجب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الترجی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الطائفة التی لا یفید قولها</w:t>
      </w:r>
      <w:r>
        <w:rPr>
          <w:rStyle w:val="FootnoteAnchor"/>
          <w:rtl w:val="true"/>
        </w:rPr>
        <w:footnoteReference w:id="920"/>
      </w:r>
      <w:r>
        <w:rPr>
          <w:rFonts w:ascii="IRNazanin" w:hAnsi="IRNazanin" w:eastAsia="IRNazanin"/>
          <w:color w:val="111111"/>
          <w:sz w:val="28"/>
          <w:sz w:val="28"/>
          <w:szCs w:val="28"/>
          <w:rtl w:val="true"/>
          <w:lang w:bidi="fa-IR"/>
        </w:rPr>
        <w:t>العلم، لأنّ الثلاثة فرقة، و یجب علی کل فرقة خروج بعضها إلی التفقه، و إنّما یجب الحذر مع المخالفة عند قیام الموجب، و هو ترک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بسؤال واقع، و هو الدلالة علی وجوب القبول من المفتی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w:t>
      </w:r>
      <w:r>
        <w:rPr>
          <w:rStyle w:val="FootnoteAnchor"/>
          <w:rtl w:val="true"/>
        </w:rPr>
        <w:footnoteReference w:id="921"/>
      </w:r>
      <w:r>
        <w:rPr>
          <w:rFonts w:ascii="IRNazanin" w:hAnsi="IRNazanin" w:eastAsia="IRNazanin"/>
          <w:color w:val="111111"/>
          <w:sz w:val="28"/>
          <w:sz w:val="28"/>
          <w:szCs w:val="28"/>
          <w:rtl w:val="true"/>
          <w:lang w:bidi="fa-IR"/>
        </w:rPr>
        <w:t>أوجب التثبّت</w:t>
      </w:r>
      <w:r>
        <w:rPr>
          <w:rStyle w:val="FootnoteAnchor"/>
          <w:rtl w:val="true"/>
        </w:rPr>
        <w:footnoteReference w:id="922"/>
      </w:r>
      <w:r>
        <w:rPr>
          <w:rFonts w:ascii="IRNazanin" w:hAnsi="IRNazanin" w:eastAsia="IRNazanin"/>
          <w:color w:val="111111"/>
          <w:sz w:val="28"/>
          <w:sz w:val="28"/>
          <w:szCs w:val="28"/>
          <w:rtl w:val="true"/>
          <w:lang w:bidi="fa-IR"/>
        </w:rPr>
        <w:t>عند خبر الفاسق لکونه فاسقا للمناسبة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لانتفاء الفائدة فی التقیید</w:t>
      </w:r>
      <w:r>
        <w:rPr>
          <w:rStyle w:val="FootnoteAnchor"/>
          <w:rtl w:val="true"/>
        </w:rPr>
        <w:footnoteReference w:id="923"/>
      </w:r>
      <w:r>
        <w:rPr>
          <w:rFonts w:ascii="IRNazanin" w:hAnsi="IRNazanin" w:eastAsia="IRNazanin"/>
          <w:color w:val="111111"/>
          <w:sz w:val="28"/>
          <w:sz w:val="28"/>
          <w:szCs w:val="28"/>
          <w:rtl w:val="true"/>
          <w:lang w:bidi="fa-IR"/>
        </w:rPr>
        <w:t>لولاه، إذ تعلیق الحکم علی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تعلیقه علی العرضی، فمع الانتفاء إن وجب الترک کان العدل أسوأ حالا من الفاسق، هذا خلف، فتعیّن العمل به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 علیه السّلام کان یبعث الرسل إلی القبائل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الإشکال الصعب، فإنّ حاجة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علیهم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المفتی أشد من حاجتهم إلی الراوی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لإجماع الصحابة علی العمل به</w:t>
      </w:r>
      <w:r>
        <w:rPr>
          <w:rFonts w:eastAsia="IRNazanin" w:cs="IRNazanin"/>
          <w:color w:val="111111"/>
          <w:sz w:val="28"/>
          <w:szCs w:val="28"/>
          <w:rtl w:val="true"/>
          <w:lang w:bidi="fa-IR"/>
        </w:rPr>
        <w:t>.</w:t>
      </w:r>
      <w:bookmarkStart w:id="411" w:name="pg2360_37144"/>
    </w:p>
    <w:p>
      <w:pPr>
        <w:pStyle w:val="BookText"/>
        <w:rPr/>
      </w:pPr>
      <w:bookmarkEnd w:id="411"/>
      <w:r>
        <w:rPr>
          <w:rFonts w:ascii="IRNazanin" w:hAnsi="IRNazanin" w:eastAsia="IRNazanin"/>
          <w:color w:val="111111"/>
          <w:sz w:val="28"/>
          <w:sz w:val="28"/>
          <w:szCs w:val="28"/>
          <w:rtl w:val="true"/>
          <w:lang w:bidi="fa-IR"/>
        </w:rPr>
        <w:t>و لاشتمال العمل به علی دفع ضرر مظنون، إذ إخبار العدل عن الرسول علیه السّلام یثمر الظن، فترک العمل به یشتمل علی الضرر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المانعون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الفروع علی الاصول، و بالنهی عن اتباع الظن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بأنّ</w:t>
      </w:r>
      <w:r>
        <w:rPr>
          <w:rStyle w:val="FootnoteAnchor"/>
          <w:rtl w:val="true"/>
        </w:rPr>
        <w:footnoteReference w:id="926"/>
      </w:r>
      <w:r>
        <w:rPr>
          <w:rFonts w:ascii="IRNazanin" w:hAnsi="IRNazanin" w:eastAsia="IRNazanin"/>
          <w:color w:val="111111"/>
          <w:sz w:val="28"/>
          <w:sz w:val="28"/>
          <w:szCs w:val="28"/>
          <w:rtl w:val="true"/>
          <w:lang w:bidi="fa-IR"/>
        </w:rPr>
        <w:t>المراد فی الاصول العلم، و فی الفروع الظن</w:t>
      </w:r>
      <w:r>
        <w:rPr>
          <w:rStyle w:val="FootnoteAnchor"/>
          <w:rtl w:val="true"/>
        </w:rPr>
        <w:footnoteReference w:id="927"/>
      </w:r>
      <w:r>
        <w:rPr>
          <w:rFonts w:ascii="IRNazanin" w:hAnsi="IRNazanin" w:eastAsia="IRNazanin"/>
          <w:color w:val="111111"/>
          <w:sz w:val="28"/>
          <w:sz w:val="28"/>
          <w:szCs w:val="28"/>
          <w:rtl w:val="true"/>
          <w:lang w:bidi="fa-IR"/>
        </w:rPr>
        <w:t>، و النهی عن اتباع الظن لیس بعام، للعمل به فی الفتوی و الشهادة و أخبار القبلة و الطهارة</w:t>
      </w:r>
      <w:r>
        <w:rPr>
          <w:rFonts w:eastAsia="IRNazanin" w:cs="IRNazanin"/>
          <w:color w:val="111111"/>
          <w:sz w:val="28"/>
          <w:szCs w:val="28"/>
          <w:rtl w:val="true"/>
          <w:lang w:bidi="fa-IR"/>
        </w:rPr>
        <w:t>.</w:t>
      </w:r>
    </w:p>
    <w:p>
      <w:pPr>
        <w:pStyle w:val="Heading4"/>
        <w:numPr>
          <w:ilvl w:val="3"/>
          <w:numId w:val="1"/>
        </w:numPr>
        <w:rPr/>
      </w:pPr>
      <w:bookmarkStart w:id="412" w:name="__RefHeading___Toc2792710_3804643083"/>
      <w:bookmarkStart w:id="413" w:name="_Toc158"/>
      <w:bookmarkEnd w:id="412"/>
      <w:r>
        <w:rPr>
          <w:rtl w:val="true"/>
        </w:rPr>
        <w:t>البحث الثانی</w:t>
      </w:r>
      <w:r>
        <w:rPr>
          <w:rtl w:val="true"/>
        </w:rPr>
        <w:t xml:space="preserve">: </w:t>
      </w:r>
      <w:r>
        <w:rPr>
          <w:rtl w:val="true"/>
        </w:rPr>
        <w:t>یجب کون المخبر راجح الصدق عند السامع،</w:t>
      </w:r>
      <w:bookmarkEnd w:id="413"/>
    </w:p>
    <w:p>
      <w:pPr>
        <w:pStyle w:val="BookText"/>
        <w:rPr/>
      </w:pPr>
      <w:r>
        <w:rPr>
          <w:rFonts w:ascii="IRNazanin" w:hAnsi="IRNazanin" w:eastAsia="IRNazanin"/>
          <w:color w:val="111111"/>
          <w:sz w:val="28"/>
          <w:sz w:val="28"/>
          <w:szCs w:val="28"/>
          <w:rtl w:val="true"/>
          <w:lang w:bidi="fa-IR"/>
        </w:rPr>
        <w:t>و إنّما یحصل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الراوی، و بلوغه، و إسلامه، و عدالته، و ضبطه، و غلبة ذکره علی 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الصبی إن لم یکن ممیّزا فلا عبرة بقوله، و إن کان ممیّزا عرف عدم المؤاخذة علی الکذب فلم ینزجر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روایته صبیا عند التحمل، بالغا عند الأداء، لوجود المقتضی للقبول و انتفاء المانع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تقبل روایة الکافر و إن علم من دینه التحرز عن الکذب، لوجوب التثبّت</w:t>
      </w:r>
      <w:r>
        <w:rPr>
          <w:rStyle w:val="FootnoteAnchor"/>
          <w:rtl w:val="true"/>
        </w:rPr>
        <w:footnoteReference w:id="928"/>
      </w:r>
      <w:r>
        <w:rPr>
          <w:rFonts w:ascii="IRNazanin" w:hAnsi="IRNazanin" w:eastAsia="IRNazanin"/>
          <w:color w:val="111111"/>
          <w:sz w:val="28"/>
          <w:sz w:val="28"/>
          <w:szCs w:val="28"/>
          <w:rtl w:val="true"/>
          <w:lang w:bidi="fa-IR"/>
        </w:rPr>
        <w:t>عند خبر</w:t>
      </w:r>
      <w:r>
        <w:rPr>
          <w:rStyle w:val="FootnoteAnchor"/>
          <w:rtl w:val="true"/>
        </w:rPr>
        <w:footnoteReference w:id="929"/>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 من المسلمین المبتدع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کفّرناه فکذلک، و إن علم منه تحریم الکذب، خلافا لأبی الحسین</w:t>
      </w:r>
      <w:r>
        <w:rPr>
          <w:rStyle w:val="FootnoteAnchor"/>
          <w:rtl w:val="true"/>
        </w:rPr>
        <w:footnoteReference w:id="930"/>
      </w:r>
      <w:r>
        <w:rPr>
          <w:rFonts w:ascii="IRNazanin" w:hAnsi="IRNazanin" w:eastAsia="IRNazanin"/>
          <w:color w:val="111111"/>
          <w:sz w:val="28"/>
          <w:sz w:val="28"/>
          <w:szCs w:val="28"/>
          <w:rtl w:val="true"/>
          <w:lang w:bidi="fa-IR"/>
        </w:rPr>
        <w:t>، لاندراجه تحت الآیة</w:t>
      </w:r>
      <w:r>
        <w:rPr>
          <w:rStyle w:val="FootnoteAnchor"/>
          <w:rtl w:val="true"/>
        </w:rPr>
        <w:footnoteReference w:id="931"/>
      </w:r>
      <w:r>
        <w:rPr>
          <w:rFonts w:ascii="IRNazanin" w:hAnsi="IRNazanin" w:eastAsia="IRNazanin"/>
          <w:color w:val="111111"/>
          <w:sz w:val="28"/>
          <w:sz w:val="28"/>
          <w:szCs w:val="28"/>
          <w:rtl w:val="true"/>
          <w:lang w:bidi="fa-IR"/>
        </w:rPr>
        <w:t>، و عدم علمه</w:t>
      </w:r>
      <w:r>
        <w:rPr>
          <w:rStyle w:val="FootnoteAnchor"/>
          <w:rtl w:val="true"/>
        </w:rPr>
        <w:footnoteReference w:id="932"/>
      </w:r>
      <w:r>
        <w:rPr>
          <w:rFonts w:ascii="IRNazanin" w:hAnsi="IRNazanin" w:eastAsia="IRNazanin"/>
          <w:color w:val="111111"/>
          <w:sz w:val="28"/>
          <w:sz w:val="28"/>
          <w:szCs w:val="28"/>
          <w:rtl w:val="true"/>
          <w:lang w:bidi="fa-IR"/>
        </w:rPr>
        <w:t>لا یخرجه عن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قبول الروایة تنفیذ حکم علی المسلمین، فلا یقبل، کالکافر الذی لیس من أهل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الحسین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الحدیث قبلوا أخبار السلف، کالحسن البصری</w:t>
      </w:r>
      <w:r>
        <w:rPr>
          <w:rStyle w:val="FootnoteAnchor"/>
          <w:rtl w:val="true"/>
        </w:rPr>
        <w:footnoteReference w:id="933"/>
      </w:r>
      <w:r>
        <w:rPr>
          <w:rFonts w:ascii="Amiri" w:hAnsi="Amiri" w:eastAsia="Amiri" w:cs="Amiri"/>
          <w:color w:val="111111"/>
          <w:sz w:val="28"/>
          <w:sz w:val="28"/>
          <w:szCs w:val="28"/>
          <w:rtl w:val="true"/>
          <w:lang w:bidi="ar-SA"/>
        </w:rPr>
        <w:t>، و قتادة</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عمرو بن عبید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 علمهم بمذهبهم و إنکارهم علی من</w:t>
      </w:r>
      <w:bookmarkStart w:id="414" w:name="pg2360_37146"/>
    </w:p>
    <w:p>
      <w:pPr>
        <w:pStyle w:val="BookText"/>
        <w:rPr/>
      </w:pPr>
      <w:bookmarkEnd w:id="414"/>
      <w:r>
        <w:rPr>
          <w:rFonts w:ascii="IRNazanin" w:hAnsi="IRNazanin" w:eastAsia="IRNazanin"/>
          <w:color w:val="111111"/>
          <w:sz w:val="28"/>
          <w:sz w:val="28"/>
          <w:szCs w:val="28"/>
          <w:rtl w:val="true"/>
          <w:lang w:bidi="fa-IR"/>
        </w:rPr>
        <w:t>یقول بقولهم</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فنمنع الإجماع علیه، و غیره لیس بحجة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المخالف غیر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روایته أیضا، لاندراجه تحت اسم الفاسق</w:t>
      </w:r>
      <w:r>
        <w:rPr>
          <w:rFonts w:eastAsia="IRNazanin" w:cs="IRNazanin"/>
          <w:color w:val="111111"/>
          <w:sz w:val="28"/>
          <w:szCs w:val="28"/>
          <w:rtl w:val="true"/>
          <w:lang w:bidi="fa-IR"/>
        </w:rPr>
        <w:t>.</w:t>
      </w:r>
    </w:p>
    <w:p>
      <w:pPr>
        <w:pStyle w:val="Heading4"/>
        <w:numPr>
          <w:ilvl w:val="3"/>
          <w:numId w:val="1"/>
        </w:numPr>
        <w:rPr/>
      </w:pPr>
      <w:bookmarkStart w:id="415" w:name="__RefHeading___Toc2792712_3804643083"/>
      <w:bookmarkStart w:id="416" w:name="_Toc159"/>
      <w:bookmarkEnd w:id="415"/>
      <w:r>
        <w:rPr>
          <w:rtl w:val="true"/>
        </w:rPr>
        <w:t>البحث الثالث</w:t>
      </w:r>
      <w:r>
        <w:rPr>
          <w:rtl w:val="true"/>
        </w:rPr>
        <w:t xml:space="preserve">: </w:t>
      </w:r>
      <w:r>
        <w:rPr>
          <w:rtl w:val="true"/>
        </w:rPr>
        <w:t>فی العدالة</w:t>
      </w:r>
      <w:r>
        <w:rPr>
          <w:rtl w:val="true"/>
        </w:rPr>
        <w:t>.</w:t>
      </w:r>
      <w:bookmarkEnd w:id="416"/>
    </w:p>
    <w:p>
      <w:pPr>
        <w:pStyle w:val="BookText"/>
        <w:rPr/>
      </w:pPr>
      <w:r>
        <w:rPr>
          <w:rFonts w:ascii="IRNazanin" w:hAnsi="IRNazanin" w:eastAsia="IRNazanin"/>
          <w:color w:val="111111"/>
          <w:sz w:val="28"/>
          <w:sz w:val="28"/>
          <w:szCs w:val="28"/>
          <w:rtl w:val="true"/>
          <w:lang w:bidi="fa-IR"/>
        </w:rPr>
        <w:t>إنّما تقبل روایة العدل، لأنّ إیجاب التثبت</w:t>
      </w:r>
      <w:r>
        <w:rPr>
          <w:rStyle w:val="FootnoteAnchor"/>
          <w:rtl w:val="true"/>
        </w:rPr>
        <w:footnoteReference w:id="937"/>
      </w:r>
      <w:r>
        <w:rPr>
          <w:rFonts w:ascii="IRNazanin" w:hAnsi="IRNazanin" w:eastAsia="IRNazanin"/>
          <w:color w:val="111111"/>
          <w:sz w:val="28"/>
          <w:sz w:val="28"/>
          <w:szCs w:val="28"/>
          <w:rtl w:val="true"/>
          <w:lang w:bidi="fa-IR"/>
        </w:rPr>
        <w:t>عقیب الفسق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نفسانیة راسخة تبعث علی ملازمة التقوی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یقدح فیها فعل الکبیرة و الإصرار علی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تعود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تقدح فیها</w:t>
      </w:r>
      <w:r>
        <w:rPr>
          <w:rStyle w:val="FootnoteAnchor"/>
          <w:rtl w:val="true"/>
        </w:rPr>
        <w:footnoteReference w:id="938"/>
      </w:r>
      <w:r>
        <w:rPr>
          <w:rFonts w:ascii="IRNazanin" w:hAnsi="IRNazanin" w:eastAsia="IRNazanin"/>
          <w:color w:val="111111"/>
          <w:sz w:val="28"/>
          <w:sz w:val="28"/>
          <w:szCs w:val="28"/>
          <w:rtl w:val="true"/>
          <w:lang w:bidi="fa-IR"/>
        </w:rPr>
        <w:t>الصغیرة نادرا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تحصل المعرفة بها بالاختبار الحاصل من</w:t>
      </w:r>
      <w:r>
        <w:rPr>
          <w:rStyle w:val="FootnoteAnchor"/>
          <w:rtl w:val="true"/>
        </w:rPr>
        <w:footnoteReference w:id="939"/>
      </w:r>
      <w:r>
        <w:rPr>
          <w:rFonts w:ascii="IRNazanin" w:hAnsi="IRNazanin" w:eastAsia="IRNazanin"/>
          <w:color w:val="111111"/>
          <w:sz w:val="28"/>
          <w:sz w:val="28"/>
          <w:szCs w:val="28"/>
          <w:rtl w:val="true"/>
          <w:lang w:bidi="fa-IR"/>
        </w:rPr>
        <w:t>الصحبة المتکررة المتأکدة، أو التزکیة من العدل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کونه فاسقا، فإن کان فسقه مقطوعا به لم تقبل روایته،</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940"/>
      </w:r>
      <w:r>
        <w:rPr>
          <w:rFonts w:ascii="IRNazanin" w:hAnsi="IRNazanin" w:eastAsia="IRNazanin"/>
          <w:color w:val="111111"/>
          <w:sz w:val="28"/>
          <w:sz w:val="28"/>
          <w:szCs w:val="28"/>
          <w:rtl w:val="true"/>
          <w:lang w:bidi="fa-IR"/>
        </w:rPr>
        <w:t>المظنون کذلک علی الأقوی، و إن علم ردّت روایته</w:t>
      </w:r>
      <w:r>
        <w:rPr>
          <w:rStyle w:val="FootnoteAnchor"/>
          <w:rtl w:val="true"/>
        </w:rPr>
        <w:footnoteReference w:id="941"/>
      </w:r>
      <w:r>
        <w:rPr>
          <w:rFonts w:ascii="IRNazanin" w:hAnsi="IRNazanin" w:eastAsia="IRNazanin"/>
          <w:color w:val="111111"/>
          <w:sz w:val="28"/>
          <w:sz w:val="28"/>
          <w:szCs w:val="28"/>
          <w:rtl w:val="true"/>
          <w:lang w:bidi="fa-IR"/>
        </w:rPr>
        <w:t>إجماعا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تقبل روایة المجهول؟ الأقوی المنع، لأنّ المقتضی لنفی العمل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Style w:val="FootnoteAnchor"/>
          <w:rtl w:val="true"/>
        </w:rPr>
        <w:footnoteReference w:id="943"/>
      </w:r>
      <w:r>
        <w:rPr>
          <w:rFonts w:ascii="IRNazanin" w:hAnsi="IRNazanin" w:eastAsia="IRNazanin"/>
          <w:color w:val="111111"/>
          <w:sz w:val="28"/>
          <w:sz w:val="28"/>
          <w:szCs w:val="28"/>
          <w:rtl w:val="true"/>
          <w:lang w:bidi="fa-IR"/>
        </w:rPr>
        <w:t>، ترک العمل به فی العدل لقوة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عدم الفسق شرط قبول الروایة، و مع الجهل بالشرط یتحقق الجهل بالمشروط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الصحابة ردّوا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حنیفة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قوله فی تذکیة اللحم، و طهارة الماء، و رقّ الجاریة، و لأنّ الفسق شرط التثبت، فإذا لم یعلم الوصف لم یجب التثبت</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قبول الروایة فی هذه الأشیاء الناقصة مع جهالة الراوی، قبولها فی المناصب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الفسق لمّا کان علّة التثبت وجب العلم بنفیه حتی یعلم انتفاء وجوب التثبت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العدد فی المزکّی و الجارح فی الشهادة دون الروایة، لأنّ شرط الشی‌ء لا یزید علی أصله، کالإحصان یثبت بشاهدین، و الزنا</w:t>
      </w:r>
      <w:r>
        <w:rPr>
          <w:rStyle w:val="FootnoteAnchor"/>
          <w:rtl w:val="true"/>
        </w:rPr>
        <w:footnoteReference w:id="945"/>
      </w:r>
      <w:r>
        <w:rPr>
          <w:rFonts w:ascii="Amiri" w:hAnsi="Amiri" w:eastAsia="Amiri" w:cs="Amiri"/>
          <w:color w:val="111111"/>
          <w:sz w:val="28"/>
          <w:sz w:val="28"/>
          <w:szCs w:val="28"/>
          <w:rtl w:val="true"/>
          <w:lang w:bidi="ar-SA"/>
        </w:rPr>
        <w:t>بأربعة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المزکّی إن کان عالما بأسباب الجرح و التعدیل، اکتفی بالإطلاق</w:t>
      </w:r>
      <w:r>
        <w:rPr>
          <w:rStyle w:val="FootnoteAnchor"/>
          <w:rtl w:val="true"/>
        </w:rPr>
        <w:footnoteReference w:id="946"/>
      </w:r>
      <w:r>
        <w:rPr>
          <w:rFonts w:ascii="IRNazanin" w:hAnsi="IRNazanin" w:eastAsia="IRNazanin"/>
          <w:color w:val="111111"/>
          <w:sz w:val="28"/>
          <w:sz w:val="28"/>
          <w:szCs w:val="28"/>
          <w:rtl w:val="true"/>
          <w:lang w:bidi="fa-IR"/>
        </w:rPr>
        <w:t>فیهما منه، و إلّا وجب استفساره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کون المزکّی و الجارح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تعارض الجرح و التعدیل، قدّم الجرح إن أمکن الجمع، و إلّا فالترجیح إن حصل، أو الوقف</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أعلی مراتب التزکیة الحکم بشهادته، ثمّ قول المزکّی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عدل لأنّی عرفت منه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یطلق مع علمه بالشرائط، أو الروایة عنه إن عرف أنّه لا یروی إلّا عن عدل، و إلّا فلا، أو</w:t>
      </w:r>
      <w:r>
        <w:rPr>
          <w:rStyle w:val="FootnoteAnchor"/>
          <w:rtl w:val="true"/>
        </w:rPr>
        <w:footnoteReference w:id="948"/>
      </w:r>
      <w:r>
        <w:rPr>
          <w:rFonts w:ascii="IRNazanin" w:hAnsi="IRNazanin" w:eastAsia="IRNazanin"/>
          <w:color w:val="111111"/>
          <w:sz w:val="28"/>
          <w:sz w:val="28"/>
          <w:szCs w:val="28"/>
          <w:rtl w:val="true"/>
          <w:lang w:bidi="fa-IR"/>
        </w:rPr>
        <w:t>العمل بروایته إن عرف استناد</w:t>
      </w:r>
      <w:r>
        <w:rPr>
          <w:rStyle w:val="FootnoteAnchor"/>
          <w:rtl w:val="true"/>
        </w:rPr>
        <w:footnoteReference w:id="949"/>
      </w:r>
      <w:r>
        <w:rPr>
          <w:rFonts w:ascii="IRNazanin" w:hAnsi="IRNazanin" w:eastAsia="IRNazanin"/>
          <w:color w:val="111111"/>
          <w:sz w:val="28"/>
          <w:sz w:val="28"/>
          <w:szCs w:val="28"/>
          <w:rtl w:val="true"/>
          <w:lang w:bidi="fa-IR"/>
        </w:rPr>
        <w:t>العمل إلیها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یحصل الجرح بترک الحکم بالشهادة، لاختصاصها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الاشتراک مع الروایة فی العقل، و البلوغ، و الإسلام،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بالحریّة، و الذکورة، و البصر، و العدد، و انتفاء</w:t>
      </w:r>
      <w:r>
        <w:rPr>
          <w:rStyle w:val="FootnoteAnchor"/>
          <w:rtl w:val="true"/>
        </w:rPr>
        <w:footnoteReference w:id="950"/>
      </w:r>
      <w:r>
        <w:rPr>
          <w:rFonts w:ascii="IRNazanin" w:hAnsi="IRNazanin" w:eastAsia="IRNazanin"/>
          <w:color w:val="111111"/>
          <w:sz w:val="28"/>
          <w:sz w:val="28"/>
          <w:szCs w:val="28"/>
          <w:rtl w:val="true"/>
          <w:lang w:bidi="fa-IR"/>
        </w:rPr>
        <w:t>العداوة و الصداقة، و إن لم یکن بعضها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عدّ شرطا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فی الروایة تعدد الراوی، فیقبل الواحد و إن لم یعتضد بظاهر أو عمل بعض الصحابة أو اجتهاد أو انتشار</w:t>
      </w:r>
      <w:r>
        <w:rPr>
          <w:rStyle w:val="FootnoteAnchor"/>
          <w:rtl w:val="true"/>
        </w:rPr>
        <w:footnoteReference w:id="951"/>
      </w:r>
      <w:r>
        <w:rPr>
          <w:rFonts w:ascii="Amiri" w:hAnsi="Amiri" w:eastAsia="Amiri" w:cs="Amiri"/>
          <w:color w:val="111111"/>
          <w:sz w:val="28"/>
          <w:sz w:val="28"/>
          <w:szCs w:val="28"/>
          <w:rtl w:val="true"/>
          <w:lang w:bidi="ar-SA"/>
        </w:rPr>
        <w:t>، و إن کان فی الزنا، لعمل الصحابة بالواحد من دون ذلک، و لدلالة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w:t>
      </w:r>
      <w:r>
        <w:rPr>
          <w:rStyle w:val="FootnoteAnchor"/>
          <w:rtl w:val="true"/>
        </w:rPr>
        <w:footnoteReference w:id="952"/>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تصدیق الأصل</w:t>
      </w:r>
      <w:r>
        <w:rPr>
          <w:rStyle w:val="FootnoteAnchor"/>
          <w:rtl w:val="true"/>
        </w:rPr>
        <w:footnoteReference w:id="953"/>
      </w:r>
      <w:r>
        <w:rPr>
          <w:rFonts w:ascii="IRNazanin" w:hAnsi="IRNazanin" w:eastAsia="IRNazanin"/>
          <w:color w:val="111111"/>
          <w:sz w:val="28"/>
          <w:sz w:val="28"/>
          <w:szCs w:val="28"/>
          <w:rtl w:val="true"/>
          <w:lang w:bidi="fa-IR"/>
        </w:rPr>
        <w:t>روایة الفرع، نعم یشترط عدم التکذیب، و بینهما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فقه الراوی، و إن خالفت روایته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لأبی حنیفة</w:t>
      </w:r>
      <w:r>
        <w:rPr>
          <w:rStyle w:val="FootnoteAnchor"/>
          <w:rtl w:val="true"/>
        </w:rPr>
        <w:footnoteReference w:id="9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و نسبه الآمدی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إلی عیسی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أنّ الشیرازی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نسب إلی أصحاب أبی حنیفة عدم قبول خبر الواحد المخالف لقیاس الاصول، 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أطلق ابن قدامة فی روضة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مع تصریحه بالنسبة إلی أبی حنیفة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 لأنّ الحجة فی قول الرسول علیه السّلام، 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علمه بالعربیة، و لا بمعنی</w:t>
      </w:r>
      <w:r>
        <w:rPr>
          <w:rStyle w:val="FootnoteAnchor"/>
          <w:rtl w:val="true"/>
        </w:rPr>
        <w:footnoteReference w:id="955"/>
      </w:r>
      <w:r>
        <w:rPr>
          <w:rFonts w:ascii="IRNazanin" w:hAnsi="IRNazanin" w:eastAsia="IRNazanin"/>
          <w:color w:val="111111"/>
          <w:sz w:val="28"/>
          <w:sz w:val="28"/>
          <w:szCs w:val="28"/>
          <w:rtl w:val="true"/>
          <w:lang w:bidi="fa-IR"/>
        </w:rPr>
        <w:t>الخبر لأنّ الحجة فی قوله</w:t>
      </w:r>
      <w:r>
        <w:rPr>
          <w:rStyle w:val="FootnoteAnchor"/>
          <w:rtl w:val="true"/>
        </w:rPr>
        <w:footnoteReference w:id="956"/>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تعدد روایته، فلو روی خبرا واحدا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أکثر</w:t>
      </w:r>
      <w:r>
        <w:rPr>
          <w:rStyle w:val="FootnoteAnchor"/>
          <w:rtl w:val="true"/>
        </w:rPr>
        <w:footnoteReference w:id="957"/>
      </w:r>
      <w:r>
        <w:rPr>
          <w:rFonts w:ascii="IRNazanin" w:hAnsi="IRNazanin" w:eastAsia="IRNazanin"/>
          <w:color w:val="111111"/>
          <w:sz w:val="28"/>
          <w:sz w:val="28"/>
          <w:szCs w:val="28"/>
          <w:rtl w:val="true"/>
          <w:lang w:bidi="fa-IR"/>
        </w:rPr>
        <w:t>مع قلة المخالطة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ضبط مثله لذلک</w:t>
      </w:r>
      <w:r>
        <w:rPr>
          <w:rStyle w:val="FootnoteAnchor"/>
          <w:rtl w:val="true"/>
        </w:rPr>
        <w:footnoteReference w:id="958"/>
      </w:r>
      <w:r>
        <w:rPr>
          <w:rFonts w:ascii="IRNazanin" w:hAnsi="IRNazanin" w:eastAsia="IRNazanin"/>
          <w:color w:val="111111"/>
          <w:sz w:val="28"/>
          <w:sz w:val="28"/>
          <w:szCs w:val="28"/>
          <w:rtl w:val="true"/>
          <w:lang w:bidi="fa-IR"/>
        </w:rPr>
        <w:t>قبل،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اشتهار نسب الراوی، بل تقبل روایته مع الشرائط و إن جهل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اسمان، و هو مجروح بأحدهما، لم تقبل، لإمکان أن یکون هو المجروح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القطعی العقلی إذا عارض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الخبر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Style w:val="FootnoteAnchor"/>
          <w:rtl w:val="true"/>
        </w:rPr>
        <w:footnoteReference w:id="959"/>
      </w:r>
      <w:r>
        <w:rPr>
          <w:rFonts w:ascii="IRNazanin" w:hAnsi="IRNazanin" w:eastAsia="IRNazanin"/>
          <w:color w:val="111111"/>
          <w:sz w:val="28"/>
          <w:sz w:val="28"/>
          <w:szCs w:val="28"/>
          <w:rtl w:val="true"/>
          <w:lang w:bidi="fa-IR"/>
        </w:rPr>
        <w:t>کان علی أبعد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علیه، و إلّا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عارضه کتاب، أو سنة متواترة، أو إجماع؛ فکذلک، إلّا علی جهة التخصیص لعموم الکتاب و السنة، فإنّه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امتناع فی أن یکلفنا اللّه تعالی العمل</w:t>
      </w:r>
      <w:r>
        <w:rPr>
          <w:rStyle w:val="FootnoteAnchor"/>
          <w:rtl w:val="true"/>
        </w:rPr>
        <w:footnoteReference w:id="960"/>
      </w:r>
      <w:r>
        <w:rPr>
          <w:rFonts w:ascii="IRNazanin" w:hAnsi="IRNazanin" w:eastAsia="IRNazanin"/>
          <w:color w:val="111111"/>
          <w:sz w:val="28"/>
          <w:sz w:val="28"/>
          <w:szCs w:val="28"/>
          <w:rtl w:val="true"/>
          <w:lang w:bidi="fa-IR"/>
        </w:rPr>
        <w:t>بالکتاب أو السنة المتواترة أو الإجماع ما لم یرد خبر واحد یعارضها، إلّا أنّ هذا الاحتمال غیر واقع إجماعا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لم یکن القیاس عندنا حجة، کان العمل بمضمون الخبر عند معارضة القیاس متعینا، نعم قد یکون القیاس منصوص العلّة، فالأقوی حینئذ قبوله، فیتعیّن الترجیح، فإن کانت العلّة قطعیة العلیّة و الثبوت فیهما قدّم، و إن کان الأصل ثابتا</w:t>
      </w:r>
    </w:p>
    <w:p>
      <w:pPr>
        <w:pStyle w:val="BookText"/>
        <w:rPr/>
      </w:pPr>
      <w:r>
        <w:rPr>
          <w:rFonts w:ascii="IRNazanin" w:hAnsi="IRNazanin" w:eastAsia="IRNazanin"/>
          <w:color w:val="111111"/>
          <w:sz w:val="28"/>
          <w:sz w:val="28"/>
          <w:szCs w:val="28"/>
          <w:rtl w:val="true"/>
          <w:lang w:bidi="fa-IR"/>
        </w:rPr>
        <w:t>بذلک الخبر قدّم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عارضه فعل الرسول علیه السّلام و ساوی حکمه حکمنا، و تناوله الخبر، و أمکن تخصیص أحدهما بالآخر؛ خصّ به، و إلّا فالترجیح إن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أکثر الامّة بخلاف مقتضاه لا یوجب ردّه، لکنه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خالف مذهب الراوی روایته لا</w:t>
      </w:r>
      <w:r>
        <w:rPr>
          <w:rStyle w:val="FootnoteAnchor"/>
          <w:rtl w:val="true"/>
        </w:rPr>
        <w:footnoteReference w:id="961"/>
      </w:r>
      <w:r>
        <w:rPr>
          <w:rFonts w:ascii="IRNazanin" w:hAnsi="IRNazanin" w:eastAsia="IRNazanin"/>
          <w:color w:val="111111"/>
          <w:sz w:val="28"/>
          <w:sz w:val="28"/>
          <w:szCs w:val="28"/>
          <w:rtl w:val="true"/>
          <w:lang w:bidi="fa-IR"/>
        </w:rPr>
        <w:t>یقدح، لجواز استناده إلی ما ظنه دلیلا و لیس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اقتضی الخبر العلم، و فی القطعیة موافق له، قبل، و إلّا ردّ</w:t>
      </w:r>
      <w:r>
        <w:rPr>
          <w:rStyle w:val="FootnoteAnchor"/>
          <w:rtl w:val="true"/>
        </w:rPr>
        <w:footnoteReference w:id="962"/>
      </w:r>
      <w:r>
        <w:rPr>
          <w:rFonts w:ascii="IRNazanin" w:hAnsi="IRNazanin" w:eastAsia="IRNazanin"/>
          <w:color w:val="111111"/>
          <w:sz w:val="28"/>
          <w:sz w:val="28"/>
          <w:szCs w:val="28"/>
          <w:rtl w:val="true"/>
          <w:lang w:bidi="fa-IR"/>
        </w:rPr>
        <w:t>، لجواز إسماع البعض و الاقتصار بالقطعی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الموافقة فإنّه لمّا کان التکلیف یتضمن العلم، و لیس له صلاحیة</w:t>
      </w:r>
      <w:r>
        <w:rPr>
          <w:rStyle w:val="FootnoteAnchor"/>
          <w:rtl w:val="true"/>
        </w:rPr>
        <w:footnoteReference w:id="963"/>
      </w:r>
      <w:r>
        <w:rPr>
          <w:rFonts w:ascii="IRNazanin" w:hAnsi="IRNazanin" w:eastAsia="IRNazanin"/>
          <w:color w:val="111111"/>
          <w:sz w:val="28"/>
          <w:sz w:val="28"/>
          <w:szCs w:val="28"/>
          <w:rtl w:val="true"/>
          <w:lang w:bidi="fa-IR"/>
        </w:rPr>
        <w:t>، لزم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اقتضی العمل، وجب قبوله و إن عمّت البلوی به، لعموم الأدلّة، و لثبوت أحکام القی‌ء و الرعاف و القهقهة به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نعارض</w:t>
      </w:r>
      <w:r>
        <w:rPr>
          <w:rStyle w:val="FootnoteAnchor"/>
          <w:rtl w:val="true"/>
        </w:rPr>
        <w:footnoteReference w:id="964"/>
      </w:r>
      <w:r>
        <w:rPr>
          <w:rFonts w:ascii="IRNazanin" w:hAnsi="IRNazanin" w:eastAsia="IRNazanin"/>
          <w:color w:val="111111"/>
          <w:sz w:val="28"/>
          <w:sz w:val="28"/>
          <w:szCs w:val="28"/>
          <w:rtl w:val="true"/>
          <w:lang w:bidi="fa-IR"/>
        </w:rPr>
        <w:t>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صحیحا لأسمعه عدد التواتر لئلّا ینقطع عمّن کلّف به</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تعمّ به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شافهنی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النبی علیه السّلام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نهینا عن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علیه السّلام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نفعل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أعلی المراتب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قصده إجمالا أو تفصیلا،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سمعت الحدیث من</w:t>
      </w:r>
      <w:r>
        <w:rPr>
          <w:rStyle w:val="FootnoteAnchor"/>
          <w:rtl w:val="true"/>
        </w:rPr>
        <w:footnoteReference w:id="966"/>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القراءة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کما قرء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Style w:val="FootnoteAnchor"/>
          <w:rtl w:val="true"/>
        </w:rPr>
        <w:footnoteReference w:id="9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إلی غیره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سمعت کذا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فللمکتوب إلیه العمل به مع ظنه أنّه خطه،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سمعت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فیشیر برأسه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العمل، و لا</w:t>
      </w:r>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حدّثک فلان به</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فیسکت مع ظن أنّ السکوت للصدق</w:t>
      </w:r>
      <w:r>
        <w:rPr>
          <w:rStyle w:val="FootnoteAnchor"/>
          <w:rtl w:val="true"/>
        </w:rPr>
        <w:footnoteReference w:id="970"/>
      </w:r>
      <w:r>
        <w:rPr>
          <w:rFonts w:ascii="IRNazanin" w:hAnsi="IRNazanin" w:eastAsia="IRNazanin"/>
          <w:color w:val="111111"/>
          <w:sz w:val="28"/>
          <w:sz w:val="28"/>
          <w:szCs w:val="28"/>
          <w:rtl w:val="true"/>
          <w:lang w:bidi="fa-IR"/>
        </w:rPr>
        <w:t>، فالأولی العمل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المتکلمون من الروایة، و جوّزها الفقهاء، لأنّ الإخبار لإفادة العلم</w:t>
      </w:r>
      <w:r>
        <w:rPr>
          <w:rStyle w:val="FootnoteAnchor"/>
          <w:rtl w:val="true"/>
        </w:rPr>
        <w:footnoteReference w:id="971"/>
      </w:r>
      <w:r>
        <w:rPr>
          <w:rFonts w:ascii="IRNazanin" w:hAnsi="IRNazanin" w:eastAsia="IRNazanin"/>
          <w:color w:val="111111"/>
          <w:sz w:val="28"/>
          <w:sz w:val="28"/>
          <w:szCs w:val="28"/>
          <w:rtl w:val="true"/>
          <w:lang w:bidi="fa-IR"/>
        </w:rPr>
        <w:t>، و السکوت هاهنا أفاد العلم بأنّ المسموع کلام الرسول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المناولة بأن یشیر الشیخ إلی کتاب یعرف ما فیه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محدّثا و راویا لغیره، و إن لم یقل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محدّثا، و إنّما أجاز له التحدّث به، و لیس له أن یحدّث به عنه، فإنّه یکون کاذبا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و هی أن یقول الشیخ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أجزت لک أن تروی عنّی</w:t>
      </w:r>
      <w:r>
        <w:rPr>
          <w:rStyle w:val="FootnoteAnchor"/>
          <w:rtl w:val="true"/>
        </w:rPr>
        <w:footnoteReference w:id="972"/>
      </w:r>
      <w:r>
        <w:rPr>
          <w:rFonts w:ascii="Amiri" w:hAnsi="Amiri" w:eastAsia="Amiri" w:cs="Amiri"/>
          <w:color w:val="111111"/>
          <w:sz w:val="28"/>
          <w:sz w:val="28"/>
          <w:szCs w:val="28"/>
          <w:rtl w:val="true"/>
          <w:lang w:bidi="ar-SA"/>
        </w:rPr>
        <w:t>ما صحّ عندک</w:t>
      </w:r>
      <w:r>
        <w:rPr>
          <w:rStyle w:val="FootnoteAnchor"/>
          <w:rtl w:val="true"/>
        </w:rPr>
        <w:footnoteReference w:id="973"/>
      </w:r>
      <w:r>
        <w:rPr>
          <w:rFonts w:ascii="IRNazanin" w:hAnsi="IRNazanin" w:eastAsia="IRNazanin"/>
          <w:color w:val="111111"/>
          <w:sz w:val="28"/>
          <w:sz w:val="28"/>
          <w:szCs w:val="28"/>
          <w:rtl w:val="true"/>
          <w:lang w:bidi="fa-IR"/>
        </w:rPr>
        <w:t>من أحادیثی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اقتضی ظاهره الکذب، لأنّه أباح له أن یحدّث عنه بما لم یحدّثه، لکنه فی العرف یجری مجری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صحّ عندک أنّی سمعته فاروه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عندی</w:t>
      </w:r>
      <w:r>
        <w:rPr>
          <w:rStyle w:val="FootnoteAnchor"/>
          <w:rtl w:val="true"/>
        </w:rPr>
        <w:footnoteReference w:id="974"/>
      </w:r>
      <w:r>
        <w:rPr>
          <w:rFonts w:ascii="IRNazanin" w:hAnsi="IRNazanin" w:eastAsia="IRNazanin"/>
          <w:color w:val="111111"/>
          <w:sz w:val="28"/>
          <w:sz w:val="28"/>
          <w:szCs w:val="28"/>
          <w:rtl w:val="true"/>
          <w:lang w:bidi="fa-IR"/>
        </w:rPr>
        <w:t>عدم قبوله، لأنّ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عدالة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إذ الروایة عنه لیست تعدیلا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أبو حنیفة، و مالک</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جمهور المعتزلة 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الفرع لا یجوز له</w:t>
      </w:r>
      <w:r>
        <w:rPr>
          <w:rStyle w:val="FootnoteAnchor"/>
          <w:rtl w:val="true"/>
        </w:rPr>
        <w:footnoteReference w:id="976"/>
      </w:r>
      <w:r>
        <w:rPr>
          <w:rFonts w:ascii="IRNazanin" w:hAnsi="IRNazanin" w:eastAsia="IRNazanin"/>
          <w:color w:val="111111"/>
          <w:sz w:val="28"/>
          <w:sz w:val="28"/>
          <w:szCs w:val="28"/>
          <w:rtl w:val="true"/>
          <w:lang w:bidi="fa-IR"/>
        </w:rPr>
        <w:t>أن یخبر عن الرسول علیه السّلام إلّا و له الإخبار عنه، و إنّما یکون له ذلک إذا ظن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علّة التثبت منتفیة</w:t>
      </w:r>
      <w:r>
        <w:rPr>
          <w:rStyle w:val="FootnoteAnchor"/>
          <w:rtl w:val="true"/>
        </w:rPr>
        <w:footnoteReference w:id="977"/>
      </w:r>
      <w:r>
        <w:rPr>
          <w:rFonts w:ascii="IRNazanin" w:hAnsi="IRNazanin" w:eastAsia="IRNazanin"/>
          <w:color w:val="111111"/>
          <w:sz w:val="28"/>
          <w:sz w:val="28"/>
          <w:szCs w:val="28"/>
          <w:rtl w:val="true"/>
          <w:lang w:bidi="fa-IR"/>
        </w:rPr>
        <w:t>، فیجب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المسند جاز أن یکون مرسلا، لأنّ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یخبره آخر عنه، فلا یقبل عنه</w:t>
      </w:r>
      <w:r>
        <w:rPr>
          <w:rStyle w:val="FootnoteAnchor"/>
          <w:rtl w:val="true"/>
        </w:rPr>
        <w:footnoteReference w:id="978"/>
      </w:r>
      <w:r>
        <w:rPr>
          <w:rFonts w:ascii="IRNazanin" w:hAnsi="IRNazanin" w:eastAsia="IRNazanin"/>
          <w:color w:val="111111"/>
          <w:sz w:val="28"/>
          <w:sz w:val="28"/>
          <w:szCs w:val="28"/>
          <w:rtl w:val="true"/>
          <w:lang w:bidi="fa-IR"/>
        </w:rPr>
        <w:t>إلّا أن یستفصل</w:t>
      </w:r>
      <w:r>
        <w:rPr>
          <w:rStyle w:val="FootnoteAnchor"/>
          <w:rtl w:val="true"/>
        </w:rPr>
        <w:footnoteReference w:id="9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حمل إخبار الراوی عن الرسول علیه السّلام علی ظن أنّه قال، أولی من حمله علی أنّه سمع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یعلم انتفاء علّة التثبت إذا علمت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الراوی المصاحب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w:t>
      </w:r>
      <w:r>
        <w:rPr>
          <w:rStyle w:val="FootnoteAnchor"/>
          <w:rtl w:val="true"/>
        </w:rPr>
        <w:footnoteReference w:id="980"/>
      </w:r>
      <w:r>
        <w:rPr>
          <w:rFonts w:ascii="IRNazanin" w:hAnsi="IRNazanin" w:eastAsia="IRNazanin"/>
          <w:color w:val="111111"/>
          <w:sz w:val="28"/>
          <w:sz w:val="28"/>
          <w:szCs w:val="28"/>
          <w:rtl w:val="true"/>
          <w:lang w:bidi="fa-IR"/>
        </w:rPr>
        <w:t>ظاهرا الروایة عنه بغیر</w:t>
      </w:r>
      <w:r>
        <w:rPr>
          <w:rStyle w:val="FootnoteAnchor"/>
          <w:rtl w:val="true"/>
        </w:rPr>
        <w:footnoteReference w:id="981"/>
      </w:r>
      <w:r>
        <w:rPr>
          <w:rFonts w:ascii="Amiri" w:hAnsi="Amiri" w:eastAsia="Amiri" w:cs="Amiri"/>
          <w:color w:val="111111"/>
          <w:sz w:val="28"/>
          <w:sz w:val="28"/>
          <w:szCs w:val="28"/>
          <w:rtl w:val="true"/>
          <w:lang w:bidi="ar-SA"/>
        </w:rPr>
        <w:t>واسطة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أسنده غیره قبل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أوصل الحدیث إلی النبی علیه السّلام و أوقفه غیره فهو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 الحدیث بالمعنی، إذا لم یقصر لفظ الراوی عن المعنی، و عدم الزیادة و النقصان، و المساواة فی الجلاء؛ لأنّ الصحابة لم یکتبوا ألفاظ النبی</w:t>
      </w:r>
      <w:r>
        <w:rPr>
          <w:rStyle w:val="FootnoteAnchor"/>
          <w:rtl w:val="true"/>
        </w:rPr>
        <w:footnoteReference w:id="983"/>
      </w:r>
      <w:r>
        <w:rPr>
          <w:rFonts w:ascii="IRNazanin" w:hAnsi="IRNazanin" w:eastAsia="IRNazanin"/>
          <w:color w:val="111111"/>
          <w:sz w:val="28"/>
          <w:sz w:val="28"/>
          <w:szCs w:val="28"/>
          <w:rtl w:val="true"/>
          <w:lang w:bidi="fa-IR"/>
        </w:rPr>
        <w:t>علیه السّلام و لم یکرروها، فیعلم اقتصارهم علی المعنی، و لأنّه یجوز التعبیر بالعجمیة للأعجمی، فبالعربیة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ابن سیرین</w:t>
      </w:r>
      <w:r>
        <w:rPr>
          <w:rStyle w:val="FootnoteAnchor"/>
          <w:rtl w:val="true"/>
        </w:rPr>
        <w:footnoteReference w:id="98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سمع مقالتی فوعاها، ثمّ أدّاها کما سمعها، فربّ</w:t>
      </w:r>
    </w:p>
    <w:p>
      <w:pPr>
        <w:pStyle w:val="BookText"/>
        <w:rPr/>
      </w:pPr>
      <w:r>
        <w:rPr>
          <w:rFonts w:ascii="IRNazanin" w:hAnsi="IRNazanin" w:eastAsia="IRNazanin"/>
          <w:color w:val="111111"/>
          <w:sz w:val="28"/>
          <w:sz w:val="28"/>
          <w:szCs w:val="28"/>
          <w:rtl w:val="true"/>
          <w:lang w:bidi="fa-IR"/>
        </w:rPr>
        <w:t>حامل فقه إلی من هو أفقه منه</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و الأداء کما سمع إنّما هو بنقل اللفظ المسموع، و نقل الفقیه إلی الأفقه لیستفید من اللفظ ما لا یستفیده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مع تطاول الأزمنة و کثرة الطبقات ربما استحال المعنی</w:t>
      </w:r>
      <w:r>
        <w:rPr>
          <w:rStyle w:val="FootnoteAnchor"/>
          <w:rtl w:val="true"/>
        </w:rPr>
        <w:footnoteReference w:id="9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الرازی الحنفی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أداء المعنی کما هو داخل تحت الأداء کما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الاستحالة إنّما تلزم لو قصر عن</w:t>
      </w:r>
      <w:r>
        <w:rPr>
          <w:rStyle w:val="FootnoteAnchor"/>
          <w:rtl w:val="true"/>
        </w:rPr>
        <w:footnoteReference w:id="987"/>
      </w:r>
      <w:r>
        <w:rPr>
          <w:rFonts w:ascii="IRNazanin" w:hAnsi="IRNazanin" w:eastAsia="IRNazanin"/>
          <w:color w:val="111111"/>
          <w:sz w:val="28"/>
          <w:sz w:val="28"/>
          <w:szCs w:val="28"/>
          <w:rtl w:val="true"/>
          <w:lang w:bidi="fa-IR"/>
        </w:rPr>
        <w:t>المعنی، و التقدیر خلافه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أحد الراویین بزیادة، فإن تعدد المجلس قبلت، لإمکان ذکر النبی علیه السّلام لها مرّة و إسقاطها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النافی عددا یمتنع ذهولهم عنها، لم تقبل، و کذا إن کان أضبط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تساویا قبلت إن لم یغیر الإعراب، فإنّ السهو عما سمع أظهر من توهم السماع لما لم یسمع، إلّا أن یقول النافی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انتظرته بعد المتن فلم یأت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غیّر الإعراب</w:t>
      </w:r>
      <w:r>
        <w:rPr>
          <w:rFonts w:eastAsia="IRNazanin" w:cs="IRNazanin"/>
          <w:color w:val="111111"/>
          <w:sz w:val="28"/>
          <w:szCs w:val="28"/>
          <w:rtl w:val="true"/>
          <w:lang w:bidi="fa-IR"/>
        </w:rPr>
        <w:t>.</w:t>
      </w:r>
      <w:bookmarkStart w:id="417" w:name="pg2360_37157"/>
    </w:p>
    <w:p>
      <w:pPr>
        <w:pStyle w:val="Heading2"/>
        <w:numPr>
          <w:ilvl w:val="1"/>
          <w:numId w:val="1"/>
        </w:numPr>
        <w:rPr/>
      </w:pPr>
      <w:bookmarkStart w:id="418" w:name="__RefHeading___Toc2792714_3804643083"/>
      <w:bookmarkStart w:id="419" w:name="_Toc160"/>
      <w:bookmarkEnd w:id="417"/>
      <w:bookmarkEnd w:id="418"/>
      <w:r>
        <w:rPr>
          <w:rtl w:val="true"/>
        </w:rPr>
        <w:t>المقصد العاشر فی القیاس و فیه فصول</w:t>
      </w:r>
      <w:bookmarkEnd w:id="41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2792716_3804643083"/>
      <w:bookmarkStart w:id="421" w:name="_Toc161"/>
      <w:bookmarkEnd w:id="420"/>
      <w:r>
        <w:rPr>
          <w:rtl w:val="true"/>
        </w:rPr>
        <w:t>اشارة</w:t>
      </w:r>
      <w:bookmarkStart w:id="422" w:name="pg2360_37159"/>
      <w:bookmarkEnd w:id="421"/>
    </w:p>
    <w:p>
      <w:pPr>
        <w:pStyle w:val="Heading3"/>
        <w:numPr>
          <w:ilvl w:val="2"/>
          <w:numId w:val="1"/>
        </w:numPr>
        <w:rPr/>
      </w:pPr>
      <w:bookmarkStart w:id="423" w:name="__RefHeading___Toc2792718_3804643083"/>
      <w:bookmarkStart w:id="424" w:name="_Toc162"/>
      <w:bookmarkEnd w:id="422"/>
      <w:bookmarkEnd w:id="423"/>
      <w:r>
        <w:rPr>
          <w:rtl w:val="true"/>
        </w:rPr>
        <w:t>[</w:t>
      </w:r>
      <w:r>
        <w:rPr>
          <w:rtl w:val="true"/>
        </w:rPr>
        <w:t>الفصل</w:t>
      </w:r>
      <w:r>
        <w:rPr>
          <w:rtl w:val="true"/>
        </w:rPr>
        <w:t xml:space="preserve">] </w:t>
      </w:r>
      <w:r>
        <w:rPr>
          <w:rtl w:val="true"/>
        </w:rPr>
        <w:t>الأوّل</w:t>
      </w:r>
      <w:r>
        <w:rPr>
          <w:rtl w:val="true"/>
        </w:rPr>
        <w:t xml:space="preserve">: </w:t>
      </w:r>
      <w:r>
        <w:rPr>
          <w:rtl w:val="true"/>
        </w:rPr>
        <w:t>فی مقدماته و فیه مباحث</w:t>
      </w:r>
      <w:r>
        <w:rPr>
          <w:rtl w:val="true"/>
        </w:rPr>
        <w:t>:</w:t>
      </w:r>
      <w:bookmarkEnd w:id="424"/>
    </w:p>
    <w:p>
      <w:pPr>
        <w:pStyle w:val="Heading4"/>
        <w:numPr>
          <w:ilvl w:val="3"/>
          <w:numId w:val="1"/>
        </w:numPr>
        <w:rPr/>
      </w:pPr>
      <w:bookmarkStart w:id="425" w:name="__RefHeading___Toc2792720_3804643083"/>
      <w:bookmarkStart w:id="426" w:name="_Toc163"/>
      <w:bookmarkEnd w:id="425"/>
      <w:r>
        <w:rPr>
          <w:rtl w:val="true"/>
        </w:rPr>
        <w:t>[</w:t>
      </w:r>
      <w:r>
        <w:rPr>
          <w:rtl w:val="true"/>
        </w:rPr>
        <w:t>البحث</w:t>
      </w:r>
      <w:r>
        <w:rPr>
          <w:rtl w:val="true"/>
        </w:rPr>
        <w:t xml:space="preserve">] </w:t>
      </w:r>
      <w:r>
        <w:rPr>
          <w:rtl w:val="true"/>
        </w:rPr>
        <w:t>الأوّل</w:t>
      </w:r>
      <w:r>
        <w:rPr>
          <w:rtl w:val="true"/>
        </w:rPr>
        <w:t xml:space="preserve">: </w:t>
      </w:r>
      <w:r>
        <w:rPr>
          <w:rtl w:val="true"/>
        </w:rPr>
        <w:t>فی ماهیته</w:t>
      </w:r>
      <w:bookmarkEnd w:id="426"/>
    </w:p>
    <w:p>
      <w:pPr>
        <w:pStyle w:val="BookText"/>
        <w:rPr/>
      </w:pPr>
      <w:r>
        <w:rPr>
          <w:rFonts w:ascii="IRNazanin" w:hAnsi="IRNazanin" w:eastAsia="IRNazanin"/>
          <w:color w:val="111111"/>
          <w:sz w:val="28"/>
          <w:sz w:val="28"/>
          <w:szCs w:val="28"/>
          <w:rtl w:val="true"/>
          <w:lang w:bidi="fa-IR"/>
        </w:rPr>
        <w:t>و هو تعدیة الحکم المتحد من الأصل إلی الفرع لعلّة متحدة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معلوم علی معلوم فی إثبات حکم لهما، أو نفیه عنهما، بأمر 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حکم أو صفة، أو نفیهما عنه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التکریر فی الحمل و الإثبات إن ارید بهما معنی واحد، و إلّا فلا معنی للحمل؛ و بأنّ إثبات الحکم لهما لیس بالقیاس، فإنّ الحکم فی الأصل بدلیل آخر، لأنّ القیاس فرعه؛ و بأنّ</w:t>
      </w:r>
      <w:r>
        <w:rPr>
          <w:rStyle w:val="FootnoteAnchor"/>
          <w:rtl w:val="true"/>
        </w:rPr>
        <w:footnoteReference w:id="989"/>
      </w:r>
      <w:r>
        <w:rPr>
          <w:rFonts w:ascii="IRNazanin" w:hAnsi="IRNazanin" w:eastAsia="IRNazanin"/>
          <w:color w:val="111111"/>
          <w:sz w:val="28"/>
          <w:sz w:val="28"/>
          <w:szCs w:val="28"/>
          <w:rtl w:val="true"/>
          <w:lang w:bidi="fa-IR"/>
        </w:rPr>
        <w:t>القیاس أعمّ منه، لأنّ الصفة قد تثبت</w:t>
      </w:r>
      <w:r>
        <w:rPr>
          <w:rStyle w:val="FootnoteAnchor"/>
          <w:rtl w:val="true"/>
        </w:rPr>
        <w:footnoteReference w:id="990"/>
      </w:r>
      <w:r>
        <w:rPr>
          <w:rFonts w:ascii="IRNazanin" w:hAnsi="IRNazanin" w:eastAsia="IRNazanin"/>
          <w:color w:val="111111"/>
          <w:sz w:val="28"/>
          <w:sz w:val="28"/>
          <w:szCs w:val="28"/>
          <w:rtl w:val="true"/>
          <w:lang w:bidi="fa-IR"/>
        </w:rPr>
        <w:t>بالقیاس کما یقال</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عالم، فله علم، کالشاهد، فلا یعرّف بإثبات الحکم خاصّة؛ و بأنّ</w:t>
      </w:r>
      <w:r>
        <w:rPr>
          <w:rStyle w:val="FootnoteAnchor"/>
          <w:rtl w:val="true"/>
        </w:rPr>
        <w:footnoteReference w:id="992"/>
      </w:r>
      <w:r>
        <w:rPr>
          <w:rFonts w:ascii="IRNazanin" w:hAnsi="IRNazanin" w:eastAsia="IRNazanin"/>
          <w:color w:val="111111"/>
          <w:sz w:val="28"/>
          <w:sz w:val="28"/>
          <w:szCs w:val="28"/>
          <w:rtl w:val="true"/>
          <w:lang w:bidi="fa-IR"/>
        </w:rPr>
        <w:t>إثبات الحکم أو</w:t>
      </w:r>
      <w:r>
        <w:rPr>
          <w:rStyle w:val="FootnoteAnchor"/>
          <w:rtl w:val="true"/>
        </w:rPr>
        <w:footnoteReference w:id="993"/>
      </w:r>
      <w:r>
        <w:rPr>
          <w:rFonts w:ascii="IRNazanin" w:hAnsi="IRNazanin" w:eastAsia="IRNazanin"/>
          <w:color w:val="111111"/>
          <w:sz w:val="28"/>
          <w:sz w:val="28"/>
          <w:szCs w:val="28"/>
          <w:rtl w:val="true"/>
          <w:lang w:bidi="fa-IR"/>
        </w:rPr>
        <w:t>الصفة أو نفیهما أقسام الجامع، فلا تذکر فی</w:t>
      </w:r>
      <w:bookmarkStart w:id="427" w:name="pg2360_37160"/>
    </w:p>
    <w:p>
      <w:pPr>
        <w:pStyle w:val="BookText"/>
        <w:rPr/>
      </w:pPr>
      <w:bookmarkEnd w:id="427"/>
      <w:r>
        <w:rPr>
          <w:rFonts w:ascii="IRNazanin" w:hAnsi="IRNazanin" w:eastAsia="IRNazanin"/>
          <w:color w:val="111111"/>
          <w:sz w:val="28"/>
          <w:sz w:val="28"/>
          <w:szCs w:val="28"/>
          <w:rtl w:val="true"/>
          <w:lang w:bidi="fa-IR"/>
        </w:rPr>
        <w:t>التحدید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تحصیل حکم الأصل فی الفرع، لاشتباههما فی علّة الحکم عند المجتهد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2792722_3804643083"/>
      <w:bookmarkStart w:id="429" w:name="_Toc164"/>
      <w:bookmarkEnd w:id="428"/>
      <w:r>
        <w:rPr>
          <w:rtl w:val="true"/>
        </w:rPr>
        <w:t>البحث الثانی</w:t>
      </w:r>
      <w:r>
        <w:rPr>
          <w:rtl w:val="true"/>
        </w:rPr>
        <w:t xml:space="preserve">: </w:t>
      </w:r>
      <w:r>
        <w:rPr>
          <w:rtl w:val="true"/>
        </w:rPr>
        <w:t>فی أرکانه،</w:t>
      </w:r>
      <w:bookmarkEnd w:id="429"/>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الفرع، و العلّة،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فعند الفقهاء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الحکم المقیس علیه کالخمر، و عند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الدال علی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ضعیفان، لأنّ الأصل ما یتفرع علیه غیره، و لیس الحکم فی النبیذ متفرعا علی</w:t>
      </w:r>
      <w:r>
        <w:rPr>
          <w:rStyle w:val="FootnoteAnchor"/>
          <w:rtl w:val="true"/>
        </w:rPr>
        <w:footnoteReference w:id="996"/>
      </w:r>
      <w:r>
        <w:rPr>
          <w:rFonts w:ascii="IRNazanin" w:hAnsi="IRNazanin" w:eastAsia="IRNazanin"/>
          <w:color w:val="111111"/>
          <w:sz w:val="28"/>
          <w:sz w:val="28"/>
          <w:szCs w:val="28"/>
          <w:rtl w:val="true"/>
          <w:lang w:bidi="fa-IR"/>
        </w:rPr>
        <w:t>الخمر، فإنّه لو انتفی التحریم عنه لم یمکن القیاس علیه، و لو علمنا تحریم الخمر بالضرورة أمکن القیاس علیه و إن لم یکن هناک نص، فبقی</w:t>
      </w:r>
      <w:r>
        <w:rPr>
          <w:rStyle w:val="FootnoteAnchor"/>
          <w:rtl w:val="true"/>
        </w:rPr>
        <w:footnoteReference w:id="997"/>
      </w:r>
      <w:r>
        <w:rPr>
          <w:rFonts w:ascii="IRNazanin" w:hAnsi="IRNazanin" w:eastAsia="IRNazanin"/>
          <w:color w:val="111111"/>
          <w:sz w:val="28"/>
          <w:sz w:val="28"/>
          <w:szCs w:val="28"/>
          <w:rtl w:val="true"/>
          <w:lang w:bidi="fa-IR"/>
        </w:rPr>
        <w:t>الأصل إمّا حکم محل الوفاق أو علّته، فالحکم أصل فی محل الوفاق فرع فی المتنازع</w:t>
      </w:r>
      <w:r>
        <w:rPr>
          <w:rStyle w:val="FootnoteAnchor"/>
          <w:rtl w:val="true"/>
        </w:rPr>
        <w:footnoteReference w:id="998"/>
      </w:r>
      <w:r>
        <w:rPr>
          <w:rFonts w:ascii="Amiri" w:hAnsi="Amiri" w:eastAsia="Amiri" w:cs="Amiri"/>
          <w:color w:val="111111"/>
          <w:sz w:val="28"/>
          <w:sz w:val="28"/>
          <w:szCs w:val="28"/>
          <w:rtl w:val="true"/>
          <w:lang w:bidi="ar-SA"/>
        </w:rPr>
        <w:t>، و العلّة بالخلاف</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تسمیة العلّة فی المتنازع أصلا أولی من تسمیة محل الحکم فی المتفق أصلا، لأنّ العلّة مؤثرة فی الحکم، و المحل غیر مؤثر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الفرع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و عند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المتنازع، و هو</w:t>
      </w:r>
      <w:bookmarkStart w:id="430" w:name="pg2360_37161"/>
    </w:p>
    <w:p>
      <w:pPr>
        <w:pStyle w:val="BookText"/>
        <w:rPr/>
      </w:pPr>
      <w:bookmarkEnd w:id="430"/>
      <w:r>
        <w:rPr>
          <w:rFonts w:ascii="IRNazanin" w:hAnsi="IRNazanin" w:eastAsia="IRNazanin"/>
          <w:color w:val="111111"/>
          <w:sz w:val="28"/>
          <w:sz w:val="28"/>
          <w:szCs w:val="28"/>
          <w:rtl w:val="true"/>
          <w:lang w:bidi="fa-IR"/>
        </w:rPr>
        <w:t>أولی، لأنّ الأوّل لیس متفرعا علی</w:t>
      </w:r>
      <w:r>
        <w:rPr>
          <w:rStyle w:val="FootnoteAnchor"/>
          <w:rtl w:val="true"/>
        </w:rPr>
        <w:footnoteReference w:id="1000"/>
      </w:r>
      <w:r>
        <w:rPr>
          <w:rFonts w:ascii="IRNazanin" w:hAnsi="IRNazanin" w:eastAsia="IRNazanin"/>
          <w:color w:val="111111"/>
          <w:sz w:val="28"/>
          <w:sz w:val="28"/>
          <w:szCs w:val="28"/>
          <w:rtl w:val="true"/>
          <w:lang w:bidi="fa-IR"/>
        </w:rPr>
        <w:t>الأصل، بل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لفظ الأصل علی محل الوفاق أولی من إطلاق لفظ الفرع علی محل الخلاف، لأنّ محل الوفاق أصل للحکم</w:t>
      </w:r>
      <w:r>
        <w:rPr>
          <w:rStyle w:val="FootnoteAnchor"/>
          <w:rtl w:val="true"/>
        </w:rPr>
        <w:footnoteReference w:id="1001"/>
      </w:r>
      <w:r>
        <w:rPr>
          <w:rFonts w:ascii="IRNazanin" w:hAnsi="IRNazanin" w:eastAsia="IRNazanin"/>
          <w:color w:val="111111"/>
          <w:sz w:val="28"/>
          <w:sz w:val="28"/>
          <w:szCs w:val="28"/>
          <w:rtl w:val="true"/>
          <w:lang w:bidi="fa-IR"/>
        </w:rPr>
        <w:t>فیه الذی هو أصل القیاس، فهو أصل أصل القیاس، و محل الخلاف أصل للحکم</w:t>
      </w:r>
      <w:r>
        <w:rPr>
          <w:rStyle w:val="FootnoteAnchor"/>
          <w:rtl w:val="true"/>
        </w:rPr>
        <w:footnoteReference w:id="1002"/>
      </w:r>
      <w:r>
        <w:rPr>
          <w:rFonts w:ascii="IRNazanin" w:hAnsi="IRNazanin" w:eastAsia="IRNazanin"/>
          <w:color w:val="111111"/>
          <w:sz w:val="28"/>
          <w:sz w:val="28"/>
          <w:szCs w:val="28"/>
          <w:rtl w:val="true"/>
          <w:lang w:bidi="fa-IR"/>
        </w:rPr>
        <w:t>فیه الذی هو فرع القیاس، فهو أصل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هنا علی مصطلح الفقهاء</w:t>
      </w:r>
      <w:r>
        <w:rPr>
          <w:rFonts w:eastAsia="IRNazanin" w:cs="IRNazanin"/>
          <w:color w:val="111111"/>
          <w:sz w:val="28"/>
          <w:szCs w:val="28"/>
          <w:rtl w:val="true"/>
          <w:lang w:bidi="fa-IR"/>
        </w:rPr>
        <w:t>.</w:t>
      </w:r>
    </w:p>
    <w:p>
      <w:pPr>
        <w:pStyle w:val="Heading4"/>
        <w:numPr>
          <w:ilvl w:val="3"/>
          <w:numId w:val="1"/>
        </w:numPr>
        <w:rPr/>
      </w:pPr>
      <w:bookmarkStart w:id="431" w:name="__RefHeading___Toc2792724_3804643083"/>
      <w:bookmarkStart w:id="432" w:name="_Toc165"/>
      <w:bookmarkEnd w:id="431"/>
      <w:r>
        <w:rPr>
          <w:rtl w:val="true"/>
        </w:rPr>
        <w:t>البحث الثالث</w:t>
      </w:r>
      <w:r>
        <w:rPr>
          <w:rtl w:val="true"/>
        </w:rPr>
        <w:t xml:space="preserve">: </w:t>
      </w:r>
      <w:r>
        <w:rPr>
          <w:rtl w:val="true"/>
        </w:rPr>
        <w:t>فی هل أنّه حجة؟ أم لا؟</w:t>
      </w:r>
      <w:r>
        <w:rPr>
          <w:rtl w:val="true"/>
        </w:rPr>
        <w:t>.</w:t>
      </w:r>
      <w:bookmarkEnd w:id="432"/>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هل أنّه حجة؟</w:t>
      </w:r>
      <w:r>
        <w:rPr>
          <w:rStyle w:val="FootnoteAnchor"/>
          <w:rtl w:val="true"/>
        </w:rPr>
        <w:footnoteReference w:id="1003"/>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الشیعة من التعبد به شرعا، و إن جاز عقلا</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آخرون منه عقلا</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و نسبه الآمدی فی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إلی الشیعة و النظّام و جماعة من معتزلة بغداد کیحیی الإسکافی و جعفر بن مبشر و جعفر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أخطأ فی نسبة ذلک إلی الشیعة، بشهادة تصریح المصنف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دال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التعبد به، و دلیل الشرع علیه</w:t>
      </w:r>
    </w:p>
    <w:p>
      <w:pPr>
        <w:pStyle w:val="BookText"/>
        <w:rPr/>
      </w:pPr>
      <w:r>
        <w:rPr>
          <w:rFonts w:ascii="IRNazanin" w:hAnsi="IRNazanin" w:eastAsia="IRNazanin"/>
          <w:color w:val="111111"/>
          <w:sz w:val="28"/>
          <w:sz w:val="28"/>
          <w:szCs w:val="28"/>
          <w:rtl w:val="true"/>
          <w:lang w:bidi="fa-IR"/>
        </w:rPr>
        <w:t>ظنی</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عندی أنّ العلّة إذا</w:t>
      </w:r>
      <w:r>
        <w:rPr>
          <w:rStyle w:val="FootnoteAnchor"/>
          <w:rtl w:val="true"/>
        </w:rPr>
        <w:footnoteReference w:id="1007"/>
      </w:r>
      <w:r>
        <w:rPr>
          <w:rFonts w:ascii="IRNazanin" w:hAnsi="IRNazanin" w:eastAsia="IRNazanin"/>
          <w:color w:val="111111"/>
          <w:sz w:val="28"/>
          <w:sz w:val="28"/>
          <w:szCs w:val="28"/>
          <w:rtl w:val="true"/>
          <w:lang w:bidi="fa-IR"/>
        </w:rPr>
        <w:t>کانت منصوصة، و علم وجودها فی الفرع، کان حجة، کقوله علیه السّلام لمّا سئل عن بیع الرّطب بالتمر،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ینقص إذا جفّ؟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إذن</w:t>
      </w:r>
      <w:r>
        <w:rPr>
          <w:rFonts w:eastAsia="IRNazanin" w:cs="IRNazanin"/>
          <w:color w:val="111111"/>
          <w:sz w:val="28"/>
          <w:szCs w:val="28"/>
          <w:rtl w:val="true"/>
          <w:lang w:bidi="fa-IR"/>
        </w:rPr>
        <w:t>»</w:t>
      </w:r>
      <w:r>
        <w:rPr>
          <w:rStyle w:val="FootnoteAnchor"/>
          <w:rtl w:val="true"/>
        </w:rPr>
        <w:footnoteReference w:id="1008"/>
      </w:r>
      <w:r>
        <w:rPr>
          <w:rStyle w:val="FootnoteAnchor"/>
          <w:rtl w:val="true"/>
        </w:rPr>
        <w:footnoteReference w:id="1009"/>
      </w:r>
      <w:r>
        <w:rPr>
          <w:rFonts w:ascii="IRNazanin" w:hAnsi="IRNazanin" w:eastAsia="IRNazanin"/>
          <w:color w:val="111111"/>
          <w:sz w:val="28"/>
          <w:sz w:val="28"/>
          <w:szCs w:val="28"/>
          <w:rtl w:val="true"/>
          <w:lang w:bidi="fa-IR"/>
        </w:rPr>
        <w:t>، و کذا قیاس تحریم الضرب علی تحریم التأفیف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هذین فلا یجوز التعبد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عَلَی اللَّهِ ما لا تَعْلَمُونَ</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وَ لا تَقْفُ ما لَیْسَ لَکَ بِهِ عِلْمٌ</w:t>
      </w:r>
      <w:r>
        <w:rPr>
          <w:rStyle w:val="FootnoteAnchor"/>
          <w:rtl w:val="true"/>
        </w:rPr>
        <w:footnoteReference w:id="1011"/>
      </w:r>
      <w:r>
        <w:rPr>
          <w:rFonts w:ascii="Amiri" w:hAnsi="Amiri" w:eastAsia="Amiri" w:cs="Amiri"/>
          <w:color w:val="111111"/>
          <w:sz w:val="28"/>
          <w:sz w:val="28"/>
          <w:szCs w:val="28"/>
          <w:rtl w:val="true"/>
          <w:lang w:bidi="ar-SA"/>
        </w:rPr>
        <w:t>إِنْ یَتَّبِعُونَ إِلَّا الظَّنَّ وَ إِنَّ الظَّنَّ لا یُغْنِی مِنَ الْحَقِّ شَیْئاً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امّتی علی بضع و سبعین فرقة، أعظمهم فتنة قوم یقیسون الامور برأیهم، فیحرّمون الحلال و یحللون الحرام</w:t>
      </w:r>
      <w:r>
        <w:rPr>
          <w:rFonts w:eastAsia="IRNazanin" w:cs="IRNazanin"/>
          <w:color w:val="111111"/>
          <w:sz w:val="28"/>
          <w:szCs w:val="28"/>
          <w:rtl w:val="true"/>
          <w:lang w:bidi="fa-IR"/>
        </w:rPr>
        <w:t>»</w:t>
      </w:r>
      <w:r>
        <w:rPr>
          <w:rStyle w:val="FootnoteAnchor"/>
          <w:rtl w:val="true"/>
        </w:rPr>
        <w:footnoteReference w:id="1013"/>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لإجماع أهل البیت علیهم السّلام علیه، فإنّ المعلوم من قول الصادق و الباقر و الکاظم علیهم السّلام إنکاره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مبنی شرعنا علی اختلاف المتوافقات و توافق المختلفات، کإیجاب صوم آخر</w:t>
      </w:r>
      <w:r>
        <w:rPr>
          <w:rStyle w:val="FootnoteAnchor"/>
          <w:rtl w:val="true"/>
        </w:rPr>
        <w:footnoteReference w:id="1016"/>
      </w:r>
      <w:r>
        <w:rPr>
          <w:rFonts w:ascii="IRNazanin" w:hAnsi="IRNazanin" w:eastAsia="IRNazanin"/>
          <w:color w:val="111111"/>
          <w:sz w:val="28"/>
          <w:sz w:val="28"/>
          <w:szCs w:val="28"/>
          <w:rtl w:val="true"/>
          <w:lang w:bidi="fa-IR"/>
        </w:rPr>
        <w:t>رمضان، و تحریم أوّل شوال، و إیجاب الوضوء من النوم و البول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أکثر الصحابة منعوا منه،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یقتحم جراثیم</w:t>
      </w:r>
      <w:r>
        <w:rPr>
          <w:rStyle w:val="FootnoteAnchor"/>
          <w:rtl w:val="true"/>
        </w:rPr>
        <w:footnoteReference w:id="1017"/>
      </w:r>
      <w:r>
        <w:rPr>
          <w:rFonts w:ascii="IRNazanin" w:hAnsi="IRNazanin" w:eastAsia="IRNazanin"/>
          <w:color w:val="111111"/>
          <w:sz w:val="28"/>
          <w:sz w:val="28"/>
          <w:szCs w:val="28"/>
          <w:rtl w:val="true"/>
          <w:lang w:bidi="fa-IR"/>
        </w:rPr>
        <w:t>جهنم فلیقل فی الجدّ برأیه</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الدین یؤخذ قیاسا لکان باطن الخفّ أولی بالمسح من ظاهره</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و إنکاره العمل</w:t>
      </w:r>
      <w:r>
        <w:rPr>
          <w:rStyle w:val="FootnoteAnchor"/>
          <w:rtl w:val="true"/>
        </w:rPr>
        <w:footnoteReference w:id="1020"/>
      </w:r>
      <w:r>
        <w:rPr>
          <w:rFonts w:ascii="IRNazanin" w:hAnsi="IRNazanin" w:eastAsia="IRNazanin"/>
          <w:color w:val="111111"/>
          <w:sz w:val="28"/>
          <w:sz w:val="28"/>
          <w:szCs w:val="28"/>
          <w:rtl w:val="true"/>
          <w:lang w:bidi="fa-IR"/>
        </w:rPr>
        <w:t>به متواتر، و 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سماء تظلّنی و أیّ أرض تقلّنی إذا قلت فی کتاب اللّه برأیی</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أصحاب الرأی، فإنّهم أعداء السنن، أعیتهم الأحادیث أن یحفظوها فقالوا بالرأی فضلّوا و أضلّوا</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تذهب قرّاؤکم و صلحاؤکم و یتخذ الناس</w:t>
      </w:r>
    </w:p>
    <w:p>
      <w:pPr>
        <w:pStyle w:val="BookText"/>
        <w:rPr/>
      </w:pPr>
      <w:r>
        <w:rPr>
          <w:rFonts w:ascii="IRNazanin" w:hAnsi="IRNazanin" w:eastAsia="IRNazanin"/>
          <w:color w:val="111111"/>
          <w:sz w:val="28"/>
          <w:sz w:val="28"/>
          <w:szCs w:val="28"/>
          <w:rtl w:val="true"/>
          <w:lang w:bidi="fa-IR"/>
        </w:rPr>
        <w:t>رؤساء جهّالا یقیسون الامور برأیهم</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و لم ینکر علیهم فی ذلک</w:t>
      </w:r>
      <w:r>
        <w:rPr>
          <w:rStyle w:val="FootnoteAnchor"/>
          <w:rtl w:val="true"/>
        </w:rPr>
        <w:footnoteReference w:id="1024"/>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الْأَبْصارِ</w:t>
      </w:r>
      <w:r>
        <w:rPr>
          <w:rStyle w:val="FootnoteAnchor"/>
          <w:rtl w:val="true"/>
        </w:rPr>
        <w:footnoteReference w:id="1025"/>
      </w:r>
      <w:r>
        <w:rPr>
          <w:rFonts w:ascii="IRNazanin" w:hAnsi="IRNazanin" w:eastAsia="IRNazanin"/>
          <w:color w:val="111111"/>
          <w:sz w:val="28"/>
          <w:sz w:val="28"/>
          <w:szCs w:val="28"/>
          <w:rtl w:val="true"/>
          <w:lang w:bidi="fa-IR"/>
        </w:rPr>
        <w:t>و بخبر معاذ</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7673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لو تمضمضت بماء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کان علی أبیک دین فقضیته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بالاعتبار الاتعاظ، لأنّه حقیقة فیه، و سیاق الآیة یدلّ علیه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معاذ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 برأیی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w:t>
      </w:r>
      <w:r>
        <w:rPr>
          <w:rStyle w:val="FootnoteAnchor"/>
          <w:rtl w:val="true"/>
        </w:rPr>
        <w:footnoteReference w:id="1028"/>
      </w:r>
      <w:r>
        <w:rPr>
          <w:rFonts w:ascii="IRNazanin" w:hAnsi="IRNazanin" w:eastAsia="IRNazanin"/>
          <w:color w:val="111111"/>
          <w:sz w:val="28"/>
          <w:sz w:val="28"/>
          <w:szCs w:val="28"/>
          <w:rtl w:val="true"/>
          <w:lang w:bidi="fa-IR"/>
        </w:rPr>
        <w:t>ابعث الیّ أبعث</w:t>
      </w:r>
      <w:bookmarkStart w:id="433" w:name="pg2360_37165"/>
    </w:p>
    <w:p>
      <w:pPr>
        <w:pStyle w:val="BookText"/>
        <w:rPr/>
      </w:pPr>
      <w:bookmarkEnd w:id="433"/>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الخبرین أنّ المراد التمثیل لا القیاس، لأنّه علیه السّلام ممنوع منه بقوله</w:t>
      </w:r>
      <w:r>
        <w:rPr>
          <w:rStyle w:val="FootnoteAnchor"/>
          <w:rtl w:val="true"/>
        </w:rPr>
        <w:footnoteReference w:id="1030"/>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Style w:val="FootnoteAnchor"/>
          <w:rtl w:val="true"/>
        </w:rPr>
        <w:footnoteReference w:id="1031"/>
      </w:r>
      <w:r>
        <w:rPr>
          <w:rFonts w:ascii="Amiri" w:hAnsi="Amiri" w:eastAsia="Amiri" w:cs="Amiri"/>
          <w:color w:val="111111"/>
          <w:sz w:val="28"/>
          <w:sz w:val="28"/>
          <w:szCs w:val="28"/>
          <w:rtl w:val="true"/>
          <w:lang w:bidi="ar-SA"/>
        </w:rPr>
        <w:t>، سلّمنا، لکنه علیه السّلام بیّن العلّة فیهما، مع أنّهما خبر</w:t>
      </w:r>
      <w:r>
        <w:rPr>
          <w:rStyle w:val="FootnoteAnchor"/>
          <w:rtl w:val="true"/>
        </w:rPr>
        <w:footnoteReference w:id="1032"/>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نصّ علی العلّة ثمّ علم وجود تلک العلّة فی الفرع فإنّ الحکم یتعدّی إلیه، إذ لولاه لوجد المقتضی مع انتفاء معلوله،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تکون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Style w:val="FootnoteAnchor"/>
          <w:rtl w:val="true"/>
        </w:rPr>
        <w:footnoteReference w:id="1033"/>
      </w:r>
      <w:r>
        <w:rPr>
          <w:rFonts w:ascii="IRNazanin" w:hAnsi="IRNazanin" w:eastAsia="IRNazanin"/>
          <w:color w:val="111111"/>
          <w:sz w:val="28"/>
          <w:sz w:val="28"/>
          <w:szCs w:val="28"/>
          <w:rtl w:val="true"/>
          <w:lang w:bidi="fa-IR"/>
        </w:rPr>
        <w:t>ما نصّ الشارع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 بمحل الوفاق، و إلّا لم تکن العلّة تامّة، و قیاس الضرب علی التأفیف لیس من هذا الباب، لأنّ الحکم فی الفرع أقوی</w:t>
      </w:r>
      <w:r>
        <w:rPr>
          <w:rFonts w:eastAsia="IRNazanin" w:cs="IRNazanin"/>
          <w:color w:val="111111"/>
          <w:sz w:val="28"/>
          <w:szCs w:val="28"/>
          <w:rtl w:val="true"/>
          <w:lang w:bidi="fa-IR"/>
        </w:rPr>
        <w:t>.</w:t>
      </w:r>
    </w:p>
    <w:p>
      <w:pPr>
        <w:pStyle w:val="Heading3"/>
        <w:numPr>
          <w:ilvl w:val="2"/>
          <w:numId w:val="1"/>
        </w:numPr>
        <w:rPr/>
      </w:pPr>
      <w:bookmarkStart w:id="434" w:name="__RefHeading___Toc2792726_3804643083"/>
      <w:bookmarkStart w:id="435" w:name="_Toc166"/>
      <w:bookmarkEnd w:id="434"/>
      <w:r>
        <w:rPr>
          <w:rtl w:val="true"/>
        </w:rPr>
        <w:t>الفصل الثانی</w:t>
      </w:r>
      <w:r>
        <w:rPr>
          <w:rtl w:val="true"/>
        </w:rPr>
        <w:t xml:space="preserve">: </w:t>
      </w:r>
      <w:r>
        <w:rPr>
          <w:rtl w:val="true"/>
        </w:rPr>
        <w:t>فی طرق العلّة و فیه مباحث</w:t>
      </w:r>
      <w:r>
        <w:rPr>
          <w:rtl w:val="true"/>
        </w:rPr>
        <w:t>:</w:t>
      </w:r>
      <w:bookmarkEnd w:id="435"/>
    </w:p>
    <w:p>
      <w:pPr>
        <w:pStyle w:val="Heading4"/>
        <w:numPr>
          <w:ilvl w:val="3"/>
          <w:numId w:val="1"/>
        </w:numPr>
        <w:rPr/>
      </w:pPr>
      <w:bookmarkStart w:id="436" w:name="__RefHeading___Toc2792728_3804643083"/>
      <w:bookmarkStart w:id="437" w:name="_Toc167"/>
      <w:bookmarkEnd w:id="436"/>
      <w:r>
        <w:rPr>
          <w:rtl w:val="true"/>
        </w:rPr>
        <w:t>[</w:t>
      </w:r>
      <w:r>
        <w:rPr>
          <w:rtl w:val="true"/>
        </w:rPr>
        <w:t>البحث</w:t>
      </w:r>
      <w:r>
        <w:rPr>
          <w:rtl w:val="true"/>
        </w:rPr>
        <w:t xml:space="preserve">] </w:t>
      </w:r>
      <w:r>
        <w:rPr>
          <w:rtl w:val="true"/>
        </w:rPr>
        <w:t>الأوّل</w:t>
      </w:r>
      <w:r>
        <w:rPr>
          <w:rtl w:val="true"/>
        </w:rPr>
        <w:t xml:space="preserve">: </w:t>
      </w:r>
      <w:r>
        <w:rPr>
          <w:rtl w:val="true"/>
        </w:rPr>
        <w:t>لمّا بیّنا أنّ القیاس حجة لا مطلقا،</w:t>
      </w:r>
      <w:bookmarkEnd w:id="4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فی الفرع أقوی</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 الشارع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انحصر</w:t>
      </w:r>
    </w:p>
    <w:p>
      <w:pPr>
        <w:pStyle w:val="BookText"/>
        <w:rPr/>
      </w:pPr>
      <w:r>
        <w:rPr>
          <w:rFonts w:ascii="IRNazanin" w:hAnsi="IRNazanin" w:eastAsia="IRNazanin"/>
          <w:color w:val="111111"/>
          <w:sz w:val="28"/>
          <w:sz w:val="28"/>
          <w:szCs w:val="28"/>
          <w:rtl w:val="true"/>
          <w:lang w:bidi="fa-IR"/>
        </w:rPr>
        <w:t>طریق التعلیل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القایسون طرقا اخری، نحن نذکرها و نبیّن ضعفها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قطعیّا فی دلالته علی التعلیل،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لمؤثر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لموجب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ظاهرا، و 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تزداد قوة التعلیل مع الاجتماع،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وقع جوابا عن السؤال،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أفطرت؟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الکفارة، فإنّه</w:t>
      </w:r>
      <w:r>
        <w:rPr>
          <w:rStyle w:val="FootnoteAnchor"/>
          <w:rtl w:val="true"/>
        </w:rPr>
        <w:footnoteReference w:id="1035"/>
      </w:r>
      <w:r>
        <w:rPr>
          <w:rFonts w:ascii="IRNazanin" w:hAnsi="IRNazanin" w:eastAsia="IRNazanin"/>
          <w:color w:val="111111"/>
          <w:sz w:val="28"/>
          <w:sz w:val="28"/>
          <w:szCs w:val="28"/>
          <w:rtl w:val="true"/>
          <w:lang w:bidi="fa-IR"/>
        </w:rPr>
        <w:t>یفید ظن وجوب الکفارة بالإفطار</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إذا ذکر وصفا لو لم یکن مؤثرا لم تکن له فائدة، کما روی أنّه امتنع من الدخول علی قوم عندهم کلب،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تدخل علی بیت بنی</w:t>
      </w:r>
      <w:r>
        <w:rPr>
          <w:rStyle w:val="FootnoteAnchor"/>
          <w:rtl w:val="true"/>
        </w:rPr>
        <w:footnoteReference w:id="1037"/>
      </w:r>
      <w:r>
        <w:rPr>
          <w:rFonts w:ascii="IRNazanin" w:hAnsi="IRNazanin" w:eastAsia="IRNazanin"/>
          <w:color w:val="111111"/>
          <w:sz w:val="28"/>
          <w:sz w:val="28"/>
          <w:szCs w:val="28"/>
          <w:rtl w:val="true"/>
          <w:lang w:bidi="fa-IR"/>
        </w:rPr>
        <w:t>فلان و عندهم هرّة،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لیست بنجسة، إنّها من الطوّافین علیکم أو الطوّافات</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لکونها من الطوّافین أثر فی التطهیر لم یکن لذکره فائدة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کتقریره علی وصف الشی‌ء المسئول عنه،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ینقص إذا جفّ؟ قیل نعم، فقال</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إذن</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کتقریره علی حکم ما یشبه المسئول عنه، و ینبّه علی وجه الشبه، فیعلم أنّ وجه الشبه هو العلّة،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لو تمضمضت بماء ثمّ</w:t>
      </w:r>
      <w:bookmarkStart w:id="438" w:name="pg2360_37167"/>
    </w:p>
    <w:p>
      <w:pPr>
        <w:pStyle w:val="BookText"/>
        <w:rPr/>
      </w:pPr>
      <w:bookmarkEnd w:id="438"/>
      <w:r>
        <w:rPr>
          <w:rFonts w:ascii="IRNazanin" w:hAnsi="IRNazanin" w:eastAsia="IRNazanin"/>
          <w:color w:val="111111"/>
          <w:sz w:val="28"/>
          <w:sz w:val="28"/>
          <w:szCs w:val="28"/>
          <w:rtl w:val="true"/>
          <w:lang w:bidi="fa-IR"/>
        </w:rPr>
        <w:t>مججته</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نبّه بهذا علی عدم إفساد</w:t>
      </w:r>
      <w:r>
        <w:rPr>
          <w:rStyle w:val="FootnoteAnchor"/>
          <w:rtl w:val="true"/>
        </w:rPr>
        <w:footnoteReference w:id="1042"/>
      </w:r>
      <w:r>
        <w:rPr>
          <w:rFonts w:ascii="IRNazanin" w:hAnsi="IRNazanin" w:eastAsia="IRNazanin"/>
          <w:color w:val="111111"/>
          <w:sz w:val="28"/>
          <w:sz w:val="28"/>
          <w:szCs w:val="28"/>
          <w:rtl w:val="true"/>
          <w:lang w:bidi="fa-IR"/>
        </w:rPr>
        <w:t>الصوم بالمضمضة و القبلة، لانتفاء حصول المطلوب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کالفرق بوصف صالح للتعلیل،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القاتل لا یرث</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الفارق به بین الأولاد</w:t>
      </w:r>
      <w:r>
        <w:rPr>
          <w:rStyle w:val="FootnoteAnchor"/>
          <w:rtl w:val="true"/>
        </w:rPr>
        <w:footnoteReference w:id="1044"/>
      </w:r>
      <w:r>
        <w:rPr>
          <w:rFonts w:ascii="IRNazanin" w:hAnsi="IRNazanin" w:eastAsia="IRNazanin"/>
          <w:color w:val="111111"/>
          <w:sz w:val="28"/>
          <w:sz w:val="28"/>
          <w:szCs w:val="28"/>
          <w:rtl w:val="true"/>
          <w:lang w:bidi="fa-IR"/>
        </w:rPr>
        <w:t>، و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الجنسان فبیعوا کیف شئتم</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مع نهیه عن بیع البر بالبر متفاضلا</w:t>
      </w:r>
      <w:r>
        <w:rPr>
          <w:rStyle w:val="FootnoteAnchor"/>
          <w:rtl w:val="true"/>
        </w:rPr>
        <w:footnoteReference w:id="1046"/>
      </w:r>
      <w:r>
        <w:rPr>
          <w:rFonts w:ascii="IRNazanin" w:hAnsi="IRNazanin" w:eastAsia="IRNazanin"/>
          <w:color w:val="111111"/>
          <w:sz w:val="28"/>
          <w:sz w:val="28"/>
          <w:szCs w:val="28"/>
          <w:rtl w:val="true"/>
          <w:lang w:bidi="fa-IR"/>
        </w:rPr>
        <w:t>، فإنّه یدل علی أنّ اختلاف الجنس علّة 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کنهیه عمّا یمنع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الإیماء یدل علی العلّیة ظاهرا و إن لم یکن مناسبا، لاستقباح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 بالعالم</w:t>
      </w:r>
      <w:r>
        <w:rPr>
          <w:rFonts w:eastAsia="IRNazanin" w:cs="IRNazanin"/>
          <w:color w:val="111111"/>
          <w:sz w:val="28"/>
          <w:szCs w:val="28"/>
          <w:rtl w:val="true"/>
          <w:lang w:bidi="fa-IR"/>
        </w:rPr>
        <w:t>).</w:t>
      </w:r>
    </w:p>
    <w:p>
      <w:pPr>
        <w:pStyle w:val="Heading4"/>
        <w:numPr>
          <w:ilvl w:val="3"/>
          <w:numId w:val="1"/>
        </w:numPr>
        <w:rPr/>
      </w:pPr>
      <w:bookmarkStart w:id="439" w:name="__RefHeading___Toc2792730_3804643083"/>
      <w:bookmarkStart w:id="440" w:name="_Toc168"/>
      <w:bookmarkEnd w:id="439"/>
      <w:r>
        <w:rPr>
          <w:rtl w:val="true"/>
        </w:rPr>
        <w:t>البحث الثانی</w:t>
      </w:r>
      <w:r>
        <w:rPr>
          <w:rtl w:val="true"/>
        </w:rPr>
        <w:t xml:space="preserve">: </w:t>
      </w:r>
      <w:r>
        <w:rPr>
          <w:rtl w:val="true"/>
        </w:rPr>
        <w:t>فی أنّ المناسبة لا تقتضی العلّیة</w:t>
      </w:r>
      <w:r>
        <w:rPr>
          <w:rtl w:val="true"/>
        </w:rPr>
        <w:t>.</w:t>
      </w:r>
      <w:bookmarkEnd w:id="440"/>
    </w:p>
    <w:p>
      <w:pPr>
        <w:pStyle w:val="Heading5"/>
        <w:numPr>
          <w:ilvl w:val="4"/>
          <w:numId w:val="1"/>
        </w:numPr>
        <w:rPr/>
      </w:pPr>
      <w:bookmarkStart w:id="441" w:name="__RefHeading___Toc2792732_3804643083"/>
      <w:bookmarkStart w:id="442" w:name="_Toc169"/>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یفضی إلی موافقة الغرض تحصیلا و إبقاء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الملائم لأفعال العقلاء فی العادات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بالمصالح الدنیویة فإن</w:t>
      </w:r>
      <w:r>
        <w:rPr>
          <w:rStyle w:val="FootnoteAnchor"/>
          <w:rtl w:val="true"/>
        </w:rPr>
        <w:footnoteReference w:id="1047"/>
      </w:r>
      <w:r>
        <w:rPr>
          <w:rFonts w:ascii="IRNazanin" w:hAnsi="IRNazanin" w:eastAsia="IRNazanin"/>
          <w:color w:val="111111"/>
          <w:sz w:val="28"/>
          <w:sz w:val="28"/>
          <w:szCs w:val="28"/>
          <w:rtl w:val="true"/>
          <w:lang w:bidi="fa-IR"/>
        </w:rPr>
        <w:t>کان فی محل الضرورة، فهو ما یتضمن حفظ المقاصد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 المال، و النسب،</w:t>
      </w:r>
    </w:p>
    <w:p>
      <w:pPr>
        <w:pStyle w:val="BookText"/>
        <w:rPr/>
      </w:pPr>
      <w:r>
        <w:rPr>
          <w:rFonts w:ascii="IRNazanin" w:hAnsi="IRNazanin" w:eastAsia="IRNazanin"/>
          <w:color w:val="111111"/>
          <w:sz w:val="28"/>
          <w:sz w:val="28"/>
          <w:szCs w:val="28"/>
          <w:rtl w:val="true"/>
          <w:lang w:bidi="fa-IR"/>
        </w:rPr>
        <w:t>و العقل، و الدّین؛ بشرع</w:t>
      </w:r>
      <w:r>
        <w:rPr>
          <w:rStyle w:val="FootnoteAnchor"/>
          <w:rtl w:val="true"/>
        </w:rPr>
        <w:footnoteReference w:id="1048"/>
      </w:r>
      <w:r>
        <w:rPr>
          <w:rFonts w:ascii="IRNazanin" w:hAnsi="IRNazanin" w:eastAsia="IRNazanin"/>
          <w:color w:val="111111"/>
          <w:sz w:val="28"/>
          <w:sz w:val="28"/>
          <w:szCs w:val="28"/>
          <w:rtl w:val="true"/>
          <w:lang w:bidi="fa-IR"/>
        </w:rPr>
        <w:t>القصاص، و الضمان، و الحدّ، و القتل، و تحریم المسکرات</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محل الحاجة، فکتمکین</w:t>
      </w:r>
      <w:r>
        <w:rPr>
          <w:rStyle w:val="FootnoteAnchor"/>
          <w:rtl w:val="true"/>
        </w:rPr>
        <w:footnoteReference w:id="1050"/>
      </w:r>
      <w:r>
        <w:rPr>
          <w:rFonts w:ascii="IRNazanin" w:hAnsi="IRNazanin" w:eastAsia="IRNazanin"/>
          <w:color w:val="111111"/>
          <w:sz w:val="28"/>
          <w:sz w:val="28"/>
          <w:szCs w:val="28"/>
          <w:rtl w:val="true"/>
          <w:lang w:bidi="fa-IR"/>
        </w:rPr>
        <w:t>الولی من التزویج لخوف فوات الکفؤ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للضرورة و الحاجة، فهو ما یجری مجری التحسینات، کالتقریر علی مکارم الأخلاق، کتحریم تناول القاذورات، و سلب أهلیة العبد للمناصب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تعلّق بالمصالح الاخرویّة فهی الحکمة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الإقناعی، و هو ما تظهر مناسبته ثمّ عند البحث یظهر الخلاف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المناسبة لا تدلّ علی العلّیة، لجواز کون العلّة غیر ذلک الوصف، أو عدم کون الحکم معللا، و بالخصوص علی رأی الأشاعرة الذین منعوا من التعلیل فی أحکام اللّه تعالی بالأغراض</w:t>
      </w:r>
      <w:r>
        <w:rPr>
          <w:rStyle w:val="FootnoteAnchor"/>
          <w:rtl w:val="true"/>
        </w:rPr>
        <w:footnoteReference w:id="1051"/>
      </w:r>
      <w:r>
        <w:rPr>
          <w:rFonts w:ascii="IRNazanin" w:hAnsi="IRNazanin" w:eastAsia="IRNazanin"/>
          <w:color w:val="111111"/>
          <w:sz w:val="28"/>
          <w:sz w:val="28"/>
          <w:szCs w:val="28"/>
          <w:rtl w:val="true"/>
          <w:lang w:bidi="fa-IR"/>
        </w:rPr>
        <w:t>، و لا یتأتّی علی رأی المعتزلة أیضا</w:t>
      </w:r>
      <w:r>
        <w:rPr>
          <w:rStyle w:val="FootnoteAnchor"/>
          <w:rtl w:val="true"/>
        </w:rPr>
        <w:footnoteReference w:id="1052"/>
      </w:r>
      <w:r>
        <w:rPr>
          <w:rFonts w:ascii="IRNazanin" w:hAnsi="IRNazanin" w:eastAsia="IRNazanin"/>
          <w:color w:val="111111"/>
          <w:sz w:val="28"/>
          <w:sz w:val="28"/>
          <w:szCs w:val="28"/>
          <w:rtl w:val="true"/>
          <w:lang w:bidi="fa-IR"/>
        </w:rPr>
        <w:t>، لتجویز ترجیح أحد الطرفین من المرید لا لمرجح، أو لمصلحة مجهولة</w:t>
      </w:r>
      <w:r>
        <w:rPr>
          <w:rFonts w:eastAsia="IRNazanin" w:cs="IRNazanin"/>
          <w:color w:val="111111"/>
          <w:sz w:val="28"/>
          <w:szCs w:val="28"/>
          <w:rtl w:val="true"/>
          <w:lang w:bidi="fa-IR"/>
        </w:rPr>
        <w:t>.</w:t>
      </w:r>
      <w:bookmarkStart w:id="443" w:name="pg2360_37169"/>
    </w:p>
    <w:p>
      <w:pPr>
        <w:pStyle w:val="Heading5"/>
        <w:numPr>
          <w:ilvl w:val="4"/>
          <w:numId w:val="1"/>
        </w:numPr>
        <w:rPr/>
      </w:pPr>
      <w:bookmarkStart w:id="444" w:name="__RefHeading___Toc2792734_3804643083"/>
      <w:bookmarkStart w:id="445" w:name="_Toc170"/>
      <w:bookmarkEnd w:id="443"/>
      <w:bookmarkEnd w:id="444"/>
      <w:r>
        <w:rPr>
          <w:rtl w:val="true"/>
        </w:rPr>
        <w:t>تذنیب</w:t>
      </w:r>
      <w:bookmarkEnd w:id="445"/>
    </w:p>
    <w:p>
      <w:pPr>
        <w:pStyle w:val="BookText"/>
        <w:rPr/>
      </w:pPr>
      <w:r>
        <w:rPr>
          <w:rFonts w:ascii="Amiri" w:hAnsi="Amiri" w:eastAsia="Amiri" w:cs="Amiri"/>
          <w:color w:val="111111"/>
          <w:sz w:val="28"/>
          <w:sz w:val="28"/>
          <w:szCs w:val="28"/>
          <w:rtl w:val="true"/>
          <w:lang w:bidi="ar-SA"/>
        </w:rPr>
        <w:t>قسّم القائلون بالعلّیة</w:t>
      </w:r>
      <w:r>
        <w:rPr>
          <w:rStyle w:val="FootnoteAnchor"/>
          <w:rtl w:val="true"/>
        </w:rPr>
        <w:footnoteReference w:id="1053"/>
      </w:r>
      <w:r>
        <w:rPr>
          <w:rFonts w:ascii="IRNazanin" w:hAnsi="IRNazanin" w:eastAsia="IRNazanin"/>
          <w:color w:val="111111"/>
          <w:sz w:val="28"/>
          <w:sz w:val="28"/>
          <w:szCs w:val="28"/>
          <w:rtl w:val="true"/>
          <w:lang w:bidi="fa-IR"/>
        </w:rPr>
        <w:t>المناسب</w:t>
      </w:r>
      <w:r>
        <w:rPr>
          <w:rStyle w:val="FootnoteAnchor"/>
          <w:rtl w:val="true"/>
        </w:rPr>
        <w:footnoteReference w:id="1054"/>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أنّ الشرع</w:t>
      </w:r>
      <w:r>
        <w:rPr>
          <w:rStyle w:val="FootnoteAnchor"/>
          <w:rtl w:val="true"/>
        </w:rPr>
        <w:footnoteReference w:id="1055"/>
      </w:r>
      <w:r>
        <w:rPr>
          <w:rFonts w:ascii="IRNazanin" w:hAnsi="IRNazanin" w:eastAsia="IRNazanin"/>
          <w:color w:val="111111"/>
          <w:sz w:val="28"/>
          <w:sz w:val="28"/>
          <w:szCs w:val="28"/>
          <w:rtl w:val="true"/>
          <w:lang w:bidi="fa-IR"/>
        </w:rPr>
        <w:t>اعتبره، 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w:t>
      </w:r>
      <w:r>
        <w:rPr>
          <w:rStyle w:val="FootnoteAnchor"/>
          <w:rtl w:val="true"/>
        </w:rPr>
        <w:footnoteReference w:id="1056"/>
      </w:r>
      <w:r>
        <w:rPr>
          <w:rFonts w:ascii="IRNazanin" w:hAnsi="IRNazanin" w:eastAsia="IRNazanin"/>
          <w:color w:val="111111"/>
          <w:sz w:val="28"/>
          <w:sz w:val="28"/>
          <w:szCs w:val="28"/>
          <w:rtl w:val="true"/>
          <w:lang w:bidi="fa-IR"/>
        </w:rPr>
        <w:t>یعتبره، 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یعتبر نوعه فی نوع الحکم، کالإسکار المعتبر فی التحریم، فإنّ العلّة واحدة فی الخمر و النبیذ، و الحکم واحد، و إنّما اختلفا فیهما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یعتبر تأثیر نوعه فی جنس الحکم، کالاخوّة من الأبوین المقتضیة للتقدم</w:t>
      </w:r>
      <w:r>
        <w:rPr>
          <w:rStyle w:val="FootnoteAnchor"/>
          <w:rtl w:val="true"/>
        </w:rPr>
        <w:footnoteReference w:id="1057"/>
      </w:r>
      <w:r>
        <w:rPr>
          <w:rFonts w:ascii="IRNazanin" w:hAnsi="IRNazanin" w:eastAsia="IRNazanin"/>
          <w:color w:val="111111"/>
          <w:sz w:val="28"/>
          <w:sz w:val="28"/>
          <w:szCs w:val="28"/>
          <w:rtl w:val="true"/>
          <w:lang w:bidi="fa-IR"/>
        </w:rPr>
        <w:t>فی المیراث، فیقتضیه فی النکاح، فالاخوّة نوع فی الموضعین، و ولایة النکاح مخالفة لولایة المیراث فی النوع و إن اتحدتا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یعتبر تأثیر جنس الوصف فی نوع الحکم، کما یسقط قضاء صلاة الحائض بالمشقّة، و قد ظهر تأثیر جنس المشقّة فی إسقاط قضاء الصلاة، کتأثیر مشقّة السفر فی إسقاط قضاء الرکعتین الساقطتین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یعتبر تأثیر الجنس فی الجنس، کتعلیل</w:t>
      </w:r>
      <w:r>
        <w:rPr>
          <w:rStyle w:val="FootnoteAnchor"/>
          <w:rtl w:val="true"/>
        </w:rPr>
        <w:footnoteReference w:id="1058"/>
      </w:r>
      <w:r>
        <w:rPr>
          <w:rFonts w:ascii="IRNazanin" w:hAnsi="IRNazanin" w:eastAsia="IRNazanin"/>
          <w:color w:val="111111"/>
          <w:sz w:val="28"/>
          <w:sz w:val="28"/>
          <w:szCs w:val="28"/>
          <w:rtl w:val="true"/>
          <w:lang w:bidi="fa-IR"/>
        </w:rPr>
        <w:t>الأحکام بالحکم التی لم تشهد لها اصول معیّنة، کإقامة الشرب مقام القذف، و کإقامة</w:t>
      </w:r>
      <w:r>
        <w:rPr>
          <w:rStyle w:val="FootnoteAnchor"/>
          <w:rtl w:val="true"/>
        </w:rPr>
        <w:footnoteReference w:id="1059"/>
      </w:r>
      <w:r>
        <w:rPr>
          <w:rFonts w:ascii="IRNazanin" w:hAnsi="IRNazanin" w:eastAsia="IRNazanin"/>
          <w:color w:val="111111"/>
          <w:sz w:val="28"/>
          <w:sz w:val="28"/>
          <w:szCs w:val="28"/>
          <w:rtl w:val="true"/>
          <w:lang w:bidi="fa-IR"/>
        </w:rPr>
        <w:t>الخلوة مقام الوطء فی الحرمة، لاشتراکهما فی إقامة مظنة الشی‌ء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أقواها الأوّل، ثمّ مراتب الأجناس</w:t>
      </w:r>
    </w:p>
    <w:p>
      <w:pPr>
        <w:pStyle w:val="BookText"/>
        <w:rPr/>
      </w:pPr>
      <w:r>
        <w:rPr>
          <w:rFonts w:ascii="IRNazanin" w:hAnsi="IRNazanin" w:eastAsia="IRNazanin"/>
          <w:color w:val="111111"/>
          <w:sz w:val="28"/>
          <w:sz w:val="28"/>
          <w:szCs w:val="28"/>
          <w:rtl w:val="true"/>
          <w:lang w:bidi="fa-IR"/>
        </w:rPr>
        <w:t>متفاوتة، فیتفاوت الظن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المناسب الذی علم أنّ الشرع ألغاه،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المجهول إنّما یکون بحسب أوصاف أخصّ من کونه مصلحة</w:t>
      </w:r>
      <w:r>
        <w:rPr>
          <w:rStyle w:val="FootnoteAnchor"/>
          <w:rtl w:val="true"/>
        </w:rPr>
        <w:footnoteReference w:id="1060"/>
      </w:r>
      <w:r>
        <w:rPr>
          <w:rFonts w:ascii="Amiri" w:hAnsi="Amiri" w:eastAsia="Amiri" w:cs="Amiri"/>
          <w:color w:val="111111"/>
          <w:sz w:val="28"/>
          <w:sz w:val="28"/>
          <w:szCs w:val="28"/>
          <w:rtl w:val="true"/>
          <w:lang w:bidi="ar-SA"/>
        </w:rPr>
        <w:t>، لأنّ عموم المصلحة</w:t>
      </w:r>
      <w:r>
        <w:rPr>
          <w:rStyle w:val="FootnoteAnchor"/>
          <w:rtl w:val="true"/>
        </w:rPr>
        <w:footnoteReference w:id="1061"/>
      </w:r>
      <w:r>
        <w:rPr>
          <w:rFonts w:ascii="IRNazanin" w:hAnsi="IRNazanin" w:eastAsia="IRNazanin"/>
          <w:color w:val="111111"/>
          <w:sz w:val="28"/>
          <w:sz w:val="28"/>
          <w:szCs w:val="28"/>
          <w:rtl w:val="true"/>
          <w:lang w:bidi="fa-IR"/>
        </w:rPr>
        <w:t>معتبر، و هذا یسمّی المصالح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 شهد</w:t>
      </w:r>
      <w:r>
        <w:rPr>
          <w:rStyle w:val="FootnoteAnchor"/>
          <w:rtl w:val="true"/>
        </w:rPr>
        <w:footnoteReference w:id="1062"/>
      </w:r>
      <w:r>
        <w:rPr>
          <w:rFonts w:ascii="IRNazanin" w:hAnsi="IRNazanin" w:eastAsia="IRNazanin"/>
          <w:color w:val="111111"/>
          <w:sz w:val="28"/>
          <w:sz w:val="28"/>
          <w:szCs w:val="28"/>
          <w:rtl w:val="true"/>
          <w:lang w:bidi="fa-IR"/>
        </w:rPr>
        <w:t>له أصل معیّن، و هو الذی أثّر نوع الوصف فی نوع الحکم، و أثّر جنسه فی جنسه، کقیاس المثقّل علی المحدد، فإنّ خصوص القتل معتبر فی خصوص کونه قصاصا، و عموم جنس الجنایة معتبر فی عموم جنس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ملائم، و لا شهد</w:t>
      </w:r>
      <w:r>
        <w:rPr>
          <w:rStyle w:val="FootnoteAnchor"/>
          <w:rtl w:val="true"/>
        </w:rPr>
        <w:footnoteReference w:id="1063"/>
      </w:r>
      <w:r>
        <w:rPr>
          <w:rFonts w:ascii="IRNazanin" w:hAnsi="IRNazanin" w:eastAsia="IRNazanin"/>
          <w:color w:val="111111"/>
          <w:sz w:val="28"/>
          <w:sz w:val="28"/>
          <w:szCs w:val="28"/>
          <w:rtl w:val="true"/>
          <w:lang w:bidi="fa-IR"/>
        </w:rPr>
        <w:t>له أصل، کحرمان القاتل عن المیراث معارضة له بنقیض قصده لو فقد النصّ، و هو مردود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ملائم لم یشهد له أصل، بل اعتبر جنسه فی جنسه، لا نوعه فی نوعه، کالمصالح المرسلة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شهد</w:t>
      </w:r>
      <w:r>
        <w:rPr>
          <w:rStyle w:val="FootnoteAnchor"/>
          <w:rtl w:val="true"/>
        </w:rPr>
        <w:footnoteReference w:id="1064"/>
      </w:r>
      <w:r>
        <w:rPr>
          <w:rFonts w:ascii="IRNazanin" w:hAnsi="IRNazanin" w:eastAsia="IRNazanin"/>
          <w:color w:val="111111"/>
          <w:sz w:val="28"/>
          <w:sz w:val="28"/>
          <w:szCs w:val="28"/>
          <w:rtl w:val="true"/>
          <w:lang w:bidi="fa-IR"/>
        </w:rPr>
        <w:t>له أصل معیّن، لکنه غیر ملائم، بل شهد</w:t>
      </w:r>
      <w:r>
        <w:rPr>
          <w:rStyle w:val="FootnoteAnchor"/>
          <w:rtl w:val="true"/>
        </w:rPr>
        <w:footnoteReference w:id="1065"/>
      </w:r>
      <w:r>
        <w:rPr>
          <w:rFonts w:ascii="IRNazanin" w:hAnsi="IRNazanin" w:eastAsia="IRNazanin"/>
          <w:color w:val="111111"/>
          <w:sz w:val="28"/>
          <w:sz w:val="28"/>
          <w:szCs w:val="28"/>
          <w:rtl w:val="true"/>
          <w:lang w:bidi="fa-IR"/>
        </w:rPr>
        <w:t>نوعه لنوعه، لا جنسه لجنسه، کالإسکار المناسب لتحریم التناول صیانة للعقل، و شهد</w:t>
      </w:r>
      <w:r>
        <w:rPr>
          <w:rStyle w:val="FootnoteAnchor"/>
          <w:rtl w:val="true"/>
        </w:rPr>
        <w:footnoteReference w:id="1066"/>
      </w:r>
      <w:r>
        <w:rPr>
          <w:rFonts w:ascii="IRNazanin" w:hAnsi="IRNazanin" w:eastAsia="IRNazanin"/>
          <w:color w:val="111111"/>
          <w:sz w:val="28"/>
          <w:sz w:val="28"/>
          <w:szCs w:val="28"/>
          <w:rtl w:val="true"/>
          <w:lang w:bidi="fa-IR"/>
        </w:rPr>
        <w:t>له</w:t>
      </w:r>
      <w:bookmarkStart w:id="446" w:name="pg2360_37171"/>
    </w:p>
    <w:p>
      <w:pPr>
        <w:pStyle w:val="BookText"/>
        <w:rPr/>
      </w:pPr>
      <w:bookmarkEnd w:id="446"/>
      <w:r>
        <w:rPr>
          <w:rFonts w:ascii="IRNazanin" w:hAnsi="IRNazanin" w:eastAsia="IRNazanin"/>
          <w:color w:val="111111"/>
          <w:sz w:val="28"/>
          <w:sz w:val="28"/>
          <w:szCs w:val="28"/>
          <w:rtl w:val="true"/>
          <w:lang w:bidi="fa-IR"/>
        </w:rPr>
        <w:t>الخمر بالاعتبار، و لم تشهد له سائر الاصول، و هو المناسب الغریب</w:t>
      </w:r>
      <w:r>
        <w:rPr>
          <w:rFonts w:eastAsia="IRNazanin" w:cs="IRNazanin"/>
          <w:color w:val="111111"/>
          <w:sz w:val="28"/>
          <w:szCs w:val="28"/>
          <w:rtl w:val="true"/>
          <w:lang w:bidi="fa-IR"/>
        </w:rPr>
        <w:t>.</w:t>
      </w:r>
    </w:p>
    <w:p>
      <w:pPr>
        <w:pStyle w:val="Heading4"/>
        <w:numPr>
          <w:ilvl w:val="3"/>
          <w:numId w:val="1"/>
        </w:numPr>
        <w:rPr/>
      </w:pPr>
      <w:bookmarkStart w:id="447" w:name="__RefHeading___Toc2792736_3804643083"/>
      <w:bookmarkStart w:id="448" w:name="_Toc171"/>
      <w:bookmarkEnd w:id="447"/>
      <w:r>
        <w:rPr>
          <w:rtl w:val="true"/>
        </w:rPr>
        <w:t>البحث الثالث</w:t>
      </w:r>
      <w:r>
        <w:rPr>
          <w:rtl w:val="true"/>
        </w:rPr>
        <w:t xml:space="preserve">: </w:t>
      </w:r>
      <w:r>
        <w:rPr>
          <w:rtl w:val="true"/>
        </w:rPr>
        <w:t>فی أنّ الشبه لیس دالا علی العلّیة</w:t>
      </w:r>
      <w:r>
        <w:rPr>
          <w:rtl w:val="true"/>
        </w:rPr>
        <w:t>.</w:t>
      </w:r>
      <w:bookmarkEnd w:id="448"/>
    </w:p>
    <w:p>
      <w:pPr>
        <w:pStyle w:val="BookText"/>
        <w:rPr/>
      </w:pPr>
      <w:r>
        <w:rPr>
          <w:rFonts w:ascii="IRNazanin" w:hAnsi="IRNazanin" w:eastAsia="IRNazanin"/>
          <w:color w:val="111111"/>
          <w:sz w:val="28"/>
          <w:sz w:val="28"/>
          <w:szCs w:val="28"/>
          <w:rtl w:val="true"/>
          <w:lang w:bidi="fa-IR"/>
        </w:rPr>
        <w:t>الوصف الذی لا یناسب الحکم إن کان مستلزما للمناسب سمّی شبها، و إن لم یکن مستلزما سمّی طردا، و لیس بحجة، لأنّه لیس بمناسب، فیکون مردودا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الذی لا یناسب الحکم، لکن قد عرف بالنصّ تأثیر جنسه القریب فی الجنس القریب لذلک الحکم</w:t>
      </w:r>
      <w:r>
        <w:rPr>
          <w:rStyle w:val="FootnoteAnchor"/>
          <w:rtl w:val="true"/>
        </w:rPr>
        <w:footnoteReference w:id="1067"/>
      </w:r>
      <w:r>
        <w:rPr>
          <w:rFonts w:ascii="IRNazanin" w:hAnsi="IRNazanin" w:eastAsia="IRNazanin"/>
          <w:color w:val="111111"/>
          <w:sz w:val="28"/>
          <w:sz w:val="28"/>
          <w:szCs w:val="28"/>
          <w:rtl w:val="true"/>
          <w:lang w:bidi="fa-IR"/>
        </w:rPr>
        <w:t>، فمن حیث إنّه غیر مناسب یظن عدم اعتباره فی ذلک الحکم، و من حیث إنّه علم تأثیر جنسه القریب فی الجنس القریب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سائر الأوصاف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استناد الحکم إلیه، و لیس علّة أیضا، لما تقدم</w:t>
      </w:r>
      <w:r>
        <w:rPr>
          <w:rFonts w:eastAsia="IRNazanin" w:cs="IRNazanin"/>
          <w:color w:val="111111"/>
          <w:sz w:val="28"/>
          <w:szCs w:val="28"/>
          <w:rtl w:val="true"/>
          <w:lang w:bidi="fa-IR"/>
        </w:rPr>
        <w:t>.</w:t>
      </w:r>
    </w:p>
    <w:p>
      <w:pPr>
        <w:pStyle w:val="Heading4"/>
        <w:numPr>
          <w:ilvl w:val="3"/>
          <w:numId w:val="1"/>
        </w:numPr>
        <w:rPr/>
      </w:pPr>
      <w:bookmarkStart w:id="449" w:name="__RefHeading___Toc2792738_3804643083"/>
      <w:bookmarkStart w:id="450" w:name="_Toc172"/>
      <w:bookmarkEnd w:id="449"/>
      <w:r>
        <w:rPr>
          <w:rtl w:val="true"/>
        </w:rPr>
        <w:t>البحث الرابع</w:t>
      </w:r>
      <w:r>
        <w:rPr>
          <w:rtl w:val="true"/>
        </w:rPr>
        <w:t xml:space="preserve">: </w:t>
      </w:r>
      <w:r>
        <w:rPr>
          <w:rtl w:val="true"/>
        </w:rPr>
        <w:t>فی الدوران،</w:t>
      </w:r>
      <w:bookmarkEnd w:id="450"/>
    </w:p>
    <w:p>
      <w:pPr>
        <w:pStyle w:val="BookText"/>
        <w:rPr/>
      </w:pPr>
      <w:r>
        <w:rPr>
          <w:rFonts w:ascii="IRNazanin" w:hAnsi="IRNazanin" w:eastAsia="IRNazanin"/>
          <w:color w:val="111111"/>
          <w:sz w:val="28"/>
          <w:sz w:val="28"/>
          <w:szCs w:val="28"/>
          <w:rtl w:val="true"/>
          <w:lang w:bidi="fa-IR"/>
        </w:rPr>
        <w:t>و هو الاستلزام فی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الأوّل الطرد، و الثانی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یقع فی صورة واحدة، کالخمر المستلزم إسکاره للتحریم فیه، و عدمه لعدمه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یقع فی صورتین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بحجة، لوجوده فی العلّة و المعلول المتساویین، و أجزاء العلّة، و شرائط المعلول المساوی</w:t>
      </w:r>
      <w:r>
        <w:rPr>
          <w:rStyle w:val="FootnoteAnchor"/>
          <w:rtl w:val="true"/>
        </w:rPr>
        <w:footnoteReference w:id="1068"/>
      </w:r>
      <w:r>
        <w:rPr>
          <w:rFonts w:ascii="IRNazanin" w:hAnsi="IRNazanin" w:eastAsia="IRNazanin"/>
          <w:color w:val="111111"/>
          <w:sz w:val="28"/>
          <w:sz w:val="28"/>
          <w:szCs w:val="28"/>
          <w:rtl w:val="true"/>
          <w:lang w:bidi="fa-IR"/>
        </w:rPr>
        <w:t>، و الحدّ و المحدود، و الجوهر و العرض، و المتضایفین</w:t>
      </w:r>
      <w:r>
        <w:rPr>
          <w:rStyle w:val="FootnoteAnchor"/>
          <w:rtl w:val="true"/>
        </w:rPr>
        <w:footnoteReference w:id="1069"/>
      </w:r>
      <w:r>
        <w:rPr>
          <w:rFonts w:ascii="IRNazanin" w:hAnsi="IRNazanin" w:eastAsia="IRNazanin"/>
          <w:color w:val="111111"/>
          <w:sz w:val="28"/>
          <w:sz w:val="28"/>
          <w:szCs w:val="28"/>
          <w:rtl w:val="true"/>
          <w:lang w:bidi="fa-IR"/>
        </w:rPr>
        <w:t>، و الحرکة و الزمان، و أحد المعلولین المتساویین مع الآخر</w:t>
      </w:r>
      <w:r>
        <w:rPr>
          <w:rFonts w:eastAsia="IRNazanin" w:cs="IRNazanin"/>
          <w:color w:val="111111"/>
          <w:sz w:val="28"/>
          <w:szCs w:val="28"/>
          <w:rtl w:val="true"/>
          <w:lang w:bidi="fa-IR"/>
        </w:rPr>
        <w:t>.</w:t>
      </w:r>
      <w:bookmarkStart w:id="451" w:name="pg2360_37172"/>
    </w:p>
    <w:p>
      <w:pPr>
        <w:pStyle w:val="Heading4"/>
        <w:numPr>
          <w:ilvl w:val="3"/>
          <w:numId w:val="1"/>
        </w:numPr>
        <w:rPr/>
      </w:pPr>
      <w:bookmarkStart w:id="452" w:name="__RefHeading___Toc2792740_3804643083"/>
      <w:bookmarkStart w:id="453" w:name="_Toc173"/>
      <w:bookmarkEnd w:id="451"/>
      <w:bookmarkEnd w:id="452"/>
      <w:r>
        <w:rPr>
          <w:rtl w:val="true"/>
        </w:rPr>
        <w:t>البحث الخامس</w:t>
      </w:r>
      <w:r>
        <w:rPr>
          <w:rtl w:val="true"/>
        </w:rPr>
        <w:t xml:space="preserve">: </w:t>
      </w:r>
      <w:r>
        <w:rPr>
          <w:rtl w:val="true"/>
        </w:rPr>
        <w:t>فی السبر و التقسیم</w:t>
      </w:r>
      <w:r>
        <w:rPr>
          <w:rtl w:val="true"/>
        </w:rPr>
        <w:t>.</w:t>
      </w:r>
      <w:bookmarkEnd w:id="453"/>
    </w:p>
    <w:p>
      <w:pPr>
        <w:pStyle w:val="BookText"/>
        <w:rPr/>
      </w:pPr>
      <w:r>
        <w:rPr>
          <w:rFonts w:ascii="IRNazanin" w:hAnsi="IRNazanin" w:eastAsia="IRNazanin"/>
          <w:color w:val="111111"/>
          <w:sz w:val="28"/>
          <w:sz w:val="28"/>
          <w:szCs w:val="28"/>
          <w:rtl w:val="true"/>
          <w:lang w:bidi="fa-IR"/>
        </w:rPr>
        <w:t>و هو عبارة عن عدّ أوصاف ادعی بالاستقراء الانحصار فیها، و سلب العلّیة عن کل واحد إلّا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طریقا صالحا، لجواز الاستغناء عن العلّة، فإنّه لو کان کل حکم مستندا إلی علّة، لزم التسلسل، و</w:t>
      </w:r>
      <w:r>
        <w:rPr>
          <w:rStyle w:val="FootnoteAnchor"/>
          <w:rtl w:val="true"/>
        </w:rPr>
        <w:footnoteReference w:id="1070"/>
      </w:r>
      <w:r>
        <w:rPr>
          <w:rFonts w:ascii="IRNazanin" w:hAnsi="IRNazanin" w:eastAsia="IRNazanin"/>
          <w:color w:val="111111"/>
          <w:sz w:val="28"/>
          <w:sz w:val="28"/>
          <w:szCs w:val="28"/>
          <w:rtl w:val="true"/>
          <w:lang w:bidi="fa-IR"/>
        </w:rPr>
        <w:t>کون العلّة غیر هذه الأقسام، أو جزء أحدها، أو ما ترکب من بعضها، أو جمیعها، أو الحکم مشروطا فی الأصل بما لیس فی الفرع، أو ممنوعا فی الفرع 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الجامع بین الأصل و الفرع قد یکون بإلغاء الفارق،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الأصل و الفرع إلّا کذا و کذا، و کل واحد</w:t>
      </w:r>
      <w:r>
        <w:rPr>
          <w:rStyle w:val="FootnoteAnchor"/>
          <w:rtl w:val="true"/>
        </w:rPr>
        <w:footnoteReference w:id="1071"/>
      </w:r>
      <w:r>
        <w:rPr>
          <w:rFonts w:ascii="IRNazanin" w:hAnsi="IRNazanin" w:eastAsia="IRNazanin"/>
          <w:color w:val="111111"/>
          <w:sz w:val="28"/>
          <w:sz w:val="28"/>
          <w:szCs w:val="28"/>
          <w:rtl w:val="true"/>
          <w:lang w:bidi="fa-IR"/>
        </w:rPr>
        <w:t>منهما لا تأثیر له فی الحکم، فیشترک الحکم بینهما، و هو الاستدلال فی عرف الحنفیّة</w:t>
      </w:r>
      <w:r>
        <w:rPr>
          <w:rStyle w:val="FootnoteAnchor"/>
          <w:rtl w:val="true"/>
        </w:rPr>
        <w:footnoteReference w:id="1072"/>
      </w:r>
      <w:r>
        <w:rPr>
          <w:rFonts w:ascii="IRNazanin" w:hAnsi="IRNazanin" w:eastAsia="IRNazanin"/>
          <w:color w:val="111111"/>
          <w:sz w:val="28"/>
          <w:sz w:val="28"/>
          <w:szCs w:val="28"/>
          <w:rtl w:val="true"/>
          <w:lang w:bidi="fa-IR"/>
        </w:rPr>
        <w:t>، و قد یسمّی 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الجامع الوصف المستنبط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الحکم فی الأصل معللا به یسمی تخریج المناط، و إثبات الوصف المستنبط فی الفرع یسمّی تحقیق المناط</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یرجع إلی السبر و التقسیم، و إبطاله یستلزم إبطاله</w:t>
      </w:r>
      <w:r>
        <w:rPr>
          <w:rFonts w:eastAsia="IRNazanin" w:cs="IRNazanin"/>
          <w:color w:val="111111"/>
          <w:sz w:val="28"/>
          <w:szCs w:val="28"/>
          <w:rtl w:val="true"/>
          <w:lang w:bidi="fa-IR"/>
        </w:rPr>
        <w:t>.</w:t>
      </w:r>
      <w:bookmarkStart w:id="454" w:name="pg2360_37173"/>
    </w:p>
    <w:p>
      <w:pPr>
        <w:pStyle w:val="Heading3"/>
        <w:numPr>
          <w:ilvl w:val="2"/>
          <w:numId w:val="1"/>
        </w:numPr>
        <w:rPr/>
      </w:pPr>
      <w:bookmarkStart w:id="455" w:name="__RefHeading___Toc2792742_3804643083"/>
      <w:bookmarkStart w:id="456" w:name="_Toc174"/>
      <w:bookmarkEnd w:id="454"/>
      <w:bookmarkEnd w:id="455"/>
      <w:r>
        <w:rPr>
          <w:rtl w:val="true"/>
        </w:rPr>
        <w:t>الفصل الثالث</w:t>
      </w:r>
      <w:r>
        <w:rPr>
          <w:rtl w:val="true"/>
        </w:rPr>
        <w:t xml:space="preserve">: </w:t>
      </w:r>
      <w:r>
        <w:rPr>
          <w:rtl w:val="true"/>
        </w:rPr>
        <w:t>فی مبطلات العلّة و فیه مباحث</w:t>
      </w:r>
      <w:r>
        <w:rPr>
          <w:rtl w:val="true"/>
        </w:rPr>
        <w:t>:</w:t>
      </w:r>
      <w:bookmarkEnd w:id="456"/>
    </w:p>
    <w:p>
      <w:pPr>
        <w:pStyle w:val="Heading4"/>
        <w:numPr>
          <w:ilvl w:val="3"/>
          <w:numId w:val="1"/>
        </w:numPr>
        <w:rPr/>
      </w:pPr>
      <w:bookmarkStart w:id="457" w:name="__RefHeading___Toc2792744_3804643083"/>
      <w:bookmarkStart w:id="458" w:name="_Toc175"/>
      <w:bookmarkEnd w:id="457"/>
      <w:r>
        <w:rPr>
          <w:rtl w:val="true"/>
        </w:rPr>
        <w:t>الأوّل</w:t>
      </w:r>
      <w:r>
        <w:rPr>
          <w:rtl w:val="true"/>
        </w:rPr>
        <w:t xml:space="preserve">: </w:t>
      </w:r>
      <w:r>
        <w:rPr>
          <w:rtl w:val="true"/>
        </w:rPr>
        <w:t>النقض، و هو</w:t>
      </w:r>
      <w:r>
        <w:rPr>
          <w:rtl w:val="true"/>
        </w:rPr>
        <w:t xml:space="preserve">: </w:t>
      </w:r>
      <w:r>
        <w:rPr>
          <w:rtl w:val="true"/>
        </w:rPr>
        <w:t>وجود الوصف مع عدم الحکم</w:t>
      </w:r>
      <w:r>
        <w:rPr>
          <w:rtl w:val="true"/>
        </w:rPr>
        <w:t>.</w:t>
      </w:r>
      <w:bookmarkEnd w:id="45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فی المستنبطة دون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المستنبطة علی تقدیر التسلیم؛ فلأنّ علّة الحکم إن اعتبر فیها انتفاء المعارض لم یکن قبله علّة تامة، و إن لم یعتبر وجد الحکم معه، فلا یکون معارضا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المنصوصة فإنّها کالعام، فجاز تخصیصها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بمنع وجود العلّة فی النقض، و لیس للمعترض حینئذ الاستدلال علی وجودها فیه، لأنّه انتقال إلی مسألة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و إمّا بمنع عدم الحکم فی النقض إن کان انتفاء الحکم مذهبا للمعترض خاصة، لأنّه محجوج فی المسألتین، فلو</w:t>
      </w:r>
      <w:r>
        <w:rPr>
          <w:rStyle w:val="FootnoteAnchor"/>
          <w:rtl w:val="true"/>
        </w:rPr>
        <w:footnoteReference w:id="1073"/>
      </w:r>
      <w:r>
        <w:rPr>
          <w:rFonts w:ascii="IRNazanin" w:hAnsi="IRNazanin" w:eastAsia="IRNazanin"/>
          <w:color w:val="111111"/>
          <w:sz w:val="28"/>
          <w:sz w:val="28"/>
          <w:szCs w:val="28"/>
          <w:rtl w:val="true"/>
          <w:lang w:bidi="fa-IR"/>
        </w:rPr>
        <w:t>ساعد المستدل علی انتفائه، بأن کان مذهبا له أو لهما، لم یتم الجواب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أنّ تخلف الحکم عن</w:t>
      </w:r>
      <w:r>
        <w:rPr>
          <w:rStyle w:val="FootnoteAnchor"/>
          <w:rtl w:val="true"/>
        </w:rPr>
        <w:footnoteReference w:id="1074"/>
      </w:r>
      <w:r>
        <w:rPr>
          <w:rFonts w:ascii="IRNazanin" w:hAnsi="IRNazanin" w:eastAsia="IRNazanin"/>
          <w:color w:val="111111"/>
          <w:sz w:val="28"/>
          <w:sz w:val="28"/>
          <w:szCs w:val="28"/>
          <w:rtl w:val="true"/>
          <w:lang w:bidi="fa-IR"/>
        </w:rPr>
        <w:t>العلّة لا لمانع؛ یقدح فی علّیتها، لأنّ العلّة مستلزمة لذاتها، فإذا لم یثبت الاستلزام فإن کان لأمر فهو المانع، و إن کان لا لأمر قدح فی العلّیة</w:t>
      </w:r>
      <w:r>
        <w:rPr>
          <w:rFonts w:eastAsia="IRNazanin" w:cs="IRNazanin"/>
          <w:color w:val="111111"/>
          <w:sz w:val="28"/>
          <w:szCs w:val="28"/>
          <w:rtl w:val="true"/>
          <w:lang w:bidi="fa-IR"/>
        </w:rPr>
        <w:t>.</w:t>
      </w:r>
      <w:bookmarkStart w:id="459" w:name="pg2360_37174"/>
    </w:p>
    <w:p>
      <w:pPr>
        <w:pStyle w:val="BookText"/>
        <w:rPr/>
      </w:pPr>
      <w:bookmarkEnd w:id="459"/>
      <w:r>
        <w:rPr>
          <w:rFonts w:ascii="IRNazanin" w:hAnsi="IRNazanin" w:eastAsia="IRNazanin"/>
          <w:color w:val="111111"/>
          <w:sz w:val="28"/>
          <w:sz w:val="28"/>
          <w:szCs w:val="28"/>
          <w:rtl w:val="true"/>
          <w:lang w:bidi="fa-IR"/>
        </w:rPr>
        <w:t>أمّا النقض المکسور، فهو</w:t>
      </w:r>
      <w:r>
        <w:rPr>
          <w:rStyle w:val="FootnoteAnchor"/>
          <w:rtl w:val="true"/>
        </w:rPr>
        <w:footnoteReference w:id="1075"/>
      </w:r>
      <w:r>
        <w:rPr>
          <w:rFonts w:ascii="IRNazanin" w:hAnsi="IRNazanin" w:eastAsia="IRNazanin"/>
          <w:color w:val="111111"/>
          <w:sz w:val="28"/>
          <w:sz w:val="28"/>
          <w:szCs w:val="28"/>
          <w:rtl w:val="true"/>
          <w:lang w:bidi="fa-IR"/>
        </w:rPr>
        <w:t>نقض بعض الأوصاف، فإنّه لا یقدح فی العلّیة، کما لو قلنا فی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مجهول الصفة حال العقد عند العاقد، فلا یصح،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عبدا، فیعترض بما لو تزوّج امرأة لم یرها، فإن بیّن عدم تأثیر کونه مبیعا تمّ النقض، و لا یندفع بمجرد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الکسر نقض یرد علی الحکمة، و هو بوجودها مع تخلّف الحکم کالمشقة فی الحمّال</w:t>
      </w:r>
      <w:r>
        <w:rPr>
          <w:rStyle w:val="FootnoteAnchor"/>
          <w:rtl w:val="true"/>
        </w:rPr>
        <w:footnoteReference w:id="1076"/>
      </w:r>
      <w:r>
        <w:rPr>
          <w:rFonts w:ascii="IRNazanin" w:hAnsi="IRNazanin" w:eastAsia="IRNazanin"/>
          <w:color w:val="111111"/>
          <w:sz w:val="28"/>
          <w:sz w:val="28"/>
          <w:szCs w:val="28"/>
          <w:rtl w:val="true"/>
          <w:lang w:bidi="fa-IR"/>
        </w:rPr>
        <w:t>، و هو غیر وارد، لأنّ الحکم منوط بالوصف الضابط</w:t>
      </w:r>
      <w:r>
        <w:rPr>
          <w:rFonts w:eastAsia="IRNazanin" w:cs="IRNazanin"/>
          <w:color w:val="111111"/>
          <w:sz w:val="28"/>
          <w:szCs w:val="28"/>
          <w:rtl w:val="true"/>
          <w:lang w:bidi="fa-IR"/>
        </w:rPr>
        <w:t>.</w:t>
      </w:r>
    </w:p>
    <w:p>
      <w:pPr>
        <w:pStyle w:val="Heading4"/>
        <w:numPr>
          <w:ilvl w:val="3"/>
          <w:numId w:val="1"/>
        </w:numPr>
        <w:rPr/>
      </w:pPr>
      <w:bookmarkStart w:id="460" w:name="__RefHeading___Toc2792746_3804643083"/>
      <w:bookmarkStart w:id="461" w:name="_Toc176"/>
      <w:bookmarkEnd w:id="460"/>
      <w:r>
        <w:rPr>
          <w:rtl w:val="true"/>
        </w:rPr>
        <w:t>البحث الثانی</w:t>
      </w:r>
      <w:r>
        <w:rPr>
          <w:rtl w:val="true"/>
        </w:rPr>
        <w:t xml:space="preserve">: </w:t>
      </w:r>
      <w:r>
        <w:rPr>
          <w:rtl w:val="true"/>
        </w:rPr>
        <w:t>عدم التأثیر</w:t>
      </w:r>
      <w:r>
        <w:rPr>
          <w:rtl w:val="true"/>
        </w:rPr>
        <w:t>.</w:t>
      </w:r>
      <w:bookmarkEnd w:id="46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بقاء الحکم بدون ما فرض علّة</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نفی علّیة الوصف، لأنّ</w:t>
      </w:r>
      <w:bookmarkStart w:id="462" w:name="pg2360_37175"/>
    </w:p>
    <w:p>
      <w:pPr>
        <w:pStyle w:val="BookText"/>
        <w:rPr/>
      </w:pPr>
      <w:bookmarkEnd w:id="462"/>
      <w:r>
        <w:rPr>
          <w:rFonts w:ascii="IRNazanin" w:hAnsi="IRNazanin" w:eastAsia="IRNazanin"/>
          <w:color w:val="111111"/>
          <w:sz w:val="28"/>
          <w:sz w:val="28"/>
          <w:szCs w:val="28"/>
          <w:rtl w:val="true"/>
          <w:lang w:bidi="fa-IR"/>
        </w:rPr>
        <w:t>بقاء الحکم بعد عدمه، و وجوده قبل وجوده؛ یوجب استغناءه عنه، فلا یکون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العکس،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مثل ذلک الحکم فی صورة اخری، لعلّة</w:t>
      </w:r>
      <w:r>
        <w:rPr>
          <w:rStyle w:val="FootnoteAnchor"/>
          <w:rtl w:val="true"/>
        </w:rPr>
        <w:footnoteReference w:id="1078"/>
      </w:r>
      <w:r>
        <w:rPr>
          <w:rFonts w:ascii="IRNazanin" w:hAnsi="IRNazanin" w:eastAsia="IRNazanin"/>
          <w:color w:val="111111"/>
          <w:sz w:val="28"/>
          <w:sz w:val="28"/>
          <w:szCs w:val="28"/>
          <w:rtl w:val="true"/>
          <w:lang w:bidi="fa-IR"/>
        </w:rPr>
        <w:t>غیر العلّة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أنّه غیر شرط، لإمکان تعلیل المتساویین بالمختلفین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اتحاد المحل فالأقرب جوازه أیضا فی المنصوصة، لأنّها معرّفة أو باعثة</w:t>
      </w:r>
      <w:r>
        <w:rPr>
          <w:rStyle w:val="FootnoteAnchor"/>
          <w:rtl w:val="true"/>
        </w:rPr>
        <w:footnoteReference w:id="1079"/>
      </w:r>
      <w:r>
        <w:rPr>
          <w:rFonts w:ascii="IRNazanin" w:hAnsi="IRNazanin" w:eastAsia="IRNazanin"/>
          <w:color w:val="111111"/>
          <w:sz w:val="28"/>
          <w:sz w:val="28"/>
          <w:szCs w:val="28"/>
          <w:rtl w:val="true"/>
          <w:lang w:bidi="fa-IR"/>
        </w:rPr>
        <w:t>، فجاز، کقتل المرتد الزانی، و وجوب وضوء النائم المحدث</w:t>
      </w:r>
      <w:r>
        <w:rPr>
          <w:rFonts w:eastAsia="IRNazanin" w:cs="IRNazanin"/>
          <w:color w:val="111111"/>
          <w:sz w:val="28"/>
          <w:szCs w:val="28"/>
          <w:rtl w:val="true"/>
          <w:lang w:bidi="fa-IR"/>
        </w:rPr>
        <w:t>.</w:t>
      </w:r>
    </w:p>
    <w:p>
      <w:pPr>
        <w:pStyle w:val="Heading4"/>
        <w:numPr>
          <w:ilvl w:val="3"/>
          <w:numId w:val="1"/>
        </w:numPr>
        <w:rPr/>
      </w:pPr>
      <w:bookmarkStart w:id="463" w:name="__RefHeading___Toc2792748_3804643083"/>
      <w:bookmarkStart w:id="464" w:name="_Toc177"/>
      <w:bookmarkEnd w:id="463"/>
      <w:r>
        <w:rPr>
          <w:rtl w:val="true"/>
        </w:rPr>
        <w:t>البحث الثالث</w:t>
      </w:r>
      <w:r>
        <w:rPr>
          <w:rtl w:val="true"/>
        </w:rPr>
        <w:t xml:space="preserve">: </w:t>
      </w:r>
      <w:r>
        <w:rPr>
          <w:rtl w:val="true"/>
        </w:rPr>
        <w:t>القلب</w:t>
      </w:r>
      <w:r>
        <w:rPr>
          <w:rtl w:val="true"/>
        </w:rPr>
        <w:t>.</w:t>
      </w:r>
      <w:bookmarkEnd w:id="464"/>
    </w:p>
    <w:p>
      <w:pPr>
        <w:pStyle w:val="BookText"/>
        <w:rPr/>
      </w:pPr>
      <w:r>
        <w:rPr>
          <w:rFonts w:ascii="IRNazanin" w:hAnsi="IRNazanin" w:eastAsia="IRNazanin"/>
          <w:color w:val="111111"/>
          <w:sz w:val="28"/>
          <w:sz w:val="28"/>
          <w:szCs w:val="28"/>
          <w:rtl w:val="true"/>
          <w:lang w:bidi="fa-IR"/>
        </w:rPr>
        <w:t>و هو تعلیق نقیض الحکم علی تلک العلّة مع اتحاد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أنکره جماعة، لأنّ الحکمین إن أمکن اجتماعهما</w:t>
      </w:r>
      <w:r>
        <w:rPr>
          <w:rStyle w:val="FootnoteAnchor"/>
          <w:rtl w:val="true"/>
        </w:rPr>
        <w:footnoteReference w:id="1080"/>
      </w:r>
      <w:r>
        <w:rPr>
          <w:rFonts w:ascii="IRNazanin" w:hAnsi="IRNazanin" w:eastAsia="IRNazanin"/>
          <w:color w:val="111111"/>
          <w:sz w:val="28"/>
          <w:sz w:val="28"/>
          <w:szCs w:val="28"/>
          <w:rtl w:val="true"/>
          <w:lang w:bidi="fa-IR"/>
        </w:rPr>
        <w:t>لم یقدح فی العلّة</w:t>
      </w:r>
      <w:r>
        <w:rPr>
          <w:rStyle w:val="FootnoteAnchor"/>
          <w:rtl w:val="true"/>
        </w:rPr>
        <w:footnoteReference w:id="1081"/>
      </w:r>
      <w:r>
        <w:rPr>
          <w:rFonts w:ascii="IRNazanin" w:hAnsi="IRNazanin" w:eastAsia="IRNazanin"/>
          <w:color w:val="111111"/>
          <w:sz w:val="28"/>
          <w:sz w:val="28"/>
          <w:szCs w:val="28"/>
          <w:rtl w:val="true"/>
          <w:lang w:bidi="fa-IR"/>
        </w:rPr>
        <w:t>، لإمکان تأثیرها فی شیئین، و إن تنافیا امتنع اجتماعهما فی الأصل، لأنّا شرطنا وحدته</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 آخرون، لإمکان تنافیهما فی الفرع دون الأصل</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الحقیقة</w:t>
      </w:r>
      <w:r>
        <w:rPr>
          <w:rStyle w:val="FootnoteAnchor"/>
          <w:rtl w:val="true"/>
        </w:rPr>
        <w:footnoteReference w:id="1084"/>
      </w:r>
      <w:r>
        <w:rPr>
          <w:rFonts w:ascii="IRNazanin" w:hAnsi="IRNazanin" w:eastAsia="IRNazanin"/>
          <w:color w:val="111111"/>
          <w:sz w:val="28"/>
          <w:sz w:val="28"/>
          <w:szCs w:val="28"/>
          <w:rtl w:val="true"/>
          <w:lang w:bidi="fa-IR"/>
        </w:rPr>
        <w:t>معارضة، إلّا أنّه لا یمکن منع وجود العلّة فی الفرع و الأصل، لأنّ أصلهما و فرعهما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للمستدل منع حکم القالب فی الأصل،</w:t>
      </w:r>
      <w:bookmarkStart w:id="465" w:name="pg2360_37176"/>
    </w:p>
    <w:p>
      <w:pPr>
        <w:pStyle w:val="BookText"/>
        <w:rPr/>
      </w:pPr>
      <w:bookmarkEnd w:id="465"/>
      <w:r>
        <w:rPr>
          <w:rFonts w:ascii="IRNazanin" w:hAnsi="IRNazanin" w:eastAsia="IRNazanin"/>
          <w:color w:val="111111"/>
          <w:sz w:val="28"/>
          <w:sz w:val="28"/>
          <w:szCs w:val="28"/>
          <w:rtl w:val="true"/>
          <w:lang w:bidi="fa-IR"/>
        </w:rPr>
        <w:t>و قدح تأثیر العلّة</w:t>
      </w:r>
      <w:r>
        <w:rPr>
          <w:rStyle w:val="FootnoteAnchor"/>
          <w:rtl w:val="true"/>
        </w:rPr>
        <w:footnoteReference w:id="1085"/>
      </w:r>
      <w:r>
        <w:rPr>
          <w:rFonts w:ascii="IRNazanin" w:hAnsi="IRNazanin" w:eastAsia="IRNazanin"/>
          <w:color w:val="111111"/>
          <w:sz w:val="28"/>
          <w:sz w:val="28"/>
          <w:szCs w:val="28"/>
          <w:rtl w:val="true"/>
          <w:lang w:bidi="fa-IR"/>
        </w:rPr>
        <w:t>فیه بالنقض، و قلب قلبه إذا لم یناقض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القالب قد یذکر القلب لإثبات مذهبه، کقول الحنفی فی اشتراط الاعتکاف بالصوم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 مخصوص فلا یکون قربة بنفسه</w:t>
      </w:r>
      <w:r>
        <w:rPr>
          <w:rStyle w:val="FootnoteAnchor"/>
          <w:rtl w:val="true"/>
        </w:rPr>
        <w:footnoteReference w:id="1086"/>
      </w:r>
      <w:r>
        <w:rPr>
          <w:rFonts w:ascii="IRNazanin" w:hAnsi="IRNazanin" w:eastAsia="IRNazanin"/>
          <w:color w:val="111111"/>
          <w:sz w:val="28"/>
          <w:sz w:val="28"/>
          <w:szCs w:val="28"/>
          <w:rtl w:val="true"/>
          <w:lang w:bidi="fa-IR"/>
        </w:rPr>
        <w:t>کالوقوف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المعترض</w:t>
      </w:r>
      <w:r>
        <w:rPr>
          <w:rStyle w:val="FootnoteAnchor"/>
          <w:rtl w:val="true"/>
        </w:rPr>
        <w:footnoteReference w:id="10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 مخصوص فلا یعتبر الصوم فی کونه قربة</w:t>
      </w:r>
      <w:r>
        <w:rPr>
          <w:rStyle w:val="FootnoteAnchor"/>
          <w:rtl w:val="true"/>
        </w:rPr>
        <w:footnoteReference w:id="1088"/>
      </w:r>
      <w:r>
        <w:rPr>
          <w:rFonts w:ascii="IRNazanin" w:hAnsi="IRNazanin" w:eastAsia="IRNazanin"/>
          <w:color w:val="111111"/>
          <w:sz w:val="28"/>
          <w:sz w:val="28"/>
          <w:szCs w:val="28"/>
          <w:rtl w:val="true"/>
          <w:lang w:bidi="fa-IR"/>
        </w:rPr>
        <w:t>کالوقوف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فالحکمان مجتمعان فی الأصل، متنافیان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یذکره</w:t>
      </w:r>
      <w:r>
        <w:rPr>
          <w:rStyle w:val="FootnoteAnchor"/>
          <w:rtl w:val="true"/>
        </w:rPr>
        <w:footnoteReference w:id="1089"/>
      </w:r>
      <w:r>
        <w:rPr>
          <w:rFonts w:ascii="IRNazanin" w:hAnsi="IRNazanin" w:eastAsia="IRNazanin"/>
          <w:color w:val="111111"/>
          <w:sz w:val="28"/>
          <w:sz w:val="28"/>
          <w:szCs w:val="28"/>
          <w:rtl w:val="true"/>
          <w:lang w:bidi="fa-IR"/>
        </w:rPr>
        <w:t>لإبطال مذهب خصمه، إمّا صریحا، کقول الحنفی فی 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من أرکان الوضوء، فلا یکتفی فیه بأقل ما یقع علیه الاسم کالوجه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المعترض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یتقدر بالربع کالوجه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ضمنا، کما یقال فی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معاوضة فینعقد مع الجهل بالعوض کالنکاح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المعترض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یثبت فیه خیار الرؤیة کالنکاح، فیلزم</w:t>
      </w:r>
      <w:r>
        <w:rPr>
          <w:rStyle w:val="FootnoteAnchor"/>
          <w:rtl w:val="true"/>
        </w:rPr>
        <w:footnoteReference w:id="1090"/>
      </w:r>
      <w:r>
        <w:rPr>
          <w:rFonts w:ascii="IRNazanin" w:hAnsi="IRNazanin" w:eastAsia="IRNazanin"/>
          <w:color w:val="111111"/>
          <w:sz w:val="28"/>
          <w:sz w:val="28"/>
          <w:szCs w:val="28"/>
          <w:rtl w:val="true"/>
          <w:lang w:bidi="fa-IR"/>
        </w:rPr>
        <w:t>من فساد خیار الرؤیة فساد البیع</w:t>
      </w:r>
      <w:r>
        <w:rPr>
          <w:rFonts w:eastAsia="IRNazanin" w:cs="IRNazanin"/>
          <w:color w:val="111111"/>
          <w:sz w:val="28"/>
          <w:szCs w:val="28"/>
          <w:rtl w:val="true"/>
          <w:lang w:bidi="fa-IR"/>
        </w:rPr>
        <w:t>).</w:t>
      </w:r>
    </w:p>
    <w:p>
      <w:pPr>
        <w:pStyle w:val="Heading4"/>
        <w:numPr>
          <w:ilvl w:val="3"/>
          <w:numId w:val="1"/>
        </w:numPr>
        <w:rPr/>
      </w:pPr>
      <w:bookmarkStart w:id="466" w:name="__RefHeading___Toc2792750_3804643083"/>
      <w:bookmarkStart w:id="467" w:name="_Toc178"/>
      <w:bookmarkEnd w:id="466"/>
      <w:r>
        <w:rPr>
          <w:rtl w:val="true"/>
        </w:rPr>
        <w:t>البحث الرابع</w:t>
      </w:r>
      <w:r>
        <w:rPr>
          <w:rtl w:val="true"/>
        </w:rPr>
        <w:t xml:space="preserve">: </w:t>
      </w:r>
      <w:r>
        <w:rPr>
          <w:rtl w:val="true"/>
        </w:rPr>
        <w:t>القول بالموجب</w:t>
      </w:r>
      <w:r>
        <w:rPr>
          <w:rtl w:val="true"/>
        </w:rPr>
        <w:t>.</w:t>
      </w:r>
      <w:bookmarkEnd w:id="467"/>
    </w:p>
    <w:p>
      <w:pPr>
        <w:pStyle w:val="BookText"/>
        <w:rPr/>
      </w:pPr>
      <w:r>
        <w:rPr>
          <w:rFonts w:ascii="IRNazanin" w:hAnsi="IRNazanin" w:eastAsia="IRNazanin"/>
          <w:color w:val="111111"/>
          <w:sz w:val="28"/>
          <w:sz w:val="28"/>
          <w:szCs w:val="28"/>
          <w:rtl w:val="true"/>
          <w:lang w:bidi="fa-IR"/>
        </w:rPr>
        <w:t>و هو تسلیم الدلیل مع بقاء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أقسامه ثلاثة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یستنتج المستدل ما یتوهم أنّه محل النزاع أو ملزومه، کما إذا قال</w:t>
      </w:r>
      <w:r>
        <w:rPr>
          <w:rFonts w:eastAsia="IRNazanin" w:cs="IRNazanin"/>
          <w:color w:val="111111"/>
          <w:sz w:val="28"/>
          <w:szCs w:val="28"/>
          <w:rtl w:val="true"/>
          <w:lang w:bidi="fa-IR"/>
        </w:rPr>
        <w:t>:</w:t>
      </w:r>
      <w:bookmarkStart w:id="468" w:name="pg2360_37177"/>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بما یقتل غالبا فلا ینافی وجوب</w:t>
      </w:r>
      <w:r>
        <w:rPr>
          <w:rStyle w:val="FootnoteAnchor"/>
          <w:rtl w:val="true"/>
        </w:rPr>
        <w:footnoteReference w:id="1091"/>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المعترض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بموجب ما ذکرت، لکن عدم المنافاة لا یلزم منها وجوب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یستنتج إبطال مأخذ الخصم،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التفاوت فی الوسیلة لا یمنع وجوب القصاص کالمتوسل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بموجبه و لا یلزم المطلوب، فإنّه لا یلزم من انتفاء مانع انتفاء جمیع الموانع، و وجود جمیع الشرائط 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یسکت المستدل عن صغری غیر مشهورة،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أنّه</w:t>
      </w:r>
      <w:r>
        <w:rPr>
          <w:rStyle w:val="FootnoteAnchor"/>
          <w:rtl w:val="true"/>
        </w:rPr>
        <w:footnoteReference w:id="1092"/>
      </w:r>
      <w:r>
        <w:rPr>
          <w:rFonts w:ascii="IRNazanin" w:hAnsi="IRNazanin" w:eastAsia="IRNazanin"/>
          <w:color w:val="111111"/>
          <w:sz w:val="28"/>
          <w:sz w:val="28"/>
          <w:szCs w:val="28"/>
          <w:rtl w:val="true"/>
          <w:lang w:bidi="fa-IR"/>
        </w:rPr>
        <w:t>قربة فشرطه النیّة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الوضوء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بموجبه و أمنع من إیجاب النیّة فی الوضوء</w:t>
      </w:r>
      <w:r>
        <w:rPr>
          <w:rFonts w:eastAsia="IRNazanin" w:cs="IRNazanin"/>
          <w:color w:val="111111"/>
          <w:sz w:val="28"/>
          <w:szCs w:val="28"/>
          <w:rtl w:val="true"/>
          <w:lang w:bidi="fa-IR"/>
        </w:rPr>
        <w:t>).</w:t>
      </w:r>
    </w:p>
    <w:p>
      <w:pPr>
        <w:pStyle w:val="Heading4"/>
        <w:numPr>
          <w:ilvl w:val="3"/>
          <w:numId w:val="1"/>
        </w:numPr>
        <w:rPr/>
      </w:pPr>
      <w:bookmarkStart w:id="469" w:name="__RefHeading___Toc2792752_3804643083"/>
      <w:bookmarkStart w:id="470" w:name="_Toc179"/>
      <w:bookmarkEnd w:id="469"/>
      <w:r>
        <w:rPr>
          <w:rtl w:val="true"/>
        </w:rPr>
        <w:t>البحث الخامس</w:t>
      </w:r>
      <w:r>
        <w:rPr>
          <w:rtl w:val="true"/>
        </w:rPr>
        <w:t xml:space="preserve">: </w:t>
      </w:r>
      <w:r>
        <w:rPr>
          <w:rtl w:val="true"/>
        </w:rPr>
        <w:t>الفرق</w:t>
      </w:r>
      <w:r>
        <w:rPr>
          <w:rtl w:val="true"/>
        </w:rPr>
        <w:t>.</w:t>
      </w:r>
      <w:bookmarkEnd w:id="470"/>
    </w:p>
    <w:p>
      <w:pPr>
        <w:pStyle w:val="BookText"/>
        <w:rPr/>
      </w:pPr>
      <w:r>
        <w:rPr>
          <w:rFonts w:ascii="IRNazanin" w:hAnsi="IRNazanin" w:eastAsia="IRNazanin"/>
          <w:color w:val="111111"/>
          <w:sz w:val="28"/>
          <w:sz w:val="28"/>
          <w:szCs w:val="28"/>
          <w:rtl w:val="true"/>
          <w:lang w:bidi="fa-IR"/>
        </w:rPr>
        <w:t>و هو مبنی علی تعلیل الحکم الواحد</w:t>
      </w:r>
      <w:r>
        <w:rPr>
          <w:rStyle w:val="FootnoteAnchor"/>
          <w:rtl w:val="true"/>
        </w:rPr>
        <w:footnoteReference w:id="1093"/>
      </w:r>
      <w:r>
        <w:rPr>
          <w:rFonts w:ascii="IRNazanin" w:hAnsi="IRNazanin" w:eastAsia="IRNazanin"/>
          <w:color w:val="111111"/>
          <w:sz w:val="28"/>
          <w:sz w:val="28"/>
          <w:szCs w:val="28"/>
          <w:rtl w:val="true"/>
          <w:lang w:bidi="fa-IR"/>
        </w:rPr>
        <w:t>بعلّتین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جوازه فی المنصوصة دون المستنبطة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بتعدد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لو أسلم زالت إباحة قتل الردة دون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بالحوالة علی السابق، أو علی المشترک، أو أنّ استقلال کل واحد مشروط بانفراده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لأنّ إبطال الحیاة شی‌ء واحد، و لیس ذا جهتین بحیث یحل بأحدهما</w:t>
      </w:r>
      <w:bookmarkStart w:id="471" w:name="pg2360_37178"/>
    </w:p>
    <w:p>
      <w:pPr>
        <w:pStyle w:val="BookText"/>
        <w:rPr/>
      </w:pPr>
      <w:bookmarkEnd w:id="471"/>
      <w:r>
        <w:rPr>
          <w:rFonts w:ascii="IRNazanin" w:hAnsi="IRNazanin" w:eastAsia="IRNazanin"/>
          <w:color w:val="111111"/>
          <w:sz w:val="28"/>
          <w:sz w:val="28"/>
          <w:szCs w:val="28"/>
          <w:rtl w:val="true"/>
          <w:lang w:bidi="fa-IR"/>
        </w:rPr>
        <w:t>و یحرم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 منفی، لفرض الاقتران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المشترک باطل، لأنّ کل واحد بخصوصه</w:t>
      </w:r>
      <w:r>
        <w:rPr>
          <w:rStyle w:val="FootnoteAnchor"/>
          <w:rtl w:val="true"/>
        </w:rPr>
        <w:footnoteReference w:id="1095"/>
      </w:r>
      <w:r>
        <w:rPr>
          <w:rFonts w:ascii="IRNazanin" w:hAnsi="IRNazanin" w:eastAsia="IRNazanin"/>
          <w:color w:val="111111"/>
          <w:sz w:val="28"/>
          <w:sz w:val="28"/>
          <w:szCs w:val="28"/>
          <w:rtl w:val="true"/>
          <w:lang w:bidi="fa-IR"/>
        </w:rPr>
        <w:t>علّة تامة بالإجماع، فالتعلیل بالمشترک إبطال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علی أنّ کل واحد علّة مستقلة مطلقا من غیر شرط</w:t>
      </w:r>
      <w:r>
        <w:rPr>
          <w:rFonts w:eastAsia="IRNazanin" w:cs="IRNazanin"/>
          <w:color w:val="111111"/>
          <w:sz w:val="28"/>
          <w:szCs w:val="28"/>
          <w:rtl w:val="true"/>
          <w:lang w:bidi="fa-IR"/>
        </w:rPr>
        <w:t>.</w:t>
      </w:r>
    </w:p>
    <w:p>
      <w:pPr>
        <w:pStyle w:val="Heading3"/>
        <w:numPr>
          <w:ilvl w:val="2"/>
          <w:numId w:val="1"/>
        </w:numPr>
        <w:rPr/>
      </w:pPr>
      <w:bookmarkStart w:id="472" w:name="__RefHeading___Toc2792754_3804643083"/>
      <w:bookmarkStart w:id="473" w:name="_Toc180"/>
      <w:bookmarkEnd w:id="472"/>
      <w:r>
        <w:rPr>
          <w:rtl w:val="true"/>
        </w:rPr>
        <w:t>الفصل الرابع</w:t>
      </w:r>
      <w:r>
        <w:rPr>
          <w:rtl w:val="true"/>
        </w:rPr>
        <w:t xml:space="preserve">: </w:t>
      </w:r>
      <w:r>
        <w:rPr>
          <w:rtl w:val="true"/>
        </w:rPr>
        <w:t>فی شرائط الأرکان و فیه مباحث</w:t>
      </w:r>
      <w:r>
        <w:rPr>
          <w:rtl w:val="true"/>
        </w:rPr>
        <w:t>:</w:t>
      </w:r>
      <w:bookmarkEnd w:id="473"/>
    </w:p>
    <w:p>
      <w:pPr>
        <w:pStyle w:val="Heading4"/>
        <w:numPr>
          <w:ilvl w:val="3"/>
          <w:numId w:val="1"/>
        </w:numPr>
        <w:rPr/>
      </w:pPr>
      <w:bookmarkStart w:id="474" w:name="__RefHeading___Toc2792756_3804643083"/>
      <w:bookmarkStart w:id="475" w:name="_Toc181"/>
      <w:bookmarkEnd w:id="474"/>
      <w:r>
        <w:rPr>
          <w:rtl w:val="true"/>
        </w:rPr>
        <w:t>الأوّل</w:t>
      </w:r>
      <w:r>
        <w:rPr>
          <w:rtl w:val="true"/>
        </w:rPr>
        <w:t xml:space="preserve">: </w:t>
      </w:r>
      <w:r>
        <w:rPr>
          <w:rtl w:val="true"/>
        </w:rPr>
        <w:t>یشترط فی الأصل</w:t>
      </w:r>
      <w:r>
        <w:rPr>
          <w:rtl w:val="true"/>
        </w:rPr>
        <w:t>:</w:t>
      </w:r>
      <w:bookmarkEnd w:id="475"/>
    </w:p>
    <w:p>
      <w:pPr>
        <w:pStyle w:val="BookText"/>
        <w:rPr/>
      </w:pPr>
      <w:r>
        <w:rPr>
          <w:rFonts w:ascii="IRNazanin" w:hAnsi="IRNazanin" w:eastAsia="IRNazanin"/>
          <w:color w:val="111111"/>
          <w:sz w:val="28"/>
          <w:sz w:val="28"/>
          <w:szCs w:val="28"/>
          <w:rtl w:val="true"/>
          <w:lang w:bidi="fa-IR"/>
        </w:rPr>
        <w:t>ثبوت حکمه، لأنّ تشبیه الفرع به فی ثبوت الحکم فرع ثبوته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حکمه</w:t>
      </w:r>
      <w:r>
        <w:rPr>
          <w:rStyle w:val="FootnoteAnchor"/>
          <w:rtl w:val="true"/>
        </w:rPr>
        <w:footnoteReference w:id="1096"/>
      </w:r>
      <w:r>
        <w:rPr>
          <w:rFonts w:ascii="IRNazanin" w:hAnsi="IRNazanin" w:eastAsia="IRNazanin"/>
          <w:color w:val="111111"/>
          <w:sz w:val="28"/>
          <w:sz w:val="28"/>
          <w:szCs w:val="28"/>
          <w:rtl w:val="true"/>
          <w:lang w:bidi="fa-IR"/>
        </w:rPr>
        <w:t>شرعیّا، لأنّ البحث فی الشرعی، لا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لازم، لجواز استناد حکم الأصل إلی العقل، و استناد العلّیة</w:t>
      </w:r>
      <w:r>
        <w:rPr>
          <w:rStyle w:val="FootnoteAnchor"/>
          <w:rtl w:val="true"/>
        </w:rPr>
        <w:footnoteReference w:id="1097"/>
      </w:r>
      <w:r>
        <w:rPr>
          <w:rFonts w:ascii="IRNazanin" w:hAnsi="IRNazanin" w:eastAsia="IRNazanin"/>
          <w:color w:val="111111"/>
          <w:sz w:val="28"/>
          <w:sz w:val="28"/>
          <w:szCs w:val="28"/>
          <w:rtl w:val="true"/>
          <w:lang w:bidi="fa-IR"/>
        </w:rPr>
        <w:t>و وجود العلّة فی الفرع إلی السمع، فیکون سمعیا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یکون حکم الأصل منسوخا، و إلّا لم یکن الجامع معتبرا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لا یکون حکم الأصل ثابتا</w:t>
      </w:r>
      <w:r>
        <w:rPr>
          <w:rStyle w:val="FootnoteAnchor"/>
          <w:rtl w:val="true"/>
        </w:rPr>
        <w:footnoteReference w:id="1098"/>
      </w:r>
      <w:r>
        <w:rPr>
          <w:rFonts w:ascii="IRNazanin" w:hAnsi="IRNazanin" w:eastAsia="IRNazanin"/>
          <w:color w:val="111111"/>
          <w:sz w:val="28"/>
          <w:sz w:val="28"/>
          <w:szCs w:val="28"/>
          <w:rtl w:val="true"/>
          <w:lang w:bidi="fa-IR"/>
        </w:rPr>
        <w:t>بالقیاس، لأنّ العلّة إن اتحدت فالمتوسط</w:t>
      </w:r>
      <w:r>
        <w:rPr>
          <w:rStyle w:val="FootnoteAnchor"/>
          <w:rtl w:val="true"/>
        </w:rPr>
        <w:footnoteReference w:id="1099"/>
      </w:r>
      <w:r>
        <w:rPr>
          <w:rFonts w:ascii="IRNazanin" w:hAnsi="IRNazanin" w:eastAsia="IRNazanin"/>
          <w:color w:val="111111"/>
          <w:sz w:val="28"/>
          <w:sz w:val="28"/>
          <w:szCs w:val="28"/>
          <w:rtl w:val="true"/>
          <w:lang w:bidi="fa-IR"/>
        </w:rPr>
        <w:t>عبث، و إلّا لزم التعلیل بالمتنافیین بالنسبة إلی الأصل البعید و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یکون دلیل الأصل متناولا للفرع، و إلّا لزم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یظهر تعلیل حکم الأصل بالجامع، أمّا عندنا فبالنص، و أمّا عند القائلین به مطلقا فبه و بالاستنباط، لأنّ ردّ الفرع إلیه إنّما یصحّ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یتأخر حکم الأصل عن حکم الفرع، کالتیمم المتأخر عن الوضوء، لأنّه ثبت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یکون معدولا به عن سنن القیاس، کشهادة خزیمة</w:t>
      </w:r>
      <w:r>
        <w:rPr>
          <w:rStyle w:val="FootnoteAnchor"/>
          <w:rtl w:val="true"/>
        </w:rPr>
        <w:footnoteReference w:id="1100"/>
      </w:r>
      <w:r>
        <w:rPr>
          <w:rFonts w:ascii="IRNazanin" w:hAnsi="IRNazanin" w:eastAsia="IRNazanin"/>
          <w:color w:val="111111"/>
          <w:sz w:val="28"/>
          <w:sz w:val="28"/>
          <w:szCs w:val="28"/>
          <w:rtl w:val="true"/>
          <w:lang w:bidi="fa-IR"/>
        </w:rPr>
        <w:t>، و تقدیر الرکعات، و الحدود، و الکفارات، و کالیمین فی القسامة، و ضرب الدیة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یکون ذا قیاس مرکّب،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یتفق الخصمان خاصّة علی حکم الأصل، فإن</w:t>
      </w:r>
      <w:r>
        <w:rPr>
          <w:rStyle w:val="FootnoteAnchor"/>
          <w:rtl w:val="true"/>
        </w:rPr>
        <w:footnoteReference w:id="1101"/>
      </w:r>
      <w:r>
        <w:rPr>
          <w:rFonts w:ascii="IRNazanin" w:hAnsi="IRNazanin" w:eastAsia="IRNazanin"/>
          <w:color w:val="111111"/>
          <w:sz w:val="28"/>
          <w:sz w:val="28"/>
          <w:szCs w:val="28"/>
          <w:rtl w:val="true"/>
          <w:lang w:bidi="fa-IR"/>
        </w:rPr>
        <w:t>اختلفا فی العلّة، فهو</w:t>
      </w:r>
      <w:r>
        <w:rPr>
          <w:rStyle w:val="FootnoteAnchor"/>
          <w:rtl w:val="true"/>
        </w:rPr>
        <w:footnoteReference w:id="1102"/>
      </w:r>
      <w:r>
        <w:rPr>
          <w:rFonts w:ascii="IRNazanin" w:hAnsi="IRNazanin" w:eastAsia="IRNazanin"/>
          <w:color w:val="111111"/>
          <w:sz w:val="28"/>
          <w:sz w:val="28"/>
          <w:szCs w:val="28"/>
          <w:rtl w:val="true"/>
          <w:lang w:bidi="fa-IR"/>
        </w:rPr>
        <w:t>مرکب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وجودها فی الأصل، فهو</w:t>
      </w:r>
      <w:r>
        <w:rPr>
          <w:rStyle w:val="FootnoteAnchor"/>
          <w:rtl w:val="true"/>
        </w:rPr>
        <w:footnoteReference w:id="1103"/>
      </w:r>
      <w:r>
        <w:rPr>
          <w:rFonts w:ascii="IRNazanin" w:hAnsi="IRNazanin" w:eastAsia="IRNazanin"/>
          <w:color w:val="111111"/>
          <w:sz w:val="28"/>
          <w:sz w:val="28"/>
          <w:szCs w:val="28"/>
          <w:rtl w:val="true"/>
          <w:lang w:bidi="fa-IR"/>
        </w:rPr>
        <w:t>مرکب الوصف،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فلا یقتل به الحر کالمکاتب</w:t>
      </w:r>
      <w:r>
        <w:rPr>
          <w:rStyle w:val="FootnoteAnchor"/>
          <w:rtl w:val="true"/>
        </w:rPr>
        <w:footnoteReference w:id="1104"/>
      </w:r>
      <w:r>
        <w:rPr>
          <w:rFonts w:ascii="IRNazanin" w:hAnsi="IRNazanin" w:eastAsia="IRNazanin"/>
          <w:color w:val="111111"/>
          <w:sz w:val="28"/>
          <w:sz w:val="28"/>
          <w:szCs w:val="28"/>
          <w:rtl w:val="true"/>
          <w:lang w:bidi="fa-IR"/>
        </w:rPr>
        <w:t>، فالأصل غیر متفق علیه، و إنّما اتفق علیه الشافعی و أبو حنیفة، فالحنفی</w:t>
      </w:r>
      <w:r>
        <w:rPr>
          <w:rStyle w:val="FootnoteAnchor"/>
          <w:rtl w:val="true"/>
        </w:rPr>
        <w:footnoteReference w:id="110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العلّة فی منع قصاص المکاتب</w:t>
      </w:r>
      <w:r>
        <w:rPr>
          <w:rStyle w:val="FootnoteAnchor"/>
          <w:rtl w:val="true"/>
        </w:rPr>
        <w:footnoteReference w:id="1106"/>
      </w:r>
      <w:r>
        <w:rPr>
          <w:rFonts w:ascii="IRNazanin" w:hAnsi="IRNazanin" w:eastAsia="IRNazanin"/>
          <w:color w:val="111111"/>
          <w:sz w:val="28"/>
          <w:sz w:val="28"/>
          <w:szCs w:val="28"/>
          <w:rtl w:val="true"/>
          <w:lang w:bidi="fa-IR"/>
        </w:rPr>
        <w:t>جهالة المستحق من السید أو الوارث، لا العبودیة، فإن سلّمت العلّة بطل إلحاق العبد به، و إلّا منعت الحکم فی الأصل، لأنّه إنّما ثبت بناء علی هذه العلّة، فلا ینفک عن عدم العلّة أو منع الحکم فی الأصل،</w:t>
      </w:r>
      <w:bookmarkStart w:id="476" w:name="pg2360_37180"/>
    </w:p>
    <w:p>
      <w:pPr>
        <w:pStyle w:val="BookText"/>
        <w:rPr/>
      </w:pPr>
      <w:bookmarkEnd w:id="476"/>
      <w:r>
        <w:rPr>
          <w:rFonts w:ascii="IRNazanin" w:hAnsi="IRNazanin" w:eastAsia="IRNazanin"/>
          <w:color w:val="111111"/>
          <w:sz w:val="28"/>
          <w:sz w:val="28"/>
          <w:szCs w:val="28"/>
          <w:rtl w:val="true"/>
          <w:lang w:bidi="fa-IR"/>
        </w:rPr>
        <w:t>و کما تقول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تزوجت هندا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فلا یصح قبل النکاح</w:t>
      </w:r>
      <w:r>
        <w:rPr>
          <w:rStyle w:val="FootnoteAnchor"/>
          <w:rtl w:val="true"/>
        </w:rPr>
        <w:footnoteReference w:id="1107"/>
      </w:r>
      <w:r>
        <w:rPr>
          <w:rFonts w:ascii="IRNazanin" w:hAnsi="IRNazanin" w:eastAsia="IRNazanin"/>
          <w:color w:val="111111"/>
          <w:sz w:val="28"/>
          <w:sz w:val="28"/>
          <w:szCs w:val="28"/>
          <w:rtl w:val="true"/>
          <w:lang w:bidi="fa-IR"/>
        </w:rPr>
        <w:t>،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التی أتزوجها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وجود التعلیق فی الأصل، فإن صح المنع بطل الإلحاق، و إلّا منعت الحکم فی الأصل، فلا یتم القیاس، لأنّه لا ینفک عن منع الحکم فی الأصل</w:t>
      </w:r>
      <w:r>
        <w:rPr>
          <w:rStyle w:val="FootnoteAnchor"/>
          <w:rtl w:val="true"/>
        </w:rPr>
        <w:footnoteReference w:id="1108"/>
      </w:r>
      <w:r>
        <w:rPr>
          <w:rFonts w:ascii="Amiri" w:hAnsi="Amiri" w:eastAsia="Amiri" w:cs="Amiri"/>
          <w:color w:val="111111"/>
          <w:sz w:val="28"/>
          <w:sz w:val="28"/>
          <w:szCs w:val="28"/>
          <w:rtl w:val="true"/>
          <w:lang w:bidi="ar-SA"/>
        </w:rPr>
        <w:t>أو منع العلّة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2792758_3804643083"/>
      <w:bookmarkStart w:id="478" w:name="_Toc182"/>
      <w:bookmarkEnd w:id="477"/>
      <w:r>
        <w:rPr>
          <w:rtl w:val="true"/>
        </w:rPr>
        <w:t>البحث الثانی</w:t>
      </w:r>
      <w:r>
        <w:rPr>
          <w:rtl w:val="true"/>
        </w:rPr>
        <w:t xml:space="preserve">: </w:t>
      </w:r>
      <w:r>
        <w:rPr>
          <w:rtl w:val="true"/>
        </w:rPr>
        <w:t>فی شرائط الفرع</w:t>
      </w:r>
      <w:r>
        <w:rPr>
          <w:rtl w:val="true"/>
        </w:rPr>
        <w:t>.</w:t>
      </w:r>
      <w:bookmarkEnd w:id="478"/>
    </w:p>
    <w:p>
      <w:pPr>
        <w:pStyle w:val="BookText"/>
        <w:rPr/>
      </w:pPr>
      <w:r>
        <w:rPr>
          <w:rFonts w:ascii="IRNazanin" w:hAnsi="IRNazanin" w:eastAsia="IRNazanin"/>
          <w:color w:val="111111"/>
          <w:sz w:val="28"/>
          <w:sz w:val="28"/>
          <w:szCs w:val="28"/>
          <w:rtl w:val="true"/>
          <w:lang w:bidi="fa-IR"/>
        </w:rPr>
        <w:t>یجب أن تکون علّة الفرع مشارکة لعلّة الأصل فیما یقصد، إمّا فی عینها کالشدّة فی الخمر، أو فی جنسها کالجنایة فی قصاص الأطراف المشترکة بین القتل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حکم الفرع مساویا لحکم الأصل، إمّا فی عینه، کوجوب القصاص فی النفس المشترک بین المثقّل و المحدّد، أو فی جنسه، کإثبات ولایة النکاح قیاسا علی إثبات ولایة المال، فالمشترک</w:t>
      </w:r>
      <w:r>
        <w:rPr>
          <w:rStyle w:val="FootnoteAnchor"/>
          <w:rtl w:val="true"/>
        </w:rPr>
        <w:footnoteReference w:id="1110"/>
      </w:r>
      <w:r>
        <w:rPr>
          <w:rFonts w:ascii="IRNazanin" w:hAnsi="IRNazanin" w:eastAsia="IRNazanin"/>
          <w:color w:val="111111"/>
          <w:sz w:val="28"/>
          <w:sz w:val="28"/>
          <w:szCs w:val="28"/>
          <w:rtl w:val="true"/>
          <w:lang w:bidi="fa-IR"/>
        </w:rPr>
        <w:t>هو جنس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یکون منصوصا علیه</w:t>
      </w:r>
      <w:r>
        <w:rPr>
          <w:rFonts w:eastAsia="IRNazanin" w:cs="IRNazanin"/>
          <w:color w:val="111111"/>
          <w:sz w:val="28"/>
          <w:szCs w:val="28"/>
          <w:rtl w:val="true"/>
          <w:lang w:bidi="fa-IR"/>
        </w:rPr>
        <w:t>.</w:t>
      </w:r>
    </w:p>
    <w:p>
      <w:pPr>
        <w:pStyle w:val="Heading4"/>
        <w:numPr>
          <w:ilvl w:val="3"/>
          <w:numId w:val="1"/>
        </w:numPr>
        <w:rPr/>
      </w:pPr>
      <w:bookmarkStart w:id="479" w:name="__RefHeading___Toc2792760_3804643083"/>
      <w:bookmarkStart w:id="480" w:name="_Toc183"/>
      <w:bookmarkEnd w:id="479"/>
      <w:r>
        <w:rPr>
          <w:rtl w:val="true"/>
        </w:rPr>
        <w:t>البحث الثالث</w:t>
      </w:r>
      <w:r>
        <w:rPr>
          <w:rtl w:val="true"/>
        </w:rPr>
        <w:t xml:space="preserve">: </w:t>
      </w:r>
      <w:r>
        <w:rPr>
          <w:rtl w:val="true"/>
        </w:rPr>
        <w:t>فی شرائط العلّة</w:t>
      </w:r>
      <w:r>
        <w:rPr>
          <w:rtl w:val="true"/>
        </w:rPr>
        <w:t>.</w:t>
      </w:r>
      <w:bookmarkEnd w:id="48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بمعنی الباعث، بمعنی اشتمالها علی حکمة مقصودة</w:t>
      </w:r>
    </w:p>
    <w:p>
      <w:pPr>
        <w:pStyle w:val="BookText"/>
        <w:rPr/>
      </w:pPr>
      <w:r>
        <w:rPr>
          <w:rFonts w:ascii="IRNazanin" w:hAnsi="IRNazanin" w:eastAsia="IRNazanin"/>
          <w:color w:val="111111"/>
          <w:sz w:val="28"/>
          <w:sz w:val="28"/>
          <w:szCs w:val="28"/>
          <w:rtl w:val="true"/>
          <w:lang w:bidi="fa-IR"/>
        </w:rPr>
        <w:t>للشارع من شرع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یجب العلم به عندنا، لأنّ العلّة تثبت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تکون وصفا ضابطا لحکمة، و لا یجوز أن تکون حکمة مجردة لخفائها و عدم ضبطها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تکون عدمیة فی الحکم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عندنا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جواز التعلیل بمحل الحکم فی الأصل، و الفائدة الاطلاع علی الحکمة و منع القیاس، فلا یشترط تعدیة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لا تتأخر عن حکم الأصل، کتعلیل إثبات الولایة علی الصغیر الذی عرض له الجنون بالجنون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ترجع علی الأصل بالإبطال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تخالف نصا خاصّا، أو إجماعا خاصّا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تکون حکما شرعیا، کالنجاسة فی بطلان البیع، و أن تکون مرکبة، کالقتل العمد العدوان</w:t>
      </w:r>
      <w:r>
        <w:rPr>
          <w:rStyle w:val="FootnoteAnchor"/>
          <w:rtl w:val="true"/>
        </w:rPr>
        <w:footnoteReference w:id="1111"/>
      </w:r>
      <w:r>
        <w:rPr>
          <w:rFonts w:ascii="IRNazanin" w:hAnsi="IRNazanin" w:eastAsia="IRNazanin"/>
          <w:color w:val="111111"/>
          <w:sz w:val="28"/>
          <w:sz w:val="28"/>
          <w:szCs w:val="28"/>
          <w:rtl w:val="true"/>
          <w:lang w:bidi="fa-IR"/>
        </w:rPr>
        <w:t>، و العلّیة أمر</w:t>
      </w:r>
      <w:r>
        <w:rPr>
          <w:rStyle w:val="FootnoteAnchor"/>
          <w:rtl w:val="true"/>
        </w:rPr>
        <w:footnoteReference w:id="1112"/>
      </w:r>
      <w:r>
        <w:rPr>
          <w:rFonts w:ascii="IRNazanin" w:hAnsi="IRNazanin" w:eastAsia="IRNazanin"/>
          <w:color w:val="111111"/>
          <w:sz w:val="28"/>
          <w:sz w:val="28"/>
          <w:szCs w:val="28"/>
          <w:rtl w:val="true"/>
          <w:lang w:bidi="fa-IR"/>
        </w:rPr>
        <w:t>اعتباری</w:t>
      </w:r>
      <w:r>
        <w:rPr>
          <w:rStyle w:val="FootnoteAnchor"/>
          <w:rtl w:val="true"/>
        </w:rPr>
        <w:footnoteReference w:id="1113"/>
      </w:r>
      <w:r>
        <w:rPr>
          <w:rFonts w:ascii="IRNazanin" w:hAnsi="IRNazanin" w:eastAsia="IRNazanin"/>
          <w:color w:val="111111"/>
          <w:sz w:val="28"/>
          <w:sz w:val="28"/>
          <w:szCs w:val="28"/>
          <w:rtl w:val="true"/>
          <w:lang w:bidi="fa-IR"/>
        </w:rPr>
        <w:t>، و</w:t>
      </w:r>
      <w:r>
        <w:rPr>
          <w:rStyle w:val="FootnoteAnchor"/>
          <w:rtl w:val="true"/>
        </w:rPr>
        <w:footnoteReference w:id="1114"/>
      </w:r>
      <w:r>
        <w:rPr>
          <w:rFonts w:ascii="IRNazanin" w:hAnsi="IRNazanin" w:eastAsia="IRNazanin"/>
          <w:color w:val="111111"/>
          <w:sz w:val="28"/>
          <w:sz w:val="28"/>
          <w:szCs w:val="28"/>
          <w:rtl w:val="true"/>
          <w:lang w:bidi="fa-IR"/>
        </w:rPr>
        <w:t>أن تکون إضافیة، لأنّا جوّزنا العدمیة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bookmarkStart w:id="481" w:name="pg2360_37182"/>
    </w:p>
    <w:p>
      <w:pPr>
        <w:pStyle w:val="Heading4"/>
        <w:numPr>
          <w:ilvl w:val="3"/>
          <w:numId w:val="1"/>
        </w:numPr>
        <w:rPr/>
      </w:pPr>
      <w:bookmarkStart w:id="482" w:name="__RefHeading___Toc2792762_3804643083"/>
      <w:bookmarkStart w:id="483" w:name="_Toc184"/>
      <w:bookmarkEnd w:id="481"/>
      <w:bookmarkEnd w:id="482"/>
      <w:r>
        <w:rPr>
          <w:rtl w:val="true"/>
        </w:rPr>
        <w:t>البحث الرابع</w:t>
      </w:r>
      <w:r>
        <w:rPr>
          <w:rtl w:val="true"/>
        </w:rPr>
        <w:t xml:space="preserve">: </w:t>
      </w:r>
      <w:r>
        <w:rPr>
          <w:rtl w:val="true"/>
        </w:rPr>
        <w:t>فی شرائط الحکم</w:t>
      </w:r>
      <w:r>
        <w:rPr>
          <w:rtl w:val="true"/>
        </w:rPr>
        <w:t>.</w:t>
      </w:r>
      <w:bookmarkEnd w:id="483"/>
    </w:p>
    <w:p>
      <w:pPr>
        <w:pStyle w:val="BookText"/>
        <w:rPr/>
      </w:pPr>
      <w:r>
        <w:rPr>
          <w:rFonts w:ascii="IRNazanin" w:hAnsi="IRNazanin" w:eastAsia="IRNazanin"/>
          <w:color w:val="111111"/>
          <w:sz w:val="28"/>
          <w:sz w:val="28"/>
          <w:szCs w:val="28"/>
          <w:rtl w:val="true"/>
          <w:lang w:bidi="fa-IR"/>
        </w:rPr>
        <w:t>یشترط فیه</w:t>
      </w:r>
      <w:r>
        <w:rPr>
          <w:rStyle w:val="FootnoteAnchor"/>
          <w:rtl w:val="true"/>
        </w:rPr>
        <w:footnoteReference w:id="1116"/>
      </w:r>
      <w:r>
        <w:rPr>
          <w:rFonts w:ascii="IRNazanin" w:hAnsi="IRNazanin" w:eastAsia="IRNazanin"/>
          <w:color w:val="111111"/>
          <w:sz w:val="28"/>
          <w:sz w:val="28"/>
          <w:szCs w:val="28"/>
          <w:rtl w:val="true"/>
          <w:lang w:bidi="fa-IR"/>
        </w:rPr>
        <w:t>أن یکون شرعیا عند جماعة</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جوّزه فی الأحکام العقلیة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خلافه، لأنّه یفید الظن لو کان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یثبت فی اللّغات</w:t>
      </w:r>
      <w:r>
        <w:rPr>
          <w:rStyle w:val="FootnoteAnchor"/>
          <w:rtl w:val="true"/>
        </w:rPr>
        <w:footnoteReference w:id="1118"/>
      </w:r>
      <w:r>
        <w:rPr>
          <w:rFonts w:ascii="IRNazanin" w:hAnsi="IRNazanin" w:eastAsia="IRNazanin"/>
          <w:color w:val="111111"/>
          <w:sz w:val="28"/>
          <w:sz w:val="28"/>
          <w:szCs w:val="28"/>
          <w:rtl w:val="true"/>
          <w:lang w:bidi="fa-IR"/>
        </w:rPr>
        <w:t>؟ أنکره جمهور الأشاعرة</w:t>
      </w:r>
      <w:r>
        <w:rPr>
          <w:rStyle w:val="FootnoteAnchor"/>
          <w:rtl w:val="true"/>
        </w:rPr>
        <w:footnoteReference w:id="11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الحنفیّة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جوّزه</w:t>
      </w:r>
    </w:p>
    <w:p>
      <w:pPr>
        <w:pStyle w:val="BookText"/>
        <w:rPr/>
      </w:pPr>
      <w:r>
        <w:rPr>
          <w:rFonts w:ascii="IRNazanin" w:hAnsi="IRNazanin" w:eastAsia="IRNazanin"/>
          <w:color w:val="111111"/>
          <w:sz w:val="28"/>
          <w:sz w:val="28"/>
          <w:szCs w:val="28"/>
          <w:rtl w:val="true"/>
          <w:lang w:bidi="fa-IR"/>
        </w:rPr>
        <w:t>ابن سریج</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جنّی</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مذهب أکثر الادباء کأبی علی و المازنی</w:t>
      </w:r>
      <w:r>
        <w:rPr>
          <w:rStyle w:val="FootnoteAnchor"/>
          <w:rtl w:val="true"/>
        </w:rPr>
        <w:footnoteReference w:id="1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و الکنی و الألقاب للقمّی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الأخیر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قصّة عجیبة حدثت له ببرکة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 الخمر قبل حصول الشدّة لا تسمّی خمرا، و مع حصولها تسمّی به، فیغلب الظن أنّ العلّة هی الشدّة، و هی ثابتة فی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کل فاعل مرفوع، و کذا غیره من أنواع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 و إنّما تثبت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لو نصوا علیه لم یجز، کما لا یجوز القیاس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 غانما لسواده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القیاس مبنی علی التعلیل المتوقف علی المناسبة، و لا مناسبة بین الاسم و المسمّی</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عدم القیاس، فإنّ أکثر علم النحو و الاشتقاق و التصریف مبنی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العتق یفتقر إلی التنصیص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جعلت العلّة المعرّف لم تجب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لا یجوز القیاس فی الأسباب، لأنّا لو جعلنا اللواط موجبا للحدّ بالقیاس علی الزنا، فإن کان لا لجامع، بطل القیاس، و إن کان لجامع هو المقتضی للحدّ، لم یجز جعل خصوصیتی الأصل و الفرع موجبتین، لامتناع الاستناد إلی المشترک و إلی الخصوصیات، فینتفی الحکم، فیبطل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إثبات الحکم العدمی بقیاس العلّة، لأنّ انتفاء الحکم ثابت قبل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تأخر</w:t>
      </w:r>
      <w:r>
        <w:rPr>
          <w:rStyle w:val="FootnoteAnchor"/>
          <w:rtl w:val="true"/>
        </w:rPr>
        <w:footnoteReference w:id="1124"/>
      </w:r>
      <w:r>
        <w:rPr>
          <w:rFonts w:ascii="Amiri" w:hAnsi="Amiri" w:eastAsia="Amiri" w:cs="Amiri"/>
          <w:color w:val="111111"/>
          <w:sz w:val="28"/>
          <w:sz w:val="28"/>
          <w:szCs w:val="28"/>
          <w:rtl w:val="true"/>
          <w:lang w:bidi="ar-SA"/>
        </w:rPr>
        <w:t>العلّة عنه</w:t>
      </w:r>
      <w:r>
        <w:rPr>
          <w:rStyle w:val="FootnoteAnchor"/>
          <w:rtl w:val="true"/>
        </w:rPr>
        <w:footnoteReference w:id="1125"/>
      </w:r>
      <w:r>
        <w:rPr>
          <w:rFonts w:ascii="IRNazanin" w:hAnsi="IRNazanin" w:eastAsia="IRNazanin"/>
          <w:color w:val="111111"/>
          <w:sz w:val="28"/>
          <w:sz w:val="28"/>
          <w:szCs w:val="28"/>
          <w:rtl w:val="true"/>
          <w:lang w:bidi="fa-IR"/>
        </w:rPr>
        <w:t>، و یجوز بقیاس الدلالة، لجواز الاستدلال بعدم الأثر علی عدم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النفی الأصلی، أمّا إذا کان الحکم إعداما فإنّه یجوز إثباته بهما معا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جوّز الشافعی القیاس فی التقدیرات، و الکفارات، و الحدود و الرخص</w:t>
      </w:r>
      <w:r>
        <w:rPr>
          <w:rStyle w:val="FootnoteAnchor"/>
          <w:rtl w:val="true"/>
        </w:rPr>
        <w:footnoteReference w:id="1126"/>
      </w:r>
      <w:r>
        <w:rPr>
          <w:rFonts w:ascii="IRNazanin" w:hAnsi="IRNazanin" w:eastAsia="IRNazanin"/>
          <w:color w:val="111111"/>
          <w:sz w:val="28"/>
          <w:sz w:val="28"/>
          <w:szCs w:val="28"/>
          <w:rtl w:val="true"/>
          <w:lang w:bidi="fa-IR"/>
        </w:rPr>
        <w:t>،</w:t>
      </w:r>
      <w:bookmarkStart w:id="484" w:name="pg2360_37185"/>
    </w:p>
    <w:p>
      <w:pPr>
        <w:pStyle w:val="BookText"/>
        <w:rPr/>
      </w:pPr>
      <w:bookmarkEnd w:id="484"/>
      <w:r>
        <w:rPr>
          <w:rFonts w:ascii="IRNazanin" w:hAnsi="IRNazanin" w:eastAsia="IRNazanin"/>
          <w:color w:val="111111"/>
          <w:sz w:val="28"/>
          <w:sz w:val="28"/>
          <w:szCs w:val="28"/>
          <w:rtl w:val="true"/>
          <w:lang w:bidi="fa-IR"/>
        </w:rPr>
        <w:t>و منعه الحنفیة</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حکموا فی شهود الزوایا</w:t>
      </w:r>
      <w:r>
        <w:rPr>
          <w:rStyle w:val="FootnoteAnchor"/>
          <w:rtl w:val="true"/>
        </w:rPr>
        <w:footnoteReference w:id="1128"/>
      </w:r>
      <w:r>
        <w:rPr>
          <w:rFonts w:ascii="IRNazanin" w:hAnsi="IRNazanin" w:eastAsia="IRNazanin"/>
          <w:color w:val="111111"/>
          <w:sz w:val="28"/>
          <w:sz w:val="28"/>
          <w:szCs w:val="28"/>
          <w:rtl w:val="true"/>
          <w:lang w:bidi="fa-IR"/>
        </w:rPr>
        <w:t>بوجوب رجم المشهود علیه استحسانا، و قاسوا فی الکفارات الإفطار بالأکل علی الوقاع، و قتل الصید ناسیا علیه عمدا، و قاسوا فی المقدّرات، کما قدّروا فی الدلو الکبیر، و قاسوا فی الرخص زوال</w:t>
      </w:r>
      <w:r>
        <w:rPr>
          <w:rStyle w:val="FootnoteAnchor"/>
          <w:rtl w:val="true"/>
        </w:rPr>
        <w:footnoteReference w:id="1129"/>
      </w:r>
      <w:r>
        <w:rPr>
          <w:rFonts w:ascii="IRNazanin" w:hAnsi="IRNazanin" w:eastAsia="IRNazanin"/>
          <w:color w:val="111111"/>
          <w:sz w:val="28"/>
          <w:sz w:val="28"/>
          <w:szCs w:val="28"/>
          <w:rtl w:val="true"/>
          <w:lang w:bidi="fa-IR"/>
        </w:rPr>
        <w:t>سائر النجاسات بالحجر، قیاسا علی الاستنجاء</w:t>
      </w:r>
      <w:r>
        <w:rPr>
          <w:rStyle w:val="FootnoteAnchor"/>
          <w:rtl w:val="true"/>
        </w:rPr>
        <w:footnoteReference w:id="11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792764_3804643083"/>
      <w:bookmarkStart w:id="486" w:name="_Toc185"/>
      <w:bookmarkEnd w:id="485"/>
      <w:r>
        <w:rPr>
          <w:rtl w:val="true"/>
        </w:rPr>
        <w:t>الفصل الخامس</w:t>
      </w:r>
      <w:r>
        <w:rPr>
          <w:rtl w:val="true"/>
        </w:rPr>
        <w:t xml:space="preserve">: </w:t>
      </w:r>
      <w:r>
        <w:rPr>
          <w:rtl w:val="true"/>
        </w:rPr>
        <w:t>فی بقایا مباحث القیاس و هی ثلاثة</w:t>
      </w:r>
      <w:r>
        <w:rPr>
          <w:rtl w:val="true"/>
        </w:rPr>
        <w:t>:</w:t>
      </w:r>
      <w:bookmarkEnd w:id="486"/>
    </w:p>
    <w:p>
      <w:pPr>
        <w:pStyle w:val="Heading4"/>
        <w:numPr>
          <w:ilvl w:val="3"/>
          <w:numId w:val="1"/>
        </w:numPr>
        <w:rPr/>
      </w:pPr>
      <w:bookmarkStart w:id="487" w:name="__RefHeading___Toc2792766_3804643083"/>
      <w:bookmarkStart w:id="488" w:name="_Toc186"/>
      <w:bookmarkEnd w:id="487"/>
      <w:r>
        <w:rPr>
          <w:rtl w:val="true"/>
        </w:rPr>
        <w:t>الأوّل</w:t>
      </w:r>
      <w:r>
        <w:rPr>
          <w:rtl w:val="true"/>
        </w:rPr>
        <w:t xml:space="preserve">: </w:t>
      </w:r>
      <w:r>
        <w:rPr>
          <w:rtl w:val="true"/>
        </w:rPr>
        <w:t>القیاس منه جلی،</w:t>
      </w:r>
      <w:bookmarkEnd w:id="4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قطع فیه بنفی الفارق، إمّا مع النص علی</w:t>
      </w:r>
      <w:bookmarkStart w:id="489" w:name="pg2360_37186"/>
    </w:p>
    <w:p>
      <w:pPr>
        <w:pStyle w:val="BookText"/>
        <w:rPr/>
      </w:pPr>
      <w:bookmarkEnd w:id="489"/>
      <w:r>
        <w:rPr>
          <w:rFonts w:ascii="IRNazanin" w:hAnsi="IRNazanin" w:eastAsia="IRNazanin"/>
          <w:color w:val="111111"/>
          <w:sz w:val="28"/>
          <w:sz w:val="28"/>
          <w:szCs w:val="28"/>
          <w:rtl w:val="true"/>
          <w:lang w:bidi="fa-IR"/>
        </w:rPr>
        <w:t>العلّة، أو بدونه، کإلحاق الأمة بالعبد فی تقویم النصیب عند العتق، للعلم بعدم الفارق سوی الانوثة و الذکورة، و العلم بانتفاء نظر الشارع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خفی، و هو ما عداه، کغیره من الأقیسة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القیاس قیاس علّة، و هو ما صرّح فیه بالعلّة، و قیاس دلالة، و هو ما صرّح فیه بالجامع، إلّا أنّه لیس الباعث، بل ملازمه</w:t>
      </w:r>
      <w:r>
        <w:rPr>
          <w:rStyle w:val="FootnoteAnchor"/>
          <w:rtl w:val="true"/>
        </w:rPr>
        <w:footnoteReference w:id="1131"/>
      </w:r>
      <w:r>
        <w:rPr>
          <w:rFonts w:ascii="IRNazanin" w:hAnsi="IRNazanin" w:eastAsia="IRNazanin"/>
          <w:color w:val="111111"/>
          <w:sz w:val="28"/>
          <w:sz w:val="28"/>
          <w:szCs w:val="28"/>
          <w:rtl w:val="true"/>
          <w:lang w:bidi="fa-IR"/>
        </w:rPr>
        <w:t>، و قیاس فی معنی الأصل، و هو ما لم یصرّح فیه بالجامع، بل جمع</w:t>
      </w:r>
      <w:r>
        <w:rPr>
          <w:rStyle w:val="FootnoteAnchor"/>
          <w:rtl w:val="true"/>
        </w:rPr>
        <w:footnoteReference w:id="1132"/>
      </w:r>
      <w:r>
        <w:rPr>
          <w:rFonts w:ascii="IRNazanin" w:hAnsi="IRNazanin" w:eastAsia="IRNazanin"/>
          <w:color w:val="111111"/>
          <w:sz w:val="28"/>
          <w:sz w:val="28"/>
          <w:szCs w:val="28"/>
          <w:rtl w:val="true"/>
          <w:lang w:bidi="fa-IR"/>
        </w:rPr>
        <w:t>فیه</w:t>
      </w:r>
      <w:r>
        <w:rPr>
          <w:rStyle w:val="FootnoteAnchor"/>
          <w:rtl w:val="true"/>
        </w:rPr>
        <w:footnoteReference w:id="1133"/>
      </w:r>
      <w:r>
        <w:rPr>
          <w:rFonts w:ascii="IRNazanin" w:hAnsi="IRNazanin" w:eastAsia="IRNazanin"/>
          <w:color w:val="111111"/>
          <w:sz w:val="28"/>
          <w:sz w:val="28"/>
          <w:szCs w:val="28"/>
          <w:rtl w:val="true"/>
          <w:lang w:bidi="fa-IR"/>
        </w:rPr>
        <w:t>بنفی الفارق</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2792768_3804643083"/>
      <w:bookmarkStart w:id="491" w:name="_Toc187"/>
      <w:bookmarkEnd w:id="490"/>
      <w:r>
        <w:rPr>
          <w:rtl w:val="true"/>
        </w:rPr>
        <w:t>الثانی</w:t>
      </w:r>
      <w:r>
        <w:rPr>
          <w:rtl w:val="true"/>
        </w:rPr>
        <w:t xml:space="preserve">: </w:t>
      </w:r>
      <w:r>
        <w:rPr>
          <w:rtl w:val="true"/>
        </w:rPr>
        <w:t>لا یجوز القیاس فی جمیع الأحکام،</w:t>
      </w:r>
      <w:bookmarkEnd w:id="491"/>
    </w:p>
    <w:p>
      <w:pPr>
        <w:pStyle w:val="BookText"/>
        <w:rPr/>
      </w:pPr>
      <w:r>
        <w:rPr>
          <w:rFonts w:ascii="IRNazanin" w:hAnsi="IRNazanin" w:eastAsia="IRNazanin"/>
          <w:color w:val="111111"/>
          <w:sz w:val="28"/>
          <w:sz w:val="28"/>
          <w:szCs w:val="28"/>
          <w:rtl w:val="true"/>
          <w:lang w:bidi="fa-IR"/>
        </w:rPr>
        <w:t>لأنّ فیها ما لا یعقل معناه، و لأنّ الأصل لا بدّ و أن یکون منصوصا علیه</w:t>
      </w:r>
      <w:r>
        <w:rPr>
          <w:rStyle w:val="FootnoteAnchor"/>
          <w:rtl w:val="true"/>
        </w:rPr>
        <w:footnoteReference w:id="1135"/>
      </w:r>
      <w:r>
        <w:rPr>
          <w:rFonts w:ascii="IRNazanin" w:hAnsi="IRNazanin" w:eastAsia="IRNazanin"/>
          <w:color w:val="111111"/>
          <w:sz w:val="28"/>
          <w:sz w:val="28"/>
          <w:szCs w:val="28"/>
          <w:rtl w:val="true"/>
          <w:lang w:bidi="fa-IR"/>
        </w:rPr>
        <w:t>، و إلّا لکان فرعا، و قد تقدم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التعبد بالنصوص</w:t>
      </w:r>
      <w:r>
        <w:rPr>
          <w:rStyle w:val="FootnoteAnchor"/>
          <w:rtl w:val="true"/>
        </w:rPr>
        <w:footnoteReference w:id="1136"/>
      </w:r>
      <w:r>
        <w:rPr>
          <w:rFonts w:ascii="IRNazanin" w:hAnsi="IRNazanin" w:eastAsia="IRNazanin"/>
          <w:color w:val="111111"/>
          <w:sz w:val="28"/>
          <w:sz w:val="28"/>
          <w:szCs w:val="28"/>
          <w:rtl w:val="true"/>
          <w:lang w:bidi="fa-IR"/>
        </w:rPr>
        <w:t>فی کل الشرع، أمّا عندنا فظاهر، لأنّا نمنع القیاس، و أمّا عند الخصم فلإمکان أن ینص اللّه تعالی علی جملة الأحکام، و یدخل التفاصیل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القیاس فیما طریقه العادة و الخلقة، کأکثر الحیض و أقلّه، و لا ما لا یتعلق به عمل، کدخول النبی صلّی اللّه علیه و آله مکّة صلحا أو لقتال</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2792770_3804643083"/>
      <w:bookmarkStart w:id="493" w:name="_Toc188"/>
      <w:bookmarkEnd w:id="492"/>
      <w:r>
        <w:rPr>
          <w:rtl w:val="true"/>
        </w:rPr>
        <w:t>الثالث</w:t>
      </w:r>
      <w:r>
        <w:rPr>
          <w:rtl w:val="true"/>
        </w:rPr>
        <w:t xml:space="preserve">: </w:t>
      </w:r>
      <w:r>
        <w:rPr>
          <w:rtl w:val="true"/>
        </w:rPr>
        <w:t>هاهنا نوع من القیاس یسمّی قیاس الأصل علی الفرع،</w:t>
      </w:r>
      <w:bookmarkEnd w:id="4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یقال لو</w:t>
      </w:r>
    </w:p>
    <w:p>
      <w:pPr>
        <w:pStyle w:val="BookText"/>
        <w:rPr/>
      </w:pPr>
      <w:r>
        <w:rPr>
          <w:rFonts w:ascii="IRNazanin" w:hAnsi="IRNazanin" w:eastAsia="IRNazanin"/>
          <w:color w:val="111111"/>
          <w:sz w:val="28"/>
          <w:sz w:val="28"/>
          <w:szCs w:val="28"/>
          <w:rtl w:val="true"/>
          <w:lang w:bidi="fa-IR"/>
        </w:rPr>
        <w:t>ثبت الحکم فی الفرع لثبت فی الأصل، لأنّه لو ثبت فی الفرع لثبت لعلّة کذا للمناسبة و الاقتران، و هی موجودة فی الأصل من دون الحکم، و هو نوع من التلازم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قیاس العکس،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الصوم شرطا فی الاعتکاف</w:t>
      </w:r>
      <w:r>
        <w:rPr>
          <w:rStyle w:val="FootnoteAnchor"/>
          <w:rtl w:val="true"/>
        </w:rPr>
        <w:footnoteReference w:id="1138"/>
      </w:r>
      <w:r>
        <w:rPr>
          <w:rFonts w:ascii="IRNazanin" w:hAnsi="IRNazanin" w:eastAsia="IRNazanin"/>
          <w:color w:val="111111"/>
          <w:sz w:val="28"/>
          <w:sz w:val="28"/>
          <w:szCs w:val="28"/>
          <w:rtl w:val="true"/>
          <w:lang w:bidi="fa-IR"/>
        </w:rPr>
        <w:t>لم یکن شرطا بالنذر، قیاسا علی الصلاة، فإنّها لمّا لم تکن شرطا لصحة الاعتکاف لم تکن شرطا له بالنذر، فالمطلوب فی الفرع کون الصوم شرطا لصحة الاعتکاف، و الثابت فی الأصل کون الصلاة لیست شرطا، فخالف حکم الفرع حکم الأصل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الحقیقة راجع إلی الأوّل، لأنّه استدلال بالقیاس الشرطی، و إثبات إحدی مقدمتیه بالقیاس،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الصوم شرطا مطلقا لم یصر شرطا بالنذر، ثمّ نستثنی النقیض للنقیض، و نستدل علی إثبات الملازمة بین المقدّم و التالی بالقیاس،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شرطا فی نفسه لا یصیر شرطا بالنذر، کالصلاة</w:t>
      </w:r>
      <w:r>
        <w:rPr>
          <w:rFonts w:eastAsia="IRNazanin" w:cs="IRNazanin"/>
          <w:color w:val="111111"/>
          <w:sz w:val="28"/>
          <w:szCs w:val="28"/>
          <w:rtl w:val="true"/>
          <w:lang w:bidi="fa-IR"/>
        </w:rPr>
        <w:t>.</w:t>
      </w:r>
      <w:bookmarkStart w:id="494" w:name="pg2360_37189"/>
    </w:p>
    <w:p>
      <w:pPr>
        <w:pStyle w:val="Heading2"/>
        <w:numPr>
          <w:ilvl w:val="1"/>
          <w:numId w:val="1"/>
        </w:numPr>
        <w:rPr/>
      </w:pPr>
      <w:bookmarkStart w:id="495" w:name="__RefHeading___Toc2792772_3804643083"/>
      <w:bookmarkStart w:id="496" w:name="_Toc189"/>
      <w:bookmarkEnd w:id="494"/>
      <w:bookmarkEnd w:id="495"/>
      <w:r>
        <w:rPr>
          <w:rtl w:val="true"/>
        </w:rPr>
        <w:t>المقصد الحادی عشر فی التّعادل و التّراجیح و فیه مباحث</w:t>
      </w:r>
      <w:bookmarkEnd w:id="49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2792774_3804643083"/>
      <w:bookmarkStart w:id="498" w:name="_Toc190"/>
      <w:bookmarkEnd w:id="497"/>
      <w:r>
        <w:rPr>
          <w:rtl w:val="true"/>
        </w:rPr>
        <w:t>اشارة</w:t>
      </w:r>
      <w:bookmarkStart w:id="499" w:name="pg2360_37191"/>
      <w:bookmarkEnd w:id="498"/>
    </w:p>
    <w:p>
      <w:pPr>
        <w:pStyle w:val="Heading3"/>
        <w:numPr>
          <w:ilvl w:val="2"/>
          <w:numId w:val="1"/>
        </w:numPr>
        <w:rPr/>
      </w:pPr>
      <w:bookmarkStart w:id="500" w:name="__RefHeading___Toc2792776_3804643083"/>
      <w:bookmarkStart w:id="501" w:name="_Toc191"/>
      <w:bookmarkEnd w:id="499"/>
      <w:bookmarkEnd w:id="500"/>
      <w:r>
        <w:rPr>
          <w:rtl w:val="true"/>
        </w:rPr>
        <w:t>الأوّل</w:t>
      </w:r>
      <w:r>
        <w:rPr>
          <w:rtl w:val="true"/>
        </w:rPr>
        <w:t xml:space="preserve">: </w:t>
      </w:r>
      <w:r>
        <w:rPr>
          <w:rtl w:val="true"/>
        </w:rPr>
        <w:t>فی التعادل</w:t>
      </w:r>
      <w:r>
        <w:rPr>
          <w:rtl w:val="true"/>
        </w:rPr>
        <w:t>.</w:t>
      </w:r>
      <w:bookmarkEnd w:id="501"/>
    </w:p>
    <w:p>
      <w:pPr>
        <w:pStyle w:val="BookText"/>
        <w:rPr/>
      </w:pPr>
      <w:r>
        <w:rPr>
          <w:rFonts w:ascii="IRNazanin" w:hAnsi="IRNazanin" w:eastAsia="IRNazanin"/>
          <w:color w:val="111111"/>
          <w:sz w:val="28"/>
          <w:sz w:val="28"/>
          <w:szCs w:val="28"/>
          <w:rtl w:val="true"/>
          <w:lang w:bidi="fa-IR"/>
        </w:rPr>
        <w:t>الأمارتان إن تعادلتا فی حکم واحد، و تنافی الفعلان؛ جاز، کتوجه المصلّی إلی جهتین غلب علی</w:t>
      </w:r>
      <w:r>
        <w:rPr>
          <w:rStyle w:val="FootnoteAnchor"/>
          <w:rtl w:val="true"/>
        </w:rPr>
        <w:footnoteReference w:id="1139"/>
      </w:r>
      <w:r>
        <w:rPr>
          <w:rFonts w:ascii="IRNazanin" w:hAnsi="IRNazanin" w:eastAsia="IRNazanin"/>
          <w:color w:val="111111"/>
          <w:sz w:val="28"/>
          <w:sz w:val="28"/>
          <w:szCs w:val="28"/>
          <w:rtl w:val="true"/>
          <w:lang w:bidi="fa-IR"/>
        </w:rPr>
        <w:t>ظنه أنّهما جهتا القبلة، فالحکم و هو الوجوب واحد، و یتخیّر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اتحد الفعل و تنافی الحکم، کالأمارة الدالة علی قبح الفعل و الأمارة الدالة علی وجوبه أو جوازه؟ فمنع منه قوم شرعا، و إن جاز عقلا، أمّا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فلإمکان إخبار عدلین بحکمین متنافیین، و أمّا عدم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العمل بهما یقتضی وجوب العمل</w:t>
      </w:r>
      <w:r>
        <w:rPr>
          <w:rStyle w:val="FootnoteAnchor"/>
          <w:rtl w:val="true"/>
        </w:rPr>
        <w:footnoteReference w:id="1140"/>
      </w:r>
      <w:r>
        <w:rPr>
          <w:rFonts w:ascii="IRNazanin" w:hAnsi="IRNazanin" w:eastAsia="IRNazanin"/>
          <w:color w:val="111111"/>
          <w:sz w:val="28"/>
          <w:sz w:val="28"/>
          <w:szCs w:val="28"/>
          <w:rtl w:val="true"/>
          <w:lang w:bidi="fa-IR"/>
        </w:rPr>
        <w:t>و تحریمه علی مکلّف واحد، و ترکهما یقتضی العبث بوضعهما، إذ وضع أمارة لا یمکن العمل بها عبث، و العمل بإحداهما دون الاخری 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هاهنا التخییر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التخییر بین أمارة الوجوب و الإباحة الإباحة، لأنّ المجتهد إن أخذ بأمارة الإباحة ثبت فی حقه، و إن أخذ بأمارة الوجوب ثبت فی حقه، کالمسافر إذا حصل فی مکان یتخیّر فیه بین الإتمام و القصر، فإن صلّی بنیّة القصر سقط عنه وجوب الرکعتین، و إن صلّی تماما کان واجبا، و کمن علیه درهمان إذا قال له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دفعت إلی الدرهمین فلی الأخذ، و إن دفعت أحدهما أسقطت الآخر عنک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فإن عرض التساوی للمجتهد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للمفتی خیّر</w:t>
      </w:r>
      <w:bookmarkStart w:id="502" w:name="pg2360_37192"/>
    </w:p>
    <w:p>
      <w:pPr>
        <w:pStyle w:val="BookText"/>
        <w:rPr/>
      </w:pPr>
      <w:bookmarkEnd w:id="502"/>
      <w:r>
        <w:rPr>
          <w:rFonts w:ascii="IRNazanin" w:hAnsi="IRNazanin" w:eastAsia="IRNazanin"/>
          <w:color w:val="111111"/>
          <w:sz w:val="28"/>
          <w:sz w:val="28"/>
          <w:szCs w:val="28"/>
          <w:rtl w:val="true"/>
          <w:lang w:bidi="fa-IR"/>
        </w:rPr>
        <w:t>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للحاکم عیّن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الحکم بإحداهما فی وقت و بالاخری فی آخر، لشخصین</w:t>
      </w:r>
      <w:r>
        <w:rPr>
          <w:rFonts w:eastAsia="IRNazanin" w:cs="IRNazanin"/>
          <w:color w:val="111111"/>
          <w:sz w:val="28"/>
          <w:szCs w:val="28"/>
          <w:rtl w:val="true"/>
          <w:lang w:bidi="fa-IR"/>
        </w:rPr>
        <w:t>.</w:t>
      </w:r>
    </w:p>
    <w:p>
      <w:pPr>
        <w:pStyle w:val="Heading3"/>
        <w:numPr>
          <w:ilvl w:val="2"/>
          <w:numId w:val="1"/>
        </w:numPr>
        <w:rPr/>
      </w:pPr>
      <w:bookmarkStart w:id="503" w:name="__RefHeading___Toc2792778_3804643083"/>
      <w:bookmarkStart w:id="504" w:name="_Toc192"/>
      <w:bookmarkEnd w:id="503"/>
      <w:r>
        <w:rPr>
          <w:rtl w:val="true"/>
        </w:rPr>
        <w:t>البحث الثانی</w:t>
      </w:r>
      <w:r>
        <w:rPr>
          <w:rtl w:val="true"/>
        </w:rPr>
        <w:t xml:space="preserve">: </w:t>
      </w:r>
      <w:r>
        <w:rPr>
          <w:rtl w:val="true"/>
        </w:rPr>
        <w:t>إذا تعارض الدلیلان</w:t>
      </w:r>
      <w:r>
        <w:rPr>
          <w:rtl w:val="true"/>
        </w:rPr>
        <w:t>:</w:t>
      </w:r>
      <w:bookmarkEnd w:id="504"/>
    </w:p>
    <w:p>
      <w:pPr>
        <w:pStyle w:val="BookText"/>
        <w:rPr/>
      </w:pPr>
      <w:r>
        <w:rPr>
          <w:rFonts w:ascii="IRNazanin" w:hAnsi="IRNazanin" w:eastAsia="IRNazanin"/>
          <w:color w:val="111111"/>
          <w:sz w:val="28"/>
          <w:sz w:val="28"/>
          <w:szCs w:val="28"/>
          <w:rtl w:val="true"/>
          <w:lang w:bidi="fa-IR"/>
        </w:rPr>
        <w:t>فإمّا أن یکونا ظنیین، فالحق الترجیح بینهما</w:t>
      </w:r>
      <w:r>
        <w:rPr>
          <w:rStyle w:val="FootnoteAnchor"/>
          <w:rtl w:val="true"/>
        </w:rPr>
        <w:footnoteReference w:id="1141"/>
      </w:r>
      <w:r>
        <w:rPr>
          <w:rFonts w:ascii="IRNazanin" w:hAnsi="IRNazanin" w:eastAsia="IRNazanin"/>
          <w:color w:val="111111"/>
          <w:sz w:val="28"/>
          <w:sz w:val="28"/>
          <w:szCs w:val="28"/>
          <w:rtl w:val="true"/>
          <w:lang w:bidi="fa-IR"/>
        </w:rPr>
        <w:t>، فیعمل بالراجح، و إلّا لزم ترجیح المرجوح علی الراجح،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العمل بکل واحد منهما من وجه دون وجه؛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یکونا یقینیین، فالتعارض بینهما محال، إلّا أن یکون أحدهما قابلا للتأویل بالآخر بحیث یمکن الجمع بینهما، کالعام المقطوع نقله، و الخاص المظنون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أحدهما قطعیا و الآخر ظنیا، تعیّن العمل بالقطعی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الأمارة بما تقوی به علی معارضها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أن یکون فی دلیلین نقلیین، أو عقلیین، أو معقول و منقول</w:t>
      </w:r>
      <w:r>
        <w:rPr>
          <w:rFonts w:eastAsia="IRNazanin" w:cs="IRNazanin"/>
          <w:color w:val="111111"/>
          <w:sz w:val="28"/>
          <w:szCs w:val="28"/>
          <w:rtl w:val="true"/>
          <w:lang w:bidi="fa-IR"/>
        </w:rPr>
        <w:t>.</w:t>
      </w:r>
    </w:p>
    <w:p>
      <w:pPr>
        <w:pStyle w:val="Heading3"/>
        <w:numPr>
          <w:ilvl w:val="2"/>
          <w:numId w:val="1"/>
        </w:numPr>
        <w:rPr/>
      </w:pPr>
      <w:bookmarkStart w:id="505" w:name="__RefHeading___Toc2792780_3804643083"/>
      <w:bookmarkStart w:id="506" w:name="_Toc193"/>
      <w:bookmarkEnd w:id="505"/>
      <w:r>
        <w:rPr>
          <w:rtl w:val="true"/>
        </w:rPr>
        <w:t>البحث الثالث</w:t>
      </w:r>
      <w:r>
        <w:rPr>
          <w:rtl w:val="true"/>
        </w:rPr>
        <w:t xml:space="preserve">: </w:t>
      </w:r>
      <w:r>
        <w:rPr>
          <w:rtl w:val="true"/>
        </w:rPr>
        <w:t>إذا تعارض نقلیان رجّح</w:t>
      </w:r>
      <w:bookmarkEnd w:id="506"/>
    </w:p>
    <w:p>
      <w:pPr>
        <w:pStyle w:val="BookText"/>
        <w:rPr/>
      </w:pPr>
      <w:r>
        <w:rPr>
          <w:rFonts w:ascii="IRNazanin" w:hAnsi="IRNazanin" w:eastAsia="IRNazanin"/>
          <w:color w:val="111111"/>
          <w:sz w:val="28"/>
          <w:sz w:val="28"/>
          <w:szCs w:val="28"/>
          <w:rtl w:val="true"/>
          <w:lang w:bidi="fa-IR"/>
        </w:rPr>
        <w:t>إمّا بالسند، أو بوقت الورود، أو بالمتن، أو بالمدلول، أو بأمر خارجی؛ فالأکثر رواة أرجح، و الأعلی اسناد أرجح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ترجح روایة الفقیه، و الأفقه، و الزاهد، و الأزهد، و العالم بالعربیة، و الأعلم</w:t>
      </w:r>
      <w:r>
        <w:rPr>
          <w:rStyle w:val="FootnoteAnchor"/>
          <w:rtl w:val="true"/>
        </w:rPr>
        <w:footnoteReference w:id="1142"/>
      </w:r>
      <w:r>
        <w:rPr>
          <w:rFonts w:ascii="IRNazanin" w:hAnsi="IRNazanin" w:eastAsia="IRNazanin"/>
          <w:color w:val="111111"/>
          <w:sz w:val="28"/>
          <w:sz w:val="28"/>
          <w:szCs w:val="28"/>
          <w:rtl w:val="true"/>
          <w:lang w:bidi="fa-IR"/>
        </w:rPr>
        <w:t>، و کونه صاحب الواقعة، و الأکثر مجالسة للعلماء أو المحدثین، أو من طریقه أقوی،</w:t>
      </w:r>
    </w:p>
    <w:p>
      <w:pPr>
        <w:pStyle w:val="BookText"/>
        <w:rPr/>
      </w:pPr>
      <w:r>
        <w:rPr>
          <w:rFonts w:ascii="IRNazanin" w:hAnsi="IRNazanin" w:eastAsia="IRNazanin"/>
          <w:color w:val="111111"/>
          <w:sz w:val="28"/>
          <w:sz w:val="28"/>
          <w:szCs w:val="28"/>
          <w:rtl w:val="true"/>
          <w:lang w:bidi="fa-IR"/>
        </w:rPr>
        <w:t>و الذی ظهرت عدالته بالاختبار، أو تزکیة الأکثر أو الأعلم، أو مع ذکر سبب العدالة، أو مع العمل بروایته، و الأکثر ضبطا و حفظا للألفاظ، و الجازم علی الظان، و دائم سلامة العقل علی المختلط فی وقت ما، و الحافظ علی الراجع إلی کتاب، و الأشهر، و غیر المدلّس، و معروف النسب، و غیر ملتبس الاسم بالضعیف، و المتفق علی کونه معروفا علی المختلف فیه، و ذاکر السبب، و ناقل اللفظ علی ناقل المعنی، و المعتضد بغیره، و من وافقه الأصل علی من کذّبه، و المسند علی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أبان حیث قدّم المرسل</w:t>
      </w:r>
      <w:r>
        <w:rPr>
          <w:rStyle w:val="FootnoteAnchor"/>
          <w:rtl w:val="true"/>
        </w:rPr>
        <w:footnoteReference w:id="1143"/>
      </w:r>
      <w:r>
        <w:rPr>
          <w:rFonts w:ascii="IRNazanin" w:hAnsi="IRNazanin" w:eastAsia="IRNazanin"/>
          <w:color w:val="111111"/>
          <w:sz w:val="28"/>
          <w:sz w:val="28"/>
          <w:szCs w:val="28"/>
          <w:rtl w:val="true"/>
          <w:lang w:bidi="fa-IR"/>
        </w:rPr>
        <w:t>، و لعبد الجبار حیث حکم بالتساوی</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المتأخر علی المتقدم، کالمدنی علی المکّی، و کالّذی ورد بعد قوّة الرسول علیه السّلام، و کمتأخر الإسلام مع علم سماعه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یرجح</w:t>
      </w:r>
      <w:r>
        <w:rPr>
          <w:rStyle w:val="FootnoteAnchor"/>
          <w:rtl w:val="true"/>
        </w:rPr>
        <w:footnoteReference w:id="1145"/>
      </w:r>
      <w:r>
        <w:rPr>
          <w:rFonts w:ascii="IRNazanin" w:hAnsi="IRNazanin" w:eastAsia="IRNazanin"/>
          <w:color w:val="111111"/>
          <w:sz w:val="28"/>
          <w:sz w:val="28"/>
          <w:szCs w:val="28"/>
          <w:rtl w:val="true"/>
          <w:lang w:bidi="fa-IR"/>
        </w:rPr>
        <w:t>العام المبتدأ علی ذی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 فی قصر الثانی علی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الفصیح علی غیره و الأفصح علی الفصیح، و الخاص علی العام، و الحقیقة علی المجاز، و الدال بالوضع الشرعی أو العرفی علی الدال باللّغوی، و الذی لم یدخله التخصیص علی ضده، و المنطوق علی المفهوم، و الناقل علی المقرر، و المحرّم علی المبیح، و النافی للحد علی مثبته، و مثبت الطلاق و العتاق علی نافیهما، و المقترن بالعلّة و المؤکد علی غیره، و الموافق لعمل العلماء، أو الأکثر أو الأعلم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تعارض قیاسان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أصله قطعی أولی، و کذا ما دلیل العلّیة فیه نص</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قاطع، و التعارض فیه قریب من التعارض فی الأخبار، لأنّا نشرط فیه التنصیص</w:t>
      </w:r>
      <w:r>
        <w:rPr>
          <w:rStyle w:val="FootnoteAnchor"/>
          <w:rtl w:val="true"/>
        </w:rPr>
        <w:footnoteReference w:id="1146"/>
      </w:r>
      <w:r>
        <w:rPr>
          <w:rFonts w:ascii="Amiri" w:hAnsi="Amiri" w:eastAsia="Amiri" w:cs="Amiri"/>
          <w:color w:val="111111"/>
          <w:sz w:val="28"/>
          <w:sz w:val="28"/>
          <w:szCs w:val="28"/>
          <w:rtl w:val="true"/>
          <w:lang w:bidi="ar-SA"/>
        </w:rPr>
        <w:t>علی العلّة</w:t>
      </w:r>
      <w:r>
        <w:rPr>
          <w:rFonts w:eastAsia="Amiri" w:cs="Amiri" w:ascii="Amiri" w:hAnsi="Amiri"/>
          <w:color w:val="111111"/>
          <w:sz w:val="28"/>
          <w:szCs w:val="28"/>
          <w:rtl w:val="true"/>
          <w:lang w:bidi="ar-SA"/>
        </w:rPr>
        <w:t>.</w:t>
      </w:r>
      <w:bookmarkStart w:id="507" w:name="pg2360_37195"/>
    </w:p>
    <w:p>
      <w:pPr>
        <w:pStyle w:val="Heading2"/>
        <w:numPr>
          <w:ilvl w:val="1"/>
          <w:numId w:val="1"/>
        </w:numPr>
        <w:rPr/>
      </w:pPr>
      <w:bookmarkStart w:id="508" w:name="__RefHeading___Toc2792782_3804643083"/>
      <w:bookmarkStart w:id="509" w:name="_Toc194"/>
      <w:bookmarkEnd w:id="507"/>
      <w:bookmarkEnd w:id="508"/>
      <w:r>
        <w:rPr>
          <w:rtl w:val="true"/>
        </w:rPr>
        <w:t>المقصد الثّانی عشر فی الاجتهاد فصول</w:t>
      </w:r>
      <w:bookmarkEnd w:id="50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2792784_3804643083"/>
      <w:bookmarkStart w:id="511" w:name="_Toc195"/>
      <w:bookmarkEnd w:id="510"/>
      <w:r>
        <w:rPr>
          <w:rtl w:val="true"/>
        </w:rPr>
        <w:t>اشارة</w:t>
      </w:r>
      <w:bookmarkStart w:id="512" w:name="pg2360_37197"/>
      <w:bookmarkEnd w:id="511"/>
    </w:p>
    <w:p>
      <w:pPr>
        <w:pStyle w:val="Heading3"/>
        <w:numPr>
          <w:ilvl w:val="2"/>
          <w:numId w:val="1"/>
        </w:numPr>
        <w:rPr/>
      </w:pPr>
      <w:bookmarkStart w:id="513" w:name="__RefHeading___Toc2792786_3804643083"/>
      <w:bookmarkStart w:id="514" w:name="_Toc196"/>
      <w:bookmarkEnd w:id="512"/>
      <w:bookmarkEnd w:id="513"/>
      <w:r>
        <w:rPr>
          <w:rtl w:val="true"/>
        </w:rPr>
        <w:t>[</w:t>
      </w:r>
      <w:r>
        <w:rPr>
          <w:rtl w:val="true"/>
        </w:rPr>
        <w:t>الفصل</w:t>
      </w:r>
      <w:r>
        <w:rPr>
          <w:rtl w:val="true"/>
        </w:rPr>
        <w:t xml:space="preserve">] </w:t>
      </w:r>
      <w:r>
        <w:rPr>
          <w:rtl w:val="true"/>
        </w:rPr>
        <w:t>الأوّل</w:t>
      </w:r>
      <w:r>
        <w:rPr>
          <w:rtl w:val="true"/>
        </w:rPr>
        <w:t xml:space="preserve">: </w:t>
      </w:r>
      <w:r>
        <w:rPr>
          <w:rtl w:val="true"/>
        </w:rPr>
        <w:t>فی المجتهد و فیه مباحث</w:t>
      </w:r>
      <w:r>
        <w:rPr>
          <w:rtl w:val="true"/>
        </w:rPr>
        <w:t>:</w:t>
      </w:r>
      <w:bookmarkEnd w:id="514"/>
    </w:p>
    <w:p>
      <w:pPr>
        <w:pStyle w:val="Heading4"/>
        <w:numPr>
          <w:ilvl w:val="3"/>
          <w:numId w:val="1"/>
        </w:numPr>
        <w:rPr/>
      </w:pPr>
      <w:bookmarkStart w:id="515" w:name="__RefHeading___Toc2792788_3804643083"/>
      <w:bookmarkStart w:id="516" w:name="_Toc197"/>
      <w:bookmarkEnd w:id="515"/>
      <w:r>
        <w:rPr>
          <w:rtl w:val="true"/>
        </w:rPr>
        <w:t>الأوّل</w:t>
      </w:r>
      <w:r>
        <w:rPr>
          <w:rtl w:val="true"/>
        </w:rPr>
        <w:t xml:space="preserve">: </w:t>
      </w:r>
      <w:r>
        <w:rPr>
          <w:rtl w:val="true"/>
        </w:rPr>
        <w:t>الاجتهاد</w:t>
      </w:r>
      <w:bookmarkEnd w:id="516"/>
    </w:p>
    <w:p>
      <w:pPr>
        <w:pStyle w:val="BookText"/>
        <w:rPr/>
      </w:pP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الوسع فی فعل 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اصطلاحا</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الوسع من الفقیه لتحصیل ظن</w:t>
      </w:r>
      <w:r>
        <w:rPr>
          <w:rStyle w:val="FootnoteAnchor"/>
          <w:rtl w:val="true"/>
        </w:rPr>
        <w:footnoteReference w:id="1148"/>
      </w:r>
      <w:r>
        <w:rPr>
          <w:rFonts w:ascii="IRNazanin" w:hAnsi="IRNazanin" w:eastAsia="IRNazanin"/>
          <w:color w:val="111111"/>
          <w:sz w:val="28"/>
          <w:sz w:val="28"/>
          <w:szCs w:val="28"/>
          <w:rtl w:val="true"/>
          <w:lang w:bidi="fa-IR"/>
        </w:rPr>
        <w:t>بحکم</w:t>
      </w:r>
      <w:r>
        <w:rPr>
          <w:rStyle w:val="FootnoteAnchor"/>
          <w:rtl w:val="true"/>
        </w:rPr>
        <w:footnoteReference w:id="1149"/>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قبوله التجزئة، لأنّ المقتضی لوجوب العمل مع الاجتهاد فی الأحکام موجود</w:t>
      </w:r>
      <w:r>
        <w:rPr>
          <w:rStyle w:val="FootnoteAnchor"/>
          <w:rtl w:val="true"/>
        </w:rPr>
        <w:footnoteReference w:id="1150"/>
      </w:r>
      <w:r>
        <w:rPr>
          <w:rFonts w:ascii="IRNazanin" w:hAnsi="IRNazanin" w:eastAsia="IRNazanin"/>
          <w:color w:val="111111"/>
          <w:sz w:val="28"/>
          <w:sz w:val="28"/>
          <w:szCs w:val="28"/>
          <w:rtl w:val="true"/>
          <w:lang w:bidi="fa-IR"/>
        </w:rPr>
        <w:t>مع الاجتهاد فی بعضها، و تجویز تعلّق المعلوم بالمجهول یدفعه الفرض</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2792790_3804643083"/>
      <w:bookmarkStart w:id="518" w:name="_Toc198"/>
      <w:bookmarkEnd w:id="517"/>
      <w:r>
        <w:rPr>
          <w:rtl w:val="true"/>
        </w:rPr>
        <w:t>البحث الثانی</w:t>
      </w:r>
      <w:r>
        <w:rPr>
          <w:rtl w:val="true"/>
        </w:rPr>
        <w:t xml:space="preserve">: </w:t>
      </w:r>
      <w:r>
        <w:rPr>
          <w:rtl w:val="true"/>
        </w:rPr>
        <w:t>الحق أنّه علیه السّلام لم یکن متعبدا بالاجتهاد،</w:t>
      </w:r>
      <w:bookmarkEnd w:id="5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قادر علی تحصیل</w:t>
      </w:r>
      <w:r>
        <w:rPr>
          <w:rStyle w:val="FootnoteAnchor"/>
          <w:rtl w:val="true"/>
        </w:rPr>
        <w:footnoteReference w:id="1153"/>
      </w:r>
      <w:r>
        <w:rPr>
          <w:rFonts w:ascii="IRNazanin" w:hAnsi="IRNazanin" w:eastAsia="IRNazanin"/>
          <w:color w:val="111111"/>
          <w:sz w:val="28"/>
          <w:sz w:val="28"/>
          <w:szCs w:val="28"/>
          <w:rtl w:val="true"/>
          <w:lang w:bidi="fa-IR"/>
        </w:rPr>
        <w:t>العلم، فلا یجوز له العمل بالظن</w:t>
      </w:r>
      <w:r>
        <w:rPr>
          <w:rFonts w:eastAsia="IRNazanin" w:cs="IRNazanin"/>
          <w:color w:val="111111"/>
          <w:sz w:val="28"/>
          <w:szCs w:val="28"/>
          <w:rtl w:val="true"/>
          <w:lang w:bidi="fa-IR"/>
        </w:rPr>
        <w:t>.</w:t>
      </w:r>
      <w:bookmarkStart w:id="519" w:name="pg2360_37198"/>
    </w:p>
    <w:p>
      <w:pPr>
        <w:pStyle w:val="BookText"/>
        <w:rPr/>
      </w:pPr>
      <w:bookmarkEnd w:id="519"/>
      <w:r>
        <w:rPr>
          <w:rFonts w:ascii="IRNazanin" w:hAnsi="IRNazanin" w:eastAsia="IRNazanin"/>
          <w:color w:val="111111"/>
          <w:sz w:val="28"/>
          <w:sz w:val="28"/>
          <w:szCs w:val="28"/>
          <w:rtl w:val="true"/>
          <w:lang w:bidi="fa-IR"/>
        </w:rPr>
        <w:t>و لأنّ مخالفه کافر، و مخالف المجتهد لیس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کان یتوقف فی الأحکام علی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تجویز اجتهاده یقتضی تجویز</w:t>
      </w:r>
      <w:r>
        <w:rPr>
          <w:rStyle w:val="FootnoteAnchor"/>
          <w:rtl w:val="true"/>
        </w:rPr>
        <w:footnoteReference w:id="1154"/>
      </w:r>
      <w:r>
        <w:rPr>
          <w:rFonts w:ascii="IRNazanin" w:hAnsi="IRNazanin" w:eastAsia="IRNazanin"/>
          <w:color w:val="111111"/>
          <w:sz w:val="28"/>
          <w:sz w:val="28"/>
          <w:szCs w:val="28"/>
          <w:rtl w:val="true"/>
          <w:lang w:bidi="fa-IR"/>
        </w:rPr>
        <w:t>اجتهاد جبرئیل علیه السّلام فیندفع القطع بالوحی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الشافعی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بالاجتهاد أشقّ،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w:t>
      </w:r>
      <w:r>
        <w:rPr>
          <w:rStyle w:val="FootnoteAnchor"/>
          <w:rtl w:val="true"/>
        </w:rPr>
        <w:footnoteReference w:id="1155"/>
      </w:r>
      <w:r>
        <w:rPr>
          <w:rFonts w:ascii="IRNazanin" w:hAnsi="IRNazanin" w:eastAsia="IRNazanin"/>
          <w:color w:val="111111"/>
          <w:sz w:val="28"/>
          <w:sz w:val="28"/>
          <w:szCs w:val="28"/>
          <w:rtl w:val="true"/>
          <w:lang w:bidi="fa-IR"/>
        </w:rPr>
        <w:t xml:space="preserve">و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استقبلت من أمری ما استدبرت لما سقت الهدی</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المشقة إنّما یثبت اعتبارها مع التسویغ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 عن أصحابه، أو أنّ الإذن شرط فی الإباحة؛ فصح إسناد</w:t>
      </w:r>
      <w:r>
        <w:rPr>
          <w:rStyle w:val="FootnoteAnchor"/>
          <w:rtl w:val="true"/>
        </w:rPr>
        <w:footnoteReference w:id="1157"/>
      </w:r>
      <w:r>
        <w:rPr>
          <w:rFonts w:ascii="IRNazanin" w:hAnsi="IRNazanin" w:eastAsia="IRNazanin"/>
          <w:color w:val="111111"/>
          <w:sz w:val="28"/>
          <w:sz w:val="28"/>
          <w:szCs w:val="28"/>
          <w:rtl w:val="true"/>
          <w:lang w:bidi="fa-IR"/>
        </w:rPr>
        <w:t>العفو معه</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سیاق الهدی لا یدل علی أنّ سیاقه بالاجتهاد</w:t>
      </w:r>
      <w:r>
        <w:rPr>
          <w:rFonts w:eastAsia="IRNazanin" w:cs="IRNazanin"/>
          <w:color w:val="111111"/>
          <w:sz w:val="28"/>
          <w:szCs w:val="28"/>
          <w:rtl w:val="true"/>
          <w:lang w:bidi="fa-IR"/>
        </w:rPr>
        <w:t>.</w:t>
      </w:r>
    </w:p>
    <w:p>
      <w:pPr>
        <w:pStyle w:val="Heading4"/>
        <w:numPr>
          <w:ilvl w:val="3"/>
          <w:numId w:val="1"/>
        </w:numPr>
        <w:rPr/>
      </w:pPr>
      <w:bookmarkStart w:id="520" w:name="__RefHeading___Toc2792792_3804643083"/>
      <w:bookmarkStart w:id="521" w:name="_Toc199"/>
      <w:bookmarkEnd w:id="520"/>
      <w:r>
        <w:rPr>
          <w:rtl w:val="true"/>
        </w:rPr>
        <w:t>البحث الثالث</w:t>
      </w:r>
      <w:r>
        <w:rPr>
          <w:rtl w:val="true"/>
        </w:rPr>
        <w:t xml:space="preserve">: </w:t>
      </w:r>
      <w:r>
        <w:rPr>
          <w:rtl w:val="true"/>
        </w:rPr>
        <w:t>فی شرائط المجتهد</w:t>
      </w:r>
      <w:r>
        <w:rPr>
          <w:rtl w:val="true"/>
        </w:rPr>
        <w:t>.</w:t>
      </w:r>
      <w:bookmarkEnd w:id="521"/>
    </w:p>
    <w:p>
      <w:pPr>
        <w:pStyle w:val="BookText"/>
        <w:rPr/>
      </w:pPr>
      <w:r>
        <w:rPr>
          <w:rFonts w:ascii="IRNazanin" w:hAnsi="IRNazanin" w:eastAsia="IRNazanin"/>
          <w:color w:val="111111"/>
          <w:sz w:val="28"/>
          <w:sz w:val="28"/>
          <w:szCs w:val="28"/>
          <w:rtl w:val="true"/>
          <w:lang w:bidi="fa-IR"/>
        </w:rPr>
        <w:t>و الضابط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المکلف من إقامة الأدلّة علی المسائل الشرعیة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یتم ذلک بامور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اللغة و معانی الألفاظ الشرعیة، لا الجمیع</w:t>
      </w:r>
      <w:r>
        <w:rPr>
          <w:rStyle w:val="FootnoteAnchor"/>
          <w:rtl w:val="true"/>
        </w:rPr>
        <w:footnoteReference w:id="1159"/>
      </w:r>
      <w:r>
        <w:rPr>
          <w:rFonts w:ascii="IRNazanin" w:hAnsi="IRNazanin" w:eastAsia="IRNazanin"/>
          <w:color w:val="111111"/>
          <w:sz w:val="28"/>
          <w:sz w:val="28"/>
          <w:szCs w:val="28"/>
          <w:rtl w:val="true"/>
          <w:lang w:bidi="fa-IR"/>
        </w:rPr>
        <w:t>، بل ما</w:t>
      </w:r>
      <w:r>
        <w:rPr>
          <w:rStyle w:val="FootnoteAnchor"/>
          <w:rtl w:val="true"/>
        </w:rPr>
        <w:footnoteReference w:id="1160"/>
      </w:r>
      <w:r>
        <w:rPr>
          <w:rFonts w:ascii="IRNazanin" w:hAnsi="IRNazanin" w:eastAsia="IRNazanin"/>
          <w:color w:val="111111"/>
          <w:sz w:val="28"/>
          <w:sz w:val="28"/>
          <w:szCs w:val="28"/>
          <w:rtl w:val="true"/>
          <w:lang w:bidi="fa-IR"/>
        </w:rPr>
        <w:t>یحتاج</w:t>
      </w:r>
    </w:p>
    <w:p>
      <w:pPr>
        <w:pStyle w:val="BookText"/>
        <w:rPr/>
      </w:pPr>
      <w:r>
        <w:rPr>
          <w:rFonts w:ascii="IRNazanin" w:hAnsi="IRNazanin" w:eastAsia="IRNazanin"/>
          <w:color w:val="111111"/>
          <w:sz w:val="28"/>
          <w:sz w:val="28"/>
          <w:szCs w:val="28"/>
          <w:rtl w:val="true"/>
          <w:lang w:bidi="fa-IR"/>
        </w:rPr>
        <w:t>إلیه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راجع أصلا صحیحا عنده فی معانی الألفاظ جاز، و یدخل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النحو، و التصریف؛ لأنّ الشرع عربی، لا یتمّ إلّا بمعرفتهما</w:t>
      </w:r>
      <w:r>
        <w:rPr>
          <w:rStyle w:val="FootnoteAnchor"/>
          <w:rtl w:val="true"/>
        </w:rPr>
        <w:footnoteReference w:id="1161"/>
      </w:r>
      <w:r>
        <w:rPr>
          <w:rFonts w:ascii="IRNazanin" w:hAnsi="IRNazanin" w:eastAsia="IRNazanin"/>
          <w:color w:val="111111"/>
          <w:sz w:val="28"/>
          <w:sz w:val="28"/>
          <w:szCs w:val="28"/>
          <w:rtl w:val="true"/>
          <w:lang w:bidi="fa-IR"/>
        </w:rPr>
        <w:t>، و ما لا یتمّ الواجب إلّا به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عارفا بمراد اللّه تعالی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یتمّ ذلک لو عرف أنّه لا یخاطب بما لا یفهم</w:t>
      </w:r>
      <w:r>
        <w:rPr>
          <w:rStyle w:val="FootnoteAnchor"/>
          <w:rtl w:val="true"/>
        </w:rPr>
        <w:footnoteReference w:id="1162"/>
      </w:r>
      <w:r>
        <w:rPr>
          <w:rFonts w:ascii="IRNazanin" w:hAnsi="IRNazanin" w:eastAsia="IRNazanin"/>
          <w:color w:val="111111"/>
          <w:sz w:val="28"/>
          <w:sz w:val="28"/>
          <w:szCs w:val="28"/>
          <w:rtl w:val="true"/>
          <w:lang w:bidi="fa-IR"/>
        </w:rPr>
        <w:t>معناه، و لا بما یرید به خلاف ظاهره من غیر بیان، و إنّما یتمّ ذلک لو عرف أنّه تعالی حکیم، و هو یتوقف علی علمه تعالی بالقبیح، و استغنائه عنه، و العلم بصدق الرسول علیه السّلام، و اصول قواعد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یتأتّی علی قواعد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عارفا بالأحادیث الدالة علی الأحکام، إمّا بالحفظ، أو بالرجوع إلی أصل صحیح، و أحوال الرجال، لیعرف صحیح الأخبار من معتلها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أیضا من الکتاب ما یستفاد منه الأحکام، و هو خمس مائة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حفظها، بل معرفة دلالتها و مواضعها بحیث یجدها عند 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عارفا بالإجماع و مواقعه، بحیث لا یفتی بما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أدلّة العقل، کالبراءة الأصلیة، و الاستصحاب،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شرائط البرهان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الناسخ و المنسوخ، و العام و الخاص، و المطلق و المقیّد، و غیرها من طرق الأحکام</w:t>
      </w:r>
      <w:r>
        <w:rPr>
          <w:rFonts w:eastAsia="IRNazanin" w:cs="IRNazanin"/>
          <w:color w:val="111111"/>
          <w:sz w:val="28"/>
          <w:szCs w:val="28"/>
          <w:rtl w:val="true"/>
          <w:lang w:bidi="fa-IR"/>
        </w:rPr>
        <w:t>.</w:t>
      </w:r>
      <w:bookmarkStart w:id="522" w:name="pg2360_37200"/>
    </w:p>
    <w:p>
      <w:pPr>
        <w:pStyle w:val="BookText"/>
        <w:rPr/>
      </w:pPr>
      <w:bookmarkEnd w:id="522"/>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قوة استنباط الأحکام الفرعیة</w:t>
      </w:r>
      <w:r>
        <w:rPr>
          <w:rStyle w:val="FootnoteAnchor"/>
          <w:rtl w:val="true"/>
        </w:rPr>
        <w:footnoteReference w:id="1163"/>
      </w:r>
      <w:r>
        <w:rPr>
          <w:rFonts w:ascii="IRNazanin" w:hAnsi="IRNazanin" w:eastAsia="IRNazanin"/>
          <w:color w:val="111111"/>
          <w:sz w:val="28"/>
          <w:sz w:val="28"/>
          <w:szCs w:val="28"/>
          <w:rtl w:val="true"/>
          <w:lang w:bidi="fa-IR"/>
        </w:rPr>
        <w:t>عن المسائل الاصولیة</w:t>
      </w:r>
      <w:r>
        <w:rPr>
          <w:rFonts w:eastAsia="IRNazanin" w:cs="IRNazanin"/>
          <w:color w:val="111111"/>
          <w:sz w:val="28"/>
          <w:szCs w:val="28"/>
          <w:rtl w:val="true"/>
          <w:lang w:bidi="fa-IR"/>
        </w:rPr>
        <w:t>.</w:t>
      </w:r>
    </w:p>
    <w:p>
      <w:pPr>
        <w:pStyle w:val="Heading3"/>
        <w:numPr>
          <w:ilvl w:val="2"/>
          <w:numId w:val="1"/>
        </w:numPr>
        <w:rPr/>
      </w:pPr>
      <w:bookmarkStart w:id="523" w:name="__RefHeading___Toc2792794_3804643083"/>
      <w:bookmarkStart w:id="524" w:name="_Toc200"/>
      <w:bookmarkEnd w:id="523"/>
      <w:r>
        <w:rPr>
          <w:rtl w:val="true"/>
        </w:rPr>
        <w:t>الفصل الثانی</w:t>
      </w:r>
      <w:r>
        <w:rPr>
          <w:rtl w:val="true"/>
        </w:rPr>
        <w:t xml:space="preserve">: </w:t>
      </w:r>
      <w:r>
        <w:rPr>
          <w:rtl w:val="true"/>
        </w:rPr>
        <w:t>فی المجتهد فیه</w:t>
      </w:r>
      <w:bookmarkEnd w:id="524"/>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شرعی لیس علیه دلیل قطعی</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بالشرعی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بنفی الدلیل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کونه من الشرع ضرورة</w:t>
      </w:r>
      <w:r>
        <w:rPr>
          <w:rStyle w:val="FootnoteAnchor"/>
          <w:rtl w:val="true"/>
        </w:rPr>
        <w:footnoteReference w:id="1165"/>
      </w:r>
      <w:r>
        <w:rPr>
          <w:rFonts w:ascii="IRNazanin" w:hAnsi="IRNazanin" w:eastAsia="IRNazanin"/>
          <w:color w:val="111111"/>
          <w:sz w:val="28"/>
          <w:sz w:val="28"/>
          <w:szCs w:val="28"/>
          <w:rtl w:val="true"/>
          <w:lang w:bidi="fa-IR"/>
        </w:rPr>
        <w:t>، کوجوب الصلاة و الزکاة</w:t>
      </w:r>
    </w:p>
    <w:p>
      <w:pPr>
        <w:pStyle w:val="Heading3"/>
        <w:numPr>
          <w:ilvl w:val="2"/>
          <w:numId w:val="1"/>
        </w:numPr>
        <w:rPr/>
      </w:pPr>
      <w:bookmarkStart w:id="525" w:name="__RefHeading___Toc2792796_3804643083"/>
      <w:bookmarkStart w:id="526" w:name="_Toc201"/>
      <w:bookmarkEnd w:id="525"/>
      <w:r>
        <w:rPr>
          <w:rtl w:val="true"/>
        </w:rPr>
        <w:t>الفصل الثالث</w:t>
      </w:r>
      <w:r>
        <w:rPr>
          <w:rtl w:val="true"/>
        </w:rPr>
        <w:t xml:space="preserve">: </w:t>
      </w:r>
      <w:r>
        <w:rPr>
          <w:rtl w:val="true"/>
        </w:rPr>
        <w:t>فی أحکام الاجتهاد و فیه مباحث</w:t>
      </w:r>
      <w:r>
        <w:rPr>
          <w:rtl w:val="true"/>
        </w:rPr>
        <w:t>:</w:t>
      </w:r>
      <w:bookmarkEnd w:id="526"/>
    </w:p>
    <w:p>
      <w:pPr>
        <w:pStyle w:val="Heading4"/>
        <w:numPr>
          <w:ilvl w:val="3"/>
          <w:numId w:val="1"/>
        </w:numPr>
        <w:rPr/>
      </w:pPr>
      <w:bookmarkStart w:id="527" w:name="__RefHeading___Toc2792798_3804643083"/>
      <w:bookmarkStart w:id="528" w:name="_Toc202"/>
      <w:bookmarkEnd w:id="527"/>
      <w:r>
        <w:rPr>
          <w:rtl w:val="true"/>
        </w:rPr>
        <w:t>الأوّل</w:t>
      </w:r>
      <w:r>
        <w:rPr>
          <w:rtl w:val="true"/>
        </w:rPr>
        <w:t xml:space="preserve">: </w:t>
      </w:r>
      <w:r>
        <w:rPr>
          <w:rtl w:val="true"/>
        </w:rPr>
        <w:t>أجمعت العلماء علی أنّ المصیب فی العقلیات واحد،</w:t>
      </w:r>
      <w:bookmarkEnd w:id="5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w:t>
      </w:r>
      <w:r>
        <w:rPr>
          <w:rStyle w:val="FootnoteAnchor"/>
          <w:rtl w:val="true"/>
        </w:rPr>
        <w:footnoteReference w:id="1166"/>
      </w:r>
      <w:r>
        <w:rPr>
          <w:rFonts w:ascii="IRNazanin" w:hAnsi="IRNazanin" w:eastAsia="IRNazanin"/>
          <w:color w:val="111111"/>
          <w:sz w:val="28"/>
          <w:sz w:val="28"/>
          <w:szCs w:val="28"/>
          <w:rtl w:val="true"/>
          <w:lang w:bidi="fa-IR"/>
        </w:rPr>
        <w:t>العلماء علی أنّ المصیب فی العقلیات واحد،</w:t>
      </w:r>
    </w:p>
    <w:p>
      <w:pPr>
        <w:pStyle w:val="BookText"/>
        <w:rPr/>
      </w:pPr>
      <w:r>
        <w:rPr>
          <w:rFonts w:ascii="IRNazanin" w:hAnsi="IRNazanin" w:eastAsia="IRNazanin"/>
          <w:color w:val="111111"/>
          <w:sz w:val="28"/>
          <w:sz w:val="28"/>
          <w:szCs w:val="28"/>
          <w:rtl w:val="true"/>
          <w:lang w:bidi="fa-IR"/>
        </w:rPr>
        <w:t>إلّا الجاحظ و العنبری</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ساداتها فقها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ولی القضاء فی البصرة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عزل سنة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فیها سنة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مجتهد فیها مصیب، لا علی معنی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المطابقة، بل</w:t>
      </w:r>
    </w:p>
    <w:p>
      <w:pPr>
        <w:pStyle w:val="BookText"/>
        <w:rPr/>
      </w:pPr>
      <w:r>
        <w:rPr>
          <w:rFonts w:ascii="IRNazanin" w:hAnsi="IRNazanin" w:eastAsia="IRNazanin"/>
          <w:color w:val="111111"/>
          <w:sz w:val="28"/>
          <w:sz w:val="28"/>
          <w:szCs w:val="28"/>
          <w:rtl w:val="true"/>
          <w:lang w:bidi="fa-IR"/>
        </w:rPr>
        <w:t>بمعنی زوال الإثم</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الأوّل، لأنّ اللّه تعالی کلّف بالعلم، و نصب علیه دلیلا، فالمخطئ له مقصّر، فیبقی فی عهدة التکلیف</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المسائل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المصیب فیها واحد، و هو الذی أصاب حکم اللّه تعالی فی الواقعة</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جماعة من المتکلمین، کالأشعری و أبی الهذیل و الجبائیین، إلی أنّ کل مجتهد مصیب، لأنّه لیس للّه تعالی فی المسألة الاجتهادیة حکم معیّن عندهم</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المخطئ معذور إجماعا إلّا من بشر المریسی</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فقیه معتزلی عارف بالفلسفة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رأس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بالإرجاء و إلیه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الفقه عن القاضی 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اوذی فی دولة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أهل بغداد ینسب إلی درب المریس فیها، عاش نحو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إحدی الأمارتین إن ترجحت علی الاخری تعیّنت للعمل، فالمخالف لها 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تترجح کان اعتقاد کل واحد من المجتهدین لرجحان أمارته</w:t>
      </w:r>
      <w:bookmarkStart w:id="529" w:name="pg2360_37202"/>
    </w:p>
    <w:p>
      <w:pPr>
        <w:pStyle w:val="BookText"/>
        <w:rPr/>
      </w:pPr>
      <w:bookmarkEnd w:id="529"/>
      <w:r>
        <w:rPr>
          <w:rFonts w:ascii="IRNazanin" w:hAnsi="IRNazanin" w:eastAsia="IRNazanin"/>
          <w:color w:val="111111"/>
          <w:sz w:val="28"/>
          <w:sz w:val="28"/>
          <w:szCs w:val="28"/>
          <w:rtl w:val="true"/>
          <w:lang w:bidi="fa-IR"/>
        </w:rPr>
        <w:t>خطأ أیضا، و لأنّ المکلّف إن کلّف لا عن طریق؛ کان حکما فی الدین إمّا تشهّیا</w:t>
      </w:r>
      <w:r>
        <w:rPr>
          <w:rStyle w:val="FootnoteAnchor"/>
          <w:rtl w:val="true"/>
        </w:rPr>
        <w:footnoteReference w:id="1173"/>
      </w:r>
      <w:r>
        <w:rPr>
          <w:rFonts w:ascii="IRNazanin" w:hAnsi="IRNazanin" w:eastAsia="IRNazanin"/>
          <w:color w:val="111111"/>
          <w:sz w:val="28"/>
          <w:sz w:val="28"/>
          <w:szCs w:val="28"/>
          <w:rtl w:val="true"/>
          <w:lang w:bidi="fa-IR"/>
        </w:rPr>
        <w:t>أو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کلّف عن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خلا عن المعارض تعیّن، و إلّا فالراجح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عدم الرجحان، فالحکم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التساقط، أو التخییر، أو الرجوع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فالحکم معیّن، فالمخالف له مخطئ، فالمصیب</w:t>
      </w:r>
      <w:r>
        <w:rPr>
          <w:rStyle w:val="FootnoteAnchor"/>
          <w:rtl w:val="true"/>
        </w:rPr>
        <w:footnoteReference w:id="1174"/>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Heading4"/>
        <w:numPr>
          <w:ilvl w:val="3"/>
          <w:numId w:val="1"/>
        </w:numPr>
        <w:rPr/>
      </w:pPr>
      <w:bookmarkStart w:id="530" w:name="__RefHeading___Toc2792800_3804643083"/>
      <w:bookmarkStart w:id="531" w:name="_Toc203"/>
      <w:bookmarkEnd w:id="530"/>
      <w:r>
        <w:rPr>
          <w:rtl w:val="true"/>
        </w:rPr>
        <w:t>البحث الثانی</w:t>
      </w:r>
      <w:r>
        <w:rPr>
          <w:rtl w:val="true"/>
        </w:rPr>
        <w:t xml:space="preserve">: </w:t>
      </w:r>
      <w:r>
        <w:rPr>
          <w:rtl w:val="true"/>
        </w:rPr>
        <w:t>الحادثة إن نزلت بالمجتهد فی نفسه،</w:t>
      </w:r>
      <w:bookmarkEnd w:id="531"/>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الحادثة إن نزلت بالمجتهد فی</w:t>
      </w:r>
      <w:r>
        <w:rPr>
          <w:rStyle w:val="FootnoteAnchor"/>
          <w:rtl w:val="true"/>
        </w:rPr>
        <w:footnoteReference w:id="1175"/>
      </w:r>
      <w:r>
        <w:rPr>
          <w:rFonts w:ascii="IRNazanin" w:hAnsi="IRNazanin" w:eastAsia="IRNazanin"/>
          <w:color w:val="111111"/>
          <w:sz w:val="28"/>
          <w:sz w:val="28"/>
          <w:szCs w:val="28"/>
          <w:rtl w:val="true"/>
          <w:lang w:bidi="fa-IR"/>
        </w:rPr>
        <w:t>نفسه،</w:t>
      </w:r>
    </w:p>
    <w:p>
      <w:pPr>
        <w:pStyle w:val="BookText"/>
        <w:rPr/>
      </w:pPr>
      <w:r>
        <w:rPr>
          <w:rFonts w:ascii="IRNazanin" w:hAnsi="IRNazanin" w:eastAsia="IRNazanin"/>
          <w:color w:val="111111"/>
          <w:sz w:val="28"/>
          <w:sz w:val="28"/>
          <w:szCs w:val="28"/>
          <w:rtl w:val="true"/>
          <w:lang w:bidi="fa-IR"/>
        </w:rPr>
        <w:t>عمل علی ما أدّاه اجتهاده إلیه، فإن تساوت الأمارات تخیّر أو عاد إلی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تعلقت بغیره، و کان مما یجری فیه الصلح کالمال، اصطلحا أو ترافعا إلی حاکم یفصل بینهما، و لا یجوز الرجوع بعد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یجر فیه الصلح، کالطلاق بصیغة یعتقدها أحدهما دون الآخر، رجعا إلی حاکم غیرهما، سواء کان صاحب الواقعة مجتهدا أو حاکما أو لا؛ إذ لیس للحاکم أن یحکم لنفسه علی غیره، بل ینصب من قبله من یقضی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نزلت بالمقلّد رجع إلی المفتی، فإن تعدد رجع إلی ما اتفقوا علیه، فإن اختلفوا عمل بالأعلم الأزهد، فإن تساویا تخیّر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حکم بوقوع الخلع ثلاثا فسخا فنکح، ثمّ اعتقد مساواته للطلاق، فالأقرب بقاء النکاح، لأنّ حکم الحاکم لمّا اتصل بالنکاح تأکد، فلا یفسد بتغیّر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اعتقد قبل النکاح فإنّه یحرم علیه إمساکها</w:t>
      </w:r>
      <w:r>
        <w:rPr>
          <w:rFonts w:eastAsia="IRNazanin" w:cs="IRNazanin"/>
          <w:color w:val="111111"/>
          <w:sz w:val="28"/>
          <w:szCs w:val="28"/>
          <w:rtl w:val="true"/>
          <w:lang w:bidi="fa-IR"/>
        </w:rPr>
        <w:t>.</w:t>
      </w:r>
      <w:bookmarkStart w:id="532" w:name="pg2360_37203"/>
    </w:p>
    <w:p>
      <w:pPr>
        <w:pStyle w:val="BookText"/>
        <w:rPr/>
      </w:pPr>
      <w:bookmarkEnd w:id="532"/>
      <w:r>
        <w:rPr>
          <w:rFonts w:ascii="IRNazanin" w:hAnsi="IRNazanin" w:eastAsia="IRNazanin"/>
          <w:color w:val="111111"/>
          <w:sz w:val="28"/>
          <w:sz w:val="28"/>
          <w:szCs w:val="28"/>
          <w:rtl w:val="true"/>
          <w:lang w:bidi="fa-IR"/>
        </w:rPr>
        <w:t>و لو کان الزوج عامیّا، فأمسک بقول المفتی، ثمّ تغیر اجتهاد المفتی، فالأقرب أنّه یرجع عن النکاح، لأنّ الحکم أقوی من الإفتاء، فإن الحکم لا ینقض إلّا أن یخالف دلیلا قطعیا، لا ظاهرا</w:t>
      </w:r>
      <w:r>
        <w:rPr>
          <w:rFonts w:eastAsia="IRNazanin" w:cs="IRNazanin"/>
          <w:color w:val="111111"/>
          <w:sz w:val="28"/>
          <w:szCs w:val="28"/>
          <w:rtl w:val="true"/>
          <w:lang w:bidi="fa-IR"/>
        </w:rPr>
        <w:t>.</w:t>
      </w:r>
    </w:p>
    <w:p>
      <w:pPr>
        <w:pStyle w:val="Heading4"/>
        <w:numPr>
          <w:ilvl w:val="3"/>
          <w:numId w:val="1"/>
        </w:numPr>
        <w:rPr/>
      </w:pPr>
      <w:bookmarkStart w:id="533" w:name="__RefHeading___Toc2792802_3804643083"/>
      <w:bookmarkStart w:id="534" w:name="_Toc204"/>
      <w:bookmarkEnd w:id="533"/>
      <w:r>
        <w:rPr>
          <w:rtl w:val="true"/>
        </w:rPr>
        <w:t>البحث الثالث</w:t>
      </w:r>
      <w:r>
        <w:rPr>
          <w:rtl w:val="true"/>
        </w:rPr>
        <w:t xml:space="preserve">: </w:t>
      </w:r>
      <w:r>
        <w:rPr>
          <w:rtl w:val="true"/>
        </w:rPr>
        <w:t>المجتهد إن ذکر دلیل فتیاه أوّلا لم یجب تکرار الاجتهاد،</w:t>
      </w:r>
      <w:bookmarkEnd w:id="534"/>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إن ذکر دلیل فتیاه أوّلا لم یجب تکرار</w:t>
      </w:r>
      <w:r>
        <w:rPr>
          <w:rStyle w:val="FootnoteAnchor"/>
          <w:rtl w:val="true"/>
        </w:rPr>
        <w:footnoteReference w:id="1176"/>
      </w:r>
      <w:r>
        <w:rPr>
          <w:rFonts w:ascii="IRNazanin" w:hAnsi="IRNazanin" w:eastAsia="IRNazanin"/>
          <w:color w:val="111111"/>
          <w:sz w:val="28"/>
          <w:sz w:val="28"/>
          <w:szCs w:val="28"/>
          <w:rtl w:val="true"/>
          <w:lang w:bidi="fa-IR"/>
        </w:rPr>
        <w:t>الاجتهاد،</w:t>
      </w:r>
    </w:p>
    <w:p>
      <w:pPr>
        <w:pStyle w:val="BookText"/>
        <w:rPr/>
      </w:pPr>
      <w:r>
        <w:rPr>
          <w:rFonts w:ascii="IRNazanin" w:hAnsi="IRNazanin" w:eastAsia="IRNazanin"/>
          <w:color w:val="111111"/>
          <w:sz w:val="28"/>
          <w:sz w:val="28"/>
          <w:szCs w:val="28"/>
          <w:rtl w:val="true"/>
          <w:lang w:bidi="fa-IR"/>
        </w:rPr>
        <w:t>و إلّا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أفتی بالثانی و عرّف المستفتی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یجتهد، فهل له البناء علی الأوّل و الإفتاء بذلک الاجتهاد؟ الأقرب ذلک</w:t>
      </w:r>
      <w:r>
        <w:rPr>
          <w:rFonts w:eastAsia="IRNazanin" w:cs="IRNazanin"/>
          <w:color w:val="111111"/>
          <w:sz w:val="28"/>
          <w:szCs w:val="28"/>
          <w:rtl w:val="true"/>
          <w:lang w:bidi="fa-IR"/>
        </w:rPr>
        <w:t>.</w:t>
      </w:r>
    </w:p>
    <w:p>
      <w:pPr>
        <w:pStyle w:val="Heading3"/>
        <w:numPr>
          <w:ilvl w:val="2"/>
          <w:numId w:val="1"/>
        </w:numPr>
        <w:rPr/>
      </w:pPr>
      <w:bookmarkStart w:id="535" w:name="__RefHeading___Toc2792804_3804643083"/>
      <w:bookmarkStart w:id="536" w:name="_Toc205"/>
      <w:bookmarkEnd w:id="535"/>
      <w:r>
        <w:rPr>
          <w:rtl w:val="true"/>
        </w:rPr>
        <w:t>الفصل الرابع</w:t>
      </w:r>
      <w:r>
        <w:rPr>
          <w:rtl w:val="true"/>
        </w:rPr>
        <w:t xml:space="preserve">: </w:t>
      </w:r>
      <w:r>
        <w:rPr>
          <w:rtl w:val="true"/>
        </w:rPr>
        <w:t>فی المفتی و المستفتی</w:t>
      </w:r>
      <w:r>
        <w:rPr>
          <w:rtl w:val="true"/>
        </w:rPr>
        <w:t xml:space="preserve">. </w:t>
      </w:r>
      <w:r>
        <w:rPr>
          <w:rtl w:val="true"/>
        </w:rPr>
        <w:t>و فیه مباحث</w:t>
      </w:r>
      <w:r>
        <w:rPr>
          <w:rtl w:val="true"/>
        </w:rPr>
        <w:t>:</w:t>
      </w:r>
      <w:bookmarkEnd w:id="536"/>
    </w:p>
    <w:p>
      <w:pPr>
        <w:pStyle w:val="Heading4"/>
        <w:numPr>
          <w:ilvl w:val="3"/>
          <w:numId w:val="1"/>
        </w:numPr>
        <w:rPr/>
      </w:pPr>
      <w:bookmarkStart w:id="537" w:name="__RefHeading___Toc2792806_3804643083"/>
      <w:bookmarkStart w:id="538" w:name="_Toc206"/>
      <w:bookmarkEnd w:id="537"/>
      <w:r>
        <w:rPr>
          <w:rtl w:val="true"/>
        </w:rPr>
        <w:t>الأوّل</w:t>
      </w:r>
      <w:r>
        <w:rPr>
          <w:rtl w:val="true"/>
        </w:rPr>
        <w:t xml:space="preserve">: </w:t>
      </w:r>
      <w:r>
        <w:rPr>
          <w:rtl w:val="true"/>
        </w:rPr>
        <w:t>یشترط فی المفتی و الحاکم</w:t>
      </w:r>
      <w:r>
        <w:rPr>
          <w:rtl w:val="true"/>
        </w:rPr>
        <w:t>:</w:t>
      </w:r>
      <w:bookmarkEnd w:id="538"/>
    </w:p>
    <w:p>
      <w:pPr>
        <w:pStyle w:val="BookText"/>
        <w:rPr/>
      </w:pPr>
      <w:r>
        <w:rPr>
          <w:rFonts w:ascii="IRNazanin" w:hAnsi="IRNazanin" w:eastAsia="IRNazanin"/>
          <w:color w:val="111111"/>
          <w:sz w:val="28"/>
          <w:sz w:val="28"/>
          <w:szCs w:val="28"/>
          <w:rtl w:val="true"/>
          <w:lang w:bidi="fa-IR"/>
        </w:rPr>
        <w:t>الإیمان، و العدالة، لأنّ غیرهما لیس محلّا للأمانة، و العلم، لأنّ الإفتاء و الحکم بغیر علم، حکم فی الدین بمجرد التشهی، و قول علی اللّه تعالی بما لا یعلم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لغیر المجتهد الفتوی بما یحکیه عن المجتهد؟ الأقرب أنّه إن حکی</w:t>
      </w:r>
      <w:r>
        <w:rPr>
          <w:rStyle w:val="FootnoteAnchor"/>
          <w:rtl w:val="true"/>
        </w:rPr>
        <w:footnoteReference w:id="1177"/>
      </w:r>
      <w:r>
        <w:rPr>
          <w:rFonts w:ascii="IRNazanin" w:hAnsi="IRNazanin" w:eastAsia="IRNazanin"/>
          <w:color w:val="111111"/>
          <w:sz w:val="28"/>
          <w:sz w:val="28"/>
          <w:szCs w:val="28"/>
          <w:rtl w:val="true"/>
          <w:lang w:bidi="fa-IR"/>
        </w:rPr>
        <w:t>عن میت لم یجز له</w:t>
      </w:r>
      <w:r>
        <w:rPr>
          <w:rStyle w:val="FootnoteAnchor"/>
          <w:rtl w:val="true"/>
        </w:rPr>
        <w:footnoteReference w:id="1178"/>
      </w:r>
      <w:r>
        <w:rPr>
          <w:rFonts w:ascii="IRNazanin" w:hAnsi="IRNazanin" w:eastAsia="IRNazanin"/>
          <w:color w:val="111111"/>
          <w:sz w:val="28"/>
          <w:sz w:val="28"/>
          <w:szCs w:val="28"/>
          <w:rtl w:val="true"/>
          <w:lang w:bidi="fa-IR"/>
        </w:rPr>
        <w:t>العمل به، إذ لا قول للمیت، و لهذا</w:t>
      </w:r>
      <w:r>
        <w:rPr>
          <w:rStyle w:val="FootnoteAnchor"/>
          <w:rtl w:val="true"/>
        </w:rPr>
        <w:footnoteReference w:id="1179"/>
      </w:r>
      <w:r>
        <w:rPr>
          <w:rFonts w:ascii="IRNazanin" w:hAnsi="IRNazanin" w:eastAsia="IRNazanin"/>
          <w:color w:val="111111"/>
          <w:sz w:val="28"/>
          <w:sz w:val="28"/>
          <w:szCs w:val="28"/>
          <w:rtl w:val="true"/>
          <w:lang w:bidi="fa-IR"/>
        </w:rPr>
        <w:t>ینعقد الإجماع لو</w:t>
      </w:r>
      <w:bookmarkStart w:id="539" w:name="pg2360_37204"/>
    </w:p>
    <w:p>
      <w:pPr>
        <w:pStyle w:val="BookText"/>
        <w:rPr/>
      </w:pPr>
      <w:bookmarkEnd w:id="539"/>
      <w:r>
        <w:rPr>
          <w:rFonts w:ascii="IRNazanin" w:hAnsi="IRNazanin" w:eastAsia="IRNazanin"/>
          <w:color w:val="111111"/>
          <w:sz w:val="28"/>
          <w:sz w:val="28"/>
          <w:szCs w:val="28"/>
          <w:rtl w:val="true"/>
          <w:lang w:bidi="fa-IR"/>
        </w:rPr>
        <w:t>خالف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حکی عن حی من أهل الاجتهاد، فإن کان قد سمعه منه مشافهة، جاز له العمل به</w:t>
      </w:r>
      <w:r>
        <w:rPr>
          <w:rStyle w:val="FootnoteAnchor"/>
          <w:rtl w:val="true"/>
        </w:rPr>
        <w:footnoteReference w:id="1180"/>
      </w:r>
      <w:r>
        <w:rPr>
          <w:rFonts w:ascii="IRNazanin" w:hAnsi="IRNazanin" w:eastAsia="IRNazanin"/>
          <w:color w:val="111111"/>
          <w:sz w:val="28"/>
          <w:sz w:val="28"/>
          <w:szCs w:val="28"/>
          <w:rtl w:val="true"/>
          <w:lang w:bidi="fa-IR"/>
        </w:rPr>
        <w:t>و لغیره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سمعه من مخبر ثقة عن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کاتبه به</w:t>
      </w:r>
      <w:r>
        <w:rPr>
          <w:rStyle w:val="FootnoteAnchor"/>
          <w:rtl w:val="true"/>
        </w:rPr>
        <w:footnoteReference w:id="1181"/>
      </w:r>
      <w:r>
        <w:rPr>
          <w:rFonts w:ascii="IRNazanin" w:hAnsi="IRNazanin" w:eastAsia="IRNazanin"/>
          <w:color w:val="111111"/>
          <w:sz w:val="28"/>
          <w:sz w:val="28"/>
          <w:szCs w:val="28"/>
          <w:rtl w:val="true"/>
          <w:lang w:bidi="fa-IR"/>
        </w:rPr>
        <w:t>فالأقرب جواز العمل به إن أمن الغلط و التزویر، و إلّا فلا</w:t>
      </w:r>
      <w:r>
        <w:rPr>
          <w:rFonts w:eastAsia="IRNazanin" w:cs="IRNazanin"/>
          <w:color w:val="111111"/>
          <w:sz w:val="28"/>
          <w:szCs w:val="28"/>
          <w:rtl w:val="true"/>
          <w:lang w:bidi="fa-IR"/>
        </w:rPr>
        <w:t>.</w:t>
      </w:r>
    </w:p>
    <w:p>
      <w:pPr>
        <w:pStyle w:val="Heading4"/>
        <w:numPr>
          <w:ilvl w:val="3"/>
          <w:numId w:val="1"/>
        </w:numPr>
        <w:rPr/>
      </w:pPr>
      <w:bookmarkStart w:id="540" w:name="__RefHeading___Toc2792808_3804643083"/>
      <w:bookmarkStart w:id="541" w:name="_Toc207"/>
      <w:bookmarkEnd w:id="540"/>
      <w:r>
        <w:rPr>
          <w:rtl w:val="true"/>
        </w:rPr>
        <w:t>البحث الثانی</w:t>
      </w:r>
      <w:r>
        <w:rPr>
          <w:rtl w:val="true"/>
        </w:rPr>
        <w:t xml:space="preserve">: </w:t>
      </w:r>
      <w:r>
        <w:rPr>
          <w:rtl w:val="true"/>
        </w:rPr>
        <w:t>الحق أنّه یجوز للعامی أن یقلّد المجتهد فی فروع الشرع،</w:t>
      </w:r>
      <w:bookmarkEnd w:id="541"/>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أنّه یجوز للعامی أن یقلّد المجتهد</w:t>
      </w:r>
      <w:r>
        <w:rPr>
          <w:rStyle w:val="FootnoteAnchor"/>
          <w:rtl w:val="true"/>
        </w:rPr>
        <w:footnoteReference w:id="1182"/>
      </w:r>
      <w:r>
        <w:rPr>
          <w:rFonts w:ascii="IRNazanin" w:hAnsi="IRNazanin" w:eastAsia="IRNazanin"/>
          <w:color w:val="111111"/>
          <w:sz w:val="28"/>
          <w:sz w:val="28"/>
          <w:szCs w:val="28"/>
          <w:rtl w:val="true"/>
          <w:lang w:bidi="fa-IR"/>
        </w:rPr>
        <w:t>فی فروع الشرع،</w:t>
      </w:r>
    </w:p>
    <w:p>
      <w:pPr>
        <w:pStyle w:val="BookText"/>
        <w:rPr/>
      </w:pPr>
      <w:r>
        <w:rPr>
          <w:rFonts w:ascii="Amiri" w:hAnsi="Amiri" w:eastAsia="Amiri" w:cs="Amiri"/>
          <w:color w:val="111111"/>
          <w:sz w:val="28"/>
          <w:sz w:val="28"/>
          <w:szCs w:val="28"/>
          <w:rtl w:val="true"/>
          <w:lang w:bidi="ar-SA"/>
        </w:rPr>
        <w:t>خلافا لمعتزلة بغداد</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 الجبائی فی مسائل الاجتهاد دون غیرها</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w:t>
      </w:r>
      <w:r>
        <w:rPr>
          <w:rStyle w:val="FootnoteAnchor"/>
          <w:rtl w:val="true"/>
        </w:rPr>
        <w:footnoteReference w:id="1185"/>
      </w:r>
      <w:r>
        <w:rPr>
          <w:rFonts w:ascii="IRNazanin" w:hAnsi="IRNazanin" w:eastAsia="IRNazanin"/>
          <w:color w:val="111111"/>
          <w:sz w:val="28"/>
          <w:sz w:val="28"/>
          <w:szCs w:val="28"/>
          <w:rtl w:val="true"/>
          <w:lang w:bidi="fa-IR"/>
        </w:rPr>
        <w:t>أوجب التعلم علی بعض الفرقة، فجاز لغیرهم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الحادثة إذا نزلت بالعامی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مکلفا فیها بشی‌ء، فهو باطل بالإجماع، و إن کان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بالبراءة الأصلیة، فهو باطل بالإجماع، و إن کان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لزمه ذلک حین استکمال عقله فهو باطل بالإجماع، و إن کان حین حدوث الحادثة، لزم تکلیف ما لا یطاق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مسائل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المنع من التقلید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جوّزه قوم من الفقهاء</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bookmarkStart w:id="542" w:name="pg2360_37205"/>
    </w:p>
    <w:p>
      <w:pPr>
        <w:pStyle w:val="BookText"/>
        <w:rPr/>
      </w:pPr>
      <w:bookmarkEnd w:id="542"/>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مأمور بالعلم</w:t>
      </w:r>
      <w:r>
        <w:rPr>
          <w:rStyle w:val="FootnoteAnchor"/>
          <w:rtl w:val="true"/>
        </w:rPr>
        <w:footnoteReference w:id="1187"/>
      </w:r>
      <w:r>
        <w:rPr>
          <w:rFonts w:ascii="IRNazanin" w:hAnsi="IRNazanin" w:eastAsia="IRNazanin"/>
          <w:color w:val="111111"/>
          <w:sz w:val="28"/>
          <w:sz w:val="28"/>
          <w:szCs w:val="28"/>
          <w:rtl w:val="true"/>
          <w:lang w:bidi="fa-IR"/>
        </w:rPr>
        <w:t>، فیجب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تقلید غیر معلوم الصدق قبیح، لاشتماله علی جواز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النبی صلّی اللّه علیه و آله من الأعرابی الشهادتین، لعلمه بتحصیل اصول العقیدة له</w:t>
      </w:r>
      <w:r>
        <w:rPr>
          <w:rStyle w:val="FootnoteAnchor"/>
          <w:rtl w:val="true"/>
        </w:rPr>
        <w:footnoteReference w:id="1188"/>
      </w:r>
      <w:r>
        <w:rPr>
          <w:rFonts w:ascii="IRNazanin" w:hAnsi="IRNazanin" w:eastAsia="IRNazanin"/>
          <w:color w:val="111111"/>
          <w:sz w:val="28"/>
          <w:sz w:val="28"/>
          <w:szCs w:val="28"/>
          <w:rtl w:val="true"/>
          <w:lang w:bidi="fa-IR"/>
        </w:rPr>
        <w:t>، و إن لم یتمکن من</w:t>
      </w:r>
      <w:r>
        <w:rPr>
          <w:rStyle w:val="FootnoteAnchor"/>
          <w:rtl w:val="true"/>
        </w:rPr>
        <w:footnoteReference w:id="1189"/>
      </w:r>
      <w:r>
        <w:rPr>
          <w:rFonts w:ascii="IRNazanin" w:hAnsi="IRNazanin" w:eastAsia="IRNazanin"/>
          <w:color w:val="111111"/>
          <w:sz w:val="28"/>
          <w:sz w:val="28"/>
          <w:szCs w:val="28"/>
          <w:rtl w:val="true"/>
          <w:lang w:bidi="fa-IR"/>
        </w:rPr>
        <w:t>التعبیر عن تلک الأدلة و الجواب عن الشبهات</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2792810_3804643083"/>
      <w:bookmarkStart w:id="544" w:name="_Toc208"/>
      <w:bookmarkEnd w:id="543"/>
      <w:r>
        <w:rPr>
          <w:rtl w:val="true"/>
        </w:rPr>
        <w:t>البحث الثالث</w:t>
      </w:r>
      <w:r>
        <w:rPr>
          <w:rtl w:val="true"/>
        </w:rPr>
        <w:t xml:space="preserve">: </w:t>
      </w:r>
      <w:r>
        <w:rPr>
          <w:rtl w:val="true"/>
        </w:rPr>
        <w:t>العامی یجب علیه التقلید فی الفروع إذا لم یتمکن من الاجتهاد</w:t>
      </w:r>
      <w:r>
        <w:rPr>
          <w:rtl w:val="true"/>
        </w:rPr>
        <w:t>.</w:t>
      </w:r>
      <w:bookmarkEnd w:id="5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تمکن من فعل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یسعی فی تحصیل العلوم التی لا یتیسر الاجتهاد إلّا بها</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بینه و بین الاستفتاء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کان عالما لم یبلغ رتبة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عالما بلغ رتبة الاجتهاد و اجتهد، لم یجز له العدول إلی قول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Style w:val="FootnoteAnchor"/>
          <w:rtl w:val="true"/>
        </w:rPr>
        <w:footnoteReference w:id="1192"/>
      </w:r>
      <w:r>
        <w:rPr>
          <w:rFonts w:ascii="IRNazanin" w:hAnsi="IRNazanin" w:eastAsia="IRNazanin"/>
          <w:color w:val="111111"/>
          <w:sz w:val="28"/>
          <w:sz w:val="28"/>
          <w:szCs w:val="28"/>
          <w:rtl w:val="true"/>
          <w:lang w:bidi="fa-IR"/>
        </w:rPr>
        <w:t>لم یکن قد اجتهد؟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التقلید مطلقا</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IRNazanin" w:hAnsi="IRNazanin" w:eastAsia="IRNazanin"/>
          <w:color w:val="111111"/>
          <w:sz w:val="28"/>
          <w:sz w:val="28"/>
          <w:szCs w:val="28"/>
          <w:rtl w:val="true"/>
          <w:lang w:bidi="fa-IR"/>
        </w:rPr>
        <w:t>یقلد الأعلم</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یخصّه دون ما یفتی به</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یخصّه مع ضیق الوقت</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المنع، لأنّه متمکن من تحصیل الظن بطریق أقوی، فیتعین</w:t>
      </w:r>
      <w:r>
        <w:rPr>
          <w:rStyle w:val="FootnoteAnchor"/>
          <w:rtl w:val="true"/>
        </w:rPr>
        <w:footnoteReference w:id="1197"/>
      </w:r>
      <w:r>
        <w:rPr>
          <w:rFonts w:ascii="IRNazanin" w:hAnsi="IRNazanin" w:eastAsia="IRNazanin"/>
          <w:color w:val="111111"/>
          <w:sz w:val="28"/>
          <w:sz w:val="28"/>
          <w:szCs w:val="28"/>
          <w:rtl w:val="true"/>
          <w:lang w:bidi="fa-IR"/>
        </w:rPr>
        <w:t>علیه؛ و وجه القوّة جواز تطرق الکذب علی المفتی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یشترط فی المستفتی علمه بصحة اجتهاد المفتی، لقوله تعالی فَسْئَلُوا أَهْلَ الذِّکْرِ</w:t>
      </w:r>
      <w:r>
        <w:rPr>
          <w:rStyle w:val="FootnoteAnchor"/>
          <w:rtl w:val="true"/>
        </w:rPr>
        <w:footnoteReference w:id="1198"/>
      </w:r>
      <w:r>
        <w:rPr>
          <w:rFonts w:ascii="IRNazanin" w:hAnsi="IRNazanin" w:eastAsia="IRNazanin"/>
          <w:color w:val="111111"/>
          <w:sz w:val="28"/>
          <w:sz w:val="28"/>
          <w:szCs w:val="28"/>
          <w:rtl w:val="true"/>
          <w:lang w:bidi="fa-IR"/>
        </w:rPr>
        <w:t>من غیر تقیید، لکن یجب</w:t>
      </w:r>
      <w:r>
        <w:rPr>
          <w:rStyle w:val="FootnoteAnchor"/>
          <w:rtl w:val="true"/>
        </w:rPr>
        <w:footnoteReference w:id="1199"/>
      </w:r>
      <w:r>
        <w:rPr>
          <w:rFonts w:ascii="IRNazanin" w:hAnsi="IRNazanin" w:eastAsia="IRNazanin"/>
          <w:color w:val="111111"/>
          <w:sz w:val="28"/>
          <w:sz w:val="28"/>
          <w:szCs w:val="28"/>
          <w:rtl w:val="true"/>
          <w:lang w:bidi="fa-IR"/>
        </w:rPr>
        <w:t>علیه أن یقلّد من یغلب علی ظنه أنّه من أهل الاجتهاد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یحصل للمستفتی هذا الظن برؤیته له منتصبا</w:t>
      </w:r>
      <w:r>
        <w:rPr>
          <w:rStyle w:val="FootnoteAnchor"/>
          <w:rtl w:val="true"/>
        </w:rPr>
        <w:footnoteReference w:id="1200"/>
      </w:r>
      <w:r>
        <w:rPr>
          <w:rFonts w:ascii="IRNazanin" w:hAnsi="IRNazanin" w:eastAsia="IRNazanin"/>
          <w:color w:val="111111"/>
          <w:sz w:val="28"/>
          <w:sz w:val="28"/>
          <w:szCs w:val="28"/>
          <w:rtl w:val="true"/>
          <w:lang w:bidi="fa-IR"/>
        </w:rPr>
        <w:t>للفتوی بمشهد من الخلق، و اجتماع المسلمین علی استفتائه و تعظیمه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غلب علی ظن المستفتی</w:t>
      </w:r>
      <w:r>
        <w:rPr>
          <w:rStyle w:val="FootnoteAnchor"/>
          <w:rtl w:val="true"/>
        </w:rPr>
        <w:footnoteReference w:id="1201"/>
      </w:r>
      <w:r>
        <w:rPr>
          <w:rFonts w:ascii="IRNazanin" w:hAnsi="IRNazanin" w:eastAsia="IRNazanin"/>
          <w:color w:val="111111"/>
          <w:sz w:val="28"/>
          <w:sz w:val="28"/>
          <w:szCs w:val="28"/>
          <w:rtl w:val="true"/>
          <w:lang w:bidi="fa-IR"/>
        </w:rPr>
        <w:t>أنّ المفتی غیر عالم، و لا متدین، حرم علیه استفتاؤه إجماعا، لأنّه بمنزلة نظر المجتهد فی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أفتاه اثنان فصاعدا، فإن اتفقوا، و إلّا اجتهد فی الأعلم الأورع، فقلّده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تساویا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ترجّح أحدهما بالعلم و الآخر بالزهد تعیّن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الأعلم بالتسامع و القرائن، لا</w:t>
      </w:r>
      <w:bookmarkStart w:id="545" w:name="pg2360_37207"/>
    </w:p>
    <w:p>
      <w:pPr>
        <w:pStyle w:val="BookText"/>
        <w:rPr/>
      </w:pPr>
      <w:bookmarkEnd w:id="545"/>
      <w:r>
        <w:rPr>
          <w:rFonts w:ascii="IRNazanin" w:hAnsi="IRNazanin" w:eastAsia="IRNazanin"/>
          <w:color w:val="111111"/>
          <w:sz w:val="28"/>
          <w:sz w:val="28"/>
          <w:szCs w:val="28"/>
          <w:rtl w:val="true"/>
          <w:lang w:bidi="fa-IR"/>
        </w:rPr>
        <w:t>بالبحث عن نفس العلم، إذ لیس علی العامی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للعالم إذا لم یکن من أهل الاجتهاد الإفتاء بقول مجتهد حی أو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للعامی تقلید المفضول مع وجود الأفضل، لأنّ ظن إصابته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تساوی المفتیان فقلّد العامی أحدهما، لم یجز له الرجوع عنه فی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جوازه فی غیره</w:t>
      </w:r>
      <w:r>
        <w:rPr>
          <w:rFonts w:eastAsia="IRNazanin" w:cs="IRNazanin"/>
          <w:color w:val="111111"/>
          <w:sz w:val="28"/>
          <w:szCs w:val="28"/>
          <w:rtl w:val="true"/>
          <w:lang w:bidi="fa-IR"/>
        </w:rPr>
        <w:t>.</w:t>
      </w:r>
    </w:p>
    <w:p>
      <w:pPr>
        <w:pStyle w:val="Heading3"/>
        <w:numPr>
          <w:ilvl w:val="2"/>
          <w:numId w:val="1"/>
        </w:numPr>
        <w:rPr/>
      </w:pPr>
      <w:bookmarkStart w:id="546" w:name="__RefHeading___Toc2792812_3804643083"/>
      <w:bookmarkStart w:id="547" w:name="_Toc209"/>
      <w:bookmarkEnd w:id="546"/>
      <w:r>
        <w:rPr>
          <w:rtl w:val="true"/>
        </w:rPr>
        <w:t>الفصل الخامس</w:t>
      </w:r>
      <w:r>
        <w:rPr>
          <w:rtl w:val="true"/>
        </w:rPr>
        <w:t xml:space="preserve">: </w:t>
      </w:r>
      <w:r>
        <w:rPr>
          <w:rtl w:val="true"/>
        </w:rPr>
        <w:t>فی طرق اختلف المجتهدون فیها و فیه مباحث</w:t>
      </w:r>
      <w:r>
        <w:rPr>
          <w:rtl w:val="true"/>
        </w:rPr>
        <w:t>:</w:t>
      </w:r>
      <w:bookmarkEnd w:id="547"/>
    </w:p>
    <w:p>
      <w:pPr>
        <w:pStyle w:val="Heading4"/>
        <w:numPr>
          <w:ilvl w:val="3"/>
          <w:numId w:val="1"/>
        </w:numPr>
        <w:rPr/>
      </w:pPr>
      <w:bookmarkStart w:id="548" w:name="__RefHeading___Toc2792814_3804643083"/>
      <w:bookmarkStart w:id="549" w:name="_Toc210"/>
      <w:bookmarkEnd w:id="548"/>
      <w:r>
        <w:rPr>
          <w:rtl w:val="true"/>
        </w:rPr>
        <w:t>الأوّل</w:t>
      </w:r>
      <w:r>
        <w:rPr>
          <w:rtl w:val="true"/>
        </w:rPr>
        <w:t xml:space="preserve">: </w:t>
      </w:r>
      <w:r>
        <w:rPr>
          <w:rtl w:val="true"/>
        </w:rPr>
        <w:t>استصحاب الحال حجة،</w:t>
      </w:r>
      <w:bookmarkEnd w:id="549"/>
    </w:p>
    <w:p>
      <w:pPr>
        <w:pStyle w:val="BookText"/>
        <w:rPr/>
      </w:pPr>
      <w:r>
        <w:rPr>
          <w:rFonts w:ascii="IRNazanin" w:hAnsi="IRNazanin" w:eastAsia="IRNazanin"/>
          <w:color w:val="111111"/>
          <w:sz w:val="28"/>
          <w:sz w:val="28"/>
          <w:szCs w:val="28"/>
          <w:rtl w:val="true"/>
          <w:lang w:bidi="fa-IR"/>
        </w:rPr>
        <w:t>خلافا لأکثر المتکلمین، و الحنفیة</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و ذهب جماعة من أصحاب الشافعی کالمزنی و الصیرفی و الغزالی و غیرهم من المحققین إلی صحة الاحتجاج به، 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وجود الشی‌ء فی الحال یقتضی ظن وجوده فی الاستقبال، لقضاء العقل بذلک فی أکثر الوقائع، و لأنّ الأحکام الشرعیة مبنیة علیه، لأنّ الدلیل إنّما یتم لو لم یتطرق إلیه المعارض من نسخ أو غیره، و إنّما یعلم نفی المعارض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التسویة بین الوقتین فی الحکم إن کان لاشتراکهما فی مقتضاه، کان قیاسا، و إلّا کان تسویة بینهما من غیر دلیل، و هو باطل إجماعا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بما قلناه من الظن</w:t>
      </w:r>
      <w:r>
        <w:rPr>
          <w:rFonts w:eastAsia="IRNazanin" w:cs="IRNazanin"/>
          <w:color w:val="111111"/>
          <w:sz w:val="28"/>
          <w:szCs w:val="28"/>
          <w:rtl w:val="true"/>
          <w:lang w:bidi="fa-IR"/>
        </w:rPr>
        <w:t>.</w:t>
      </w:r>
      <w:bookmarkStart w:id="550" w:name="pg2360_37208"/>
    </w:p>
    <w:p>
      <w:pPr>
        <w:pStyle w:val="BookText"/>
        <w:rPr/>
      </w:pPr>
      <w:bookmarkEnd w:id="550"/>
      <w:r>
        <w:rPr>
          <w:rFonts w:ascii="IRNazanin" w:hAnsi="IRNazanin" w:eastAsia="IRNazanin"/>
          <w:color w:val="111111"/>
          <w:sz w:val="28"/>
          <w:sz w:val="28"/>
          <w:szCs w:val="28"/>
          <w:rtl w:val="true"/>
          <w:lang w:bidi="fa-IR"/>
        </w:rPr>
        <w:t>و اعلم أنّ جماعة حکموا بأنّ النافی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إن أرادوا أنّ العدم قد کان ثابتا فی الأصل فیستمر الظن، فهو عین الاستصحاب، و قد بیّنا صحته، و إن أرادوا غیر ذلک، فهو باطل قطعا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2792816_3804643083"/>
      <w:bookmarkStart w:id="552" w:name="_Toc211"/>
      <w:bookmarkEnd w:id="551"/>
      <w:r>
        <w:rPr>
          <w:rtl w:val="true"/>
        </w:rPr>
        <w:t>البحث الثانی</w:t>
      </w:r>
      <w:r>
        <w:rPr>
          <w:rtl w:val="true"/>
        </w:rPr>
        <w:t xml:space="preserve">: </w:t>
      </w:r>
      <w:r>
        <w:rPr>
          <w:rtl w:val="true"/>
        </w:rPr>
        <w:t>الاستحسان</w:t>
      </w:r>
      <w:r>
        <w:rPr>
          <w:rtl w:val="true"/>
        </w:rPr>
        <w:t>.</w:t>
      </w:r>
      <w:bookmarkEnd w:id="552"/>
    </w:p>
    <w:p>
      <w:pPr>
        <w:pStyle w:val="BookText"/>
        <w:rPr/>
      </w:pPr>
      <w:r>
        <w:rPr>
          <w:rFonts w:ascii="IRNazanin" w:hAnsi="IRNazanin" w:eastAsia="IRNazanin"/>
          <w:color w:val="111111"/>
          <w:sz w:val="28"/>
          <w:sz w:val="28"/>
          <w:szCs w:val="28"/>
          <w:rtl w:val="true"/>
          <w:lang w:bidi="fa-IR"/>
        </w:rPr>
        <w:t>و قد ذهب إلیه أکثر</w:t>
      </w:r>
      <w:r>
        <w:rPr>
          <w:rStyle w:val="FootnoteAnchor"/>
          <w:rtl w:val="true"/>
        </w:rPr>
        <w:footnoteReference w:id="1205"/>
      </w:r>
      <w:r>
        <w:rPr>
          <w:rFonts w:ascii="IRNazanin" w:hAnsi="IRNazanin" w:eastAsia="IRNazanin"/>
          <w:color w:val="111111"/>
          <w:sz w:val="28"/>
          <w:sz w:val="28"/>
          <w:szCs w:val="28"/>
          <w:rtl w:val="true"/>
          <w:lang w:bidi="fa-IR"/>
        </w:rPr>
        <w:t>الحنفیة، و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الباقون</w:t>
      </w:r>
      <w:r>
        <w:rPr>
          <w:rStyle w:val="FootnoteAnchor"/>
          <w:rtl w:val="true"/>
        </w:rPr>
        <w:footnoteReference w:id="12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الحنفیة و الحنابلة و أنکره الباقون حتی نقل عن الشافعی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استحسن فقد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یحصل</w:t>
      </w:r>
      <w:r>
        <w:rPr>
          <w:rStyle w:val="FootnoteAnchor"/>
          <w:rtl w:val="true"/>
        </w:rPr>
        <w:footnoteReference w:id="1207"/>
      </w:r>
      <w:r>
        <w:rPr>
          <w:rFonts w:ascii="IRNazanin" w:hAnsi="IRNazanin" w:eastAsia="IRNazanin"/>
          <w:color w:val="111111"/>
          <w:sz w:val="28"/>
          <w:sz w:val="28"/>
          <w:szCs w:val="28"/>
          <w:rtl w:val="true"/>
          <w:lang w:bidi="fa-IR"/>
        </w:rPr>
        <w:t>بینهم اختلاف معنوی، لأنّ بعضهم فسّره بأنّه دلیل ینقدح فی نفس المجتهد تعسر عبارته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العدول عن قیاس إلی قیاس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تخصیص قیاس بأقوی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إلی خلاف النظیر</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لدلیل 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الإحکام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2360_37209"/>
    </w:p>
    <w:p>
      <w:pPr>
        <w:pStyle w:val="BookText"/>
        <w:rPr/>
      </w:pPr>
      <w:bookmarkEnd w:id="553"/>
      <w:r>
        <w:rPr>
          <w:rFonts w:ascii="IRNazanin" w:hAnsi="IRNazanin" w:eastAsia="IRNazanin"/>
          <w:color w:val="111111"/>
          <w:sz w:val="28"/>
          <w:sz w:val="28"/>
          <w:szCs w:val="28"/>
          <w:rtl w:val="true"/>
          <w:lang w:bidi="fa-IR"/>
        </w:rPr>
        <w:t>و القول الأوّل إن حصل للمجتهد شک فیه، لم یجز له</w:t>
      </w:r>
      <w:r>
        <w:rPr>
          <w:rStyle w:val="FootnoteAnchor"/>
          <w:rtl w:val="true"/>
        </w:rPr>
        <w:footnoteReference w:id="1209"/>
      </w:r>
      <w:r>
        <w:rPr>
          <w:rFonts w:ascii="IRNazanin" w:hAnsi="IRNazanin" w:eastAsia="IRNazanin"/>
          <w:color w:val="111111"/>
          <w:sz w:val="28"/>
          <w:sz w:val="28"/>
          <w:szCs w:val="28"/>
          <w:rtl w:val="true"/>
          <w:lang w:bidi="fa-IR"/>
        </w:rPr>
        <w:t>العمل به إجماعا، و إلّا وجب العمل به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متفق علیه بین أرباب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الثالث و الرابع</w:t>
      </w:r>
      <w:r>
        <w:rPr>
          <w:rFonts w:eastAsia="IRNazanin" w:cs="IRNazanin"/>
          <w:color w:val="111111"/>
          <w:sz w:val="28"/>
          <w:szCs w:val="28"/>
          <w:rtl w:val="true"/>
          <w:lang w:bidi="fa-IR"/>
        </w:rPr>
        <w:t>.</w:t>
      </w:r>
    </w:p>
    <w:p>
      <w:pPr>
        <w:pStyle w:val="Heading4"/>
        <w:numPr>
          <w:ilvl w:val="3"/>
          <w:numId w:val="1"/>
        </w:numPr>
        <w:rPr/>
      </w:pPr>
      <w:bookmarkStart w:id="554" w:name="__RefHeading___Toc2792818_3804643083"/>
      <w:bookmarkStart w:id="555" w:name="_Toc212"/>
      <w:bookmarkEnd w:id="554"/>
      <w:r>
        <w:rPr>
          <w:rtl w:val="true"/>
        </w:rPr>
        <w:t>البحث الثالث</w:t>
      </w:r>
      <w:r>
        <w:rPr>
          <w:rtl w:val="true"/>
        </w:rPr>
        <w:t xml:space="preserve">: </w:t>
      </w:r>
      <w:r>
        <w:rPr>
          <w:rtl w:val="true"/>
        </w:rPr>
        <w:t>مذهب الصحابی لیس حجة،</w:t>
      </w:r>
      <w:bookmarkEnd w:id="555"/>
    </w:p>
    <w:p>
      <w:pPr>
        <w:pStyle w:val="BookText"/>
        <w:rPr/>
      </w:pPr>
      <w:r>
        <w:rPr>
          <w:rFonts w:ascii="IRNazanin" w:hAnsi="IRNazanin" w:eastAsia="IRNazanin"/>
          <w:color w:val="111111"/>
          <w:sz w:val="28"/>
          <w:sz w:val="28"/>
          <w:szCs w:val="28"/>
          <w:rtl w:val="true"/>
          <w:lang w:bidi="fa-IR"/>
        </w:rPr>
        <w:t>لجواز الخطأ علیه، و لمخالفة کل واحد</w:t>
      </w:r>
      <w:r>
        <w:rPr>
          <w:rStyle w:val="FootnoteAnchor"/>
          <w:rtl w:val="true"/>
        </w:rPr>
        <w:footnoteReference w:id="1210"/>
      </w:r>
      <w:r>
        <w:rPr>
          <w:rFonts w:ascii="IRNazanin" w:hAnsi="IRNazanin" w:eastAsia="IRNazanin"/>
          <w:color w:val="111111"/>
          <w:sz w:val="28"/>
          <w:sz w:val="28"/>
          <w:szCs w:val="28"/>
          <w:rtl w:val="true"/>
          <w:lang w:bidi="fa-IR"/>
        </w:rPr>
        <w:t>منهم صاحبه</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حجة، لزم النقیضان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الدلیل لیس دلیلا علی العدم، و إلّا لزم العکس فی المشکوک فیه، لعدم الأولویة، فیجتمع النقیضان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المعتزلة أن یقول اللّه تعالی للرسول</w:t>
      </w:r>
      <w:r>
        <w:rPr>
          <w:rStyle w:val="FootnoteAnchor"/>
          <w:rtl w:val="true"/>
        </w:rPr>
        <w:footnoteReference w:id="1212"/>
      </w:r>
      <w:r>
        <w:rPr>
          <w:rFonts w:ascii="IRNazanin" w:hAnsi="IRNazanin" w:eastAsia="IRNazanin"/>
          <w:color w:val="111111"/>
          <w:sz w:val="28"/>
          <w:sz w:val="28"/>
          <w:szCs w:val="28"/>
          <w:rtl w:val="true"/>
          <w:lang w:bidi="fa-IR"/>
        </w:rPr>
        <w:t>علیه السّلام أو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بما شئت فإنّک لا تحکم إلّا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لبطل</w:t>
      </w:r>
      <w:r>
        <w:rPr>
          <w:rStyle w:val="FootnoteAnchor"/>
          <w:rtl w:val="true"/>
        </w:rPr>
        <w:footnoteReference w:id="1213"/>
      </w:r>
      <w:r>
        <w:rPr>
          <w:rFonts w:ascii="IRNazanin" w:hAnsi="IRNazanin" w:eastAsia="IRNazanin"/>
          <w:color w:val="111111"/>
          <w:sz w:val="28"/>
          <w:sz w:val="28"/>
          <w:szCs w:val="28"/>
          <w:rtl w:val="true"/>
          <w:lang w:bidi="fa-IR"/>
        </w:rPr>
        <w:t>التکلیف، لأنّ قول المکلّف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اخترت فافعله و إن لم تختر فلا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و لأنّ المکلّف لا ینفک من الفعل و الترک، فلا یکون مکلّفا بما لا ینفک عنه، و لأنّ شرط التکلیف تعلقه بالحسن، فإن تساوی الوجود و العدم فیه سقط التکلیف، و الحسن لا بدّ فیه من طریق، و إلّا لزم تکلیف ما لا یطاق، و لأنّ جواز ذلک فی حق العالم یستلزم جوازه فی حق العامی، و هو باطل</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bookmarkStart w:id="556" w:name="pg2360_37210"/>
    </w:p>
    <w:p>
      <w:pPr>
        <w:pStyle w:val="Heading4"/>
        <w:numPr>
          <w:ilvl w:val="3"/>
          <w:numId w:val="1"/>
        </w:numPr>
        <w:rPr/>
      </w:pPr>
      <w:bookmarkStart w:id="557" w:name="__RefHeading___Toc2792820_3804643083"/>
      <w:bookmarkStart w:id="558" w:name="_Toc213"/>
      <w:bookmarkEnd w:id="556"/>
      <w:bookmarkEnd w:id="557"/>
      <w:r>
        <w:rPr>
          <w:rtl w:val="true"/>
        </w:rPr>
        <w:t>البحث الرابع</w:t>
      </w:r>
      <w:r>
        <w:rPr>
          <w:rtl w:val="true"/>
        </w:rPr>
        <w:t xml:space="preserve">: </w:t>
      </w:r>
      <w:r>
        <w:rPr>
          <w:rtl w:val="true"/>
        </w:rPr>
        <w:t>فی کیفیّة الاستدلال</w:t>
      </w:r>
      <w:r>
        <w:rPr>
          <w:rtl w:val="true"/>
        </w:rPr>
        <w:t>.</w:t>
      </w:r>
      <w:bookmarkEnd w:id="558"/>
    </w:p>
    <w:p>
      <w:pPr>
        <w:pStyle w:val="BookText"/>
        <w:rPr/>
      </w:pPr>
      <w:r>
        <w:rPr>
          <w:rFonts w:ascii="IRNazanin" w:hAnsi="IRNazanin" w:eastAsia="IRNazanin"/>
          <w:color w:val="111111"/>
          <w:sz w:val="28"/>
          <w:sz w:val="28"/>
          <w:szCs w:val="28"/>
          <w:rtl w:val="true"/>
          <w:lang w:bidi="fa-IR"/>
        </w:rPr>
        <w:t>الدلیل و المطلوب لا بدّ و أن یتناسبا، و إنّما تحصل المناسبة بالاشتمال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اشتمل المطلوب علی الحجة، فهو الاستقراء، و هو لا یفید الیقین، لجواز أن یکون ما لم یستقرأ بخلاف ما استقرئ، إلّا أن یکون المذکور فیه جمیع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بالعکس فهو القیاس فی عرف أهل النظر، و هو المفید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اشتمل علیهما ثالث فهو التمثیل، و هو الذی یسمیه الفقهاء قیاسا</w:t>
      </w:r>
      <w:r>
        <w:rPr>
          <w:rStyle w:val="FootnoteAnchor"/>
          <w:rtl w:val="true"/>
        </w:rPr>
        <w:footnoteReference w:id="1215"/>
      </w:r>
      <w:r>
        <w:rPr>
          <w:rFonts w:ascii="IRNazanin" w:hAnsi="IRNazanin" w:eastAsia="IRNazanin"/>
          <w:color w:val="111111"/>
          <w:sz w:val="28"/>
          <w:sz w:val="28"/>
          <w:szCs w:val="28"/>
          <w:rtl w:val="true"/>
          <w:lang w:bidi="fa-IR"/>
        </w:rPr>
        <w:t>، و قد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المفید للیقین لا بدّ فیه من مقدمتین، فإن اشتملت إحداهما علی المطلوب أو نقیضه بالفعل فهو الاستثنائی، و إلّا فهو الاقترانی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الاستثنائی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و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المتصل لزومیّة الشرطیة، و کلّیتها، أو کلّیة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استثنی فیه عین المقدم، أنتج عین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استثنی فیه نقیض التالی، أنتج نقیض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ینتج استثناء نقیض المقدم، و لا عین التالی، لجواز کون الملزوم أخص</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المنفصل العناد فی المقدمة الشرطیة، دون الاتفاق</w:t>
      </w:r>
      <w:r>
        <w:rPr>
          <w:rStyle w:val="FootnoteAnchor"/>
          <w:rtl w:val="true"/>
        </w:rPr>
        <w:footnoteReference w:id="1216"/>
      </w:r>
      <w:r>
        <w:rPr>
          <w:rFonts w:ascii="IRNazanin" w:hAnsi="IRNazanin" w:eastAsia="IRNazanin"/>
          <w:color w:val="111111"/>
          <w:sz w:val="28"/>
          <w:sz w:val="28"/>
          <w:szCs w:val="28"/>
          <w:rtl w:val="true"/>
          <w:lang w:bidi="fa-IR"/>
        </w:rPr>
        <w:t>، و کلیّة المقدم، أو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المنفصلة فیه حقیقیة، أنتج استثناء عین أیّهما کان نقیض الآخر، و نقیض أیّهما کان عین الآخر، فالنتائج أربعة، و إن کانت مانعة الجمع أنتج استثناء عین أیّهما کان نقیض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ینتج استثناء النقیض</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کانت مانعة الخلو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الاقترانی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الحد الأوسط فیه محمولا فی الصغری موضوعا فی الکبری، فهو الشکل الأوّل، و هو أبین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بالعکس فیهما، فهو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محمولا فی المقدمتین، فهو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موضوعا فیهما، فهو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الأوّل إیجاب الصغری، و کلیّة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اختلافهما بالکیف مع کلیّة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إیجاب الصغری و کلّیة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الرابع عدم اجتماع الخستین إلّا إذا کانت الصغری موجبة جزئیة، و کون الکبری سالبة کلّیة إذا کانت الصغری موجبة جزئیة، و تفصیل</w:t>
      </w:r>
      <w:r>
        <w:rPr>
          <w:rStyle w:val="FootnoteAnchor"/>
          <w:rtl w:val="true"/>
        </w:rPr>
        <w:footnoteReference w:id="1218"/>
      </w:r>
      <w:r>
        <w:rPr>
          <w:rFonts w:ascii="IRNazanin" w:hAnsi="IRNazanin" w:eastAsia="IRNazanin"/>
          <w:color w:val="111111"/>
          <w:sz w:val="28"/>
          <w:sz w:val="28"/>
          <w:szCs w:val="28"/>
          <w:rtl w:val="true"/>
          <w:lang w:bidi="fa-IR"/>
        </w:rPr>
        <w:t>ذلک مذکور فی کتبنا المنطقیة</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حاصلها منع، أو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تفسیر اللفظ، لإجمال أو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w:t>
      </w:r>
      <w:r>
        <w:rPr>
          <w:rStyle w:val="FootnoteAnchor"/>
          <w:rtl w:val="true"/>
        </w:rPr>
        <w:footnoteReference w:id="1220"/>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ببیان الظهور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القیاس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اعتبار الجامع فی نقیض الحکم بنص، أو قیاس، أو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ببیان المنع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حکم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ینقطع به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إثبات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وجود العلّة فی الأصل، أو کونها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جوابهما بذکر ما یدل علی وجودها فی الأصل من عقل، أو حسّ، أو شرع، أو إثبات العلّیة بإحدی الطرائق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إبداء وصف فی الدلیل مستغنی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تأثیر الوصف، بأن یکون طردیا، و یرجع إلی بیان انتفاء مناسبة الوصف، و هو سؤال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عدم التأثیر فی الأصل، بأن یکون الوصف قد استغنی عنه فی إثبات الحکم فی المقیس علیه بغیره، و یرجع إلی المعارضة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قوم، لإمکان التعلیل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عدم التأثیر فی الحکم بأن یذکر فی الدلیل وصفا لا تأثیر له فی الحکم، و هو راجع إلی عدم التأثیر فی الوصف بالنسبة إلی الحکم إن کان طردیا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عدم التأثیر فی الفرع، و هو أنّ الوصف المذکور فی الدلیل لا یطّرد فی جمیع صور النزاع، و إن کان مناسبا، و هو راجع إلی عدم التأثیر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المناسبة، أو فی إفضاء الحکم إلی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الوصف، أو عدم انضباطه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الأصل بمعنی آخر</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قبوله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صرّح المعترض بالفرق بین الأصل و الفرع، وجب علیه بیان نفیه عن الفرع،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یفتقر إلی أصل الوصف الذی عارض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إمّا بمنع وجود الوصف، أو المطالبة بتأثیره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فی الفرع بما یقتضی نقیض حکم المستدل إمّا بنص، أو</w:t>
      </w:r>
    </w:p>
    <w:p>
      <w:pPr>
        <w:pStyle w:val="BookText"/>
        <w:rPr/>
      </w:pPr>
      <w:r>
        <w:rPr>
          <w:rFonts w:ascii="IRNazanin" w:hAnsi="IRNazanin" w:eastAsia="IRNazanin"/>
          <w:color w:val="111111"/>
          <w:sz w:val="28"/>
          <w:sz w:val="28"/>
          <w:szCs w:val="28"/>
          <w:rtl w:val="true"/>
          <w:lang w:bidi="fa-IR"/>
        </w:rPr>
        <w:t>إجماع،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قبوله من حیث أنّ المعترض شأنه الهدم لا الاستدلال، و من حیث تحققه بذلک، إذ دلیله مقاوم لدلیل المستدل، و لا حجر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فی الأصل و الفرع معا، و هو سؤال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آخر ما نذکره</w:t>
      </w:r>
      <w:r>
        <w:rPr>
          <w:rStyle w:val="FootnoteAnchor"/>
          <w:rtl w:val="true"/>
        </w:rPr>
        <w:footnoteReference w:id="1222"/>
      </w:r>
      <w:r>
        <w:rPr>
          <w:rFonts w:ascii="IRNazanin" w:hAnsi="IRNazanin" w:eastAsia="IRNazanin"/>
          <w:color w:val="111111"/>
          <w:sz w:val="28"/>
          <w:sz w:val="28"/>
          <w:szCs w:val="28"/>
          <w:rtl w:val="true"/>
          <w:lang w:bidi="fa-IR"/>
        </w:rPr>
        <w:t>فی هذا</w:t>
      </w:r>
      <w:r>
        <w:rPr>
          <w:rStyle w:val="FootnoteAnchor"/>
          <w:rtl w:val="true"/>
        </w:rPr>
        <w:footnoteReference w:id="1223"/>
      </w:r>
      <w:r>
        <w:rPr>
          <w:rFonts w:ascii="IRNazanin" w:hAnsi="IRNazanin" w:eastAsia="IRNazanin"/>
          <w:color w:val="111111"/>
          <w:sz w:val="28"/>
          <w:sz w:val="28"/>
          <w:szCs w:val="28"/>
          <w:rtl w:val="true"/>
          <w:lang w:bidi="fa-IR"/>
        </w:rPr>
        <w:t>الکتاب و من أراد</w:t>
      </w:r>
    </w:p>
    <w:p>
      <w:pPr>
        <w:pStyle w:val="BookText"/>
        <w:rPr/>
      </w:pPr>
      <w:r>
        <w:rPr>
          <w:rFonts w:ascii="IRNazanin" w:hAnsi="IRNazanin" w:eastAsia="IRNazanin"/>
          <w:color w:val="111111"/>
          <w:sz w:val="28"/>
          <w:sz w:val="28"/>
          <w:szCs w:val="28"/>
          <w:rtl w:val="true"/>
          <w:lang w:bidi="fa-IR"/>
        </w:rPr>
        <w:t>التطویل فی هذا الفن فلیطلبه من</w:t>
      </w:r>
      <w:r>
        <w:rPr>
          <w:rStyle w:val="FootnoteAnchor"/>
          <w:rtl w:val="true"/>
        </w:rPr>
        <w:footnoteReference w:id="1224"/>
      </w:r>
      <w:r>
        <w:rPr>
          <w:rFonts w:ascii="IRNazanin" w:hAnsi="IRNazanin" w:eastAsia="IRNazanin"/>
          <w:color w:val="111111"/>
          <w:sz w:val="28"/>
          <w:sz w:val="28"/>
          <w:szCs w:val="28"/>
          <w:rtl w:val="true"/>
          <w:lang w:bidi="fa-IR"/>
        </w:rPr>
        <w:t>کتابنا</w:t>
      </w:r>
    </w:p>
    <w:p>
      <w:pPr>
        <w:pStyle w:val="BookText"/>
        <w:rPr/>
      </w:pPr>
      <w:r>
        <w:rPr>
          <w:rFonts w:ascii="IRNazanin" w:hAnsi="IRNazanin" w:eastAsia="IRNazanin"/>
          <w:color w:val="111111"/>
          <w:sz w:val="28"/>
          <w:sz w:val="28"/>
          <w:szCs w:val="28"/>
          <w:rtl w:val="true"/>
          <w:lang w:bidi="fa-IR"/>
        </w:rPr>
        <w:t>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الوصول</w:t>
      </w:r>
      <w:r>
        <w:rPr>
          <w:rStyle w:val="FootnoteAnchor"/>
          <w:rtl w:val="true"/>
        </w:rPr>
        <w:footnoteReference w:id="12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قد</w:t>
      </w:r>
      <w:r>
        <w:rPr>
          <w:rStyle w:val="FootnoteAnchor"/>
          <w:rtl w:val="true"/>
        </w:rPr>
        <w:footnoteReference w:id="1226"/>
      </w:r>
      <w:r>
        <w:rPr>
          <w:rFonts w:ascii="IRNazanin" w:hAnsi="IRNazanin" w:eastAsia="IRNazanin"/>
          <w:color w:val="111111"/>
          <w:sz w:val="28"/>
          <w:sz w:val="28"/>
          <w:szCs w:val="28"/>
          <w:rtl w:val="true"/>
          <w:lang w:bidi="fa-IR"/>
        </w:rPr>
        <w:t>بلغ الغایة</w:t>
      </w:r>
    </w:p>
    <w:p>
      <w:pPr>
        <w:pStyle w:val="BookText"/>
        <w:rPr/>
      </w:pPr>
      <w:r>
        <w:rPr>
          <w:rFonts w:ascii="IRNazanin" w:hAnsi="IRNazanin" w:eastAsia="IRNazanin"/>
          <w:color w:val="111111"/>
          <w:sz w:val="28"/>
          <w:sz w:val="28"/>
          <w:szCs w:val="28"/>
          <w:rtl w:val="true"/>
          <w:lang w:bidi="fa-IR"/>
        </w:rPr>
        <w:t>و تجاوز</w:t>
      </w:r>
      <w:r>
        <w:rPr>
          <w:rStyle w:val="FootnoteAnchor"/>
          <w:rtl w:val="true"/>
        </w:rPr>
        <w:footnoteReference w:id="1227"/>
      </w:r>
      <w:r>
        <w:rPr>
          <w:rFonts w:ascii="IRNazanin" w:hAnsi="IRNazanin" w:eastAsia="IRNazanin"/>
          <w:color w:val="111111"/>
          <w:sz w:val="28"/>
          <w:sz w:val="28"/>
          <w:szCs w:val="28"/>
          <w:rtl w:val="true"/>
          <w:lang w:bidi="fa-IR"/>
        </w:rPr>
        <w:t>النهایة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الموفّق للصواب</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bookmarkStart w:id="559" w:name="pg2360_37215"/>
    </w:p>
    <w:p>
      <w:pPr>
        <w:pStyle w:val="Heading2"/>
        <w:numPr>
          <w:ilvl w:val="1"/>
          <w:numId w:val="1"/>
        </w:numPr>
        <w:rPr/>
      </w:pPr>
      <w:bookmarkStart w:id="560" w:name="__RefHeading___Toc2792822_3804643083"/>
      <w:bookmarkStart w:id="561" w:name="_Toc214"/>
      <w:bookmarkEnd w:id="559"/>
      <w:bookmarkEnd w:id="560"/>
      <w:r>
        <w:rPr>
          <w:rtl w:val="true"/>
        </w:rPr>
        <w:t>الفهارس</w:t>
      </w:r>
      <w:bookmarkEnd w:id="5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2" w:name="__RefHeading___Toc2792824_3804643083"/>
      <w:bookmarkStart w:id="563" w:name="_Toc215"/>
      <w:bookmarkEnd w:id="562"/>
      <w:r>
        <w:rPr>
          <w:rtl w:val="true"/>
        </w:rPr>
        <w:t>اشارة</w:t>
      </w:r>
      <w:bookmarkStart w:id="564" w:name="pg2360_37217"/>
      <w:bookmarkEnd w:id="563"/>
    </w:p>
    <w:p>
      <w:pPr>
        <w:pStyle w:val="Heading3"/>
        <w:numPr>
          <w:ilvl w:val="2"/>
          <w:numId w:val="1"/>
        </w:numPr>
        <w:rPr/>
      </w:pPr>
      <w:bookmarkStart w:id="565" w:name="__RefHeading___Toc2792826_3804643083"/>
      <w:bookmarkStart w:id="566" w:name="_Toc216"/>
      <w:bookmarkEnd w:id="564"/>
      <w:bookmarkEnd w:id="565"/>
      <w:r>
        <w:rPr>
          <w:rtl w:val="true"/>
        </w:rPr>
        <w:t>فهرس الآیات الشریفة المذکورة و المشار إلیها مرتبة حسب موضعها فی المصحف</w:t>
      </w:r>
      <w:bookmarkEnd w:id="566"/>
    </w:p>
    <w:p>
      <w:pPr>
        <w:pStyle w:val="BookText"/>
        <w:rPr/>
      </w:pPr>
      <w:r>
        <w:rPr>
          <w:rFonts w:ascii="IRNazanin" w:hAnsi="IRNazanin" w:eastAsia="IRNazanin"/>
          <w:color w:val="111111"/>
          <w:sz w:val="28"/>
          <w:sz w:val="28"/>
          <w:szCs w:val="28"/>
          <w:rtl w:val="true"/>
          <w:lang w:bidi="fa-IR"/>
        </w:rPr>
        <w:t>رقم الآیة رقم الصفحة</w:t>
      </w:r>
    </w:p>
    <w:p>
      <w:pPr>
        <w:pStyle w:val="BookText"/>
        <w:rPr/>
      </w:pP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بکل شی‌ء علیم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الاسماء کلّها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الباب سجّدا و قولوا حطّة نغفر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لا ذلول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 بخیر منها أو 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السفهاء من الناس ما ولّاهم عن قبلتهم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جعلناکم امّة وسطا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تقولوا علی اللّه ما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اتمّوا الصیام إلی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باشروهن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اتموا الحج و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المطلّقات یتربصن بأنفسهن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یرضع أولادهن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یتوفون منکم و یذرون أزواجا یتربصن بأنفسهن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علیکم إن طلقتم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یعفون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یتوفون منکم و یذرون أزواجا وصیة لأزواجهم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 اخرجت للناس تأمرون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إخوة فلامّه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امّهاتکم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 لکم ما وراء ذلکم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خفتم شقاق بینهما فابعثوا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 مؤمنا إلّا خطأ</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علیکم جناح أن تقصروا من الصلاة إن خفتم أن یفتنکم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 غیر سبیل المؤمنین نوّله ما تولّی و نصله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أوحینا إلیک کما أوحینا إلی نوح</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احلت لکم بهیمة الأنعام إلّا ما یتلی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الذین اوتوا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برؤوسکم و أرجلکم إلی الکعبین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اللّه و أطیعوا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ألّا تسجد إذ أمرتک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تقولوا علی اللّه ما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 و ادخلوا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من سورة الانفال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اتّبعک 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منکم عشرون صابرون یغلبوا مئتین و إن یکن منکم مئة یغلبوا ألفا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 الارحام بعضهم أولی ببعض فی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انسلخ الاشهر الحرم فاقتلوا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المساکین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تستغفر لهم سبعین مرّة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 من کل فرقة منهم طائفة لیتفقهوا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یکون لی أن ابدله من تلقاء نفسی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أمرنا و فار التنور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من سورة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قرآنا 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 سورة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ابلیس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لتبین للناس ما نزّل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أولادکم خشیة إملاق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 سورة الکهف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جدارا یرید أن ینقضّ</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فسیحتکم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جذوع 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 سورة الانبیاء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أنّ اللّه یسجد له من فی السموات و من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 مئة جلدة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تکرهوا فتیاتکم علی البغاء إن أردن تحصّنا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 یلق أثاما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معکم مستمعون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 سورة العنکبوت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إلّا خمسین عاما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السنتکم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من سورة لقمان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اسوة حسنة لمن کان یرجوا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زوجناکها لکی لا یکون علی المؤمنین حرج</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 سورة سبأ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علی اللّه کذبا أم به جنّة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رؤوس الشاطین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 ثلاثون شهرا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من سورة الذاریات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بنیناها بأید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یتبعون إلّا الظن و إن الظن لا یغنی من الحق شیئا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من سورة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بأعیننا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قیلا سلاما سلاما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فإطعام ستین مسکینا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من سورة الحشر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نهاکم عنه فانتهوا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اولات الأحمال أجلهن أن یضعن حملهن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 سورة 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من سورة المدّثر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فی سقر قالوا لم نک من المصلّین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من سورة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قرأناه فاتّبع قرآنه ثمّ إنّ علینا بیانه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 و لکن کذّب و تولّی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من سورة المرسلات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ارکعوا لا یرکعون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من سورة التکویر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من سورة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من سورة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إلّا لیعبدوا اللّه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من سورة العصر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 إلّا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567" w:name="pg2360_37228"/>
    </w:p>
    <w:p>
      <w:pPr>
        <w:pStyle w:val="Heading3"/>
        <w:numPr>
          <w:ilvl w:val="2"/>
          <w:numId w:val="1"/>
        </w:numPr>
        <w:rPr/>
      </w:pPr>
      <w:bookmarkStart w:id="568" w:name="__RefHeading___Toc2792828_3804643083"/>
      <w:bookmarkStart w:id="569" w:name="_Toc217"/>
      <w:bookmarkEnd w:id="567"/>
      <w:bookmarkEnd w:id="568"/>
      <w:r>
        <w:rPr>
          <w:rtl w:val="true"/>
        </w:rPr>
        <w:t xml:space="preserve">فهرس أحادیث النبی </w:t>
      </w:r>
      <w:r>
        <w:rPr>
          <w:rtl w:val="true"/>
        </w:rPr>
        <w:t>(</w:t>
      </w:r>
      <w:r>
        <w:rPr>
          <w:rtl w:val="true"/>
        </w:rPr>
        <w:t>ص</w:t>
      </w:r>
      <w:r>
        <w:rPr>
          <w:rtl w:val="true"/>
        </w:rPr>
        <w:t xml:space="preserve">) </w:t>
      </w:r>
      <w:r>
        <w:rPr>
          <w:rtl w:val="true"/>
        </w:rPr>
        <w:t>و أقوال الصحابة و ما یلحق بذلک</w:t>
      </w:r>
      <w:bookmarkEnd w:id="569"/>
    </w:p>
    <w:p>
      <w:pPr>
        <w:pStyle w:val="BookText"/>
        <w:rPr/>
      </w:pPr>
      <w:r>
        <w:rPr>
          <w:rFonts w:ascii="Amiri" w:hAnsi="Amiri" w:eastAsia="Amiri" w:cs="Amiri"/>
          <w:color w:val="111111"/>
          <w:sz w:val="28"/>
          <w:sz w:val="28"/>
          <w:szCs w:val="28"/>
          <w:rtl w:val="true"/>
          <w:lang w:bidi="ar-SA"/>
        </w:rPr>
        <w:t>النصّ رقم الصفحة</w:t>
      </w:r>
    </w:p>
    <w:p>
      <w:pPr>
        <w:pStyle w:val="BookText"/>
        <w:rPr/>
      </w:pPr>
      <w:r>
        <w:rPr>
          <w:rFonts w:ascii="IRNazanin" w:hAnsi="IRNazanin" w:eastAsia="IRNazanin"/>
          <w:color w:val="111111"/>
          <w:sz w:val="28"/>
          <w:sz w:val="28"/>
          <w:szCs w:val="28"/>
          <w:rtl w:val="true"/>
          <w:lang w:bidi="fa-IR"/>
        </w:rPr>
        <w:t xml:space="preserve">إذا اختلف الجنسان فبیعوا کیف شئتم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إذا لم تستح فاصنع ما شئت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 رأیت لو تمضمضت بماء ثمّ مججته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 رأیت لو کان علی أبیک دین فقضیته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الاثنان فما فوقهما جماعة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اللهم هؤلاء أهل بیتی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 لست من أهل البیت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أمر ابن عباس بتقدیم العمرة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أمسک أربعا و فارق سائرهن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أمسک أیتهما شئت و طلّق الاخری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إنکار الصحابة علی ابن عباس فی أمرهم بالعمرة قبل الحج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إنکاره علیه الصلاة و السلام علی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عصاهما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علی خیر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إن المدینة لتنفی خبثها کما تنفی الکیر خبث الحدید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لکن اللّه یوصل ما یقطعه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إنّها لیست بنجسة إنّها من الطوّافین علیکم أو الطوّافات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إنّی تارک فیکم ما إن تمسکتم به لن تضلوا کتاب اللّه و عترتی أهل بیتی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إیّاکم و أصحاب الرأی فإنهم أعداء السنن أعیتهم الأحادیث أن یحفظوها فقالوا بالرأی فضلّوا و أضلّوا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أیّ سماء تظلّنی و أیّ أرض تقلّنی إذا قلت فی کتاب اللّه برأیی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أیّما إهاب دبغ فقد طهر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 ینقص إذا جفّ؟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إذن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التاجر فاجر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تذهب قرّاؤکم و صلحاؤکم و یتخذ الناس رؤساء جهّالا یقیسون الامور برأیهم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تمسکوا بالسبت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من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حکمی علی الواحد حکمی علی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خبر بریرة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خبر معاذ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lang w:bidi="fa-IR"/>
        </w:rPr>
        <w:t>163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دباغها طهورها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دعی الصلاة أیام أقرائک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رحم اللّه امرءا سمع مقالتی فوعاها ثمّ أدّاها کما سمعها فرب حامل فقه إلی من هو أفقه منه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رفع عن امّتی الخطأ و النسیان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سؤال الصحابة عن مبدإ السعی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سؤال یعلی بن امیّة عن سبب القصر مع الأمن و أقرّه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ستفترق امّتی علی بضع و سبعین فرقة أعظمهم فتنة قوم یقیسون الامور برأیهم فیحرمون الحلال و یحللون الحرام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سنّوا بهم سنّة أهل الکتاب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سیکذب علیّ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الشفق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الکعبة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صلّوا کما رأیتمونی اصلّی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فإن لم تجد؟ قال اجتهد برأیی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ابعث إلی ابعث الیک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الغنم زکاة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 سائمة الغنم زکاة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فیما سقت السماء العشر </w:t>
      </w:r>
      <w:r>
        <w:rPr>
          <w:rFonts w:eastAsia="IRNazanin" w:cs="IRNazanin"/>
          <w:color w:val="111111"/>
          <w:sz w:val="28"/>
          <w:szCs w:val="28"/>
          <w:lang w:bidi="fa-IR"/>
        </w:rPr>
        <w:t>146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القاتل لا یرث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بالشاهد و الیمین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قضیت بالشفعة للجار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کان یجمع بین الصلاتین فی السفر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کنّا نأخذ بالأحدث فالأحدث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کنت نهیتکم عن زیارة القبور ألا فزوروها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لأخصمن محمّدا قد عبدت الملائکة و المسیح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لا تجتمع امّتی علی الخطأ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لا تنکح المرأة علی عمتها و لا علی خالتها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لا نکاح إلّا بولی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لا یرث الکافر المسلم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لا یقتل مؤمن بکافر و لا ذو عهد فی عهده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لو استقبلت من أمری ما استدبرت لما سقت الهدی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لو کان الدین یؤخذ قیاسا لکان باطن الخف أولی بالمسح من ظاهره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لو کان موسی حیّا لما وسعه إلّا اتّباعی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لو لا أن أشق علی امّتی لأمرتهم بالسواک عند کل صلاة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لیس فیما دون خمسة أوسق صدقة </w:t>
      </w:r>
      <w:r>
        <w:rPr>
          <w:rFonts w:eastAsia="IRNazanin" w:cs="IRNazanin"/>
          <w:color w:val="111111"/>
          <w:sz w:val="28"/>
          <w:szCs w:val="28"/>
          <w:lang w:bidi="fa-IR"/>
        </w:rPr>
        <w:t>146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الواجد یحل عقوبته و عرضه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ما روی فی قبلة الصائم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مروهم بالصلاة و هم أبناء سبع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من أراد أن یقتحم جراثیم جهنم فلیقل فی الجدّ برأیه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نضّر اللّه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 الغرر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 البر بالبر متفاضلا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 اللّه لأزیدن علی السبعین </w:t>
      </w:r>
      <w:r>
        <w:rPr>
          <w:rFonts w:eastAsia="IRNazanin" w:cs="IRNazanin"/>
          <w:color w:val="111111"/>
          <w:sz w:val="28"/>
          <w:szCs w:val="28"/>
          <w:lang w:bidi="fa-IR"/>
        </w:rPr>
        <w:t>101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یستخدم العبد ست سنین ثمّ یعتق فی السابعة فإن أباه فلتثقب اذنه و یستخدم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من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570" w:name="pg2360_37233"/>
    </w:p>
    <w:p>
      <w:pPr>
        <w:pStyle w:val="Heading3"/>
        <w:numPr>
          <w:ilvl w:val="2"/>
          <w:numId w:val="1"/>
        </w:numPr>
        <w:rPr/>
      </w:pPr>
      <w:bookmarkStart w:id="571" w:name="__RefHeading___Toc2792830_3804643083"/>
      <w:bookmarkStart w:id="572" w:name="_Toc218"/>
      <w:bookmarkEnd w:id="570"/>
      <w:bookmarkEnd w:id="571"/>
      <w:r>
        <w:rPr>
          <w:rtl w:val="true"/>
        </w:rPr>
        <w:t>فهرس مواضع تراجم الاعلام</w:t>
      </w:r>
      <w:bookmarkEnd w:id="572"/>
    </w:p>
    <w:p>
      <w:pPr>
        <w:pStyle w:val="BookText"/>
        <w:rPr/>
      </w:pPr>
      <w:r>
        <w:rPr>
          <w:rFonts w:ascii="IRNazanin" w:hAnsi="IRNazanin" w:eastAsia="IRNazanin"/>
          <w:color w:val="111111"/>
          <w:sz w:val="28"/>
          <w:sz w:val="28"/>
          <w:szCs w:val="28"/>
          <w:rtl w:val="true"/>
          <w:lang w:bidi="fa-IR"/>
        </w:rPr>
        <w:t xml:space="preserve">ابن أبان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ابن جنّی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ابن الراوندی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ابن سریج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ابن فورک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الأسفرائینی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أبو بکر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أبو ثور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أبو جعفر الطوسی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الجبّائی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أبو مسلم بن بحر الأصفهانی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الجبّائی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أبو الهذیل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بشر المریسی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الخیّاط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العنبری </w:t>
      </w:r>
      <w:r>
        <w:rPr>
          <w:rFonts w:eastAsia="IRNazanin" w:cs="IRNazanin"/>
          <w:color w:val="111111"/>
          <w:sz w:val="28"/>
          <w:szCs w:val="28"/>
          <w:lang w:bidi="fa-IR"/>
        </w:rPr>
        <w:t>286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الباقلّانی؛ 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الکرخی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الکعبی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المازنی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lang w:bidi="fa-IR"/>
        </w:rPr>
        <w:t>98</w:t>
      </w:r>
      <w:bookmarkStart w:id="573" w:name="pg2360_37236"/>
    </w:p>
    <w:p>
      <w:pPr>
        <w:pStyle w:val="Heading3"/>
        <w:numPr>
          <w:ilvl w:val="2"/>
          <w:numId w:val="1"/>
        </w:numPr>
        <w:rPr/>
      </w:pPr>
      <w:bookmarkStart w:id="574" w:name="__RefHeading___Toc2792832_3804643083"/>
      <w:bookmarkStart w:id="575" w:name="_Toc219"/>
      <w:bookmarkEnd w:id="573"/>
      <w:bookmarkEnd w:id="574"/>
      <w:r>
        <w:rPr>
          <w:rtl w:val="true"/>
        </w:rPr>
        <w:t>مصادر التحقیق</w:t>
      </w:r>
      <w:bookmarkEnd w:id="5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حزم الأندلسی علی بن أحمد بن سعید بن حزم الظاهری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الحدیث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لسیف الدین أبی الحسن علی بن أبی علی بن محمد الآمدی المتوفی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ضبطه و کتب حواشیه الشیخ إبراهیم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لخیر الدین 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العلم للملایین، الطبعة السابعة 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السرخسی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أبی بکر محمد بن أحمد بن أبی سهل السرخسی المتوفی سنة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حققه أبو الوفاء الأفغانی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بنشره لجنة إحیاء المعارف النعمانیة بحیدرآباد الدکن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لثقة الإسلام أبی جعفر محمد بن یعقوب بن إسحاق الکلینی الرازی المتوفی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صححه و علّق علیه علی أکبر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الکتب الإسلامیة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التبصرة 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الإمام أبی إسحاق إبراهیم بن علی بن یوسف الفیروزآبادی الشیرازی المتوفی سنة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و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حسن هیتو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الفکر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فی أحادیث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للإمام مجد الدین أبی السعادات المبارک بن محمد بن الأثیر الجزری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مستدرک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إجابة الفحول بإدخال سنن ابن ماجة علی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 علّق علیه و شرح أحادیثه أبو عبد اللّه عبد السلام محمد عمر علوش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 بشرح الجلال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السبکی تاج الدین عبد الوهاب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لجلال الدین محمّد بن أحمد المحلّی المتوفی سنة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حاشیة البنانی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منشورات دار إحیاء الکتب العربیة لعیسی البابی الحلبی و شرکاه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اصول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المرتضی علم الهدی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أبو القاسم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طهران عام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الناظر و جنّة المناظر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للإمام الفقیه موفق الدین عبد اللّه بن أحمد بن قدامة المقدسی المتوفی سنة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راجعه و أعدّ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الکتاب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محمد رضا الانصاری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للعلّامة الحلّی الحسن بن یوسف بن المطهّر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عام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مطبعة العرفان صیدا عام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یقع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الأقوال و الأفعال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علاء الدین علی المتقی بن حسام الدین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الشیخ</w:t>
      </w:r>
    </w:p>
    <w:p>
      <w:pPr>
        <w:pStyle w:val="BookText"/>
        <w:rPr/>
      </w:pPr>
      <w:r>
        <w:rPr>
          <w:rFonts w:ascii="IRNazanin" w:hAnsi="IRNazanin" w:eastAsia="IRNazanin"/>
          <w:color w:val="111111"/>
          <w:sz w:val="28"/>
          <w:sz w:val="28"/>
          <w:szCs w:val="28"/>
          <w:rtl w:val="true"/>
          <w:lang w:bidi="fa-IR"/>
        </w:rPr>
        <w:t>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یقع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المحصول فی علم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للإمام فخر الدین محمد بن عمرو بن الحسین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دراسة و تحقیق الدکتور طه جابر فیّاض العلوانی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الرسالة بیروت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بذیله التلخیص للحافظ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 الحافظ أبی عبد اللّه الحاکم النیسابوری، طبع بإشراف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دار 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المستصفی من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 أبی حامد محمد بن محمد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مصححة و مفهرسة باعتناء الدکتور محمد یوسف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للمحقق الحلّی الشیخ نجم الدین أبی القاسم جعفر بن الحسن بن یحیی بن سعید الهذلی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محمد حسین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آل البیت علیهم السلام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ط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فی اصول الفقه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الحسین محمد بن علی بن الطیّب البصری المعتزلی المتوفی سنة</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 المیس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بیروت ط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الوصول و الأمل فی علمی الاصول و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للإمام جمال الدین أبی عمرو عثمان بن عمرو بن أبی بکر المقری المعروف بابن الحاجب المتوفی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بیروت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المنخول من علم الاصول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لحجة الإسلام الإمام أبی حامد محمد بن محمد بن محمد الغزالی المتوفی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حسن هیتو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الفکر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مجلّد واحد</w:t>
      </w:r>
      <w:r>
        <w:rPr>
          <w:rFonts w:eastAsia="IRNazanin" w:cs="IRNazanin"/>
          <w:color w:val="111111"/>
          <w:sz w:val="28"/>
          <w:szCs w:val="28"/>
          <w:rtl w:val="true"/>
          <w:lang w:bidi="fa-IR"/>
        </w:rPr>
        <w:t>.</w:t>
      </w:r>
      <w:bookmarkStart w:id="576" w:name="pg2360_37241"/>
    </w:p>
    <w:p>
      <w:pPr>
        <w:pStyle w:val="Heading3"/>
        <w:numPr>
          <w:ilvl w:val="2"/>
          <w:numId w:val="1"/>
        </w:numPr>
        <w:rPr/>
      </w:pPr>
      <w:bookmarkStart w:id="577" w:name="__RefHeading___Toc2792834_3804643083"/>
      <w:bookmarkStart w:id="578" w:name="_Toc220"/>
      <w:bookmarkEnd w:id="576"/>
      <w:bookmarkEnd w:id="577"/>
      <w:r>
        <w:rPr>
          <w:rtl w:val="true"/>
        </w:rPr>
        <w:t>فهرس الموضوعات</w:t>
      </w:r>
      <w:bookmarkEnd w:id="578"/>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بدایة الکتاب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مقدمة المصنّف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مهمّة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الشرعی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الفعل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شکر المنعم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الاشیاء التی لیست اضطراریة قبل ورود الشرع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اللغات 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الواضع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 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الالفاظ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الاسماء المشتقة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المترادف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الاشتراک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و المجاز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الاحوال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حروف یحتاج إلیها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و النهی 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الأمر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مدلول الصیغة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به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 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ألفاظ العموم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الخصوص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الفصل الثالث فی المخصوص بالمنفصل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ظن انه مخصص و لیس کذلک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 و المقید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 المبیّن 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المجمل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المبیّن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و المؤول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و فی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صدور الذنب من الأنبیاء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یعلم به وجه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الفعلین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بشرع من قبله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 و 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 </w:t>
      </w:r>
      <w:r>
        <w:rPr>
          <w:rFonts w:eastAsia="IRNazanin" w:cs="IRNazanin"/>
          <w:color w:val="111111"/>
          <w:sz w:val="28"/>
          <w:szCs w:val="28"/>
          <w:lang w:bidi="fa-IR"/>
        </w:rPr>
        <w:t>183</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جوازه عقلا و وقوعه سمعا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وقوعه فی القرآن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نسخ الشی‌ء قبل فعله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نسخ الشی‌ء لا إلی بدل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ینسخ به الکتاب و السنة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الإجماع لا ینسخ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زیادة العبادة لیست نسخا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نقص العبادة نسخ للمنقوص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البحث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یعرف به الناسخ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 و 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جواز إحداث قول ثالث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الإجماع بعد الخلاف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مات أحد القسمین أو کفر صار القسم الثانی کل الامّة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قول البعض و سکوت الباقین لیس بإجماع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إجماع العترة حجة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إجماع أهل المدینة لیس بحجة </w:t>
      </w:r>
      <w:r>
        <w:rPr>
          <w:rFonts w:eastAsia="IRNazanin" w:cs="IRNazanin"/>
          <w:color w:val="111111"/>
          <w:sz w:val="28"/>
          <w:szCs w:val="28"/>
          <w:lang w:bidi="fa-IR"/>
        </w:rPr>
        <w:t>210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مناط حجیة الإجماع دخول المعصوم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استناد الإجماع إلی دلیل أو أمارة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اشتراطه بما توهم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البحث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اشتراطه ببلوغ المجمعین التواتر و کونهم صحابة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البحث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البحث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احکام أخر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المقصد التاسع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ماهیته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الاخبار المعلوم صدقها أو کذبها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الواحد و 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التعبد به و وقوعه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کون المخبر راجح الصدق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اشتراط العدالة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الجرح و التعدیل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عد شرطا و لیس کذلک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التعارض بینه و بین غیره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الروایة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المرسل </w:t>
      </w:r>
      <w:r>
        <w:rPr>
          <w:rFonts w:eastAsia="IRNazanin" w:cs="IRNazanin"/>
          <w:color w:val="111111"/>
          <w:sz w:val="28"/>
          <w:szCs w:val="28"/>
          <w:lang w:bidi="fa-IR"/>
        </w:rPr>
        <w:t>240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نقل الحدیث بالمعنی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انفراد أحد الراویین بزیادة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المقصد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القیاس 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طرق العلة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مبطلات العلة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الارکان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بقایا مباحث القیاس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المقصد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التعادل و التراجیح و 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التعادل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الدلیلین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 نقلیان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المقصد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الاجتهاد 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المجتهد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المجتهد فیه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احکام الاجتهاد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المفتی و المستفتی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طرق اختلف المجتهدون فیها و 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استصحاب الحال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حجیة الاستحسان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حجیة مذهب الصحابی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الاستدلال </w:t>
      </w:r>
      <w:r>
        <w:rPr>
          <w:rFonts w:eastAsia="IRNazanin" w:cs="IRNazanin"/>
          <w:color w:val="111111"/>
          <w:sz w:val="28"/>
          <w:szCs w:val="28"/>
          <w:lang w:bidi="fa-IR"/>
        </w:rPr>
        <w:t>296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الاعتراضات </w:t>
      </w:r>
      <w:r>
        <w:rPr>
          <w:rFonts w:eastAsia="IRNazanin" w:cs="IRNazanin"/>
          <w:color w:val="111111"/>
          <w:sz w:val="28"/>
          <w:szCs w:val="28"/>
          <w:lang w:bidi="fa-IR"/>
        </w:rPr>
        <w:t>297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توکلت علی الموفّق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اشیر فی الهامش إلی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الآلاء و ترادف النعماء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 کلتا النسختین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الموضع تبدأ نسخة ه لسقوط الورقة الاولی منها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د لفظ الجلالة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 لفظ الجلالة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بالسعادة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 لفظ الجلالة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غیره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 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لامتثالها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الشرعی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فالاقتضاء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النقیضین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للإباحة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کالحکم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فعل کل واحد مقام الآخر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التارک فاعلا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المتطوع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و السنة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المخیر و الموسع و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 الموضع ساقط من 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أوجب القضاء أم لم یجب، هذا هو المراد بالصحة فی اصطلاح المتکلمین، کما جاء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یترتب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هامش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أجاب به فی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مخطوطة بمکتبة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بقم، محفوظة فیها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کنّا معذّبین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بالأوامر السمعیة، أو یجعل الرسول إشارة إلی العقل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بن إسحاق، أبو الحسن، من نسل الصحابی أبی موسی الأشعری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اختاره السید المرتضی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و المحقق الحلّی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أنّها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تناولها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جهتین 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 وقته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الطیّب بن محمّد بن جعفر، القاضی الباقلّانی، أبو بکر؛ من کبار علماء الکلام انتهت إلیه الرئاسة فی مذهب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البصرة عام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سکن بغداد فتوفی فیها عام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عضد الدولة سفیرا عنه إلی ملک الروم، فجرت له فی القسطنطینیة مناظرات مع علماء النصرانیة بین یدی ملکها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الرد علی الملحدة و المعطّلة و الخوارج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ابن الحاجب،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القاضی بأنّه لو لا التضییق لما عصی بالتأخیر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 و 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کترک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برخصه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الطبقة السابعة من المعتزلة، کان من أصحاب عمرو الفوطی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تکون وفاته فی حدود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أبو الحسین الملطی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الأرض کتبا و خلافا و خرج عن حدّ الاعتزال إلی الکفر و الزندقة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فورک الأنصاری الأصبهانی، أبو بکر؛ واعظ عالم بالاصول و الکلام، من فقهاء الشافعیة، سمع بالبصرة و بغداد، و حدّث بنیسابور و بنی فیها مدرسة، توفی علی مقربة منها عام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فنقل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محمود بن سبکتکین بالسم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رسولا فی حیاته فقط، و أنّ روحه قد بطل و تلاشی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الحدیث و غریبه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روضة الناضر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محمّد بن عبد الوهّاب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علی غیر قیاس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أبناء أبان مولی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بالکلام، هو و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آراء انفرد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تبعته فرقة 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عام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ضروری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ط فی جدول الخطأ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 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وضع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معناه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تغایر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اختصار، و انظر التفصیل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إضافة منّا لیتحد اسلوب الکلام مع الأقسام اللاحقة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للبناء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المعنی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فی النسخ، و الظاهر أنّ الصواب التعدیة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ذلک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للنائم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أ، 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القبیلتین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ج، 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 بن سلام الجبّائی؛ من أئمة المعتزلة و رئیس علم الکلام فی عصره و إلیه نسبت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مقالات و آراء انفرد بها فی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 البصرة، 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اشتهر فی البصرة، و توفی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الکلام و الاعتزال و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حافل 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علیه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أحمد بن عبد الجبّار الهمذانی الأسدآبادی، 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 اصولی، کان شیخ المعتزلة فی عصره، و هم یلقبونه بقاضی القضاة و لا یطلقون هذا اللقب علی غیره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اللفظ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ما فی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الْمُطَلَّقاتُ یَتَرَبَّصْنَ بِأَنْفُسِهِنَّ ثَلاثَةَ قُرُوءٍ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ما فی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 إِذا عَسْعَسَ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العطف بالواو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أ، 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للمجاز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تسمیة اللّه تعالی بذلک، فإنّ أسماءه تعالی توقیفیّة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شبهه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إبراهیم بن مهران، أبو إسحاق الأسفرایینی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بالفقه و الاصول، کان یلقّب برکن الدین، من أعلام الشافعیة له مناظرات مع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نیسابور و جرجان، ثمّ خرج إلی نیسابور و بنیت له فیها مدرسة عظیمة فدرّس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مکث فی نیسابور حتی مات فیها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ذلک عنه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ابن الحاجب فی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حجة الخصم، و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تبین أنّ قیام المعنی لا یستلزم الاشتقاق، أ لا تری إلی أنواع الروائح فإنّها قائمة بمحالّها و لم یشتق منها اسم، علی أنّ ما ادعیتم لزومه لم یأذن الشارع بإطلاقه علیه و إن جاز بحسب اللغة، کما فی الفاضل و السخی و العلّامة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توضیحیة من نسخة 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ذکره المشارکة للمجاز فی کونه علی خلاف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توضیحیة من نسخة 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البحث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زیاد بن عبد اللّه الدیلمی، مولی بنی أسد، أبو زکریاء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الکوفیین و أعلمهم بالنحو و اللغة و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الفرّاء ما کانت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بالکوفة عام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انتقل إلی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إلیه المأمون تربیة ابنیه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طریق مکة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 تقدّمه فی اللغة فقیها متکلّما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تلحن فیه العامّة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عبد الغفّار الفارسی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فی علم العربیة، ولد 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فارس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دخل بغداد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تجوّل فی کثیر من البلدان و قدم حلب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فأقام مدّة عند سیف الدولة، و عاد إلی فارس فصحب عضد الدولة ابن بویه، و تقدّم عنده فعلمه النحو، و صنّف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قواعد العربیة، ثمّ قدم بغداد فأقام بها إلی أنّ توفی بها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کان متهما بالاعتزال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فی علوم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 حِطَّةٌ وَ ادْخُلُوا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عدی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خطب عند رسول اللّه صلّی اللّه علیه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یطع اللّه و رسوله فقد رشد، و من یعصهما فقد غوی، فقال له رسول اللّه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الخطیب أنت،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یعص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لعدم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الطلقتین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لتمامه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فیتعیّن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الموقوف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فیثبت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للمطابقة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 زیادة من 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للطلب معنی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لإیقاعه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روضة الناضر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کسائر المسمیات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الکبیر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مصطفی الحلبی عام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 خالتها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أحادیث متعددة ذکرت قبله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مغیثا کان عبدا، فعتقت بریرة تحته،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اشفع إلیها، فقال رسول اللّه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بریرة، اتقی اللّه، فإنّه زوجک و أبو ولدک، فقالت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تکریر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علی بن الحسین بن موسی بن محمّد بن موسی بن إبراهیم بن الإمام موسی الکاظم علیه السّلام، الملقّب بالشریف المرتضی و بعلم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نقیب الطالبیین، و أحد الأئمة فی علم الکلام و الأدب 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بها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الأثیر من مجددی مذهب الإمامیة فی رأس المائة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کثیرة، قال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بکتبه استفادت الإمامیة منذ زمنه رحمه اللّه إلی زماننا هذا و هو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رکنهم و معلّمهم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الفقه،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بأمالی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تکریر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یعلی بن 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لعمر بن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عَلَیْکُمْ جُناحٌ أَنْ تَقْصُرُوا مِنَ الصَّلاةِ إِنْ خِفْتُمْ أَنْ یَفْتِنَکُمُ الَّذِینَ کَفَرُوا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مما عجبت منه، فسألت رسول اللّه صلّی اللّه علیه و سلم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تصدّق اللّه بها علیکم فاقبلوا صدقته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حزم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أورده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فی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الشوکانی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ابن کثیر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قطع بکذب الحدیث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الغرض منه التناهی فی تحقیق الیأس من المغفرة، فکیف یظنّ برسول اللّه صلّی اللّه علیه و سلم ذهوله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مقتبس من نصوص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سلّام الهروی، الأزدی الخزاعی بالولاء، الخراسانی البغدادی؛ من کبار العلماء بالحدیث و الأدب و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بها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بها تعلّم و کان مؤدّبا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 إلی بغداد فولی القضاء بطرطوس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توفی بمکة عام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کان منقطعا للأمیر عبد اللّه بن طاهر، کلّما ألّف کتابا أهداه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یکتب الناس أصحّ من کتبه، و لا أکثر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مجلدان فی غریب الحدیث، ألفه فی نحو أربعین سنة، و هو أوّل من صنّف فی هذا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عقوبته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بالنصوص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أنّه مذهب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الغزالی فی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أقرّ ببطلانه کلّ محصّل من القائلین بالمفهوم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قال الآمدی 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الحکم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بالجمیع من حیث هو 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نسخة 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للمحذور و التالی الفاسد، لأنّ الفرض لو سقط بالجمیع لزم أن یکون الجمیع واجبا، و هو باطل بالاتفاق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سقوط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الخصال من غیر 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إهمال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یفضل عن الفعل، فلا یستغرقه الفعل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عبید اللّه بن الحسین الکرخی، نسبة إلی الکرخ جانب من جانبی بغداد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الجبّائیان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الجبّائی، و ابنه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فإیجاب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 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إلیه ذهب الواقفیّة،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من محمود الکعبی، من بنی کعب، البلخی الخراسانی، أبو القاسم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فیثبت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التکلیف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بالتصدیق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التکلیف بالضدین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یستعقب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یستعقبه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أولادکم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مأمور 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تفصیل البحث فی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قد ذکرت هذه الحجة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فیکلفه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مأمورا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توضیح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ترکه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تواتر هذا الخبر، لکن السید المرتضی فی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عدّه من أخبار الآحاد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المسألة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العطف بالواو فی المواضع الثلاثة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الغذاء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المنع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حکی الحدیث الفخر الرازی فی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لکنّه منقول بالمعنی، فهو مضمون حدیث فاطمة بنت أبی حبیش، فراجعه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لسبق اللفظ إلی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ج</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إلی المرجئة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فأکرمه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 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للجبائی،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الأقسام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بن زوطی بن ماه مولی تیم اللّه بن ثعلبة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الحنفیة، أحد الأئمة الأربعة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الرأی و القیاس و الفتاوی المعروفة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جدّه زوطی من أهل کابل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الکوفة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نشأ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أراده المنصور العباسی علی القضاء ببغداد فأبی، فحبسه إلی أنّ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قبره ببغداد فی مقبرة خیزران معروف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للإناث</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 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حجة المخالف، و قد صاغها الفخر الرازی کدلیل افتراضی للمخالف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لکن قد وقع الاحتجاج بها بالفعل، کما حکی ذلک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حکی الحجة أیضا ابن الحاجب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المفعولات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الفخر الرازی فی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هذه المقالة عن الشافعی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الحدیث الغزالی فی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 دون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مضمونه فی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غیلان بن سلمة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غیرها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بالضرورة من دینه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مثال مأخوذ من روایات الباب،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مضمون عدّة أحادیث،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الاستدلال به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 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توضیح المسألة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العموم فیه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بالممکنات الموجودة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الطیّب، أبو الحسین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البصرة و سکن بغداد و توفی بها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و شهرة بالذکاء و الدیانة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تصفح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فی الاصول، و کتاب فی الإمامة،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خالد بن أبی الیمان الکلبی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صاحب الإمام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الکتب و فرّع علی السنن و ذبّ عنها، یتکلم فی الرأی فیخطئ و یصیب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ببغداد شیخا عام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کثیرة منها کتاب ذکر فیه اختلاف مالک و الشافعی و ذکر مذهبه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أکثر میلا إلی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أبان بن صدقة، أبو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 من کبار فقهاء الحنفیة، کان سریعا بإنفاذ الحکم، عفیفا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المنصور العباسی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 القضاء بالبصرة عشر سنین و توفی بها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بن سریج البغدادی،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الشافعیة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ببغداد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بها توفی عام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یلقب بالباز الأشهب، ولی القضاء بشیراز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بنصرة المذهب الشافعی فنشره فی أکثر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حاضر الجواب له مناظرات و مساجلات مع محمّد بن داود الظاهری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الأقسام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الودائع لمنصوص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المسألة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الحسین فی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الاستثناء المنفصل یخصّ الکلام، و یکون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تفصیل المسألة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الفخر الرازی أنّ بین الحکم بالنفی و بین الحکم بالإثبات واسطة، و هی عدم الحکم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الإثبات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مضمون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الاستدلال أنّه لو کان الاستثناء من النفی إثباتا لزم تحقق الصلاة عند وجود الطهور، و النکاح عند وجود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فیبطل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بالظرفین ظرف الزمان و ظرف المکان فی الأمثله التی مثّل بها فراجع کلامه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اتحد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حکاه عن قاضی القضاة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 امتناع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الخلاف فی ذلک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یسمّهم، و ذکر الدلیل الأوّل علی لسانهم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ذکر أنّ المخالف طائفة شاذّة من المتکلمین، و ذکر کلا الاستدلالین ببیان حسن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هذا الجواب من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لیس بشی‌ء علاوة علی کونه مخالفا لمبنی المصنّف فی حقیقة النسخ، فسیأتی منه فی تعریف النسخ خروج العجز عنه معللا بارتفاع الحکم فیه بدلیل العقل، و الجواب الفنی السلیم ما ذکره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متفاوتة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سنّة الرسول صلّی اللّه علیه و آله من الأشیاء، فکانت داخلة تحت العموم، إلّا أنّه قد خصّ فی البعض، فیلزم العمل به فی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 لا یرث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نسختی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ذکر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أنّ المخالف فی المسألة هو الکرخی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حدیث استدل به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الفخر الرازی فی المحصول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أحادیث متعددة سابقة علیه فراجع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المنع إلی المعتزلة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العنب بالزبیب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ینقص الرطب إذا یبس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مقتبس من نصوص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کسابقه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نسبه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إلی أصحاب أبی حنیفة، و نسبه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إلی بعض أصحاب أبی حنیفة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نسبته إلی أصحاب أبی حنیفة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عن اشتراء التمر بالرّطب،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ینقص الرّطب إذا یبس؟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فنهاه عن ذلک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قال ابن الحاجب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الشافعی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فکأنّه یشیر إلی التشکیک فی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قرر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رأی الشافعی بنحو آخر سلیم عن الإشکال فراجعه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وجع التمثیل أنّه تعالی شی‌ء، و معلوم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مثبت فی نسخة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الاستدلال بالآیة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بالواو</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معبّرا عنهم بالعراقیین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یسمّ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الشافعی، لکن اختلف الأصحاب فی تأویله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حکاه ابن الحاجب فی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 الشافعیة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توضیح المطلب فی المصادر المذکورة فی الهامش السابق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المحال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هذا الاحتجاج الفخر الرازی فی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دون تسمیة المحتج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الإضمار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قد نسبه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القدریة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إلّا بفاتحة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العبارة فی جمیع النسخ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البصری؛ الحسین بن علی بن إبراهیم، الملقّب بالجعل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حنفی المذهب، من شیوخ المعتزلة، کان رفیع القدر انتشرت شهرته فی الأصقاع لا سیّما خراسان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انظر جامع الاصول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بالعدد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باللفظ</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کما رأیتمونی اصلّی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عنّی مناسککم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أبو الحسین هذا القول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دون تسمیة القائل، معبّرا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الناس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أخطأ</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ذهب إلی ذلک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مستدلا بأوّل الدلیلین، و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ابن الحاجب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مستدلّین بثانی الدلیلین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 ذلک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للزمخشری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الهذیل بن عبد اللّه بن مکحول العبدی، مولی عبد القیس، أبو الهذیل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البصرة عام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اشتهر بعلم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مقالات فی الاعتزال و مجالس و مناظرات إلیه تنسب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أنّ الجبّائی صنّف کتابا فی تکفیره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کثیرة منها کتاب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اسم مجوسی أسلم علی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للفخر الرازی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مضمونه فی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غیلان بن سلمة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بنسبة هذا الرأی إلی أبی حنیفة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إلی أصحاب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نسبته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أیّتهما شئت و طلّق الاخری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المذکورة فی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لارتفع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الوثوق 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الخوارج، حکی ذلک عنهم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الآمدی فی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مذهب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 واحد من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مجتهد مصیب، فلا یتصور الخطأ عنده فی اجتهاد غیره، فکیف فی اجتهاده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یعیّنا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المحصول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لکن الاشتراک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روی فی ذلک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الرکوعین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الفعل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ذلک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ابن الحاجب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نسبه ابن قدامة فی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إلی التمیمی و الحنفیة، و قال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الامام أحمد و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عمر کتابا من التوراة بالعربیة، فجاء به إلی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یقرأ و وجه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یتغیّر، فقال له رجل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بن الخطّاب؛ أ لا تری وجه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تسألوا أهل الکتاب عن شی‌ء فانّهم لن یهدوکم و قد ضلوا، و إنّکم إمّا أن تکذّبوا بحق أو تصدّقوا بباطل، و اللّه لو کان موسی بین أظهرکم ما حلّ له إلّا أن یتبعنی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نقله ابن کثیر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عن الإمام أحمد و عن الحافظ أبی یعلی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 بتفنید حجج الزاعم، و هی مذکورة فی کتب الاصول،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یلزم الکذب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الجمیع من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یجوز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بحر الأصفهانی، أبو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 من أهل أصفهان، معتزلی، من کبار الکتّاب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المحصول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الحاجب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ممّا لا یحصی کثرة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یتقدمه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بأسرهم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بفحواه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اشیر فی الهامش إلی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فیکتفی بثبوت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یشترط</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البداء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ب، 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الآمدی هذا القول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استدلالهم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الشی‌ء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قوم من أهل الظاهر،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 الشافعی و بعض أهل الظاهر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تلازم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المنسوخة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الناسخة لها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لأهمّیة هذه المسألة اورد ما ذکره السید أبو القاسم الخوئی،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من الطبعة الخامسة 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التلاوة دون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مثّلوا لذلک بآیة الرجم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الآیة کانت من القرآن ثمّ نسخت تلاوتها و بقی حکمها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قدّمنا لک فی بحث التحریف أنّ القول بنسخ التلاوة هو نفس القول بالتحریف و أوضحنا أنّ 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أخبار آحاد، و أنّ أخبار الآحاد لا أثر لها فی أمثال هذا المقام، فقد أجمع المسلمون علی أنّ النسخ لا یثبت بخبر الواحد کما أنّ القرآن لا یثبت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الامور المهمّة التی جرت العادة بشیوعها بین الناس و انتشار الخبر عنها علی فرض وجودها لا تثبت بخبر الواحد، فإنّ اختصاص نقلها ببعض دون بعض بنفسه دلیل علی کذب الراوی أو خطأه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فکیف یثبت بخبر الواحد أنّ آیة الرجم من القرآن و أنّها قد نسخت تلاوتها و بقی حکمها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تقدّم أنّ عمر أتی بآیة الرجم و ادعی أنّها من القرآن فلم یقبل قوله المسلمون، لأنّ نقل هذه الآیة کان منحصرا به، و لم یثبتوها فی المصاحف فالتزم المتأخرون بأنّها آیة منسوخة التلاوة باقیة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الرجم التی ادعی عمر أنّها من القرآن قد رویت بوجوه، منها ما روی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أنّی أکره أن 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زاد فی القرآن لکتبت آیة الرجم و أثبتّها، و و اللّه لقد قرأتها علی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ترغبوا عن آبائکم، فإنّ ذلک کفر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و الشیخة إذا زنیا فارجموهما البتة نکالا من اللّه و اللّه 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مصادرها الدکتور العلوانی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التکلیف بالإخبار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کآیة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الناسخة للآیة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بالمتأخر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أحادیث متعددة متقدمة علیه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الناس بقباء، فی صلاة الصبح، إذ جاءهم آت،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 سلم قد انزل علیه اللیلة قرآن، و قد امر أن یستقبل القبلة فاستقبلوها، و کانت وجوههم إلی الشام فاستداروا إلی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لقربه منهم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الکعبة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لصوم عاشورا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لتأخرها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 الأخیرین أنّ للشافعی قولین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 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الآحاد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الواحد بمثله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أن ینسخ</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بالجواز ابن حزم الظاهری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کما حکی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لتخیّر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لحظرها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إثبات البدل ناسخ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لم ینسخ إجزاؤهما لأنهما مجزیان غیر أنّ إجزاءهما عند عدم الرکعة الزائدة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بالاتفاق أیضا، و المدعی أنّه لو أوجب عبادتین جمیعا، کصوم و صلاة مثلا، ثم نسخ أیّهما فإنه لا یکون نسخا للاخری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لأجزء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أبهمه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فالتجوّز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العدالة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تتحقق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ه، ط</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أدّاه اجتهاده إلیه، و کذا 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مثبتة فی نسخة 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إبطال لحجة المخالف فی المسألة، فلاحظها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ملاحظة ما قاله فی نهایة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ملاحظة ما قاله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أنّا نمنع من الإجماع علی التخییر، کیف و کلّ من الطائفتین توجب الأخذ بقولها و تزعم أنّ الاخری علی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مثبتة فی نسخة 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ج،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شرطا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اختاره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آخر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بعدّة طرق، ذکر بعضهم ابن کثیر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فی تفسیر الآیة المذکورة، و ابن الأثیر فی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معظم العامّة،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الحدیث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المسائل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الرازی، أبو بکر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من أهل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بغداد و مات بها عام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إلیه رئاسة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خوطب فی أن یلی القضاء فامتنع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بن محمد بن عثمان، أبو الحسین ابن 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المعتزلة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 إلیه فرقة منهم 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استاذ الکعبی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نحو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الرد علی ابن الراوندی،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المسألة تفصیل ذکره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الامّة منصرفة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 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الأحکام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لا یقولون به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ب، ج</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بعدم طریان إجماع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د هامش توضیحی،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علیه بانه یلزم أن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تجویز الاشتراط بعدم طریان الإجماع 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 الإجماع الموجب للعمل أیضا أو علی الإجماع علی وجوب العمل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تعرّض بعضهم لهذه المسألة ضمن مسائل أخر و لم یعنونوا لها بحثا مستقلّا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المرکبات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بیت لم یعرف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التمثیل به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ذهب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الصیغة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عمرو بن بحر بن محبوب الکنانی بالولاء، اللیثی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 أئمة الأدب و رئیس الفرقة الجاحظیة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البصرة عام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بها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فلج فی آخر عمره و کان مشوّه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الکتاب علی صدره قتلته مجلدات من الکتب وقعت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مجلدات،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الأخیران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أبو الحسین فی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هذا الرأی عن قوم رأیهم أن لا علم إلّا بالحواس، دون الإخبار؛ و لم یسمّهم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عبد اللّه بن یوسف من محمد الجوینی، أبو المعالی، رکن الدین، المقلّب بإمام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المتأخرین من أصحاب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نواحی نیسابور عام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رحل إلی بغداد فمکة حیث جاور أربع سنین، و ذهب إلی المدینة فأفتی و درّس جامعا طرق المذاهب ثمّ عاد إلی نیسابور، فبنی له الوزیر نظام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النظامیة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فیها سنة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النظامیة فی الأرکان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المطلب فی درایة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فقه الشافعیة اثنی عشر مجلدا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الدین علی مذهب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محمد الغزالی الطوسی، أبو حامد،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متصوّف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طوس بخراسان عام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بها توفی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الدقّاق من أصحاب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ذکر الأخیران تفسیرا لکلام الغزالی و کأنّه قول ثالث فی المسألة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 ط</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لاستحالة مثل الحاصل، لأنّه یلزم اجتماع المثلین،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مثبتة فی هامش نسخة 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 تقویة الضروری إن أفاد التواتر تقویة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مثبتة فی هامش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حاشیة مثبتة فی نسخة د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تأمّل، لأنّه ممّا یقبل الشدّة و الضعف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نسبه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الجبائی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ذکره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ابن الحاجب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دون نسبته إلی قائل معیّن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بن إسحاق، 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مجاهر بالإلحاد، من سکان بغداد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بالالتزام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بالعبارة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ببدیهة العقل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الحدیث، و استدل به بهذا التقریر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تابعة فی ذلک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مع تأویله بما ذکر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بن علی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الشیعة و رافع أعلام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الطائفة علی الإطلاق و رئیسها الذی تلوی إلیه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فی جمیع علوم الإسلام و کان القدوة فی ذلک و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فضلاء تلامذته المجتهدین یزیدون علی ثلاثمائة من الخاصّة، و العامّة ما لا تحصی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 من خراسان إلی بغداد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أقام فیها أربعین سنة، و کان له فی بغداد کرسی الکلام، ثمّ رحل إلی النجف فاستقرّ فیها إلی أن توفی فیها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ثمان مجلدات،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عشر مجلدات،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اصول الفقه،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 الکلام و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للقمّی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د، 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الدلیل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الدلیل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علم الکافر بکفره لیس عذرا یخرجه عن اسم الکفر و الفسق، بل هو ضمّ جهل إلی کفر، فقد ضمّ جهلا إلی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علی نسخة 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یسار البصری، أبو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کان إمام أهل البصرة و أحد الزهّاد الثمانیة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رئیس 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تلمیذه ابن أبی العوجاء أنّه لما قیل له لم ترکت مذهب صاحبک و دخلت فیما لا أصل له و لا حقیقة؟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صاحبی کان مخلطا، کان یقول طورا بالقدر و طورا بالجبر و ما أعلمه اعتقد مذهبا دام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زید بن ثابت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بالمدینة 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للقمّی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 بن دعامة بن قتادة بن عزیز، أبو الخطّاب السدوسی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حافظ ضریر أکمه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علمه بالحدیث رأسا فی العربیة و مفردات اللغة و أیام العرب و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یری القدر و قد یدلس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بواسط فی الطاعون عام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 ج،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 إمّا أن یکون عالما بفسقه أو لا، و الأوّل مردود الروایة إجماعا، سواء کان معلوما أو مظنونا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إن کان فسقه مقطوعا به لم تقبل روایته، و إن کان مظنونا فالأقوی أنّه کذلک، لاندراج کل منهما تحت اسم الفاسق فوجب التثبّت فی خبره، للآیة، و لأنّه ضمّ جهلا إلی فسق، و هو فسق آخر، و إذا کان أحد الفسقین کافیا فی وجوب التثبّت فی الخبر فمجموعهما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فخر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مقبول الروایة 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صاحب الإحکام یؤذن بأنّ فیه اختلافا، و اختار قبول روایة من کان فسقه مقطوعا، و هو مذهب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مثبت فی نسخة 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منهی عن اتباعه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معبرا عنه ببعض أهل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بإطلاقه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بالواو</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رأی الأحناف دون التصریح بالنسبة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الرسول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اقتضی مع العلم عملا أو لا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صلاحیته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معبّرا عنه ببعض أصحاب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بالواو</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بالواو</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لغفلته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إفادة لها إلّا العلم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أنس بن مالک الأصبحی الحمیری،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دار الهجرة، و أحد الأئمة الأربعة عند أهل السنّة، و إلیه تنسب المالکیة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فی المدینة 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وفاته بها عام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شی‌ء به إلی جعفر عمّ المنصور العباسی فضربه سیاطا انخلعت لها کتفه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المنصور أن یضع کتابا للناس یحملهم علی العمل به فصنّف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کتب اخری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ب، 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منفیة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النبی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سیرین البصری،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وقته فی علوم الدین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أشراف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فی البصرة عام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بها وفاته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بزّازا، فی اذنه صمم، تفقّه و روی الحدیث و اشتهر بالورع و تعبیر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استکتبه أنس بن مالک بفارس، و کان أبوه مولی 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 الرأی و الدلیل دون تعیین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القاضی أبو بکر، و اختاره جمهور المحققین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نسبه للقاضی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علیه أکثر أصحابنا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تثبت الصفة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بالواو</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هل هو حجة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فی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الرأی إلی بعض أصحاب الظاهر من داود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نسبه إلی أهل الظاهر و النظّام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حکاه عنه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سلم یسأل عن اشتراء التمر بالرّطب، فقال رسول اللّه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ینقص الرّطب إذا یبس؟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فنهاه عن ذلک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إیماء إلی العلّة، فیحکم بحرمة بیع العنب بالزبیب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علیه السّلام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 الموضع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الإحکام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ابن حزم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 الناس رؤساء جهّالا فأفتوا بالرأی فضلّوا و أضلّوا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تعمل هذه الامّة برهة بکتاب اللّه، و برهة بسنّة رسول اللّه، ثمّ یعملون بالرأی، فاذا فعلوا ذلک فقد ضلّوا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الرأی و المقاییس</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جراثم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نقلاه عن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عمرو أنّ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أن یبعث معاذا إلی الیمن،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تقضی إذا عرض لک قضاء؟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أقضی بکتاب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تجد فی کتاب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أقضی بسنّة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تجد فی سنّة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أجتهد رأیی و لا آلو،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وفق رسول رسول اللّه لما یرضی رسول اللّه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 إلیّ أکتب إلیک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للإفطار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 بینه و بین الأولاد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اختلفت هذه الأصناف فبیعوا کیف شئتم إذا کان یدا 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الحدیث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بالواو،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فشرّع</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تحریم المسکرات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کتمکین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ففی خلال هذه المباحث یصرحون بعد تبعیة الأحکام للملاکات من المصالح و المفاسد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المناسبة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للتقدیم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لتعلیل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مصلحیّا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المصلحیة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سائر الأوصاف کذلک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المتساوی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المضافین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العطف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عن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المنهاج و بعض شروحه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الطرق الدالة علی إبطال العلّیة الکسر،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العلّة مرکبة فیبیّن المعترض عدم تأثیر أحد جزئیها ثمّ ینقض الجزء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وجوب الصلاة حال الخوف أنّها صلاة یجب قضاؤها فیجب أداؤها قیاسا علی صلاة الأمن، فالعلّة کونها صلاة یجب قضاؤها، و هو مرکب من قیدین، فیلغی الحنفی کونها صلاة إذ الحج یجب قضاؤه فیجب أداؤه مع أنّه لیس بصلاة، فبقی کونه عبادة یجب قضاؤها، و هو منقوض بصوم الحائض، فإنّه عبادة یجب قضاؤها مع أنّه لا یجب أداؤها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الآمدی اختار أنّ الکسر یقدح و لکنّه عبّر عنه بالنقض المکسور، و فسّر الکسر بتخلف الحکم عن الحکمة المقصودة، و نقل عن الأکثرین أنّه لا یقدح، و اختاره، و مثّل له بأن یقول الحنفی فی مسألة 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فیترخص فی سفره کغیر العاصی، و یبیّن مناسبة السفر للترخیص بما فیه من المشقة،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ذکرته من الحکمة قد وجدت فی الحضر فی حق أرباب الصنائع الشاقّة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الترخیص، إذا عرفت ذلک عرفت ما قرره المصنّف 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مثبت فی نسخة 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المحققون هو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المذکورة فی المتن علی البطلان ذکرها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إلیه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ابن الحاجب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قربة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یعتبر الصوم فی کونه قربة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العوض</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ج</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هذه الوجوه و مناقشتها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بخصوصیته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د،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لمرکّب الأصل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الحنفی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للمکاتب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لمرکّب الوصف</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الأصل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هذا المطلب و تنقیحه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المشترک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الثلاثة علّة للقصاص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ج</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ج</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ج</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یلزم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إلی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الهمّام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مذهب الحنفیة،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التبصرة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الحسین فی 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أبی العباس بن سریج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بالقیاس الأسماء فی الفروع، ثمّ تعلّق علیها الأحکام، و کان یتوصل بالقیاس إلی أنّ الشفعة ترکة ثمّ یجعلها موروثة، و أنّ وطء البهیمة زنا ثمّ یتعلّق به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الشافعیة کان یقیس النبیذ علی الخمر فی تسمیته خمرا لاشتراکهما فی الشدّة، ثمّ یحرمه بالآیة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الحاجب فی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الخلاف فی نحو رجل و ضارب ممّا ثبت تعمیمهم فیه بطریق الاستقراء، و کرفع الفاعل و نصب المفعول، و انّما الخلاف فی تسمیة مسکوت عنه إلحاقا بتسمیته لمعیّن بمعنی یستلزمهما وجودا و عدما، کتسمیة النبیذ خمرا للتخمیر المشترک، و النبّاش سارقا للأخذ خفیة، و اللائط زانیا للإیلاج المحرّم، إذ لم یثبت نقلا و استقراء تعمیم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بالجواز أبو إسحاق الأسفرائینی،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الآمدی فی الإحکام، و ابن الحاجب فی المنتهی، القول بالجواز إلی القاضی أبی بکر أیضا، و لکن الغزالی فی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حکی عنه المنع منه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جنّی الموصلی، أبو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الأدب و النحو، و له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بالموصل و توفی ببغداد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نحو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مملوکا رومیّا لسلیمان بن فهد الأزدی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محمد بن حبیب بن بقیّة، أبو عثمان المازنی، من مازن 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فی النحو، و اللغة العربیة، أخذ الأدب عن أبی عبید و الأصمعی و أبی زید و غیرهم و أخذ عنه أبو العباس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بها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منها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تلحن فیه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بشهود الزوایا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تختلف شهادة شهود الزنا فیشهد کل منهم بأنّه رأی الزانیین یزنیان فی زاویة من البیت غیر الزاویة التی شهد الشاهد الآخر بأنّه رآهما علی الزنا فیها، فإن کانت الزوایا متباعدة سقطت الشهادة، و اعتبر الشهود قذفة عند أحمد و مالک و الشافعی، خلافا لأصحاب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تقاربت الزوایا کملت الشهادة، و حدّ المشهود علیهما عند الحنابلة و الحنفیة و المالکیة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 علیه، لأنّ الشهادة لم تکتمل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 بهامش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 و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بزوال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الکلام عن هذه المناقضة نفیا و إثباتا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ملازمه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توضیح هذه الأقسام الثلاثة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بالمنصوص</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لقتال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الاعتکاف</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الأعلم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بالعربیة و الأعلم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فی 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أ، 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 یجوز تعلّقه بالحکم المفروض، فلا یحصل له ظن عدم المانع من مقتضی ما یعلمه من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اجیب بما أشار إلیه المصنّف رحمه اللّه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یدفعه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المفروض حصول جمیع ما هو أمارة فی تلک المسألة فی ظنّه نفیا و إثباتا، و إذا کان کذلک فقیام ما ذکرتم من التجویز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یقدح فی ظنیة الحکم، فیجب علیه العمل به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توضیحی من نسخة 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یفضی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تجویز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فی 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تجویز</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بالجمیع</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بمعرفتها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یخاطب إلّا بما یفهم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الفرعیة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علی ذلک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الحسن بن الحصین العنبری، من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 من الفقهاء العلماء بالحدیث</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اقتصرا علی العنبری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عهدة التکلیف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إلیه الشیرازی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نسبه إلی أبی إسحاق الإسفرائینی، کما ذهب إلیه ابن قدامة فی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غیاث بن أبی کریمة عبد الرحمن المریسی، العدوی بالولاء، أبو عبد الرحمن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التشهی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تشهیا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المصیب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تکریر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أ</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أکثر المتکلمین و الفقهاء من التقلید فی التوحید و العدل و النبوّات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أباح قوم من أصحاب الشافعی أن یقلّد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لیس له أن یقلّد فی اصول الشریعة کوجوب الصلاة و أعداد رکعاتها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عبید اللّه بن الحسن العنبری و الحشویة و التعلیمیة إلی جوازه، و ربما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الواجب علی المکلّف و أنّ النظر فی ذلک و الاجتهاد فیه حرام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ب،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حجّة ساقها الفخر الرازی للقول بجواز التقلید،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الأعرابی الجلف العامی کان یحضر و یتلفظ بکلمتی الشهادة، و کان الرسول علیه الصلاة و السلام یحکم بصحة إیمانه، و ما ذاک إلّا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إلی أحمد بن حنبل، و إسحاق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سفیان الثوری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الفخر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إلی محمّد بن الحسن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الفخر الرازی، فی المصدر المذکور، و لم یعیّن القائل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الفخر الرازی، فی المصدر السابق، إلی ابن سریج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المسألة أقوال أخر ذکرها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فتعیّن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متنصبا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المستفتی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قوم من أهل الظاهر و غیرهم إلی الاحتجاج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فیه، فذهب أکثر الحنفیة و جماعة من المتکلمین، کأبی الحسین البصری و غیره إلی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هؤلاء من جوّز الترجیح به لا غیر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أیّ منهما 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البحث فی هذه المسألة و استقصاه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الآمدی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یذکروا الحنابلة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الإحکام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یتحصّل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للتعریف المنقول عن الکرخی،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یوافق تعریف السرخسی فی اصوله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أ، ب، 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أ، ب، 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الشرطیة دون 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ط</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ینتج استثناء العین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تفاصیل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 فی شرح منطق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باشراف محسن بیدارفر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بیدار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الإمام أمیر المؤمنین علیه السّلام فی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عام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شمسی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وراء ما علل به المستدل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نذکر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الموفق للصواب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الموفق للصدق و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الموفق و الصواب و إلیه المرجع و المآب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23279</Words>
  <Characters>98837</Characters>
  <CharactersWithSpaces>120628</CharactersWithSpaces>
  <Paragraphs>1489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2026-08-17T07:10:36Z</dcterms:created>
  <dc:creator>ghaemiyeh.com</dc:creator>
  <dc:description/>
  <dc:language>en-US</dc:language>
  <cp:lastModifiedBy/>
  <dcterms:modified xsi:type="dcterms:W3CDTF">2026-08-17T10:40:46Z</dcterms:modified>
  <cp:revision>1</cp:revision>
  <dc:subject/>
  <dc:title>تهذیب طریق الوصول الی علم الاصول للعلامه الحلی</dc:title>
</cp:coreProperties>
</file>

<file path=docProps/custom.xml><?xml version="1.0" encoding="utf-8"?>
<Properties xmlns="http://schemas.openxmlformats.org/officeDocument/2006/custom-properties" xmlns:vt="http://schemas.openxmlformats.org/officeDocument/2006/docPropsVTypes"/>
</file>