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media/image1.png" ContentType="image/png"/>
  <Override PartName="/word/media/image2.jpeg" ContentType="image/jpeg"/>
  <Override PartName="/word/fontTable.xml" ContentType="application/vnd.openxmlformats-officedocument.wordprocessingml.fontTable+xml"/>
  <Override PartName="/word/footnotes.xml" ContentType="application/vnd.openxmlformats-officedocument.wordprocessingml.footnotes+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تعلیقات علی رسالة فی القضاء عن المیت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78032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78034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78036_3650668749">
            <w:r>
              <w:rPr>
                <w:webHidden/>
                <w:rStyle w:val="IndexLink"/>
                <w:rtl w:val="true"/>
              </w:rPr>
              <w:t>[</w:t>
            </w:r>
            <w:r>
              <w:rPr>
                <w:rStyle w:val="IndexLink"/>
                <w:rtl w:val="true"/>
              </w:rPr>
              <w:t>الكلام في القضاء عن الميّت</w:t>
            </w:r>
            <w:r>
              <w:rPr>
                <w:rStyle w:val="IndexLink"/>
                <w:rtl w:val="true"/>
              </w:rPr>
              <w:t>]</w:t>
              <w:tab/>
            </w:r>
            <w:r>
              <w:rPr>
                <w:rStyle w:val="IndexLink"/>
              </w:rPr>
              <w:t>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7_20770"/>
      <w:bookmarkStart w:id="1" w:name="pg1907_20770"/>
      <w:bookmarkEnd w:id="1"/>
    </w:p>
    <w:p>
      <w:pPr>
        <w:pStyle w:val="Heading2"/>
        <w:numPr>
          <w:ilvl w:val="1"/>
          <w:numId w:val="1"/>
        </w:numPr>
        <w:rPr/>
      </w:pPr>
      <w:bookmarkStart w:id="2" w:name="pg1907_20770"/>
      <w:bookmarkStart w:id="3" w:name="__RefHeading___Toc3278032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تعليقات على رسالة في القضاء عن الميت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لارى، سيد عبد الحسين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الإسلامية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شابك</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6289</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مؤسسه معارف اسلامى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على المكاسب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78034_3650668749"/>
      <w:bookmarkStart w:id="6" w:name="_Toc2"/>
      <w:bookmarkEnd w:id="5"/>
      <w:r>
        <w:rPr>
          <w:rtl w:val="true"/>
        </w:rPr>
        <w:t>اشارة</w:t>
      </w:r>
      <w:bookmarkStart w:id="7" w:name="pg1907_21627"/>
      <w:bookmarkEnd w:id="6"/>
    </w:p>
    <w:p>
      <w:pPr>
        <w:pStyle w:val="Heading2"/>
        <w:numPr>
          <w:ilvl w:val="1"/>
          <w:numId w:val="1"/>
        </w:numPr>
        <w:rPr/>
      </w:pPr>
      <w:bookmarkStart w:id="8" w:name="__RefHeading___Toc3278036_3650668749"/>
      <w:bookmarkStart w:id="9" w:name="_Toc3"/>
      <w:bookmarkEnd w:id="7"/>
      <w:bookmarkEnd w:id="8"/>
      <w:r>
        <w:rPr>
          <w:rtl w:val="true"/>
        </w:rPr>
        <w:t>[</w:t>
      </w:r>
      <w:r>
        <w:rPr>
          <w:rtl w:val="true"/>
        </w:rPr>
        <w:t>الكلام في القضاء عن الميّت</w:t>
      </w:r>
      <w:r>
        <w:rPr>
          <w:rtl w:val="true"/>
        </w:rPr>
        <w:t>]</w:t>
      </w:r>
      <w:bookmarkEnd w:id="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إثبات مشروعيّة النيابة في المستحبّات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كون المسألة لما كانت من المسائل المستحدثة استنباطها و عنوانها أمكن التفكيك بينهما و حمل نصوص </w:t>
      </w:r>
      <w:r>
        <w:rPr>
          <w:rStyle w:val="FootnoteAnchor"/>
          <w:rtl w:val="true"/>
        </w:rPr>
        <w:footnoteReference w:id="2"/>
      </w:r>
      <w:r>
        <w:rPr>
          <w:rFonts w:ascii="Amiri" w:hAnsi="Amiri" w:eastAsia="Amiri" w:cs="Amiri"/>
          <w:color w:val="111111"/>
          <w:sz w:val="28"/>
          <w:sz w:val="28"/>
          <w:szCs w:val="28"/>
          <w:rtl w:val="true"/>
          <w:lang w:bidi="ar-SA"/>
        </w:rPr>
        <w:t xml:space="preserve">النيابة في المستحبّات على الهديّة و الصدقة كما أمكن حمل نصوص </w:t>
      </w:r>
      <w:r>
        <w:rPr>
          <w:rStyle w:val="FootnoteAnchor"/>
          <w:rtl w:val="true"/>
        </w:rPr>
        <w:footnoteReference w:id="3"/>
      </w:r>
      <w:r>
        <w:rPr>
          <w:rFonts w:ascii="Amiri" w:hAnsi="Amiri" w:eastAsia="Amiri" w:cs="Amiri"/>
          <w:color w:val="111111"/>
          <w:sz w:val="28"/>
          <w:sz w:val="28"/>
          <w:szCs w:val="28"/>
          <w:rtl w:val="true"/>
          <w:lang w:bidi="ar-SA"/>
        </w:rPr>
        <w:t xml:space="preserve">القضاء عن الميّت على الواجبات الأصليّة من القاضي للميّت لا عنه، كما عرفته عن ظاهر السيّدين </w:t>
      </w:r>
      <w:r>
        <w:rPr>
          <w:rStyle w:val="FootnoteAnchor"/>
          <w:rtl w:val="true"/>
        </w:rPr>
        <w:footnoteReference w:id="4"/>
      </w:r>
      <w:r>
        <w:rPr>
          <w:rFonts w:ascii="Amiri" w:hAnsi="Amiri" w:eastAsia="Amiri" w:cs="Amiri"/>
          <w:color w:val="111111"/>
          <w:sz w:val="28"/>
          <w:sz w:val="28"/>
          <w:szCs w:val="28"/>
          <w:rtl w:val="true"/>
          <w:lang w:bidi="ar-SA"/>
        </w:rPr>
        <w:t>، و كما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عن الميّت أ يلحق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قال السيّد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كانت على الميّت أيّام حياته، و لو كانت ندبا كان الّذي يلحقه ثوابها لا الصلاة نفسها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فالأولويّة هنا عليه و في القضاء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الفرق بين القضاء و الغسل و الصلاة و الدفن من حيث المعنى الراجع نفعه للميّت و إن اختلف التعبير بالصلاة عليه و القضاء له و عنه من حيث آخر</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الفرق من حيث متعلّق الولاية، لكنّه بمجرّده غير فارق</w:t>
      </w:r>
    </w:p>
    <w:p>
      <w:pPr>
        <w:pStyle w:val="BookText"/>
        <w:rPr/>
      </w:pPr>
      <w:r>
        <w:rPr>
          <w:rFonts w:ascii="Amiri" w:hAnsi="Amiri" w:eastAsia="Amiri" w:cs="Amiri"/>
          <w:color w:val="111111"/>
          <w:sz w:val="28"/>
          <w:sz w:val="28"/>
          <w:szCs w:val="28"/>
          <w:rtl w:val="true"/>
          <w:lang w:bidi="ar-SA"/>
        </w:rPr>
        <w:t>في الولي و الأولى بالميّت، من حيث كونه في باب التجهيز هو أب الميّت، و في باب القضاء هو أكبر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الفرق لو سلّم فإنّما هو راجع إلى نصّ الشارع لا مجرّد اختلاف متعلّقه، كما في المستفيضة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أحقّ بامرأته من الأب و الولد و الأخ حتّى يضعها في قبرها</w:t>
      </w:r>
      <w:r>
        <w:rPr>
          <w:rFonts w:eastAsia="Amiri" w:cs="Amiri" w:ascii="Amiri" w:hAnsi="Amiri"/>
          <w:color w:val="111111"/>
          <w:sz w:val="28"/>
          <w:szCs w:val="28"/>
          <w:rtl w:val="true"/>
          <w:lang w:bidi="ar-SA"/>
        </w:rPr>
        <w:t xml:space="preserve">»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راجع إلى حكمه كون التجهيز حرمة يناسب الأب، و القضاء خدمة يناسب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الأولويّة المنصوصة في الكتاب و السنّة و إن اختلفت من حيث العموم و الخصوص و الكمّ و الكيف إلّا أنّ المراد بها معيّن و معلوم في كلّ باب من أبواب الفقه بالقرائن الخارجيّة المنصوصة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مثل قوله تعالى النَّبِيُّ أَوْلىٰ بِالْمُؤْمِنِينَ مِنْ أَنْفُسِهِمْ </w:t>
      </w:r>
      <w:r>
        <w:rPr>
          <w:rStyle w:val="FootnoteAnchor"/>
          <w:rtl w:val="true"/>
        </w:rPr>
        <w:footnoteReference w:id="8"/>
      </w:r>
      <w:r>
        <w:rPr>
          <w:rFonts w:ascii="Amiri" w:hAnsi="Amiri" w:eastAsia="Amiri" w:cs="Amiri"/>
          <w:color w:val="111111"/>
          <w:sz w:val="28"/>
          <w:sz w:val="28"/>
          <w:szCs w:val="28"/>
          <w:rtl w:val="true"/>
          <w:lang w:bidi="ar-SA"/>
        </w:rPr>
        <w:t xml:space="preserve">، و إِنَّمٰا وَلِيُّكُمُ اللّٰهُ وَ رَسُولُهُ وَ الَّذِينَ آمَنُوا </w:t>
      </w:r>
      <w:r>
        <w:rPr>
          <w:rStyle w:val="FootnoteAnchor"/>
          <w:rtl w:val="true"/>
        </w:rPr>
        <w:footnoteReference w:id="9"/>
      </w:r>
      <w:r>
        <w:rPr>
          <w:rFonts w:ascii="Amiri" w:hAnsi="Amiri" w:eastAsia="Amiri" w:cs="Amiri"/>
          <w:color w:val="111111"/>
          <w:sz w:val="28"/>
          <w:sz w:val="28"/>
          <w:szCs w:val="28"/>
          <w:rtl w:val="true"/>
          <w:lang w:bidi="ar-SA"/>
        </w:rPr>
        <w:t>الآية،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هي الولاية العامّة الكلّية الإلهية، أعني النبوّة و الإمامة الأصليّة على جميع الكائنات من جميع الجهات الّتي لا يتقدّمها أحد، كما ورد في صلاة الجمعة و صلاة الجنازة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 الامام عليه السّلام فهو أحقّ الناس</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 و لا يجوز أن يتقدّمه أحد و من دونه من الأولياء عَبْداً مَمْلُوكاً لٰا يَقْدِرُ عَلىٰ شَيْ‌ءٍ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وليّ تجهيز الميّت و الأيتام و عقد الباكرة فهو الجدّ و الأب و الوصيّ و الزوج لا غير</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تعالى وَ أُولُوا الْأَرْحٰامِ بَعْضُهُمْ أَوْلىٰ بِبَعْضٍ</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فالمراد</w:t>
      </w:r>
    </w:p>
    <w:p>
      <w:pPr>
        <w:pStyle w:val="BookText"/>
        <w:rPr/>
      </w:pPr>
      <w:r>
        <w:rPr>
          <w:rFonts w:ascii="Amiri" w:hAnsi="Amiri" w:eastAsia="Amiri" w:cs="Amiri"/>
          <w:color w:val="111111"/>
          <w:sz w:val="28"/>
          <w:sz w:val="28"/>
          <w:szCs w:val="28"/>
          <w:rtl w:val="true"/>
          <w:lang w:bidi="ar-SA"/>
        </w:rPr>
        <w:t>الأولوية في خصوص الإرث لا غير على حسب الطبقات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عنه أولى الناس به</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الناس بميراثه</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وليّه</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أهل بيته</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عنه وليّه</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وليّه أن يقضي عنه</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 فيخصّص عمومها طرّا بأكبر أولاده الذكور دون الإناث، للنصّ على خروجها في صحيحة حفص </w:t>
      </w:r>
      <w:r>
        <w:rPr>
          <w:rStyle w:val="FootnoteAnchor"/>
          <w:rtl w:val="true"/>
        </w:rPr>
        <w:footnoteReference w:id="20"/>
      </w:r>
      <w:r>
        <w:rPr>
          <w:rFonts w:ascii="Amiri" w:hAnsi="Amiri" w:eastAsia="Amiri" w:cs="Amiri"/>
          <w:color w:val="111111"/>
          <w:sz w:val="28"/>
          <w:sz w:val="28"/>
          <w:szCs w:val="28"/>
          <w:rtl w:val="true"/>
          <w:lang w:bidi="ar-SA"/>
        </w:rPr>
        <w:t xml:space="preserve">و مرسلة حمّاد </w:t>
      </w:r>
      <w:r>
        <w:rPr>
          <w:rStyle w:val="FootnoteAnchor"/>
          <w:rtl w:val="true"/>
        </w:rPr>
        <w:footnoteReference w:id="21"/>
      </w:r>
      <w:r>
        <w:rPr>
          <w:rFonts w:ascii="Amiri" w:hAnsi="Amiri" w:eastAsia="Amiri" w:cs="Amiri"/>
          <w:color w:val="111111"/>
          <w:sz w:val="28"/>
          <w:sz w:val="28"/>
          <w:szCs w:val="28"/>
          <w:rtl w:val="true"/>
          <w:lang w:bidi="ar-SA"/>
        </w:rPr>
        <w:t>و دون من عدا الولد الذكور من الأب و الجدّ، لعدم القول بالفصل، فإن كلّ من نفى القضاء عنهنّ نفاه عمّن عدا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مثل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الوليّ، فإن لم يكن له وليّ من الذكور قضى عنه وليّه من النساء</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فكنصوص </w:t>
      </w:r>
      <w:r>
        <w:rPr>
          <w:rStyle w:val="FootnoteAnchor"/>
          <w:rtl w:val="true"/>
        </w:rPr>
        <w:footnoteReference w:id="23"/>
      </w:r>
      <w:r>
        <w:rPr>
          <w:rFonts w:ascii="Amiri" w:hAnsi="Amiri" w:eastAsia="Amiri" w:cs="Amiri"/>
          <w:color w:val="111111"/>
          <w:sz w:val="28"/>
          <w:sz w:val="28"/>
          <w:szCs w:val="28"/>
          <w:rtl w:val="true"/>
          <w:lang w:bidi="ar-SA"/>
        </w:rPr>
        <w:t>الأمر لمطلق الأرحام و الأخوان بتشريع القضاء و التصدّق عن الأموات و استحبابه لا تعيين من وجب عليه القضاء، جمعا بين النصوص و القرائن الصريحة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الأظهر العموم و عدم التخصيص، كما فصّلناه في الدورة الآخرة بأبلغ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تعلّق التكليف به فارتفاعه عند بلوغ أخيه يحتاج إلى دليل</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إمكان تعلّق التكليف بالبالغ سابقا من المتساويين في السنّ على وجه العينيّة، بحيث لو بلغ الآخر المساوي له سنّا صار العينيّ كفائيّا ببلوغ الشريك له، كما قد يصير الكفائي عينيّا بفقد شريكه، لا أنّه يرتفع التكليف عن السابق حتّى يحتاج إلى الدليل، أو إلى إمكان تعلّق الحكم الوضعي و هو ضمان القضاء بالمتساويين سنّا على وجه يشتركان في الخطاب الوضعي و إن افترقا بسبق التكليف و لحوقه، كما لو لم يكن الوليّ بالغا عند موت المولى عليه، فإن لحوق التكليف غير مانع من سبق الحكم الوضعي و هو ضمان القضاء كسائر الضمانات و الأحكام الوضعيّة السابقة على التكليف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حكم القاضي </w:t>
      </w:r>
      <w:r>
        <w:rPr>
          <w:rStyle w:val="FootnoteAnchor"/>
          <w:rtl w:val="true"/>
        </w:rPr>
        <w:footnoteReference w:id="24"/>
      </w:r>
      <w:r>
        <w:rPr>
          <w:rFonts w:ascii="Amiri" w:hAnsi="Amiri" w:eastAsia="Amiri" w:cs="Amiri"/>
          <w:color w:val="111111"/>
          <w:sz w:val="28"/>
          <w:sz w:val="28"/>
          <w:szCs w:val="28"/>
          <w:rtl w:val="true"/>
          <w:lang w:bidi="ar-SA"/>
        </w:rPr>
        <w:t xml:space="preserve">بالقرعة عند اختلافهما لا وجه له، 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اشتباه من يجب عليه القيام في الواجب الكفائي في الواقع، و لا في الظاهر حتّى يكون مورد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القرعة لكلّ أمر مشكل</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بعد فرض وجوب القيام عليهما و جواز قيامهما بالواجب الكفائي و عدم سقوطه إلّا بفعل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المتأخّر إفطارا مع التراخي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إمكان أن يثبت الكفّارة عليهما مطلقا، نظرا إلى إطلاق صدق الإفطار عليهما الموجب للكفّارة و إن كان المتأخّر جزء الأخير العلّة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دعوى شمول الروايات للمفعولة فاسدة فيشمل المتروكة عمدا، لعدم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فرض شمولها المفعولة فاسدة يقتضي شمولها</w:t>
      </w:r>
    </w:p>
    <w:p>
      <w:pPr>
        <w:pStyle w:val="BookText"/>
        <w:rPr/>
      </w:pPr>
      <w:r>
        <w:rPr>
          <w:rFonts w:ascii="Amiri" w:hAnsi="Amiri" w:eastAsia="Amiri" w:cs="Amiri"/>
          <w:color w:val="111111"/>
          <w:sz w:val="28"/>
          <w:sz w:val="28"/>
          <w:szCs w:val="28"/>
          <w:rtl w:val="true"/>
          <w:lang w:bidi="ar-SA"/>
        </w:rPr>
        <w:t>المتروكة عمدا بالأولويّة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إلى منع الشمول و اختصاص النصوص </w:t>
      </w:r>
      <w:r>
        <w:rPr>
          <w:rStyle w:val="FootnoteAnchor"/>
          <w:rtl w:val="true"/>
        </w:rPr>
        <w:footnoteReference w:id="26"/>
      </w:r>
      <w:r>
        <w:rPr>
          <w:rFonts w:ascii="Amiri" w:hAnsi="Amiri" w:eastAsia="Amiri" w:cs="Amiri"/>
          <w:color w:val="111111"/>
          <w:sz w:val="28"/>
          <w:sz w:val="28"/>
          <w:szCs w:val="28"/>
          <w:rtl w:val="true"/>
          <w:lang w:bidi="ar-SA"/>
        </w:rPr>
        <w:t>بقضاء المتروك لعذر من نوم أو إغماء أو مرض أو سهو أو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منع الأولويّة لاستحقاق المتروك لعذر ما لا يستحقّه المتعمّد الغير المعذور في الترك من القضاء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النسبة بين قول الحلّي</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قضاء الفائت في مرض الموت و مختار المحقّق </w:t>
      </w:r>
      <w:r>
        <w:rPr>
          <w:rStyle w:val="FootnoteAnchor"/>
          <w:rtl w:val="true"/>
        </w:rPr>
        <w:footnoteReference w:id="28"/>
      </w:r>
      <w:r>
        <w:rPr>
          <w:rFonts w:ascii="Amiri" w:hAnsi="Amiri" w:eastAsia="Amiri" w:cs="Amiri"/>
          <w:color w:val="111111"/>
          <w:sz w:val="28"/>
          <w:sz w:val="28"/>
          <w:szCs w:val="28"/>
          <w:rtl w:val="true"/>
          <w:lang w:bidi="ar-SA"/>
        </w:rPr>
        <w:t>و هو قضاء الفائت لعذر عموم من وجه، يجتمعان في الفائت لعذر في مرض الموت، و يفترق قول الحلّي في الفائت عمدا في مرض موته و مختار المحقّق في الفائت في الصحّة لعذر السفر أو الحيض بالنسبة إلى الصوم، كما أنّ قول المشهور و هو قضاء جميع ما فاته أعمّ مطلقا من كلّ من القولين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الأشهر الأظهر من الأقوال الثلاثة، لإطلاق الأمر بقضاء ما فات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تخصيص الخبر المشتمل على هذا لا يقتضي تخصيص بعض المطلقات، لعدم التنافي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تخصيص الخبر </w:t>
      </w:r>
      <w:r>
        <w:rPr>
          <w:rStyle w:val="FootnoteAnchor"/>
          <w:rtl w:val="true"/>
        </w:rPr>
        <w:footnoteReference w:id="29"/>
      </w:r>
      <w:r>
        <w:rPr>
          <w:rFonts w:ascii="Amiri" w:hAnsi="Amiri" w:eastAsia="Amiri" w:cs="Amiri"/>
          <w:color w:val="111111"/>
          <w:sz w:val="28"/>
          <w:sz w:val="28"/>
          <w:szCs w:val="28"/>
          <w:rtl w:val="true"/>
          <w:lang w:bidi="ar-SA"/>
        </w:rPr>
        <w:t>المشتمل على وصف بمورد وصفه لا يقتضي تخصيص سائر المطلقات به إلّا على حجّية مفهوم الوصف</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حمل المطلق على المقيّد فهو في خصوص ما أحرز فيه اتّحاد التكليف و لو بالأصل لا في الأحكام الوضعيّة و الندبيّة القابلة لتعدّد المراتب</w:t>
      </w:r>
    </w:p>
    <w:p>
      <w:pPr>
        <w:pStyle w:val="BookText"/>
        <w:rPr/>
      </w:pPr>
      <w:r>
        <w:rPr>
          <w:rFonts w:ascii="Amiri" w:hAnsi="Amiri" w:eastAsia="Amiri" w:cs="Amiri"/>
          <w:color w:val="111111"/>
          <w:sz w:val="28"/>
          <w:sz w:val="28"/>
          <w:szCs w:val="28"/>
          <w:rtl w:val="true"/>
          <w:lang w:bidi="ar-SA"/>
        </w:rPr>
        <w:t>و الأسباب، كما فيما نحن فيه، فإنّ تسبيب موت كلّ من الحرّ و العبد للقضاء على وليّه لا ينافي تسبيب الآخر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الملحوظ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فليقض عنه وليّه</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الّذي هو بمعنى فليؤدّ عنه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الأمر القضائي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 ما فات كما فات</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الّذي هو بمعنى تدارك الوليّ قضاء ما فات المولى عليه، فيكون فعل الوليّ تداركا لقضاء ما يكون تداركا لفعل المولى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ففعل الوليّ بدل الأداء لا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ما أمر به المولى عليه بالأمر الأدائي الأوّليّ قبل الفوت مثل صم و صلّ لا بالأمر القضائي الثانويّ البدليّ عمّا فات سابقا، فيكون فعل الوليّ على الأوّل بدلا عن أصل، و على الثاني بدلا عن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جاز لغير الوليّ القضاء لم يرجّح انفراد الوليّ به على المشاركة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كون المشاركة أعجل في إبراء ذمّة الميّت من الانفراد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المكاتبة </w:t>
      </w:r>
      <w:r>
        <w:rPr>
          <w:rStyle w:val="FootnoteAnchor"/>
          <w:rtl w:val="true"/>
        </w:rPr>
        <w:footnoteReference w:id="32"/>
      </w:r>
      <w:r>
        <w:rPr>
          <w:rFonts w:ascii="Amiri" w:hAnsi="Amiri" w:eastAsia="Amiri" w:cs="Amiri"/>
          <w:color w:val="111111"/>
          <w:sz w:val="28"/>
          <w:sz w:val="28"/>
          <w:szCs w:val="28"/>
          <w:rtl w:val="true"/>
          <w:lang w:bidi="ar-SA"/>
        </w:rPr>
        <w:t xml:space="preserve">و لو بقرينة الجمع بين النصوص بيان عدم وجوب القضاء على غير الوليّ لا عدم جوازه من غيره حتّى ينافي جوازه المشهور و المنصوص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ظاهر المكاتبة تعيين من يجب عليه القضاء لا تعيين من يجوز منه</w:t>
      </w:r>
    </w:p>
    <w:p>
      <w:pPr>
        <w:pStyle w:val="BookText"/>
        <w:rPr/>
      </w:pPr>
      <w:r>
        <w:rPr>
          <w:rFonts w:ascii="Amiri" w:hAnsi="Amiri" w:eastAsia="Amiri" w:cs="Amiri"/>
          <w:color w:val="111111"/>
          <w:sz w:val="28"/>
          <w:sz w:val="28"/>
          <w:szCs w:val="28"/>
          <w:rtl w:val="true"/>
          <w:lang w:bidi="ar-SA"/>
        </w:rPr>
        <w:t>القضاء، و بيان وجوب المبادرة في إبراء ذمّة الميّت على خصوص الوليّ، لا وجوب مطلق المبادرة حتّى ينافي نفي المشاركة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فظاهر الرواية </w:t>
      </w:r>
      <w:r>
        <w:rPr>
          <w:rStyle w:val="FootnoteAnchor"/>
          <w:rtl w:val="true"/>
        </w:rPr>
        <w:footnoteReference w:id="34"/>
      </w:r>
      <w:r>
        <w:rPr>
          <w:rFonts w:ascii="Amiri" w:hAnsi="Amiri" w:eastAsia="Amiri" w:cs="Amiri"/>
          <w:color w:val="111111"/>
          <w:sz w:val="28"/>
          <w:sz w:val="28"/>
          <w:szCs w:val="28"/>
          <w:rtl w:val="true"/>
          <w:lang w:bidi="ar-SA"/>
        </w:rPr>
        <w:t>لو حمل على الوجوب نافى مذهبهم في جواز تبرّع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عرفت من أنّ المنافي لجواز تبرّع الغير هو وجوب القضاء على الوليّ بالمباشرة، لا الوجوب الأعمّ كوجوب أداء ديون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حمل على الاستحباب لم يدل على مذهبهم بتعيين </w:t>
      </w:r>
      <w:r>
        <w:rPr>
          <w:rStyle w:val="FootnoteAnchor"/>
          <w:rtl w:val="true"/>
        </w:rPr>
        <w:footnoteReference w:id="35"/>
      </w:r>
      <w:r>
        <w:rPr>
          <w:rFonts w:ascii="Amiri" w:hAnsi="Amiri" w:eastAsia="Amiri" w:cs="Amiri"/>
          <w:color w:val="111111"/>
          <w:sz w:val="28"/>
          <w:sz w:val="28"/>
          <w:szCs w:val="28"/>
          <w:rtl w:val="true"/>
          <w:lang w:bidi="ar-SA"/>
        </w:rPr>
        <w:t>القضاء على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أيضا أنّ تعيين القضاء على الأكبر لا ينحصر بهذا الخبر حتّى ينافي حمله على الاستحباب، بل يكفي النصّ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عنه أولى الناس به</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الناس بميراثه</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و هو الحبوة الخاصّة بالأكبر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لا يجب تحصيل العلم أو الظنّ على الوليّ بقيام الوصيّ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الاستدراك يفترق وجوب القضاء على الوصيّ المتقبّل له عن الواجب الكفائي بالفعل المحتاج سقوطه عن الغير إلى العلم أو الظنّ بقيام الآخر به، بل يصر من قبيل الواجب الكفائي بالأصالة المعيّن على الغير فعلا باستئجار و نحوه في عدم احتياج سقوطه عن المستأجر بالعلم أو الظنّ بقيام الأجير به، فتقبّل الوصيّ القضاء نظير التزام الأجير بتجهيز الميّت، فإنّ سقوطه عن الغير قبل الاستئجار و الالتزام يحتاج إلى العلم أو الظنّ بقيام الآخر به، و بعده لا يحتاج إليه</w:t>
      </w:r>
    </w:p>
    <w:p>
      <w:pPr>
        <w:pStyle w:val="BookText"/>
        <w:rPr/>
      </w:pPr>
      <w:r>
        <w:rPr>
          <w:rFonts w:ascii="Amiri" w:hAnsi="Amiri" w:eastAsia="Amiri" w:cs="Amiri"/>
          <w:color w:val="111111"/>
          <w:sz w:val="28"/>
          <w:sz w:val="28"/>
          <w:szCs w:val="28"/>
          <w:rtl w:val="true"/>
          <w:lang w:bidi="ar-SA"/>
        </w:rPr>
        <w:t>و إن كان سقوطه عن الغير مراعى بفعل الآخر و لكن بمعنى أنّه إذا علم بعدم قيام الأجير به وجب على المستأجر القيام به، لا بمعنى يجب عليه إذا لم يعلم كالواجبات الكفائيّة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الغرض و الداعي أمرا آخر مخالف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مناف و مناقض لذلك من حيث امتناع توارد العلّتين على معلول واحد و استناد الفعل الواحد إلى علّتين و غرضين و داعيين متضادّين لا يجتمعان القربة و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توجيه اجتماعهما بجعل الأجرة و نحوه من دواعي غير القربة داعيا لإيجاد القربة و إحداثها، و جعل القربة الحاصلة من تلك الدواعي داعيا على الفعل المقرّب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وقع في حيّز الإجارة تبدّلت صفة ندبه بصفة الوجوب، كما في صلاة التحيّة الواقعة </w:t>
      </w:r>
      <w:r>
        <w:rPr>
          <w:rStyle w:val="FootnoteAnchor"/>
          <w:rtl w:val="true"/>
        </w:rPr>
        <w:footnoteReference w:id="38"/>
      </w:r>
      <w:r>
        <w:rPr>
          <w:rFonts w:ascii="Amiri" w:hAnsi="Amiri" w:eastAsia="Amiri" w:cs="Amiri"/>
          <w:color w:val="111111"/>
          <w:sz w:val="28"/>
          <w:sz w:val="28"/>
          <w:szCs w:val="28"/>
          <w:rtl w:val="true"/>
          <w:lang w:bidi="ar-SA"/>
        </w:rPr>
        <w:t>في حيّز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الفرق الفارق بين التبرّع و الإجارة هو استناد الفعل إلى داعي الندب في التبرّع و داعي الأجرة في الإجارة، و هو المانع القويّ من الصحّة، لا مجرّد تبدّل صفة الندب بالوجوب حتّى لا يكون فارقا و لا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فالنسبة بين القول بصحّة الاستئجار و صحّة قيام غير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بإذنه أو بدون إذنه عموم من وجه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لاجتماع الصحّتين في استنابة أجير الميّت عن غير وليّه كوصيّ أو غيره، و افتراق صحّة الاستئجار في استنابة أجير الميّت عن وليّه، و افتراق صحّة قيام غير الوليّ في استنابة المتبرّع</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ذيل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 أحكام الدعاوي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التسع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البغداديّة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تعيّن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تقع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image" Target="media/image2.jpeg"/><Relationship Id="rId16" Type="http://schemas.openxmlformats.org/officeDocument/2006/relationships/image" Target="media/image2.jpeg"/><Relationship Id="rId17" Type="http://schemas.openxmlformats.org/officeDocument/2006/relationships/footer" Target="footer10.xml"/><Relationship Id="rId18" Type="http://schemas.openxmlformats.org/officeDocument/2006/relationships/footnotes" Target="footnotes.xml"/><Relationship Id="rId19" Type="http://schemas.openxmlformats.org/officeDocument/2006/relationships/numbering" Target="numbering.xml"/><Relationship Id="rId20" Type="http://schemas.openxmlformats.org/officeDocument/2006/relationships/fontTable" Target="fontTable.xml"/><Relationship Id="rId21" Type="http://schemas.openxmlformats.org/officeDocument/2006/relationships/settings" Target="settings.xml"/><Relationship Id="rId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Pages>
  <Words>2018</Words>
  <Characters>8319</Characters>
  <CharactersWithSpaces>10262</CharactersWithSpaces>
  <Paragraphs>118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2026-08-16T19:37:59Z</dcterms:created>
  <dc:creator>ghaemiyeh.com</dc:creator>
  <dc:description/>
  <dc:language>en-US</dc:language>
  <cp:lastModifiedBy/>
  <dcterms:modified xsi:type="dcterms:W3CDTF">2026-08-16T23:08:00Z</dcterms:modified>
  <cp:revision>1</cp:revision>
  <dc:subject/>
  <dc:title>تعلیقات علی رسالة فی القضاء عن المیت</dc:title>
</cp:coreProperties>
</file>

<file path=docProps/custom.xml><?xml version="1.0" encoding="utf-8"?>
<Properties xmlns="http://schemas.openxmlformats.org/officeDocument/2006/custom-properties" xmlns:vt="http://schemas.openxmlformats.org/officeDocument/2006/docPropsVTypes"/>
</file>