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مفهوم شناسی و مصداق یابی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7340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17342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17344_3650668749">
            <w:r>
              <w:rPr>
                <w:webHidden/>
                <w:rStyle w:val="IndexLink"/>
                <w:rtl w:val="true"/>
              </w:rPr>
              <w:t xml:space="preserve">ضرورت شناخت اهل بيت </w:t>
            </w:r>
            <w:r>
              <w:rPr>
                <w:rStyle w:val="IndexLink"/>
                <w:rtl w:val="true"/>
              </w:rPr>
              <w:t>(</w:t>
            </w:r>
            <w:r>
              <w:rPr>
                <w:rStyle w:val="IndexLink"/>
                <w:rtl w:val="true"/>
              </w:rPr>
              <w:t>عليهم السلام</w:t>
            </w:r>
            <w:r>
              <w:rPr>
                <w:rStyle w:val="IndexLink"/>
                <w:rtl w:val="true"/>
              </w:rPr>
              <w:t>)</w:t>
              <w:tab/>
            </w:r>
            <w:r>
              <w:rPr>
                <w:rStyle w:val="IndexLink"/>
              </w:rPr>
              <w:t>5</w:t>
            </w:r>
          </w:hyperlink>
        </w:p>
        <w:p>
          <w:pPr>
            <w:pStyle w:val="Contents2"/>
            <w:tabs>
              <w:tab w:val="clear" w:pos="8743"/>
              <w:tab w:val="right" w:pos="9026" w:leader="dot"/>
            </w:tabs>
            <w:rPr/>
          </w:pPr>
          <w:hyperlink w:anchor="__RefHeading___Toc2817346_3650668749">
            <w:r>
              <w:rPr>
                <w:webHidden/>
                <w:rStyle w:val="IndexLink"/>
                <w:rtl w:val="true"/>
              </w:rPr>
              <w:t xml:space="preserve">قرائن درونى شمول آيه تطهير بر اهل‌بيت </w:t>
            </w:r>
            <w:r>
              <w:rPr>
                <w:rStyle w:val="IndexLink"/>
                <w:rtl w:val="true"/>
              </w:rPr>
              <w:t>(</w:t>
            </w:r>
            <w:r>
              <w:rPr>
                <w:rStyle w:val="IndexLink"/>
                <w:rtl w:val="true"/>
              </w:rPr>
              <w:t>عليهم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2817348_3650668749">
            <w:r>
              <w:rPr>
                <w:webHidden/>
                <w:rStyle w:val="IndexLink"/>
                <w:rtl w:val="true"/>
              </w:rPr>
              <w:t xml:space="preserve">قرائن برونى شمول آيه تطهير بر اهل‌بيت </w:t>
            </w:r>
            <w:r>
              <w:rPr>
                <w:rStyle w:val="IndexLink"/>
                <w:rtl w:val="true"/>
              </w:rPr>
              <w:t>(</w:t>
            </w:r>
            <w:r>
              <w:rPr>
                <w:rStyle w:val="IndexLink"/>
                <w:rtl w:val="true"/>
              </w:rPr>
              <w:t>عليهم السلام</w:t>
            </w:r>
            <w:r>
              <w:rPr>
                <w:rStyle w:val="IndexLink"/>
                <w:rtl w:val="true"/>
              </w:rPr>
              <w:t>)</w:t>
              <w:tab/>
            </w:r>
            <w:r>
              <w:rPr>
                <w:rStyle w:val="IndexLink"/>
              </w:rPr>
              <w:t>15</w:t>
            </w:r>
          </w:hyperlink>
        </w:p>
        <w:p>
          <w:pPr>
            <w:pStyle w:val="Contents2"/>
            <w:tabs>
              <w:tab w:val="clear" w:pos="8743"/>
              <w:tab w:val="right" w:pos="9026" w:leader="dot"/>
            </w:tabs>
            <w:rPr/>
          </w:pPr>
          <w:hyperlink w:anchor="__RefHeading___Toc2817350_3650668749">
            <w:r>
              <w:rPr>
                <w:webHidden/>
                <w:rStyle w:val="IndexLink"/>
                <w:rtl w:val="true"/>
              </w:rPr>
              <w:t>اشتمال آيه تطهير بر ساير امامان شيعه‌</w:t>
            </w:r>
            <w:r>
              <w:rPr>
                <w:rStyle w:val="IndexLink"/>
                <w:rtl w:val="true"/>
              </w:rPr>
              <w:tab/>
            </w:r>
            <w:r>
              <w:rPr>
                <w:rStyle w:val="IndexLink"/>
              </w:rPr>
              <w:t>21</w:t>
            </w:r>
          </w:hyperlink>
        </w:p>
        <w:p>
          <w:pPr>
            <w:pStyle w:val="Contents2"/>
            <w:tabs>
              <w:tab w:val="clear" w:pos="8743"/>
              <w:tab w:val="right" w:pos="9026" w:leader="dot"/>
            </w:tabs>
            <w:rPr/>
          </w:pPr>
          <w:hyperlink w:anchor="__RefHeading___Toc2817352_3650668749">
            <w:r>
              <w:rPr>
                <w:webHidden/>
                <w:rStyle w:val="IndexLink"/>
                <w:rtl w:val="true"/>
              </w:rPr>
              <w:t xml:space="preserve">ويژگى‌ها و اوصاف امامان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در حديث </w:t>
            </w:r>
            <w:r>
              <w:rPr>
                <w:rStyle w:val="IndexLink"/>
                <w:rtl w:val="true"/>
              </w:rPr>
              <w:t>«</w:t>
            </w:r>
            <w:r>
              <w:rPr>
                <w:rStyle w:val="IndexLink"/>
                <w:rtl w:val="true"/>
              </w:rPr>
              <w:t xml:space="preserve">لايزال الدّين قائما </w:t>
            </w:r>
            <w:r>
              <w:rPr>
                <w:rStyle w:val="IndexLink"/>
                <w:rtl w:val="true"/>
              </w:rPr>
              <w:t>...»</w:t>
              <w:tab/>
            </w:r>
            <w:r>
              <w:rPr>
                <w:rStyle w:val="IndexLink"/>
              </w:rPr>
              <w:t>25</w:t>
            </w:r>
          </w:hyperlink>
        </w:p>
        <w:p>
          <w:pPr>
            <w:pStyle w:val="Contents2"/>
            <w:tabs>
              <w:tab w:val="clear" w:pos="8743"/>
              <w:tab w:val="right" w:pos="9026" w:leader="dot"/>
            </w:tabs>
            <w:rPr/>
          </w:pPr>
          <w:hyperlink w:anchor="__RefHeading___Toc2817354_3650668749">
            <w:r>
              <w:rPr>
                <w:webHidden/>
                <w:rStyle w:val="IndexLink"/>
                <w:rtl w:val="true"/>
              </w:rPr>
              <w:t>كتاب شناسى‌</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2_16086"/>
      <w:bookmarkStart w:id="1" w:name="pg1842_16086"/>
      <w:bookmarkEnd w:id="1"/>
    </w:p>
    <w:p>
      <w:pPr>
        <w:pStyle w:val="Heading2"/>
        <w:numPr>
          <w:ilvl w:val="1"/>
          <w:numId w:val="1"/>
        </w:numPr>
        <w:rPr/>
      </w:pPr>
      <w:bookmarkStart w:id="2" w:name="pg1842_16086"/>
      <w:bookmarkStart w:id="3" w:name="__RefHeading___Toc281734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زینلی، غلامحسین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و مصداق‌یابی اهل‌بیت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زینلی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۱۲۲۹۲۲۳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7342_3650668749"/>
      <w:bookmarkStart w:id="6" w:name="_Toc2"/>
      <w:bookmarkEnd w:id="5"/>
      <w:r>
        <w:rPr>
          <w:rtl w:val="true"/>
        </w:rPr>
        <w:t>اشاره</w:t>
      </w:r>
      <w:bookmarkStart w:id="7" w:name="pg1842_16092"/>
      <w:bookmarkEnd w:id="6"/>
    </w:p>
    <w:p>
      <w:pPr>
        <w:pStyle w:val="Heading2"/>
        <w:numPr>
          <w:ilvl w:val="1"/>
          <w:numId w:val="1"/>
        </w:numPr>
        <w:rPr/>
      </w:pPr>
      <w:bookmarkStart w:id="8" w:name="__RefHeading___Toc2817344_3650668749"/>
      <w:bookmarkStart w:id="9" w:name="_Toc3"/>
      <w:bookmarkEnd w:id="7"/>
      <w:bookmarkEnd w:id="8"/>
      <w:r>
        <w:rPr>
          <w:rtl w:val="true"/>
        </w:rPr>
        <w:t xml:space="preserve">ضرورت شناخت اهل بيت </w:t>
      </w:r>
      <w:r>
        <w:rPr>
          <w:rtl w:val="true"/>
        </w:rPr>
        <w:t>(</w:t>
      </w:r>
      <w:r>
        <w:rPr>
          <w:rtl w:val="true"/>
        </w:rPr>
        <w:t>عليهم السلام</w:t>
      </w:r>
      <w:r>
        <w:rPr>
          <w:rtl w:val="true"/>
        </w:rPr>
        <w:t>)</w:t>
      </w:r>
      <w:bookmarkEnd w:id="9"/>
    </w:p>
    <w:p>
      <w:pPr>
        <w:pStyle w:val="BookText"/>
        <w:rPr/>
      </w:pPr>
      <w:r>
        <w:rPr>
          <w:rFonts w:ascii="IRNazanin" w:hAnsi="IRNazanin" w:eastAsia="IRNazanin"/>
          <w:color w:val="111111"/>
          <w:sz w:val="28"/>
          <w:sz w:val="28"/>
          <w:szCs w:val="28"/>
          <w:rtl w:val="true"/>
          <w:lang w:bidi="fa-IR"/>
        </w:rPr>
        <w:t xml:space="preserve">شايد برخى چنين تصوّر كنند كه گفت و گو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براى شناختن و شاساندن آنان، مسئله‌اى قديمى است و در عصر حاضر، اثرى بر آن مترتّب نيست، در حالى كه اگر به كلام خداوند و سنّت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كنيم و در آن بينديشيم، به وضوح مى‌يابيم كه مطالعه و پژوهش پيرامون اين مسئله و شناخت مفهوم و مصاديق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اسلامى، امرى كاملًا حياتى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گونه آلودگى، پاك و منزه دانسته </w:t>
      </w:r>
      <w:r>
        <w:rPr>
          <w:rStyle w:val="FootnoteAnchor"/>
          <w:rtl w:val="true"/>
        </w:rPr>
        <w:footnoteReference w:id="2"/>
      </w:r>
      <w:r>
        <w:rPr>
          <w:rFonts w:ascii="Amiri" w:hAnsi="Amiri" w:eastAsia="Amiri" w:cs="Amiri"/>
          <w:color w:val="111111"/>
          <w:sz w:val="28"/>
          <w:sz w:val="28"/>
          <w:szCs w:val="28"/>
          <w:rtl w:val="true"/>
          <w:lang w:bidi="ar-SA"/>
        </w:rPr>
        <w:t>و محبّت و دوستى آنان را به عنوان مزد رسالت نبىّ اكرم بر</w:t>
      </w:r>
    </w:p>
    <w:p>
      <w:pPr>
        <w:pStyle w:val="BookText"/>
        <w:rPr/>
      </w:pPr>
      <w:r>
        <w:rPr>
          <w:rFonts w:ascii="IRNazanin" w:hAnsi="IRNazanin" w:eastAsia="IRNazanin"/>
          <w:color w:val="111111"/>
          <w:sz w:val="28"/>
          <w:sz w:val="28"/>
          <w:szCs w:val="28"/>
          <w:rtl w:val="true"/>
          <w:lang w:bidi="fa-IR"/>
        </w:rPr>
        <w:t>همه مسلمانان فرض دانسته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پيامبر اسلام نيز كه سخن ايشان مؤيّد به كلام خداوند است، </w:t>
      </w:r>
      <w:r>
        <w:rPr>
          <w:rStyle w:val="FootnoteAnchor"/>
          <w:rtl w:val="true"/>
        </w:rPr>
        <w:footnoteReference w:id="4"/>
      </w:r>
      <w:r>
        <w:rPr>
          <w:rFonts w:ascii="Amiri" w:hAnsi="Amiri" w:eastAsia="Amiri" w:cs="Amiri"/>
          <w:color w:val="111111"/>
          <w:sz w:val="28"/>
          <w:sz w:val="28"/>
          <w:szCs w:val="28"/>
          <w:rtl w:val="true"/>
          <w:lang w:bidi="ar-SA"/>
        </w:rPr>
        <w:t xml:space="preserve">در حديث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تارك فيكم ما إن تمسّكتم به لن تضلّوا بعدى، كتاب الله و عترتى أهل بيتى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اهل بيت را همتاى كتاب خدا به شمار آورده و استمرار هدايت امت اسلامى را پس از خود، تنها در پرتو تمسّك به قرآن و عترت، ميسّر دانسته است و اعلام داشته كه اين دو، هميشه با هم‌اند و هيچ گاه از يكديگر، جدا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يفترقا حتّى يردا علىَّ الحوض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كشتى نوح تشبيه كرده و نجات امت اسلامى را تنها در گرو تمسّك به كشتى هدايت آنان، ممكن دانسته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آرى، تأمّل در كلام خداوند و سخنان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هدايت امت اسلامى، ضرورت شناخت مصاديق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پيش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تأمّلى، هر فرد مسلمان متعهّدى را وا مى‌دارد تا به درستى، اين اسوه‌هاى طهارت و پاكى را بشناسد و آنان را الگوى زندگى خويش قرار دهد و در جهان پر حادثه كنونى، بر كشتى نجات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خود را به ساحل نجات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حقيقتى است كه پيشواى مذهب شافعى نيز در سروده خود به آن اشاره دارد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رأيت الناس قد ذهب بهم مذاهبهم فى أبحر الغىّ و الجهل</w:t>
      </w:r>
    </w:p>
    <w:p>
      <w:pPr>
        <w:pStyle w:val="BookText"/>
        <w:rPr/>
      </w:pPr>
      <w:r>
        <w:rPr>
          <w:rFonts w:ascii="Amiri" w:hAnsi="Amiri" w:eastAsia="Amiri" w:cs="Amiri"/>
          <w:color w:val="111111"/>
          <w:sz w:val="28"/>
          <w:sz w:val="28"/>
          <w:szCs w:val="28"/>
          <w:rtl w:val="true"/>
          <w:lang w:bidi="ar-SA"/>
        </w:rPr>
        <w:t xml:space="preserve">ركبت على اسم الله فى سفن النجاة و هم أهل بيت المصطفى خاتم الرسل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ديدم مذاهب گوناگون، مردم را به درياهاى جهل و گمراهى سوق داده است، با نام خدا بر كشتى‌هاى نجات اهل بيت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پيامبران، سوار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نيست كه اين مسأله، متعلّق به روزگاران گذشته باشد، بلكه همان گونه كه تدبّر در قرآن و پيروى از كتاب الهى، مسأله‌اى نو و مورد نياز است، شناخت و پيروى از همتاى قرآن، يعنى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مسأله‌اى تازه و مورد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اهل بيت در بحث حاضر، معناى لغوى آن، يعنى همه بستگان و همسر و فرزندان شخص نيست، بلكه مقصود، معناى اصطلاحى آن است كه قرآن كريم، در آيه تطهير، آن را درباره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مصاديق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مفسّران</w:t>
      </w:r>
    </w:p>
    <w:p>
      <w:pPr>
        <w:pStyle w:val="BookText"/>
        <w:rPr/>
      </w:pPr>
      <w:r>
        <w:rPr>
          <w:rFonts w:ascii="IRNazanin" w:hAnsi="IRNazanin" w:eastAsia="IRNazanin"/>
          <w:color w:val="111111"/>
          <w:sz w:val="28"/>
          <w:sz w:val="28"/>
          <w:szCs w:val="28"/>
          <w:rtl w:val="true"/>
          <w:lang w:bidi="fa-IR"/>
        </w:rPr>
        <w:t xml:space="preserve">مسلمانان به پيروى از قرآن كريم و سخنان پيامبر،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اهل بيت رسول خدا استعمال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به گونه‌اى شهرت يافته كه اراده معناى ديگرى از آن، نيازمند به قرينه است </w:t>
      </w:r>
      <w:r>
        <w:rPr>
          <w:rStyle w:val="FootnoteAnchor"/>
          <w:rtl w:val="true"/>
        </w:rPr>
        <w:footnoteReference w:id="10"/>
      </w:r>
      <w:r>
        <w:rPr>
          <w:rFonts w:ascii="IRNazanin" w:hAnsi="IRNazanin" w:eastAsia="IRNazanin"/>
          <w:color w:val="111111"/>
          <w:sz w:val="28"/>
          <w:sz w:val="28"/>
          <w:szCs w:val="28"/>
          <w:rtl w:val="true"/>
          <w:lang w:bidi="fa-IR"/>
        </w:rPr>
        <w:t>با اين وجود، شمارى از مفسّران اهل سنّت در اين مسأله تشكيك كرده و ضمن پذيرفتن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مصاديق آيه، افراد ديگرى را نيز جزء مصاديق اهل بيت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اقوال آنان چنين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جز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اهل بيت دانسته‌اند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مصداق اهل بيت را خود پيامبر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آن حضرت دانسته‌اند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منظور از اهل بيت، تنها زنان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عكرمه به سعيد بن جبير و ابن عباس نسبت داده است</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معتقدند مصاديق اهل بيت، همه بنى‌هاشم‌اند؛ يعنى آل على، آل عقيل، آل جعفر و 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از زيد بن ارقم نقل شده است</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بسيارى از مفسّران بر اين است كه منظور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برخى از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 سلمه، عايشه و زينب و جمع زيادى از صحابه، مانند سعد بن ابى وقاص، ابوسعيد خدرى، واثله بن اسقع، ابن عباس، على بن ابى طالب، حسن بن على، جعفر بن ابى طالب، جابر بن عبدالله، عمر بن ابى طلحه، براء بن عازب و ثوبان، غلام رسول خدا، نقل كرده‌اند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روايات، افزون بر افراد ياد شده، در ذيل قول پنجم، از ساير امامان شيعه هم نام برده شده است </w:t>
      </w:r>
      <w:r>
        <w:rPr>
          <w:rStyle w:val="FootnoteAnchor"/>
          <w:rtl w:val="true"/>
        </w:rPr>
        <w:footnoteReference w:id="16"/>
      </w:r>
      <w:r>
        <w:rPr>
          <w:rFonts w:ascii="Amiri" w:hAnsi="Amiri" w:eastAsia="Amiri" w:cs="Amiri"/>
          <w:color w:val="111111"/>
          <w:sz w:val="28"/>
          <w:sz w:val="28"/>
          <w:szCs w:val="28"/>
          <w:rtl w:val="true"/>
          <w:lang w:bidi="ar-SA"/>
        </w:rPr>
        <w:t xml:space="preserve">، شيعه اماميه، بر اينكه آيه تطهير همه امامان را نيز شامل مى‌شود، اتفاق نظر دارند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آيه شريفه، شامل چه كسانى است و چه كسانى از دايره شمول آيه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اين مسأله، از قرائن درونى و بيرونى آيه مورد نظر، مدد مى‌جوييم</w:t>
      </w:r>
      <w:r>
        <w:rPr>
          <w:rFonts w:eastAsia="IRNazanin" w:cs="IRNazanin"/>
          <w:color w:val="111111"/>
          <w:sz w:val="28"/>
          <w:szCs w:val="28"/>
          <w:rtl w:val="true"/>
          <w:lang w:bidi="fa-IR"/>
        </w:rPr>
        <w:t>.</w:t>
      </w:r>
      <w:bookmarkStart w:id="10" w:name="pg1842_16099"/>
    </w:p>
    <w:p>
      <w:pPr>
        <w:pStyle w:val="Heading2"/>
        <w:numPr>
          <w:ilvl w:val="1"/>
          <w:numId w:val="1"/>
        </w:numPr>
        <w:rPr/>
      </w:pPr>
      <w:bookmarkStart w:id="11" w:name="__RefHeading___Toc2817346_3650668749"/>
      <w:bookmarkStart w:id="12" w:name="_Toc4"/>
      <w:bookmarkEnd w:id="10"/>
      <w:bookmarkEnd w:id="11"/>
      <w:r>
        <w:rPr>
          <w:rtl w:val="true"/>
        </w:rPr>
        <w:t xml:space="preserve">قرائن درونى شمول آيه تطهير بر اهل‌بيت </w:t>
      </w:r>
      <w:r>
        <w:rPr>
          <w:rtl w:val="true"/>
        </w:rPr>
        <w:t>(</w:t>
      </w:r>
      <w:r>
        <w:rPr>
          <w:rtl w:val="true"/>
        </w:rPr>
        <w:t>عليهم السلام</w:t>
      </w:r>
      <w:r>
        <w:rPr>
          <w:rtl w:val="true"/>
        </w:rPr>
        <w:t>)</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آيه مى‌دانند، به اين نكته تمسّك كرده‌اند كه جملات پيش و پس از آيه تطهير، همگى درباره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بايد توجّه داشت كه مسئله ياد شده نه تنها دلالتى بر شمول آيه نسبت به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خود قرينه روشنى است بر اينكه مخاطب آيه تطهير، كسانى غير از همسران پيامبرند؛ چرا كه در جملات پيش و پس از آيه، تمامى ضماير به صورت مؤنث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كنتنّ، أمتعكنّ، أسرّحكنّ، تردن، لستنّ، اتّقيتنّ، فى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آيه تطهير، جهت خطاب تغيير كرده و ضماير آن، به صورت مذكر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روشنى دلالت دارد بر اينكه مصاديق آيه، كسانى غير از</w:t>
      </w:r>
    </w:p>
    <w:p>
      <w:pPr>
        <w:pStyle w:val="BookText"/>
        <w:rPr/>
      </w:pPr>
      <w:r>
        <w:rPr>
          <w:rFonts w:ascii="IRNazanin" w:hAnsi="IRNazanin" w:eastAsia="IRNazanin"/>
          <w:color w:val="111111"/>
          <w:sz w:val="28"/>
          <w:sz w:val="28"/>
          <w:szCs w:val="28"/>
          <w:rtl w:val="true"/>
          <w:lang w:bidi="fa-IR"/>
        </w:rPr>
        <w:t>همسران پيامبرند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آيه تطهير، لسان مدح و ستايش است و از مقام بلند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 در حالى كه لسان آيه‌هاى مربوط به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پرهيز دادن و ترساندن ا ست؛ از اين رو، هرگز نمى‌توان هر دو لسان را مربوط به يك گروه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تطهير، اعطاى نوعى مصونيّت از گناه و لغزش، و عصمت دارندگان مقام تطهير است، در حالى كه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مسلمانان، مصون و معصوم از خطا و گناه نبوده‌اند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تطهير 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مى‌توان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زدودن پليدى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دور ساختن و دفع پليدى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آنها از آغاز هيچ گونه پليدى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برداشتن و رفع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آلودگى بوده، اما خداوند آن را برطرف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نخست منظور باشد، در اين صورت، تمام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 كم بيشتر آنان، پيش از اسلام در پليدى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در نتيجه، از حكم آيه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باشد، چاره‌اى نداريم جز آنكه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حكم آيه خارج بدانيم؛ زيرا در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گونه پليدى وجود نداشته است، در حالى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در حكم آيه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نخست، ثابت و فرض دوم، منتفى مى‌گردد و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از حكم آيه خارج مى‌گردند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اهل بيت پيامبرند كه منحصراً ساكن يك خانه بوده‌اند، يعنى فاطمه، اميرالمؤمنين و دو فرزندشان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نظر برخى، مقصود آيه،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درست نيست؛ چون خانه‌هاى همسران آن حضرت، يك خانه نبود، بلكه خانه‌هاى آنان، متعدّد بوده كه در آن ساكن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سخن خداوند در صدر آيه تطهير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فِي بُيُوتِكُنَّ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خطاب، متوجّه كسانى است كه در خانه‌هاى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مى‌زيسته‌اند</w:t>
      </w:r>
      <w:r>
        <w:rPr>
          <w:rFonts w:eastAsia="IRNazanin" w:cs="IRNazanin"/>
          <w:color w:val="111111"/>
          <w:sz w:val="28"/>
          <w:szCs w:val="28"/>
          <w:rtl w:val="true"/>
          <w:lang w:bidi="fa-IR"/>
        </w:rPr>
        <w:t>.</w:t>
      </w:r>
      <w:bookmarkStart w:id="13" w:name="pg1842_16102"/>
    </w:p>
    <w:p>
      <w:pPr>
        <w:pStyle w:val="Heading2"/>
        <w:numPr>
          <w:ilvl w:val="1"/>
          <w:numId w:val="1"/>
        </w:numPr>
        <w:rPr/>
      </w:pPr>
      <w:bookmarkStart w:id="14" w:name="__RefHeading___Toc2817348_3650668749"/>
      <w:bookmarkStart w:id="15" w:name="_Toc5"/>
      <w:bookmarkEnd w:id="13"/>
      <w:bookmarkEnd w:id="14"/>
      <w:r>
        <w:rPr>
          <w:rtl w:val="true"/>
        </w:rPr>
        <w:t xml:space="preserve">قرائن برونى شمول آيه تطهير بر اهل‌بيت </w:t>
      </w:r>
      <w:r>
        <w:rPr>
          <w:rtl w:val="true"/>
        </w:rPr>
        <w:t>(</w:t>
      </w:r>
      <w:r>
        <w:rPr>
          <w:rtl w:val="true"/>
        </w:rPr>
        <w:t>عليهم السلام</w:t>
      </w:r>
      <w:r>
        <w:rPr>
          <w:rtl w:val="true"/>
        </w:rPr>
        <w:t>)</w:t>
      </w:r>
      <w:bookmarkEnd w:id="15"/>
    </w:p>
    <w:p>
      <w:pPr>
        <w:pStyle w:val="BookText"/>
        <w:rPr/>
      </w:pPr>
      <w:r>
        <w:rPr>
          <w:rFonts w:ascii="IRNazanin" w:hAnsi="IRNazanin" w:eastAsia="IRNazanin"/>
          <w:color w:val="111111"/>
          <w:sz w:val="28"/>
          <w:sz w:val="28"/>
          <w:szCs w:val="28"/>
          <w:rtl w:val="true"/>
          <w:lang w:bidi="fa-IR"/>
        </w:rPr>
        <w:t>افزون بر قرائن درونى آيه، قرائن برونى ديگرى نيز وجود دارد كه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شمول آيه تطهير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را در ذيل پى مى‌گيريم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خداوند در آيه تطهير، مقام بزرگى را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 و آن را به همه مسلمانان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تصوّر كرد كه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مقام ارجمندى رسيده باشند، اما از وجود چنين فضيلتى براى خود غافل باشند، تا آنجا كه هيچ يك از آنان، حتى براى يك بار، چنين فضيلتى را براى خود يادآور نشده و ديگران را نيز بدان توجّه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در تاريخ چنين فضيلتى از آنان نقل نشده، بلكه از قول خود آنان نقل شده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تطهير در حقّ غير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خمسه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شيعه و اهل سنّت، در شأن نزول آيه تطهير، روايات متواترى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مصاديق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بهترين راه براى تعيين دقيق مصاديق اهل بيت، مراجعه به رواياتى است كه از قول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چگونه مى‌توان باور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سفينه، 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تمسّك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سعادت دنيا و آخرت امّت اعلام كند، اما آنان را معرفى نكند و مصاديق اهل بيت را در هاله‌اى از ابهام باقى گذارد؟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 از جمله در اجتماع باشكوه صحابه،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كرده است تا هيچ عذر و بهانه‌اى براى هيچ كس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عنوان يگانه كسى كه بى هيچ اختلافى، صلاحيت تفسير قران و بيان معانى پنهان آن را داراست </w:t>
      </w:r>
      <w:r>
        <w:rPr>
          <w:rStyle w:val="FootnoteAnchor"/>
          <w:rtl w:val="true"/>
        </w:rPr>
        <w:footnoteReference w:id="20"/>
      </w:r>
      <w:r>
        <w:rPr>
          <w:rFonts w:ascii="IRNazanin" w:hAnsi="IRNazanin" w:eastAsia="IRNazanin"/>
          <w:color w:val="111111"/>
          <w:sz w:val="28"/>
          <w:sz w:val="28"/>
          <w:szCs w:val="28"/>
          <w:rtl w:val="true"/>
          <w:lang w:bidi="fa-IR"/>
        </w:rPr>
        <w:t xml:space="preserve">و به تصريح قرآن كريم، هيچ گاه از خود سخنى نمى‌گويد و گفتارش برخاسته از وحى الهى است، </w:t>
      </w:r>
      <w:r>
        <w:rPr>
          <w:rStyle w:val="FootnoteAnchor"/>
          <w:rtl w:val="true"/>
        </w:rPr>
        <w:footnoteReference w:id="21"/>
      </w:r>
      <w:r>
        <w:rPr>
          <w:rFonts w:ascii="IRNazanin" w:hAnsi="IRNazanin" w:eastAsia="IRNazanin"/>
          <w:color w:val="111111"/>
          <w:sz w:val="28"/>
          <w:sz w:val="28"/>
          <w:szCs w:val="28"/>
          <w:rtl w:val="true"/>
          <w:lang w:bidi="fa-IR"/>
        </w:rPr>
        <w:t>در تعيين مراد آيه تطهير و بيان مصاديق آن، دو شيوه مؤثر برگزيده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بيان گفتارى؛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بيان رفتارى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آيه تطهير در بيان گفتارى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فراوانى كه از طريق شيعه و اهل سنّت رسيده است،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آيه تطهير، پارچه‌اى به دست مبارك خويش گرفت و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آن برد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بيتى و هؤلاء أهلى و عترتى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اهل و خاندان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آلودگى را از آنان دور كن و كاملًا پاكشان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 اين روايات كه نزد شيعه و سنّى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به ده‌ها عدد بالغ مى‌شود و جمع كثيرى از صحابه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كرده‌اند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نقل بيشتر روايات، اين جريان در خانه او روى داده،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مى‌كند تا اجازه دهند او نيز به جمع اصحاب كسا بپيوندد و از اين فيض بزرگ بهره‌مند شود،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پيوستن او به جمع اصحاب كسا مانع شده، با تعابير محبّت آميزى از او دلجويى مى‌كنند؛ تعابيرى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يرحمك الله، أنت على مكانك و أنت على خير و إلى خير، و إنّك من أزواج النبىّ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غير از امّ سلمه، همسران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عايشه </w:t>
      </w:r>
      <w:r>
        <w:rPr>
          <w:rStyle w:val="FootnoteAnchor"/>
          <w:rtl w:val="true"/>
        </w:rPr>
        <w:footnoteReference w:id="24"/>
      </w:r>
      <w:r>
        <w:rPr>
          <w:rFonts w:ascii="Amiri" w:hAnsi="Amiri" w:eastAsia="Amiri" w:cs="Amiri"/>
          <w:color w:val="111111"/>
          <w:sz w:val="28"/>
          <w:sz w:val="28"/>
          <w:szCs w:val="28"/>
          <w:rtl w:val="true"/>
          <w:lang w:bidi="ar-SA"/>
        </w:rPr>
        <w:t xml:space="preserve">و زينب </w:t>
      </w:r>
      <w:r>
        <w:rPr>
          <w:rStyle w:val="FootnoteAnchor"/>
          <w:rtl w:val="true"/>
        </w:rPr>
        <w:footnoteReference w:id="25"/>
      </w:r>
      <w:r>
        <w:rPr>
          <w:rFonts w:ascii="Amiri" w:hAnsi="Amiri" w:eastAsia="Amiri" w:cs="Amiri"/>
          <w:color w:val="111111"/>
          <w:sz w:val="28"/>
          <w:sz w:val="28"/>
          <w:szCs w:val="28"/>
          <w:rtl w:val="true"/>
          <w:lang w:bidi="ar-SA"/>
        </w:rPr>
        <w:t>نيز عين ماجراى مذكور را نقل كرده و تصريح كرده‌اند كه آيه تطهير درباره</w:t>
      </w:r>
    </w:p>
    <w:p>
      <w:pPr>
        <w:pStyle w:val="BookText"/>
        <w:rPr/>
      </w:pPr>
      <w:r>
        <w:rPr>
          <w:rFonts w:ascii="Amiri" w:hAnsi="Amiri" w:eastAsia="Amiri" w:cs="Amiri"/>
          <w:color w:val="111111"/>
          <w:sz w:val="28"/>
          <w:sz w:val="28"/>
          <w:szCs w:val="28"/>
          <w:rtl w:val="true"/>
          <w:lang w:bidi="ar-SA"/>
        </w:rPr>
        <w:t>خمسه طيّبه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زيادى از بزرگان صحابه </w:t>
      </w:r>
      <w:r>
        <w:rPr>
          <w:rStyle w:val="FootnoteAnchor"/>
          <w:rtl w:val="true"/>
        </w:rPr>
        <w:footnoteReference w:id="26"/>
      </w:r>
      <w:r>
        <w:rPr>
          <w:rFonts w:ascii="Amiri" w:hAnsi="Amiri" w:eastAsia="Amiri" w:cs="Amiri"/>
          <w:color w:val="111111"/>
          <w:sz w:val="28"/>
          <w:sz w:val="28"/>
          <w:szCs w:val="28"/>
          <w:rtl w:val="true"/>
          <w:lang w:bidi="ar-SA"/>
        </w:rPr>
        <w:t>نيز تصريح كرده‌اند كه آيه تطهير درباره خمسه طيبه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آيه تطهير در بيان رفتارى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ديگرى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مراد از آيه تطهير و بيان مصاديق آن برگزيدند، شيوه‌اى ابتكارى و فراموش نشدنى در مدت زمانى نسبتاً طولانى، در معرفى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بدين سان كه سپيده دم، هنگامى كه براى اقامه نماز صبح از خانه خارج مى‌شدند، به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 أهل البيت إِنَّما يُرِيدُ اللَّهُ لِيُذْهِبَ عَنْكُمُ الرِّجْسَ أَهْلَ الْبَيْتِ وَ يُطَهِّرَكُمْ تَطْهِيراً الصلاة رحمكم الله؛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رحمت و بركات خدا بر شما اهل بيت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كرده تا هر گونه پليدى را از شما اهل بيت دور گرداند و كاملًا پاكتان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مهيّا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اين روش رفتارى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ابوسعيد خدرى، چهل روز </w:t>
      </w:r>
      <w:r>
        <w:rPr>
          <w:rStyle w:val="FootnoteAnchor"/>
          <w:rtl w:val="true"/>
        </w:rPr>
        <w:footnoteReference w:id="27"/>
      </w:r>
      <w:r>
        <w:rPr>
          <w:rFonts w:ascii="Amiri" w:hAnsi="Amiri" w:eastAsia="Amiri" w:cs="Amiri"/>
          <w:color w:val="111111"/>
          <w:sz w:val="28"/>
          <w:sz w:val="28"/>
          <w:szCs w:val="28"/>
          <w:rtl w:val="true"/>
          <w:lang w:bidi="ar-SA"/>
        </w:rPr>
        <w:t xml:space="preserve">، انس بن مالك، شش ماه </w:t>
      </w:r>
      <w:r>
        <w:rPr>
          <w:rStyle w:val="FootnoteAnchor"/>
          <w:rtl w:val="true"/>
        </w:rPr>
        <w:footnoteReference w:id="28"/>
      </w:r>
      <w:r>
        <w:rPr>
          <w:rFonts w:ascii="Amiri" w:hAnsi="Amiri" w:eastAsia="Amiri" w:cs="Amiri"/>
          <w:color w:val="111111"/>
          <w:sz w:val="28"/>
          <w:sz w:val="28"/>
          <w:szCs w:val="28"/>
          <w:rtl w:val="true"/>
          <w:lang w:bidi="ar-SA"/>
        </w:rPr>
        <w:t xml:space="preserve">، ابوحمراء شش و در نقلى هفت يا هشت ماه </w:t>
      </w:r>
      <w:r>
        <w:rPr>
          <w:rStyle w:val="FootnoteAnchor"/>
          <w:rtl w:val="true"/>
        </w:rPr>
        <w:footnoteReference w:id="29"/>
      </w:r>
      <w:r>
        <w:rPr>
          <w:rFonts w:ascii="IRNazanin" w:hAnsi="IRNazanin" w:eastAsia="IRNazanin"/>
          <w:color w:val="111111"/>
          <w:sz w:val="28"/>
          <w:sz w:val="28"/>
          <w:szCs w:val="28"/>
          <w:rtl w:val="true"/>
          <w:lang w:bidi="fa-IR"/>
        </w:rPr>
        <w:t xml:space="preserve">، و ابن عباس، نه ماه </w:t>
      </w:r>
      <w:r>
        <w:rPr>
          <w:rStyle w:val="FootnoteAnchor"/>
          <w:rtl w:val="true"/>
        </w:rPr>
        <w:footnoteReference w:id="30"/>
      </w:r>
      <w:r>
        <w:rPr>
          <w:rFonts w:ascii="IRNazanin" w:hAnsi="IRNazanin" w:eastAsia="IRNazanin"/>
          <w:color w:val="111111"/>
          <w:sz w:val="28"/>
          <w:sz w:val="28"/>
          <w:szCs w:val="28"/>
          <w:rtl w:val="true"/>
          <w:lang w:bidi="fa-IR"/>
        </w:rPr>
        <w:t>اعلام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علّت اختلاف در مدت زمان مذكور، آن است كه هر يك از راويان، تنها مدتى كه خود شاهد آن بود، روايت كرده است؛ بنابراين، ناسازگارى در نقلهاى ياد شده مطرح نيست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نزول آيه تطهير با تعيين مصاديق اهل بيت، راه هر گونه تفسير ناروا را در اين باره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است تا جز معدودى كه نظرشان وزنى ندارد، كسى در اختصاص اين آيه به پنج تن ترديد نكند</w:t>
      </w:r>
      <w:r>
        <w:rPr>
          <w:rFonts w:eastAsia="IRNazanin" w:cs="IRNazanin"/>
          <w:color w:val="111111"/>
          <w:sz w:val="28"/>
          <w:szCs w:val="28"/>
          <w:rtl w:val="true"/>
          <w:lang w:bidi="fa-IR"/>
        </w:rPr>
        <w:t>.</w:t>
      </w:r>
      <w:bookmarkStart w:id="16" w:name="pg1842_16108"/>
    </w:p>
    <w:p>
      <w:pPr>
        <w:pStyle w:val="Heading2"/>
        <w:numPr>
          <w:ilvl w:val="1"/>
          <w:numId w:val="1"/>
        </w:numPr>
        <w:rPr/>
      </w:pPr>
      <w:bookmarkStart w:id="17" w:name="__RefHeading___Toc2817350_3650668749"/>
      <w:bookmarkStart w:id="18" w:name="_Toc6"/>
      <w:bookmarkEnd w:id="16"/>
      <w:bookmarkEnd w:id="17"/>
      <w:r>
        <w:rPr>
          <w:rtl w:val="true"/>
        </w:rPr>
        <w:t>اشتمال آيه تطهير بر ساير امامان شيعه‌</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پيشتر گذشت،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اسلامى به طور ويژه براى خاندان پاك آن حضرت بود؛ به گونه‌اى كه هرگاه اين واژه بدون پسوند به كار مى‌رفت، همگان از آن، مصاديقى جز خاندان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نمى‌فهميدند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 خاندان پاك آن حضرت بوده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بى گمان، اين مسأله به تبعيّت از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تأكيد فراوانى بود كه آن حضرت درباره افراد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كسانى بودند كه از سوى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عناوين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امت اسلامى معرفى</w:t>
      </w:r>
    </w:p>
    <w:p>
      <w:pPr>
        <w:pStyle w:val="BookText"/>
        <w:rPr/>
      </w:pP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مى‌گوييم، مصاديق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افراد ياد شده است و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ياد شده، از باب حصر نيست؛ به گونه‌اى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مذكور اختصاص داشته باشد و ساير امامان شيعه را شامل نشود، بلكه جريان حديث كسا، از قبيل آيه تطهير بر افراد موجود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حصر در آنها؛ در غير اين صورت، به عقيده دانشمندان اماميه و جمع كثيرى از دانشمندان اهل سنّت، همه امامان اماميه جزءاهل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رواياتى كه در معرفى اهل بيت نقل شده، به خوبى استفاده مى‌شود؛ براى مثال، طبق برخى از 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ازدواج على و فاطمه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را تلاوت كرد و پس از ازدواج آنان تا چهل روز پيوسته در خانه آنها مى‌آمد و مى‌فرمود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إِنَّما يُرِيدُ اللَّهُ لِيُذْهِبَ عَنْكُمُ الرِّجْسَ أَهْلَ الْبَيْتِ وَ يُطَهِّرَكُمْ تَطْهِيراً أنا حرب لمن حاربتم، أنا سلم لمن</w:t>
      </w:r>
    </w:p>
    <w:p>
      <w:pPr>
        <w:pStyle w:val="BookText"/>
        <w:rPr/>
      </w:pPr>
      <w:r>
        <w:rPr>
          <w:rFonts w:ascii="IRNazanin" w:hAnsi="IRNazanin" w:eastAsia="IRNazanin"/>
          <w:color w:val="111111"/>
          <w:sz w:val="28"/>
          <w:sz w:val="28"/>
          <w:szCs w:val="28"/>
          <w:rtl w:val="true"/>
          <w:lang w:bidi="fa-IR"/>
        </w:rPr>
        <w:t>سالمتم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دانشمندان شيعه و اهل سنّت پذيرفته‌اند كه امام مهدى كه در آخرالزمان قيام خواهد كرد و با برچيدن بساط ظلم، حكومتى جهانى بر اساس عدل و داد بنا خواهد كرد،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مفيد اين معناست، چنين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 منّا أهل البيت</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ابوسعيد خدرى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المهدىّ‌منّى </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ام سلمه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 من عترتى من ولد فاطمة</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چنان كه مى‌بينيد،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ياد شده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بيت خود به شمار آورده‌اند، حال آنكه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آن زمان وجود نداشت، بلكه تا زمان تولد وى، حدود دويست و پنجاه سال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دانشمندان فريقين، رواياتى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بر طبق آنها،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جانشينان خود و خلفاى امت اسلامى را دوازده تن معرفى كرده و براى آنان اوصافى برشمرده‌اند كه مجموع آن اوصاف، جز بر امامان دوازده گانه تشيع، بر كس ديگرى تطبيق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نقل‌هاى روايات مورد نظر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لايزال الدين قائماً حتّى تقوم الساعة أو يكون عليكم اثنا عشر خليفة كلّهم من قريش </w:t>
      </w:r>
      <w:r>
        <w:rPr>
          <w:rStyle w:val="FootnoteAnchor"/>
          <w:rtl w:val="true"/>
        </w:rPr>
        <w:footnoteReference w:id="36"/>
      </w:r>
      <w:r>
        <w:rPr>
          <w:rFonts w:ascii="IRNazanin" w:hAnsi="IRNazanin" w:eastAsia="IRNazanin"/>
          <w:color w:val="111111"/>
          <w:sz w:val="28"/>
          <w:sz w:val="28"/>
          <w:szCs w:val="28"/>
          <w:rtl w:val="true"/>
          <w:lang w:bidi="fa-IR"/>
        </w:rPr>
        <w:t>همواره دين خدا استوار و پابرجاست تا آنكه قيامت به پا شود يا دوازده نفر خليفه براى شما وجود داشته باشند كه همگى آنان از قريش‌اند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فوق را بخارى از سه طريق </w:t>
      </w:r>
      <w:r>
        <w:rPr>
          <w:rStyle w:val="FootnoteAnchor"/>
          <w:rtl w:val="true"/>
        </w:rPr>
        <w:footnoteReference w:id="37"/>
      </w:r>
      <w:r>
        <w:rPr>
          <w:rFonts w:ascii="Amiri" w:hAnsi="Amiri" w:eastAsia="Amiri" w:cs="Amiri"/>
          <w:color w:val="111111"/>
          <w:sz w:val="28"/>
          <w:sz w:val="28"/>
          <w:szCs w:val="28"/>
          <w:rtl w:val="true"/>
          <w:lang w:bidi="ar-SA"/>
        </w:rPr>
        <w:t xml:space="preserve">، مسلم از هشت طريق </w:t>
      </w:r>
      <w:r>
        <w:rPr>
          <w:rStyle w:val="FootnoteAnchor"/>
          <w:rtl w:val="true"/>
        </w:rPr>
        <w:footnoteReference w:id="38"/>
      </w:r>
      <w:r>
        <w:rPr>
          <w:rFonts w:ascii="Amiri" w:hAnsi="Amiri" w:eastAsia="Amiri" w:cs="Amiri"/>
          <w:color w:val="111111"/>
          <w:sz w:val="28"/>
          <w:sz w:val="28"/>
          <w:szCs w:val="28"/>
          <w:rtl w:val="true"/>
          <w:lang w:bidi="ar-SA"/>
        </w:rPr>
        <w:t xml:space="preserve">، ابوداود از دو طريق </w:t>
      </w:r>
      <w:r>
        <w:rPr>
          <w:rStyle w:val="FootnoteAnchor"/>
          <w:rtl w:val="true"/>
        </w:rPr>
        <w:footnoteReference w:id="39"/>
      </w:r>
      <w:r>
        <w:rPr>
          <w:rFonts w:ascii="Amiri" w:hAnsi="Amiri" w:eastAsia="Amiri" w:cs="Amiri"/>
          <w:color w:val="111111"/>
          <w:sz w:val="28"/>
          <w:sz w:val="28"/>
          <w:szCs w:val="28"/>
          <w:rtl w:val="true"/>
          <w:lang w:bidi="ar-SA"/>
        </w:rPr>
        <w:t xml:space="preserve">، ترمذى از دو طريق </w:t>
      </w:r>
      <w:r>
        <w:rPr>
          <w:rStyle w:val="FootnoteAnchor"/>
          <w:rtl w:val="true"/>
        </w:rPr>
        <w:footnoteReference w:id="40"/>
      </w:r>
      <w:r>
        <w:rPr>
          <w:rFonts w:ascii="Amiri" w:hAnsi="Amiri" w:eastAsia="Amiri" w:cs="Amiri"/>
          <w:color w:val="111111"/>
          <w:sz w:val="28"/>
          <w:sz w:val="28"/>
          <w:szCs w:val="28"/>
          <w:rtl w:val="true"/>
          <w:lang w:bidi="ar-SA"/>
        </w:rPr>
        <w:t xml:space="preserve">و احمد بن حنبل از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Style w:val="FootnoteAnchor"/>
          <w:rtl w:val="true"/>
        </w:rPr>
        <w:footnoteReference w:id="41"/>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bookmarkStart w:id="19" w:name="pg1842_16112"/>
    </w:p>
    <w:p>
      <w:pPr>
        <w:pStyle w:val="Heading2"/>
        <w:numPr>
          <w:ilvl w:val="1"/>
          <w:numId w:val="1"/>
        </w:numPr>
        <w:rPr/>
      </w:pPr>
      <w:bookmarkStart w:id="20" w:name="__RefHeading___Toc2817352_3650668749"/>
      <w:bookmarkStart w:id="21" w:name="_Toc7"/>
      <w:bookmarkEnd w:id="19"/>
      <w:bookmarkEnd w:id="20"/>
      <w:r>
        <w:rPr>
          <w:rtl w:val="true"/>
        </w:rPr>
        <w:t xml:space="preserve">ويژگى‌ها و اوصاف امامان </w:t>
      </w:r>
      <w:r>
        <w:rPr>
          <w:rtl w:val="true"/>
        </w:rPr>
        <w:t>(</w:t>
      </w:r>
      <w:r>
        <w:rPr>
          <w:rtl w:val="true"/>
        </w:rPr>
        <w:t>عليهم السلام</w:t>
      </w:r>
      <w:r>
        <w:rPr>
          <w:rtl w:val="true"/>
        </w:rPr>
        <w:t xml:space="preserve">) </w:t>
      </w:r>
      <w:r>
        <w:rPr>
          <w:rtl w:val="true"/>
        </w:rPr>
        <w:t xml:space="preserve">در حديث </w:t>
      </w:r>
      <w:r>
        <w:rPr>
          <w:rtl w:val="true"/>
        </w:rPr>
        <w:t>«</w:t>
      </w:r>
      <w:r>
        <w:rPr>
          <w:rtl w:val="true"/>
        </w:rPr>
        <w:t xml:space="preserve">لايزال الدّين قائما </w:t>
      </w:r>
      <w:r>
        <w:rPr>
          <w:rtl w:val="true"/>
        </w:rPr>
        <w:t>...»</w:t>
      </w:r>
      <w:bookmarkEnd w:id="21"/>
    </w:p>
    <w:p>
      <w:pPr>
        <w:pStyle w:val="BookText"/>
        <w:rPr/>
      </w:pPr>
      <w:r>
        <w:rPr>
          <w:rFonts w:ascii="IRNazanin" w:hAnsi="IRNazanin" w:eastAsia="IRNazanin"/>
          <w:color w:val="111111"/>
          <w:sz w:val="28"/>
          <w:sz w:val="28"/>
          <w:szCs w:val="28"/>
          <w:rtl w:val="true"/>
          <w:lang w:bidi="fa-IR"/>
        </w:rPr>
        <w:t>اهمّ ويژگى‌هاى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بدين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آنان دوازده نفر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خليفة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همگى آنان از قريش‌اند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دوازده نفر خلفاى كلّ امّت‌اند، نه بخشى از امّت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جابر بن مسرة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لهذه الأمّة اثنا عشر خليفة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در حديث ابوجحيفه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لايزاد أمر أمّتى صالحاً حتّى يمضى اثنا عشر خليفة كلّهم من</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عبدالله بن مسعود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كم يملك هذه الأمّة من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بنى إسرائيل</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مسروق </w:t>
      </w:r>
      <w:r>
        <w:rPr>
          <w:rStyle w:val="FootnoteAnchor"/>
          <w:rtl w:val="true"/>
        </w:rPr>
        <w:footnoteReference w:id="4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كوفه نزد عبدالله بن مسعود نشسته بوديم و او به ما قرآن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پرسيديد كه اين امّت چند نفر خليفه خواهند داشت؟ عبدالله در پاسخ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هنگامى كه به عراق آمده‌ام، تو نخستين كسى هستى كه از من چنين پرسشى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پرسيديم و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تن خواهند بود به تعداد نقباى بنى‌اسرائيل</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مى‌بينيد، در همه اين روايات سخن از اين است كه اين دوازده نفر، خلفاى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پيروان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قيامت شامل مى‌شود و به هيچ وجه نمى‌توان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مسلمانان قرن اوّل يا دوم هجرى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خلافت اينان بلافاصله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من بعدى اثنا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وقتى به گذشته امّت اسلامى مى‌نگريم، جز امامان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نمى‌يابيم كه تعداد آنان دوازده نفر، همگى از قريش، خلفاى كلّ امّت اسلامى، و آغاز خلافتشان بلافاصله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جهان هيچ گاه از وجود يكى از آنان خالى نباشد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سنّت در توجيه احاديث فوق كوشيده‌اند تا با گزينش جمعى از حاكمان اموى و عباسى و انضمام آنان به خلفاى راشدين، دوازده نفر مذكور در روايات فوق را تعيين كرده و آنان را مصداق آن روايات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و ابن حجر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دوازده گانه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عبدالملك؛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عبدالملك؛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عبدالملك؛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عبدالملك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يزيد بن عبدالملك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از خلفاى دوازده گانه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احتمال داده كه دو نفر ديگر از خلفاى دوازده گانه، المهتدى و الظاهر از حاكمان عباسى باشند؛ چون اين دو به عقيده سيوطى، افراد عادلى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دو نفر ديگر باقى مانده‌اند كه بايد منتظر آنان بمانيم؛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نفر دوم را مسكوت گذاشته و از وى</w:t>
      </w:r>
    </w:p>
    <w:p>
      <w:pPr>
        <w:pStyle w:val="BookText"/>
        <w:rPr/>
      </w:pPr>
      <w:r>
        <w:rPr>
          <w:rFonts w:ascii="IRNazanin" w:hAnsi="IRNazanin" w:eastAsia="IRNazanin"/>
          <w:color w:val="111111"/>
          <w:sz w:val="28"/>
          <w:sz w:val="28"/>
          <w:szCs w:val="28"/>
          <w:rtl w:val="true"/>
          <w:lang w:bidi="fa-IR"/>
        </w:rPr>
        <w:t>نام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مى‌بينيم كه دانشمند پرآوازه‌اى مانند سيوطى، تنها توانسته به گمان خود، نام يازده نفر از خلفاى دوازده گانه رسول خدا را آن هم بر اساس حدس و گمان مشخص كند و از تعيين نفر دوازدهم عاجز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توجيهات به دلايلى پذيرفته نيست؛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راشدين نمى‌توانند مصداق احاديث فوق باشند؛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عدد آنها كمتر از دوازده نفر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خلفاى كلّ امّت نيستند؛ زيرا دوران خلافتشان حدود سى سال بيشتر ادامه نيافته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اموى نيز نمى‌توانند مصداق احاديث باشند،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عددشان بيشتر از دوازده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خلفاى كلّ امّت نيستند، بلكه دوران حكومت آنان در اوايل قرن دوم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 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تقريباً همه آنان، افرادى فاسق و ستمگر</w:t>
      </w:r>
    </w:p>
    <w:p>
      <w:pPr>
        <w:pStyle w:val="BookText"/>
        <w:rPr/>
      </w:pPr>
      <w:r>
        <w:rPr>
          <w:rFonts w:ascii="IRNazanin" w:hAnsi="IRNazanin" w:eastAsia="IRNazanin"/>
          <w:color w:val="111111"/>
          <w:sz w:val="28"/>
          <w:sz w:val="28"/>
          <w:szCs w:val="28"/>
          <w:rtl w:val="true"/>
          <w:lang w:bidi="fa-IR"/>
        </w:rPr>
        <w:t xml:space="preserve">بوده‌اند </w:t>
      </w:r>
      <w:r>
        <w:rPr>
          <w:rStyle w:val="FootnoteAnchor"/>
          <w:rtl w:val="true"/>
        </w:rPr>
        <w:footnoteReference w:id="50"/>
      </w:r>
      <w:r>
        <w:rPr>
          <w:rFonts w:ascii="IRNazanin" w:hAnsi="IRNazanin" w:eastAsia="IRNazanin"/>
          <w:color w:val="111111"/>
          <w:sz w:val="28"/>
          <w:sz w:val="28"/>
          <w:szCs w:val="28"/>
          <w:rtl w:val="true"/>
          <w:lang w:bidi="fa-IR"/>
        </w:rPr>
        <w:t>و زندگى آنان به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شباهتى نداشته است تا بتوان آنان را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حكومتشان بلافاصله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عباسى نيز نمى‌توانند مصداق احاديث خلفاى اثنا عشر باشند؛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عدد آنان بيش از دوازده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خلفاى كلّ امّت نبوده‌اند، بلكه حكومت آنان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در اواسط قرن هفتم هجرى با سقوط بغداد پايان يافته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ثالثاً، تقريباً همه آنان افرادى ظالم، ستمگر و بى دين بوده‌اند </w:t>
      </w:r>
      <w:r>
        <w:rPr>
          <w:rStyle w:val="FootnoteAnchor"/>
          <w:rtl w:val="true"/>
        </w:rPr>
        <w:footnoteReference w:id="52"/>
      </w:r>
      <w:r>
        <w:rPr>
          <w:rFonts w:ascii="IRNazanin" w:hAnsi="IRNazanin" w:eastAsia="IRNazanin"/>
          <w:color w:val="111111"/>
          <w:sz w:val="28"/>
          <w:sz w:val="28"/>
          <w:szCs w:val="28"/>
          <w:rtl w:val="true"/>
          <w:lang w:bidi="fa-IR"/>
        </w:rPr>
        <w:t>و زندگى و عملكرد آنان به زندگى و عملكرد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شباهتى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حكومتشان بلافاصله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مباحث گذشته، چنان كه ديديم، اكثر كسانى كه دانشمندان اهل سنّت، آنان را به عنوان</w:t>
      </w:r>
    </w:p>
    <w:p>
      <w:pPr>
        <w:pStyle w:val="BookText"/>
        <w:rPr/>
      </w:pPr>
      <w:r>
        <w:rPr>
          <w:rFonts w:ascii="IRNazanin" w:hAnsi="IRNazanin" w:eastAsia="IRNazanin"/>
          <w:color w:val="111111"/>
          <w:sz w:val="28"/>
          <w:sz w:val="28"/>
          <w:szCs w:val="28"/>
          <w:rtl w:val="true"/>
          <w:lang w:bidi="fa-IR"/>
        </w:rPr>
        <w:t xml:space="preserve">مصاديق احاديث خلفاى اثنا عشر برگزيده‌اند، حاكمان اموى‌اند و اينان كسانى‌اند كه پيامبر آنان را لعن و نفرين كرده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حافظان اهل سنّت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صحيحى را نقل كرده‌اند كه نشان مى‌دهد، در هر عصرى براى مردم آن عصر مردمى هست و مسلمانان وظيفه دارند، آن امام را بشناسند و بيعت او را بر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امام به اندازه‌اى است كه هر كس بميرد و او را نشناسد و در بيعت او قرار نداشته باشد، مرگش، مرگ جاهلى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ليس فى عنقه بيعة، مات ميتة جاهليّة</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حضرت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إمام، مات ميتة جاهليّة</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هذا الأمر فى قريش ما بقى من الناس اثنان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همواره امر خلافت در ميان قريش است تا آنگاه كه دو نفر انسان در جهان باقى باشند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احاديث دسته نخست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امامى وجود دارد كه مردم وظيفه دارند او را بشناسند، و در بيعت او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دسته دوم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بايد از تبار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وظيفه امّت اسلامى اين است كه پس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در هر زمانى، در بيعت امامى باشند كه از تبار قريش و از دودمان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اين معنا، به هيچ وجه با توجيهات دانشمندان اهل سنّت درباره احاديث تعداد خلفاى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چرا كه امروز، اهل سنّت فاقد چنين خليفه‌اى مى‌باشند، در حالى كه بايد همواره از وجود چنين امام و خليفه‌اى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مجموع اين احاديث، مؤيّد ديدگاه دانشمندان شيعه اماميه درباره امامان و خلفاى دوازده گانه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معتقدند مصداق احاديث خلفاى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هستند كه همگى آنان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خلافت آنان نيز لزوماً به معناى حكومت ظاهرى نيست، بلكه به معناى حقّى الهى و استحقاقى است كه از جانب خدا و به واسطه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 اين سلسله،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آنان،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عمرى غير متعارف و طولانى برخوردار است، به گونه‌اى كه جهان هيچ گاه از وجود يكى از آنان خالى نبوده ونخواهد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بشارت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 دوازده خليفه پس از وى، سخنى عادى نيست، بلكه بشارتى الهى و ابلاغ شده از سوى خداوند است؛ چرا كه آن حضرت، هيچ گاه از پيش خود سخنى نمى‌گويد و سخن او چيزى جز وحى الهى نيست </w:t>
      </w:r>
      <w:r>
        <w:rPr>
          <w:rStyle w:val="FootnoteAnchor"/>
          <w:rtl w:val="true"/>
        </w:rPr>
        <w:footnoteReference w:id="59"/>
      </w:r>
      <w:r>
        <w:rPr>
          <w:rFonts w:ascii="IRNazanin" w:hAnsi="IRNazanin" w:eastAsia="IRNazanin"/>
          <w:color w:val="111111"/>
          <w:sz w:val="28"/>
          <w:sz w:val="28"/>
          <w:szCs w:val="28"/>
          <w:rtl w:val="true"/>
          <w:lang w:bidi="fa-IR"/>
        </w:rPr>
        <w:t>، به ويژه درباره موضوع مهمّى مانند جانشينان</w:t>
      </w:r>
    </w:p>
    <w:p>
      <w:pPr>
        <w:pStyle w:val="BookText"/>
        <w:rPr/>
      </w:pPr>
      <w:r>
        <w:rPr>
          <w:rFonts w:ascii="IRNazanin" w:hAnsi="IRNazanin" w:eastAsia="IRNazanin"/>
          <w:color w:val="111111"/>
          <w:sz w:val="28"/>
          <w:sz w:val="28"/>
          <w:szCs w:val="28"/>
          <w:rtl w:val="true"/>
          <w:lang w:bidi="fa-IR"/>
        </w:rPr>
        <w:t>خود و رهبران امّت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بشارت، بشارتى الهى و بشارت دهنده، پيامبر خداست، بايد مصاديق بشارت نيز الهى باشد و تعيين آنان به اذن خدا و به واسطه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چرا كه با اين ويژگى‌ها، معنا ندارد تعيين مصاديق بشارت، آن هم درباره چنين مسأله مهمّى، به دانشمندان دربار حاكمان اموى و عباسى سپرده شود تا بر اساس ذوق، سليقه و گرايش‌هاى فكرى خود، در اين باره تصميم بگيرند و هر كسى، عده‌اى را به عنوان مصداق اين بشارت معرفى كند و حاصل انتخاب آنان، اين باشد كه عدّه‌اى از عناصر شيطانى از بنى اميه و بنى‌عباس به عنوان جانشينان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معرفى 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مباحث گذشته، دانشمندان شيعه و شمارى از دانشمندان اهل سنّت، احاديثى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به صراحت نشان مى‌دهد همة امامان شيعه، جزء اهل بيت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در تفاسير روايى شيعه، مانند نورالثقلين، تفسير قمى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تطهير و آيه اولى الامر </w:t>
      </w:r>
      <w:r>
        <w:rPr>
          <w:rStyle w:val="FootnoteAnchor"/>
          <w:rtl w:val="true"/>
        </w:rPr>
        <w:footnoteReference w:id="60"/>
      </w:r>
      <w:r>
        <w:rPr>
          <w:rFonts w:ascii="Amiri" w:hAnsi="Amiri" w:eastAsia="Amiri" w:cs="Amiri"/>
          <w:color w:val="111111"/>
          <w:sz w:val="28"/>
          <w:sz w:val="28"/>
          <w:szCs w:val="28"/>
          <w:rtl w:val="true"/>
          <w:lang w:bidi="ar-SA"/>
        </w:rPr>
        <w:t xml:space="preserve">و يا در كتاب‌هايى مانند كافى، كفاية الأثر، فرائد السمطين، ينابيع المودة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 است</w:t>
      </w:r>
      <w:r>
        <w:rPr>
          <w:rFonts w:eastAsia="Amiri" w:cs="Amiri" w:ascii="Amiri" w:hAnsi="Amiri"/>
          <w:color w:val="111111"/>
          <w:sz w:val="28"/>
          <w:szCs w:val="28"/>
          <w:rtl w:val="true"/>
          <w:lang w:bidi="ar-SA"/>
        </w:rPr>
        <w:t>.</w:t>
      </w:r>
      <w:bookmarkStart w:id="22" w:name="pg1842_16124"/>
    </w:p>
    <w:p>
      <w:pPr>
        <w:pStyle w:val="Heading2"/>
        <w:numPr>
          <w:ilvl w:val="1"/>
          <w:numId w:val="1"/>
        </w:numPr>
        <w:rPr/>
      </w:pPr>
      <w:bookmarkStart w:id="23" w:name="__RefHeading___Toc2817354_3650668749"/>
      <w:bookmarkStart w:id="24" w:name="_Toc8"/>
      <w:bookmarkEnd w:id="22"/>
      <w:bookmarkEnd w:id="23"/>
      <w:r>
        <w:rPr>
          <w:rtl w:val="true"/>
        </w:rPr>
        <w:t>كتاب شناسى‌</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ابن حنبل،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دمشق، ابن عساكر، بيروت، دار 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ابن كثير دمشقى، چاپ دوم، بيروت، دارالمعرفه،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محمد بن يزيد قزوينى، دار 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ابوداود سليمان بن اشعث سجستانى، چاپ اوّل، بيروت، دارالفكر،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ابوداود طيالسى، بيروت، دارالحديث،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الاولياء، ابونعيم اصفهانى،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سلسلةالصحيحة، محمد ناصرالدين البانى، رياض، نشر دارالمعارف،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محمد بن اسماعيل بخارى، بيروت، 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بخارى، محمد بن اسماعيل بخارى، بيروت، دارالجيل،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ابوبكر احمد بن حسين بن على بيهقى، تحقيق يوسف عبدالرحمان المرعشلى، بيروت، دارالمعرفه،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سعدالدين تفتازانى، قم، چاپ رضى،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محمد بن ابراهيم جوينى، بيروت، مؤسسة محمودى للطباعة و النشر،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عبيدالله بن عبدالله حاكم حسكانى، چاپ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محمد بن عبدالله حاكم نيشابورى، بيروت، دارالكتاب العربى و دارالكتب العلميه،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شيخ سليمان حنفى قندوزى، قم، چاپ رضى،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 خطيب بغدادى، بيروت، دارالكتب العلميه،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 شمس الدين ذهبى، ذيل مستدرك حاكم، دارالكتاب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محمد بن عمر رازى، دار 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الفاظ القرآن، ابوالقاسم حسين راغب اصفهانى،، قم، دارالكتب العلميه،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فى تفسير المأثور، جلال الدين سيوطى، چاپ اوّل، بيروت، دار الفكر،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 جلال الدين سيوطى، بيروت، دارالقلم،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امام شافعى، محمد بن ادريس شافعى، گردآورى محمد عبدالرحيم، دارالفكر،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محمد بن على بن محمد شوكانى، بيروت، دارالمعرفة للطباعة و النشر،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احمد طبرانى، بيروت، دار 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 فضل بن حسن طبرسى، بى نا، بى جا،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فى تفسير القرآن، محمد بن جرير طبرى، بيروت، دارالمعرفة،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الآثار، ابوجعفر طحاوى، چاپ اوّل،</w:t>
      </w:r>
    </w:p>
    <w:p>
      <w:pPr>
        <w:pStyle w:val="BookText"/>
        <w:rPr/>
      </w:pPr>
      <w:r>
        <w:rPr>
          <w:rFonts w:ascii="Amiri" w:hAnsi="Amiri" w:eastAsia="Amiri" w:cs="Amiri"/>
          <w:color w:val="111111"/>
          <w:sz w:val="28"/>
          <w:sz w:val="28"/>
          <w:szCs w:val="28"/>
          <w:rtl w:val="true"/>
          <w:lang w:bidi="ar-SA"/>
        </w:rPr>
        <w:t xml:space="preserve">بيروت، دار صادر،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البارى، ابن حجر عسقلانى، تحقيق محب‌الدين خطيب، بيروت، 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احمد بن محمد قرطبى، بيروت، داراحياء التراث العربى،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قرآن، سيد على اكبر قريشى، تهران، دارالكتب الاسلامية،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متقى هندى، بيروت، مؤسسةالرساله،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محمد بن عيسى ترمذى، چاپ سلفيه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 اهل البيت، محمد بيّومى مهران، مصر، دارالنهضة العربيه،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مسلم بن حجاج قشيرى نيشابورى، بيروت، دارالفكر،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التطهير فى احاديث الفريقين، سيد على موحد ابطحى،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احمد بن حجر هيثمى مكى، چاپ 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الزوائد و منبع الفوائد، نورالدين على ابن ابى‌بكر هيثمى،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خدا فقط مى‌خواهد آلودگى را از شما خاندان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بزدايد و شما را پاك و پاكيزه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ازاى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پاداشى از شما نمى‌خواهم، مگر دوستى خويشاوندانم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وَحْىٌ يُوحى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المستدرك، حاكم نيشابورى،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غفارى از پيامبر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بيتى فيكم مثل سفينه نوح من ركبها نجا و 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حاكم نيشابورى،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معجم الزوائد، 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تاريخ بغداد، خطيب بغدادى،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حلية الأولياء، ابونعيم،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الدرّ المنثور، سيوطى،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شافعى،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 فقط مى‌خواهد آلودگى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بزدايد و شما را پاك و پاكيزه گرداند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قريشى،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الكبير، رازى،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الدرّ 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المستدرك، حاكم نيشابورى،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الدرّ 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جامع البيان، طبرى،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تلخيص المستدرك، ذهبى،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سنن الكبرى، 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مشكل الآثار، طحاوى،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الجامع الصحيح، مسلم، كتاب فضائل صحابه،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فضائل اهل بيت النبى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ترمذى، كتاب 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فرائد السمطين، جوينى،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التطهير، موحد ابطحى،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طبرسى،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طبرسى،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إِلَيْكَ الذِّكْرَ لِتُبَيِّنَ لِلنَّاسِ ما نُزِّلَ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المستدرك، حاكم نيشابورى،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مشكل الآثار، طحاوى،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جامع البيان، طبرى،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المستدرك، حاكم نيشابورى،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مشكل الآثار، طحاوى،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جامع البيان، طبرى،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جوينى،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آنان و منابعى كه سخنان آنها در آن ثبت شده، پيشتر گذشت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الدرّ 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شواهد التنزيل، حاكم حسكانى،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w:t>
      </w:r>
      <w:r>
        <w:rPr>
          <w:rFonts w:eastAsia="IRNazanin" w:cs="IRNazanin"/>
          <w:b w:val="false"/>
          <w:bCs w:val="false"/>
          <w:i w:val="false"/>
          <w:iCs w:val="false"/>
          <w:color w:val="333333"/>
          <w:sz w:val="20"/>
          <w:szCs w:val="20"/>
        </w:rPr>
        <w:t>64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معجم الزوائد، 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الفتن،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ابوداود، كتاب المهدى؛ المستدرك، حاكم نيشابورى،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ابوداود، كتاب المهدىّ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كتاب اماره، باب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احكام،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التاريخ الكبير، 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كتاب اماره، باب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كتاب المهدىّ</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الفتن، باب </w:t>
      </w:r>
      <w:r>
        <w:rPr>
          <w:rFonts w:eastAsia="IRNazanin" w:cs="IRNazanin"/>
          <w:b w:val="false"/>
          <w:bCs w:val="false"/>
          <w:i w:val="false"/>
          <w:iCs w:val="false"/>
          <w:color w:val="333333"/>
          <w:sz w:val="20"/>
          <w:szCs w:val="20"/>
        </w:rPr>
        <w:t>46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ذيل احاديث جابر بن سمرة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كنزالعمّال، متقى هندى،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نيشابورى،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معجم الزوائد، هيثمى،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التاريخ الكبير،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كنزالعمّال، متقى هندى،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المستدرك، حاكم نيشابورى،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معجم الزوائد، هيثمى،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فتح البارى، ابن حجر عسقلانى،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سلسلة الصحيحة، البانى،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آنان و منابعى كه سخنان آنها در آن ثبت شده، پيشتر گذشت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فتن،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ابن حجر عسقلانى،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هيثمى، </w:t>
      </w:r>
      <w:r>
        <w:rPr>
          <w:rFonts w:eastAsia="IRNazanin" w:cs="IRNazanin"/>
          <w:b w:val="false"/>
          <w:bCs w:val="false"/>
          <w:i w:val="false"/>
          <w:iCs w:val="false"/>
          <w:color w:val="333333"/>
          <w:sz w:val="20"/>
          <w:szCs w:val="20"/>
        </w:rPr>
        <w:t>219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آنان و منابعى كه سخنان آنها در آن ثبت شده، پيشتر گذشت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حنفى قندوزى،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شوكانى،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معجم الزوائد، هيثمى،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كتاب اماره،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سلسلة الصحيحة، البانى،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ابوداود طيالسى،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التاريخ الكبير، 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كتاب اماره،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آنان و منابعى كه سخنان آنها در آن ثبت شده، پيشتر گذشت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از روى هواى نفس سخن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مى‌گويد، چيزى جز وحى كه بر او نازل شده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أُولِى الأَمْرِ مِنْكُمْ فَإِنْ تَنازَعْتُمْ فِي شَي‌ءٍ فَرُدُّوهُ إِلَى اللَّهِ وَ الرَّسُولِ إِنْ كُنْتُمْ تُؤْمِنُونَ بِاللَّهِ وَ الْيَوْمِ الآْخِرِ ذلِكَ خَيْرٌ وَ أَحْسَنُ تَأْوِيلًا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اى كسانى كه ايمان آورده‌ايد، خدا را اطاعت كنيد و پيامبر و اولياى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كنيد؛ پس هر گاه در امرى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نظر يافتيد، اگر به خدا و روز بازپسين ايمان داريد،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بداريد، اين بهتر و نيك‌فرجام‌تر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5595</Words>
  <Characters>23187</Characters>
  <CharactersWithSpaces>28541</CharactersWithSpaces>
  <Paragraphs>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2026-08-16T19:11:33Z</dcterms:created>
  <dc:creator>ghaemiyeh.com</dc:creator>
  <dc:description/>
  <dc:language>en-US</dc:language>
  <cp:lastModifiedBy/>
  <dcterms:modified xsi:type="dcterms:W3CDTF">2026-08-16T22:41:34Z</dcterms:modified>
  <cp:revision>1</cp:revision>
  <dc:subject/>
  <dc:title>مفهوم شناسی و مصداق یابی اهل بیت علیهم السلام</dc:title>
</cp:coreProperties>
</file>

<file path=docProps/custom.xml><?xml version="1.0" encoding="utf-8"?>
<Properties xmlns="http://schemas.openxmlformats.org/officeDocument/2006/custom-properties" xmlns:vt="http://schemas.openxmlformats.org/officeDocument/2006/docPropsVTypes"/>
</file>