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مردم در انقلاب جهانی حضرت مهدی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47025_3650668749">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2647027_3650668749">
            <w:r>
              <w:rPr>
                <w:webHidden/>
                <w:rStyle w:val="IndexLink"/>
                <w:rtl w:val="true"/>
              </w:rPr>
              <w:t>پيش‌گفتار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2647029_3650668749">
            <w:r>
              <w:rPr>
                <w:webHidden/>
                <w:rStyle w:val="IndexLink"/>
                <w:rtl w:val="true"/>
              </w:rPr>
              <w:t>بخش نخست</w:t>
            </w:r>
            <w:r>
              <w:rPr>
                <w:rStyle w:val="IndexLink"/>
                <w:rtl w:val="true"/>
              </w:rPr>
              <w:t xml:space="preserve">: </w:t>
            </w:r>
            <w:r>
              <w:rPr>
                <w:rStyle w:val="IndexLink"/>
                <w:rtl w:val="true"/>
              </w:rPr>
              <w:t>مفاهيم و مباني</w:t>
            </w:r>
            <w:r>
              <w:rPr>
                <w:rStyle w:val="IndexLink"/>
                <w:rtl w:val="true"/>
              </w:rPr>
              <w:tab/>
            </w:r>
            <w:r>
              <w:rPr>
                <w:rStyle w:val="IndexLink"/>
              </w:rPr>
              <w:t>14</w:t>
            </w:r>
          </w:hyperlink>
        </w:p>
        <w:p>
          <w:pPr>
            <w:pStyle w:val="Contents3"/>
            <w:tabs>
              <w:tab w:val="clear" w:pos="8459"/>
              <w:tab w:val="right" w:pos="9026" w:leader="dot"/>
            </w:tabs>
            <w:rPr/>
          </w:pPr>
          <w:hyperlink w:anchor="__RefHeading___Toc2647031_3650668749">
            <w:r>
              <w:rPr>
                <w:webHidden/>
                <w:rStyle w:val="IndexLink"/>
                <w:rtl w:val="true"/>
              </w:rPr>
              <w:t>فصل اول</w:t>
            </w:r>
            <w:r>
              <w:rPr>
                <w:rStyle w:val="IndexLink"/>
                <w:rtl w:val="true"/>
              </w:rPr>
              <w:t xml:space="preserve">: </w:t>
            </w:r>
            <w:r>
              <w:rPr>
                <w:rStyle w:val="IndexLink"/>
                <w:rtl w:val="true"/>
              </w:rPr>
              <w:t>مفاهيم</w:t>
            </w:r>
            <w:r>
              <w:rPr>
                <w:rStyle w:val="IndexLink"/>
                <w:rtl w:val="true"/>
              </w:rPr>
              <w:tab/>
            </w:r>
            <w:r>
              <w:rPr>
                <w:rStyle w:val="IndexLink"/>
              </w:rPr>
              <w:t>14</w:t>
            </w:r>
          </w:hyperlink>
        </w:p>
        <w:p>
          <w:pPr>
            <w:pStyle w:val="Contents4"/>
            <w:tabs>
              <w:tab w:val="clear" w:pos="8176"/>
              <w:tab w:val="right" w:pos="9026" w:leader="dot"/>
            </w:tabs>
            <w:rPr/>
          </w:pPr>
          <w:hyperlink w:anchor="__RefHeading___Toc2647033_3650668749">
            <w:r>
              <w:rPr>
                <w:webHidden/>
                <w:rStyle w:val="IndexLink"/>
                <w:rtl w:val="true"/>
              </w:rPr>
              <w:t>مقدمه</w:t>
            </w:r>
            <w:r>
              <w:rPr>
                <w:rStyle w:val="IndexLink"/>
                <w:rtl w:val="true"/>
              </w:rPr>
              <w:tab/>
            </w:r>
            <w:r>
              <w:rPr>
                <w:rStyle w:val="IndexLink"/>
              </w:rPr>
              <w:t>14</w:t>
            </w:r>
          </w:hyperlink>
        </w:p>
        <w:p>
          <w:pPr>
            <w:pStyle w:val="Contents4"/>
            <w:tabs>
              <w:tab w:val="clear" w:pos="8176"/>
              <w:tab w:val="right" w:pos="9026" w:leader="dot"/>
            </w:tabs>
            <w:rPr/>
          </w:pPr>
          <w:hyperlink w:anchor="__RefHeading___Toc2647035_3650668749">
            <w:r>
              <w:rPr>
                <w:webHidden/>
                <w:rStyle w:val="IndexLink"/>
                <w:rtl w:val="true"/>
              </w:rPr>
              <w:t>واژه ‌ها و اصطلاحات اساسي</w:t>
            </w:r>
            <w:r>
              <w:rPr>
                <w:rStyle w:val="IndexLink"/>
                <w:rtl w:val="true"/>
              </w:rPr>
              <w:tab/>
            </w:r>
            <w:r>
              <w:rPr>
                <w:rStyle w:val="IndexLink"/>
              </w:rPr>
              <w:t>15</w:t>
            </w:r>
          </w:hyperlink>
        </w:p>
        <w:p>
          <w:pPr>
            <w:pStyle w:val="Contents5"/>
            <w:tabs>
              <w:tab w:val="clear" w:pos="7892"/>
              <w:tab w:val="right" w:pos="9026" w:leader="dot"/>
            </w:tabs>
            <w:rPr/>
          </w:pPr>
          <w:hyperlink w:anchor="__RefHeading___Toc2647037_3650668749">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2647039_3650668749">
            <w:r>
              <w:rPr>
                <w:webHidden/>
                <w:rStyle w:val="IndexLink"/>
                <w:rtl w:val="true"/>
              </w:rPr>
              <w:t>ـ ظهور حضرت مهدي عجل الله فرجه</w:t>
            </w:r>
            <w:r>
              <w:rPr>
                <w:rStyle w:val="IndexLink"/>
                <w:rtl w:val="true"/>
              </w:rPr>
              <w:tab/>
            </w:r>
            <w:r>
              <w:rPr>
                <w:rStyle w:val="IndexLink"/>
              </w:rPr>
              <w:t>16</w:t>
            </w:r>
          </w:hyperlink>
        </w:p>
        <w:p>
          <w:pPr>
            <w:pStyle w:val="Contents5"/>
            <w:tabs>
              <w:tab w:val="clear" w:pos="7892"/>
              <w:tab w:val="right" w:pos="9026" w:leader="dot"/>
            </w:tabs>
            <w:rPr/>
          </w:pPr>
          <w:hyperlink w:anchor="__RefHeading___Toc2647041_3650668749">
            <w:r>
              <w:rPr>
                <w:webHidden/>
                <w:rStyle w:val="IndexLink"/>
                <w:rtl w:val="true"/>
              </w:rPr>
              <w:t>ـ قيام حضرت مهدي عجل الله فرجه</w:t>
            </w:r>
            <w:r>
              <w:rPr>
                <w:rStyle w:val="IndexLink"/>
                <w:rtl w:val="true"/>
              </w:rPr>
              <w:tab/>
            </w:r>
            <w:r>
              <w:rPr>
                <w:rStyle w:val="IndexLink"/>
              </w:rPr>
              <w:t>17</w:t>
            </w:r>
          </w:hyperlink>
        </w:p>
        <w:p>
          <w:pPr>
            <w:pStyle w:val="Contents5"/>
            <w:tabs>
              <w:tab w:val="clear" w:pos="7892"/>
              <w:tab w:val="right" w:pos="9026" w:leader="dot"/>
            </w:tabs>
            <w:rPr/>
          </w:pPr>
          <w:hyperlink w:anchor="__RefHeading___Toc2647043_3650668749">
            <w:r>
              <w:rPr>
                <w:webHidden/>
                <w:rStyle w:val="IndexLink"/>
                <w:rtl w:val="true"/>
              </w:rPr>
              <w:t>يك بررسي مهم</w:t>
            </w:r>
            <w:r>
              <w:rPr>
                <w:rStyle w:val="IndexLink"/>
                <w:rtl w:val="true"/>
              </w:rPr>
              <w:tab/>
            </w:r>
            <w:r>
              <w:rPr>
                <w:rStyle w:val="IndexLink"/>
              </w:rPr>
              <w:t>18</w:t>
            </w:r>
          </w:hyperlink>
        </w:p>
        <w:p>
          <w:pPr>
            <w:pStyle w:val="Contents6"/>
            <w:tabs>
              <w:tab w:val="clear" w:pos="7609"/>
              <w:tab w:val="right" w:pos="9026" w:leader="dot"/>
            </w:tabs>
            <w:rPr/>
          </w:pPr>
          <w:hyperlink w:anchor="__RefHeading___Toc2647045_3650668749">
            <w:r>
              <w:rPr>
                <w:webHidden/>
                <w:rStyle w:val="IndexLink"/>
                <w:rtl w:val="true"/>
              </w:rPr>
              <w:t>اشاره</w:t>
            </w:r>
            <w:r>
              <w:rPr>
                <w:rStyle w:val="IndexLink"/>
                <w:rtl w:val="true"/>
              </w:rPr>
              <w:tab/>
            </w:r>
            <w:r>
              <w:rPr>
                <w:rStyle w:val="IndexLink"/>
              </w:rPr>
              <w:t>18</w:t>
            </w:r>
          </w:hyperlink>
        </w:p>
        <w:p>
          <w:pPr>
            <w:pStyle w:val="Contents6"/>
            <w:tabs>
              <w:tab w:val="clear" w:pos="7609"/>
              <w:tab w:val="right" w:pos="9026" w:leader="dot"/>
            </w:tabs>
            <w:rPr/>
          </w:pPr>
          <w:hyperlink w:anchor="__RefHeading___Toc2647047_3650668749">
            <w:r>
              <w:rPr>
                <w:webHidden/>
                <w:rStyle w:val="IndexLink"/>
                <w:rtl w:val="true"/>
              </w:rPr>
              <w:t>قيام پس از ظهور</w:t>
            </w:r>
            <w:r>
              <w:rPr>
                <w:rStyle w:val="IndexLink"/>
                <w:rtl w:val="true"/>
              </w:rPr>
              <w:tab/>
            </w:r>
            <w:r>
              <w:rPr>
                <w:rStyle w:val="IndexLink"/>
              </w:rPr>
              <w:t>19</w:t>
            </w:r>
          </w:hyperlink>
        </w:p>
        <w:p>
          <w:pPr>
            <w:pStyle w:val="Contents6"/>
            <w:tabs>
              <w:tab w:val="clear" w:pos="7609"/>
              <w:tab w:val="right" w:pos="9026" w:leader="dot"/>
            </w:tabs>
            <w:rPr/>
          </w:pPr>
          <w:hyperlink w:anchor="__RefHeading___Toc2647049_3650668749">
            <w:r>
              <w:rPr>
                <w:webHidden/>
                <w:rStyle w:val="IndexLink"/>
                <w:rtl w:val="true"/>
              </w:rPr>
              <w:t>خروج مهدي عليه السلام شبيه بعثت پيامبر صلي الله عليه و آله</w:t>
            </w:r>
            <w:r>
              <w:rPr>
                <w:rStyle w:val="IndexLink"/>
                <w:rtl w:val="true"/>
              </w:rPr>
              <w:tab/>
            </w:r>
            <w:r>
              <w:rPr>
                <w:rStyle w:val="IndexLink"/>
              </w:rPr>
              <w:t>21</w:t>
            </w:r>
          </w:hyperlink>
        </w:p>
        <w:p>
          <w:pPr>
            <w:pStyle w:val="Contents6"/>
            <w:tabs>
              <w:tab w:val="clear" w:pos="7609"/>
              <w:tab w:val="right" w:pos="9026" w:leader="dot"/>
            </w:tabs>
            <w:rPr/>
          </w:pPr>
          <w:hyperlink w:anchor="__RefHeading___Toc2647051_3650668749">
            <w:r>
              <w:rPr>
                <w:webHidden/>
                <w:rStyle w:val="IndexLink"/>
                <w:rtl w:val="true"/>
              </w:rPr>
              <w:t>نپذيرفتن توبه پس از آغاز قيام</w:t>
            </w:r>
            <w:r>
              <w:rPr>
                <w:rStyle w:val="IndexLink"/>
                <w:rtl w:val="true"/>
              </w:rPr>
              <w:tab/>
            </w:r>
            <w:r>
              <w:rPr>
                <w:rStyle w:val="IndexLink"/>
              </w:rPr>
              <w:t>22</w:t>
            </w:r>
          </w:hyperlink>
        </w:p>
        <w:p>
          <w:pPr>
            <w:pStyle w:val="Contents6"/>
            <w:tabs>
              <w:tab w:val="clear" w:pos="7609"/>
              <w:tab w:val="right" w:pos="9026" w:leader="dot"/>
            </w:tabs>
            <w:rPr/>
          </w:pPr>
          <w:hyperlink w:anchor="__RefHeading___Toc2647053_3650668749">
            <w:r>
              <w:rPr>
                <w:webHidden/>
                <w:rStyle w:val="IndexLink"/>
                <w:rtl w:val="true"/>
              </w:rPr>
              <w:t>ديدگاه نگارنده</w:t>
            </w:r>
            <w:r>
              <w:rPr>
                <w:rStyle w:val="IndexLink"/>
                <w:rtl w:val="true"/>
              </w:rPr>
              <w:tab/>
            </w:r>
            <w:r>
              <w:rPr>
                <w:rStyle w:val="IndexLink"/>
              </w:rPr>
              <w:t>23</w:t>
            </w:r>
          </w:hyperlink>
        </w:p>
        <w:p>
          <w:pPr>
            <w:pStyle w:val="Contents6"/>
            <w:tabs>
              <w:tab w:val="clear" w:pos="7609"/>
              <w:tab w:val="right" w:pos="9026" w:leader="dot"/>
            </w:tabs>
            <w:rPr/>
          </w:pPr>
          <w:hyperlink w:anchor="__RefHeading___Toc2647055_3650668749">
            <w:r>
              <w:rPr>
                <w:webHidden/>
                <w:rStyle w:val="IndexLink"/>
                <w:rtl w:val="true"/>
              </w:rPr>
              <w:t>خروج حضرت مهدي عجل الله فرجه</w:t>
            </w:r>
            <w:r>
              <w:rPr>
                <w:rStyle w:val="IndexLink"/>
                <w:rtl w:val="true"/>
              </w:rPr>
              <w:tab/>
            </w:r>
            <w:r>
              <w:rPr>
                <w:rStyle w:val="IndexLink"/>
              </w:rPr>
              <w:t>24</w:t>
            </w:r>
          </w:hyperlink>
        </w:p>
        <w:p>
          <w:pPr>
            <w:pStyle w:val="Contents6"/>
            <w:tabs>
              <w:tab w:val="clear" w:pos="7609"/>
              <w:tab w:val="right" w:pos="9026" w:leader="dot"/>
            </w:tabs>
            <w:rPr/>
          </w:pPr>
          <w:hyperlink w:anchor="__RefHeading___Toc2647057_3650668749">
            <w:r>
              <w:rPr>
                <w:webHidden/>
                <w:rStyle w:val="IndexLink"/>
                <w:rtl w:val="true"/>
              </w:rPr>
              <w:t>حكومت حضرت مهدي عجل الله فرجه</w:t>
            </w:r>
            <w:r>
              <w:rPr>
                <w:rStyle w:val="IndexLink"/>
                <w:rtl w:val="true"/>
              </w:rPr>
              <w:tab/>
            </w:r>
            <w:r>
              <w:rPr>
                <w:rStyle w:val="IndexLink"/>
              </w:rPr>
              <w:t>25</w:t>
            </w:r>
          </w:hyperlink>
        </w:p>
        <w:p>
          <w:pPr>
            <w:pStyle w:val="Contents4"/>
            <w:tabs>
              <w:tab w:val="clear" w:pos="8176"/>
              <w:tab w:val="right" w:pos="9026" w:leader="dot"/>
            </w:tabs>
            <w:rPr/>
          </w:pPr>
          <w:hyperlink w:anchor="__RefHeading___Toc2647059_3650668749">
            <w:r>
              <w:rPr>
                <w:webHidden/>
                <w:rStyle w:val="IndexLink"/>
                <w:rtl w:val="true"/>
              </w:rPr>
              <w:t>واژگان حكومت</w:t>
            </w:r>
            <w:r>
              <w:rPr>
                <w:rStyle w:val="IndexLink"/>
                <w:rtl w:val="true"/>
              </w:rPr>
              <w:tab/>
            </w:r>
            <w:r>
              <w:rPr>
                <w:rStyle w:val="IndexLink"/>
              </w:rPr>
              <w:t>26</w:t>
            </w:r>
          </w:hyperlink>
        </w:p>
        <w:p>
          <w:pPr>
            <w:pStyle w:val="Contents5"/>
            <w:tabs>
              <w:tab w:val="clear" w:pos="7892"/>
              <w:tab w:val="right" w:pos="9026" w:leader="dot"/>
            </w:tabs>
            <w:rPr/>
          </w:pPr>
          <w:hyperlink w:anchor="__RefHeading___Toc2647061_3650668749">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2647063_3650668749">
            <w:r>
              <w:rPr>
                <w:webHidden/>
                <w:rStyle w:val="IndexLink"/>
              </w:rPr>
              <w:t>1</w:t>
            </w:r>
            <w:r>
              <w:rPr>
                <w:rStyle w:val="IndexLink"/>
                <w:rtl w:val="true"/>
              </w:rPr>
              <w:t xml:space="preserve">. </w:t>
            </w:r>
            <w:r>
              <w:rPr>
                <w:rStyle w:val="IndexLink"/>
                <w:rtl w:val="true"/>
              </w:rPr>
              <w:t>مُلك</w:t>
            </w:r>
            <w:r>
              <w:rPr>
                <w:rStyle w:val="IndexLink"/>
                <w:rtl w:val="true"/>
              </w:rPr>
              <w:tab/>
            </w:r>
            <w:r>
              <w:rPr>
                <w:rStyle w:val="IndexLink"/>
              </w:rPr>
              <w:t>27</w:t>
            </w:r>
          </w:hyperlink>
        </w:p>
        <w:p>
          <w:pPr>
            <w:pStyle w:val="Contents5"/>
            <w:tabs>
              <w:tab w:val="clear" w:pos="7892"/>
              <w:tab w:val="right" w:pos="9026" w:leader="dot"/>
            </w:tabs>
            <w:rPr/>
          </w:pPr>
          <w:hyperlink w:anchor="__RefHeading___Toc2647065_3650668749">
            <w:r>
              <w:rPr>
                <w:webHidden/>
                <w:rStyle w:val="IndexLink"/>
              </w:rPr>
              <w:t>2</w:t>
            </w:r>
            <w:r>
              <w:rPr>
                <w:rStyle w:val="IndexLink"/>
                <w:rtl w:val="true"/>
              </w:rPr>
              <w:t xml:space="preserve">. </w:t>
            </w:r>
            <w:r>
              <w:rPr>
                <w:rStyle w:val="IndexLink"/>
                <w:rtl w:val="true"/>
              </w:rPr>
              <w:t>خلافت</w:t>
            </w:r>
            <w:r>
              <w:rPr>
                <w:rStyle w:val="IndexLink"/>
                <w:rtl w:val="true"/>
              </w:rPr>
              <w:tab/>
            </w:r>
            <w:r>
              <w:rPr>
                <w:rStyle w:val="IndexLink"/>
              </w:rPr>
              <w:t>28</w:t>
            </w:r>
          </w:hyperlink>
        </w:p>
        <w:p>
          <w:pPr>
            <w:pStyle w:val="Contents5"/>
            <w:tabs>
              <w:tab w:val="clear" w:pos="7892"/>
              <w:tab w:val="right" w:pos="9026" w:leader="dot"/>
            </w:tabs>
            <w:rPr/>
          </w:pPr>
          <w:hyperlink w:anchor="__RefHeading___Toc2647067_3650668749">
            <w:r>
              <w:rPr>
                <w:webHidden/>
                <w:rStyle w:val="IndexLink"/>
              </w:rPr>
              <w:t>3</w:t>
            </w:r>
            <w:r>
              <w:rPr>
                <w:rStyle w:val="IndexLink"/>
                <w:rtl w:val="true"/>
              </w:rPr>
              <w:t xml:space="preserve">. </w:t>
            </w:r>
            <w:r>
              <w:rPr>
                <w:rStyle w:val="IndexLink"/>
                <w:rtl w:val="true"/>
              </w:rPr>
              <w:t>دولت</w:t>
            </w:r>
            <w:r>
              <w:rPr>
                <w:rStyle w:val="IndexLink"/>
                <w:rtl w:val="true"/>
              </w:rPr>
              <w:tab/>
            </w:r>
            <w:r>
              <w:rPr>
                <w:rStyle w:val="IndexLink"/>
              </w:rPr>
              <w:t>29</w:t>
            </w:r>
          </w:hyperlink>
        </w:p>
        <w:p>
          <w:pPr>
            <w:pStyle w:val="Contents5"/>
            <w:tabs>
              <w:tab w:val="clear" w:pos="7892"/>
              <w:tab w:val="right" w:pos="9026" w:leader="dot"/>
            </w:tabs>
            <w:rPr/>
          </w:pPr>
          <w:hyperlink w:anchor="__RefHeading___Toc2647069_3650668749">
            <w:r>
              <w:rPr>
                <w:webHidden/>
                <w:rStyle w:val="IndexLink"/>
              </w:rPr>
              <w:t>4</w:t>
            </w:r>
            <w:r>
              <w:rPr>
                <w:rStyle w:val="IndexLink"/>
                <w:rtl w:val="true"/>
              </w:rPr>
              <w:t xml:space="preserve">. </w:t>
            </w:r>
            <w:r>
              <w:rPr>
                <w:rStyle w:val="IndexLink"/>
                <w:rtl w:val="true"/>
              </w:rPr>
              <w:t>سلطنت</w:t>
            </w:r>
            <w:r>
              <w:rPr>
                <w:rStyle w:val="IndexLink"/>
                <w:rtl w:val="true"/>
              </w:rPr>
              <w:tab/>
            </w:r>
            <w:r>
              <w:rPr>
                <w:rStyle w:val="IndexLink"/>
              </w:rPr>
              <w:t>30</w:t>
            </w:r>
          </w:hyperlink>
        </w:p>
        <w:p>
          <w:pPr>
            <w:pStyle w:val="Contents5"/>
            <w:tabs>
              <w:tab w:val="clear" w:pos="7892"/>
              <w:tab w:val="right" w:pos="9026" w:leader="dot"/>
            </w:tabs>
            <w:rPr/>
          </w:pPr>
          <w:hyperlink w:anchor="__RefHeading___Toc2647071_3650668749">
            <w:r>
              <w:rPr>
                <w:webHidden/>
                <w:rStyle w:val="IndexLink"/>
              </w:rPr>
              <w:t>5</w:t>
            </w:r>
            <w:r>
              <w:rPr>
                <w:rStyle w:val="IndexLink"/>
                <w:rtl w:val="true"/>
              </w:rPr>
              <w:t xml:space="preserve">. </w:t>
            </w:r>
            <w:r>
              <w:rPr>
                <w:rStyle w:val="IndexLink"/>
                <w:rtl w:val="true"/>
              </w:rPr>
              <w:t>ولايت</w:t>
            </w:r>
            <w:r>
              <w:rPr>
                <w:rStyle w:val="IndexLink"/>
                <w:rtl w:val="true"/>
              </w:rPr>
              <w:tab/>
            </w:r>
            <w:r>
              <w:rPr>
                <w:rStyle w:val="IndexLink"/>
              </w:rPr>
              <w:t>31</w:t>
            </w:r>
          </w:hyperlink>
        </w:p>
        <w:p>
          <w:pPr>
            <w:pStyle w:val="Contents4"/>
            <w:tabs>
              <w:tab w:val="clear" w:pos="8176"/>
              <w:tab w:val="right" w:pos="9026" w:leader="dot"/>
            </w:tabs>
            <w:rPr/>
          </w:pPr>
          <w:hyperlink w:anchor="__RefHeading___Toc2647073_3650668749">
            <w:r>
              <w:rPr>
                <w:webHidden/>
                <w:rStyle w:val="IndexLink"/>
                <w:rtl w:val="true"/>
              </w:rPr>
              <w:t>زمينه‌ سازي قيام حضرت مهدي عجل الله فرجه</w:t>
            </w:r>
            <w:r>
              <w:rPr>
                <w:rStyle w:val="IndexLink"/>
                <w:rtl w:val="true"/>
              </w:rPr>
              <w:tab/>
            </w:r>
            <w:r>
              <w:rPr>
                <w:rStyle w:val="IndexLink"/>
              </w:rPr>
              <w:t>32</w:t>
            </w:r>
          </w:hyperlink>
        </w:p>
        <w:p>
          <w:pPr>
            <w:pStyle w:val="Contents3"/>
            <w:tabs>
              <w:tab w:val="clear" w:pos="8459"/>
              <w:tab w:val="right" w:pos="9026" w:leader="dot"/>
            </w:tabs>
            <w:rPr/>
          </w:pPr>
          <w:hyperlink w:anchor="__RefHeading___Toc2647075_3650668749">
            <w:r>
              <w:rPr>
                <w:webHidden/>
                <w:rStyle w:val="IndexLink"/>
                <w:rtl w:val="true"/>
              </w:rPr>
              <w:t>فصل دوم</w:t>
            </w:r>
            <w:r>
              <w:rPr>
                <w:rStyle w:val="IndexLink"/>
                <w:rtl w:val="true"/>
              </w:rPr>
              <w:t xml:space="preserve">: </w:t>
            </w:r>
            <w:r>
              <w:rPr>
                <w:rStyle w:val="IndexLink"/>
                <w:rtl w:val="true"/>
              </w:rPr>
              <w:t>مباني نظري نقش مردم در انقلاب جهاني حضرت مهدي عليه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2647077_3650668749">
            <w:r>
              <w:rPr>
                <w:webHidden/>
                <w:rStyle w:val="IndexLink"/>
                <w:rtl w:val="true"/>
              </w:rPr>
              <w:t>مقدمه</w:t>
            </w:r>
            <w:r>
              <w:rPr>
                <w:rStyle w:val="IndexLink"/>
                <w:rtl w:val="true"/>
              </w:rPr>
              <w:tab/>
            </w:r>
            <w:r>
              <w:rPr>
                <w:rStyle w:val="IndexLink"/>
              </w:rPr>
              <w:t>33</w:t>
            </w:r>
          </w:hyperlink>
        </w:p>
        <w:p>
          <w:pPr>
            <w:pStyle w:val="Contents4"/>
            <w:tabs>
              <w:tab w:val="clear" w:pos="8176"/>
              <w:tab w:val="right" w:pos="9026" w:leader="dot"/>
            </w:tabs>
            <w:rPr/>
          </w:pPr>
          <w:hyperlink w:anchor="__RefHeading___Toc2647079_3650668749">
            <w:r>
              <w:rPr>
                <w:webHidden/>
                <w:rStyle w:val="IndexLink"/>
                <w:rtl w:val="true"/>
              </w:rPr>
              <w:t>الف</w:t>
            </w:r>
            <w:r>
              <w:rPr>
                <w:rStyle w:val="IndexLink"/>
                <w:rtl w:val="true"/>
              </w:rPr>
              <w:t xml:space="preserve">) </w:t>
            </w:r>
            <w:r>
              <w:rPr>
                <w:rStyle w:val="IndexLink"/>
                <w:rtl w:val="true"/>
              </w:rPr>
              <w:t>مباني هستي شناختي</w:t>
            </w:r>
            <w:r>
              <w:rPr>
                <w:rStyle w:val="IndexLink"/>
                <w:rtl w:val="true"/>
              </w:rPr>
              <w:tab/>
            </w:r>
            <w:r>
              <w:rPr>
                <w:rStyle w:val="IndexLink"/>
              </w:rPr>
              <w:t>34</w:t>
            </w:r>
          </w:hyperlink>
        </w:p>
        <w:p>
          <w:pPr>
            <w:pStyle w:val="Contents4"/>
            <w:tabs>
              <w:tab w:val="clear" w:pos="8176"/>
              <w:tab w:val="right" w:pos="9026" w:leader="dot"/>
            </w:tabs>
            <w:rPr/>
          </w:pPr>
          <w:hyperlink w:anchor="__RefHeading___Toc2647081_3650668749">
            <w:r>
              <w:rPr>
                <w:webHidden/>
                <w:rStyle w:val="IndexLink"/>
                <w:rtl w:val="true"/>
              </w:rPr>
              <w:t>ب</w:t>
            </w:r>
            <w:r>
              <w:rPr>
                <w:rStyle w:val="IndexLink"/>
                <w:rtl w:val="true"/>
              </w:rPr>
              <w:t xml:space="preserve">) </w:t>
            </w:r>
            <w:r>
              <w:rPr>
                <w:rStyle w:val="IndexLink"/>
                <w:rtl w:val="true"/>
              </w:rPr>
              <w:t>مباني انسان شناختي</w:t>
            </w:r>
            <w:r>
              <w:rPr>
                <w:rStyle w:val="IndexLink"/>
                <w:rtl w:val="true"/>
              </w:rPr>
              <w:tab/>
            </w:r>
            <w:r>
              <w:rPr>
                <w:rStyle w:val="IndexLink"/>
              </w:rPr>
              <w:t>35</w:t>
            </w:r>
          </w:hyperlink>
        </w:p>
        <w:p>
          <w:pPr>
            <w:pStyle w:val="Contents5"/>
            <w:tabs>
              <w:tab w:val="clear" w:pos="7892"/>
              <w:tab w:val="right" w:pos="9026" w:leader="dot"/>
            </w:tabs>
            <w:rPr/>
          </w:pPr>
          <w:hyperlink w:anchor="__RefHeading___Toc2647083_3650668749">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2647085_3650668749">
            <w:r>
              <w:rPr>
                <w:webHidden/>
                <w:rStyle w:val="IndexLink"/>
              </w:rPr>
              <w:t>1</w:t>
            </w:r>
            <w:r>
              <w:rPr>
                <w:rStyle w:val="IndexLink"/>
                <w:rtl w:val="true"/>
              </w:rPr>
              <w:t xml:space="preserve">. </w:t>
            </w:r>
            <w:r>
              <w:rPr>
                <w:rStyle w:val="IndexLink"/>
                <w:rtl w:val="true"/>
              </w:rPr>
              <w:t>جانشيني خداوند</w:t>
            </w:r>
            <w:r>
              <w:rPr>
                <w:rStyle w:val="IndexLink"/>
                <w:rtl w:val="true"/>
              </w:rPr>
              <w:tab/>
            </w:r>
            <w:r>
              <w:rPr>
                <w:rStyle w:val="IndexLink"/>
              </w:rPr>
              <w:t>36</w:t>
            </w:r>
          </w:hyperlink>
        </w:p>
        <w:p>
          <w:pPr>
            <w:pStyle w:val="Contents5"/>
            <w:tabs>
              <w:tab w:val="clear" w:pos="7892"/>
              <w:tab w:val="right" w:pos="9026" w:leader="dot"/>
            </w:tabs>
            <w:rPr/>
          </w:pPr>
          <w:hyperlink w:anchor="__RefHeading___Toc2647087_3650668749">
            <w:r>
              <w:rPr>
                <w:webHidden/>
                <w:rStyle w:val="IndexLink"/>
              </w:rPr>
              <w:t>2</w:t>
            </w:r>
            <w:r>
              <w:rPr>
                <w:rStyle w:val="IndexLink"/>
                <w:rtl w:val="true"/>
              </w:rPr>
              <w:t xml:space="preserve">. </w:t>
            </w:r>
            <w:r>
              <w:rPr>
                <w:rStyle w:val="IndexLink"/>
                <w:rtl w:val="true"/>
              </w:rPr>
              <w:t xml:space="preserve">آفريده‌اي دو ساحتي </w:t>
            </w:r>
            <w:r>
              <w:rPr>
                <w:rStyle w:val="IndexLink"/>
                <w:rtl w:val="true"/>
              </w:rPr>
              <w:t>(</w:t>
            </w:r>
            <w:r>
              <w:rPr>
                <w:rStyle w:val="IndexLink"/>
                <w:rtl w:val="true"/>
              </w:rPr>
              <w:t>ماهيت دوگانه</w:t>
            </w:r>
            <w:r>
              <w:rPr>
                <w:rStyle w:val="IndexLink"/>
                <w:rtl w:val="true"/>
              </w:rPr>
              <w:t>)</w:t>
              <w:tab/>
            </w:r>
            <w:r>
              <w:rPr>
                <w:rStyle w:val="IndexLink"/>
              </w:rPr>
              <w:t>37</w:t>
            </w:r>
          </w:hyperlink>
        </w:p>
        <w:p>
          <w:pPr>
            <w:pStyle w:val="Contents5"/>
            <w:tabs>
              <w:tab w:val="clear" w:pos="7892"/>
              <w:tab w:val="right" w:pos="9026" w:leader="dot"/>
            </w:tabs>
            <w:rPr/>
          </w:pPr>
          <w:hyperlink w:anchor="__RefHeading___Toc2647089_3650668749">
            <w:r>
              <w:rPr>
                <w:webHidden/>
                <w:rStyle w:val="IndexLink"/>
              </w:rPr>
              <w:t>3</w:t>
            </w:r>
            <w:r>
              <w:rPr>
                <w:rStyle w:val="IndexLink"/>
                <w:rtl w:val="true"/>
              </w:rPr>
              <w:t xml:space="preserve">. </w:t>
            </w:r>
            <w:r>
              <w:rPr>
                <w:rStyle w:val="IndexLink"/>
                <w:rtl w:val="true"/>
              </w:rPr>
              <w:t>اراده و اختيار</w:t>
            </w:r>
            <w:r>
              <w:rPr>
                <w:rStyle w:val="IndexLink"/>
                <w:rtl w:val="true"/>
              </w:rPr>
              <w:tab/>
            </w:r>
            <w:r>
              <w:rPr>
                <w:rStyle w:val="IndexLink"/>
              </w:rPr>
              <w:t>38</w:t>
            </w:r>
          </w:hyperlink>
        </w:p>
        <w:p>
          <w:pPr>
            <w:pStyle w:val="Contents5"/>
            <w:tabs>
              <w:tab w:val="clear" w:pos="7892"/>
              <w:tab w:val="right" w:pos="9026" w:leader="dot"/>
            </w:tabs>
            <w:rPr/>
          </w:pPr>
          <w:hyperlink w:anchor="__RefHeading___Toc2647091_3650668749">
            <w:r>
              <w:rPr>
                <w:webHidden/>
                <w:rStyle w:val="IndexLink"/>
              </w:rPr>
              <w:t>4</w:t>
            </w:r>
            <w:r>
              <w:rPr>
                <w:rStyle w:val="IndexLink"/>
                <w:rtl w:val="true"/>
              </w:rPr>
              <w:t xml:space="preserve">. </w:t>
            </w:r>
            <w:r>
              <w:rPr>
                <w:rStyle w:val="IndexLink"/>
                <w:rtl w:val="true"/>
              </w:rPr>
              <w:t>فطرت يگانه‌پرستانه</w:t>
            </w:r>
            <w:r>
              <w:rPr>
                <w:rStyle w:val="IndexLink"/>
                <w:rtl w:val="true"/>
              </w:rPr>
              <w:tab/>
            </w:r>
            <w:r>
              <w:rPr>
                <w:rStyle w:val="IndexLink"/>
              </w:rPr>
              <w:t>39</w:t>
            </w:r>
          </w:hyperlink>
        </w:p>
        <w:p>
          <w:pPr>
            <w:pStyle w:val="Contents5"/>
            <w:tabs>
              <w:tab w:val="clear" w:pos="7892"/>
              <w:tab w:val="right" w:pos="9026" w:leader="dot"/>
            </w:tabs>
            <w:rPr/>
          </w:pPr>
          <w:hyperlink w:anchor="__RefHeading___Toc2647093_3650668749">
            <w:r>
              <w:rPr>
                <w:webHidden/>
                <w:rStyle w:val="IndexLink"/>
              </w:rPr>
              <w:t>5</w:t>
            </w:r>
            <w:r>
              <w:rPr>
                <w:rStyle w:val="IndexLink"/>
                <w:rtl w:val="true"/>
              </w:rPr>
              <w:t xml:space="preserve">. </w:t>
            </w:r>
            <w:r>
              <w:rPr>
                <w:rStyle w:val="IndexLink"/>
                <w:rtl w:val="true"/>
              </w:rPr>
              <w:t>شرافت و كرامت</w:t>
            </w:r>
            <w:r>
              <w:rPr>
                <w:rStyle w:val="IndexLink"/>
                <w:rtl w:val="true"/>
              </w:rPr>
              <w:tab/>
            </w:r>
            <w:r>
              <w:rPr>
                <w:rStyle w:val="IndexLink"/>
              </w:rPr>
              <w:t>40</w:t>
            </w:r>
          </w:hyperlink>
        </w:p>
        <w:p>
          <w:pPr>
            <w:pStyle w:val="Contents4"/>
            <w:tabs>
              <w:tab w:val="clear" w:pos="8176"/>
              <w:tab w:val="right" w:pos="9026" w:leader="dot"/>
            </w:tabs>
            <w:rPr/>
          </w:pPr>
          <w:hyperlink w:anchor="__RefHeading___Toc2647095_3650668749">
            <w:r>
              <w:rPr>
                <w:webHidden/>
                <w:rStyle w:val="IndexLink"/>
                <w:rtl w:val="true"/>
              </w:rPr>
              <w:t>ج</w:t>
            </w:r>
            <w:r>
              <w:rPr>
                <w:rStyle w:val="IndexLink"/>
                <w:rtl w:val="true"/>
              </w:rPr>
              <w:t xml:space="preserve">) </w:t>
            </w:r>
            <w:r>
              <w:rPr>
                <w:rStyle w:val="IndexLink"/>
                <w:rtl w:val="true"/>
              </w:rPr>
              <w:t>مباني جامعه شناختي</w:t>
            </w:r>
            <w:r>
              <w:rPr>
                <w:rStyle w:val="IndexLink"/>
                <w:rtl w:val="true"/>
              </w:rPr>
              <w:tab/>
            </w:r>
            <w:r>
              <w:rPr>
                <w:rStyle w:val="IndexLink"/>
              </w:rPr>
              <w:t>41</w:t>
            </w:r>
          </w:hyperlink>
        </w:p>
        <w:p>
          <w:pPr>
            <w:pStyle w:val="Contents4"/>
            <w:tabs>
              <w:tab w:val="clear" w:pos="8176"/>
              <w:tab w:val="right" w:pos="9026" w:leader="dot"/>
            </w:tabs>
            <w:rPr/>
          </w:pPr>
          <w:hyperlink w:anchor="__RefHeading___Toc2647097_3650668749">
            <w:r>
              <w:rPr>
                <w:webHidden/>
                <w:rStyle w:val="IndexLink"/>
                <w:rtl w:val="true"/>
              </w:rPr>
              <w:t>جمع‌بندي و نتيجه گيري</w:t>
            </w:r>
            <w:r>
              <w:rPr>
                <w:rStyle w:val="IndexLink"/>
                <w:rtl w:val="true"/>
              </w:rPr>
              <w:tab/>
            </w:r>
            <w:r>
              <w:rPr>
                <w:rStyle w:val="IndexLink"/>
              </w:rPr>
              <w:t>42</w:t>
            </w:r>
          </w:hyperlink>
        </w:p>
        <w:p>
          <w:pPr>
            <w:pStyle w:val="Contents2"/>
            <w:tabs>
              <w:tab w:val="clear" w:pos="8743"/>
              <w:tab w:val="right" w:pos="9026" w:leader="dot"/>
            </w:tabs>
            <w:rPr/>
          </w:pPr>
          <w:hyperlink w:anchor="__RefHeading___Toc2647099_3650668749">
            <w:r>
              <w:rPr>
                <w:webHidden/>
                <w:rStyle w:val="IndexLink"/>
                <w:rtl w:val="true"/>
              </w:rPr>
              <w:t>بخش دوم</w:t>
            </w:r>
            <w:r>
              <w:rPr>
                <w:rStyle w:val="IndexLink"/>
                <w:rtl w:val="true"/>
              </w:rPr>
              <w:t xml:space="preserve">: </w:t>
            </w:r>
            <w:r>
              <w:rPr>
                <w:rStyle w:val="IndexLink"/>
                <w:rtl w:val="true"/>
              </w:rPr>
              <w:t>مردم و حكومت جهاني مهدوي</w:t>
            </w:r>
            <w:r>
              <w:rPr>
                <w:rStyle w:val="IndexLink"/>
                <w:rtl w:val="true"/>
              </w:rPr>
              <w:tab/>
            </w:r>
            <w:r>
              <w:rPr>
                <w:rStyle w:val="IndexLink"/>
              </w:rPr>
              <w:t>43</w:t>
            </w:r>
          </w:hyperlink>
        </w:p>
        <w:p>
          <w:pPr>
            <w:pStyle w:val="Contents3"/>
            <w:tabs>
              <w:tab w:val="clear" w:pos="8459"/>
              <w:tab w:val="right" w:pos="9026" w:leader="dot"/>
            </w:tabs>
            <w:rPr/>
          </w:pPr>
          <w:hyperlink w:anchor="__RefHeading___Toc2647101_3650668749">
            <w:r>
              <w:rPr>
                <w:webHidden/>
                <w:rStyle w:val="IndexLink"/>
                <w:rtl w:val="true"/>
              </w:rPr>
              <w:t>فصل اول</w:t>
            </w:r>
            <w:r>
              <w:rPr>
                <w:rStyle w:val="IndexLink"/>
                <w:rtl w:val="true"/>
              </w:rPr>
              <w:t xml:space="preserve">: </w:t>
            </w:r>
            <w:r>
              <w:rPr>
                <w:rStyle w:val="IndexLink"/>
                <w:rtl w:val="true"/>
              </w:rPr>
              <w:t>نقش مردم در زمينه‌سازي انقلاب جهاني حضرت مهدي عجل الله فرجه</w:t>
            </w:r>
            <w:r>
              <w:rPr>
                <w:rStyle w:val="IndexLink"/>
                <w:rtl w:val="true"/>
              </w:rPr>
              <w:tab/>
            </w:r>
            <w:r>
              <w:rPr>
                <w:rStyle w:val="IndexLink"/>
              </w:rPr>
              <w:t>43</w:t>
            </w:r>
          </w:hyperlink>
        </w:p>
        <w:p>
          <w:pPr>
            <w:pStyle w:val="Contents4"/>
            <w:tabs>
              <w:tab w:val="clear" w:pos="8176"/>
              <w:tab w:val="right" w:pos="9026" w:leader="dot"/>
            </w:tabs>
            <w:rPr/>
          </w:pPr>
          <w:hyperlink w:anchor="__RefHeading___Toc2647103_3650668749">
            <w:r>
              <w:rPr>
                <w:webHidden/>
                <w:rStyle w:val="IndexLink"/>
                <w:rtl w:val="true"/>
              </w:rPr>
              <w:t>مقدمه</w:t>
            </w:r>
            <w:r>
              <w:rPr>
                <w:rStyle w:val="IndexLink"/>
                <w:rtl w:val="true"/>
              </w:rPr>
              <w:tab/>
            </w:r>
            <w:r>
              <w:rPr>
                <w:rStyle w:val="IndexLink"/>
              </w:rPr>
              <w:t>43</w:t>
            </w:r>
          </w:hyperlink>
        </w:p>
        <w:p>
          <w:pPr>
            <w:pStyle w:val="Contents4"/>
            <w:tabs>
              <w:tab w:val="clear" w:pos="8176"/>
              <w:tab w:val="right" w:pos="9026" w:leader="dot"/>
            </w:tabs>
            <w:rPr/>
          </w:pPr>
          <w:hyperlink w:anchor="__RefHeading___Toc2647105_3650668749">
            <w:r>
              <w:rPr>
                <w:webHidden/>
                <w:rStyle w:val="IndexLink"/>
                <w:rtl w:val="true"/>
              </w:rPr>
              <w:t>نقش مردم در پيش يا پس‌افتادن ظهور</w:t>
            </w:r>
            <w:r>
              <w:rPr>
                <w:rStyle w:val="IndexLink"/>
                <w:rtl w:val="true"/>
              </w:rPr>
              <w:tab/>
            </w:r>
            <w:r>
              <w:rPr>
                <w:rStyle w:val="IndexLink"/>
              </w:rPr>
              <w:t>46</w:t>
            </w:r>
          </w:hyperlink>
        </w:p>
        <w:p>
          <w:pPr>
            <w:pStyle w:val="Contents4"/>
            <w:tabs>
              <w:tab w:val="clear" w:pos="8176"/>
              <w:tab w:val="right" w:pos="9026" w:leader="dot"/>
            </w:tabs>
            <w:rPr/>
          </w:pPr>
          <w:hyperlink w:anchor="__RefHeading___Toc2647107_3650668749">
            <w:r>
              <w:rPr>
                <w:webHidden/>
                <w:rStyle w:val="IndexLink"/>
                <w:rtl w:val="true"/>
              </w:rPr>
              <w:t>ديدگاه نخست، اختياري بودن</w:t>
            </w:r>
            <w:r>
              <w:rPr>
                <w:rStyle w:val="IndexLink"/>
                <w:rtl w:val="true"/>
              </w:rPr>
              <w:tab/>
            </w:r>
            <w:r>
              <w:rPr>
                <w:rStyle w:val="IndexLink"/>
              </w:rPr>
              <w:t>47</w:t>
            </w:r>
          </w:hyperlink>
        </w:p>
        <w:p>
          <w:pPr>
            <w:pStyle w:val="Contents5"/>
            <w:tabs>
              <w:tab w:val="clear" w:pos="7892"/>
              <w:tab w:val="right" w:pos="9026" w:leader="dot"/>
            </w:tabs>
            <w:rPr/>
          </w:pPr>
          <w:hyperlink w:anchor="__RefHeading___Toc2647109_3650668749">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2647111_3650668749">
            <w:r>
              <w:rPr>
                <w:webHidden/>
                <w:rStyle w:val="IndexLink"/>
                <w:rtl w:val="true"/>
              </w:rPr>
              <w:t>بررسي روايت</w:t>
            </w:r>
            <w:r>
              <w:rPr>
                <w:rStyle w:val="IndexLink"/>
                <w:rtl w:val="true"/>
              </w:rPr>
              <w:tab/>
            </w:r>
            <w:r>
              <w:rPr>
                <w:rStyle w:val="IndexLink"/>
              </w:rPr>
              <w:t>48</w:t>
            </w:r>
          </w:hyperlink>
        </w:p>
        <w:p>
          <w:pPr>
            <w:pStyle w:val="Contents4"/>
            <w:tabs>
              <w:tab w:val="clear" w:pos="8176"/>
              <w:tab w:val="right" w:pos="9026" w:leader="dot"/>
            </w:tabs>
            <w:rPr/>
          </w:pPr>
          <w:hyperlink w:anchor="__RefHeading___Toc2647113_3650668749">
            <w:r>
              <w:rPr>
                <w:webHidden/>
                <w:rStyle w:val="IndexLink"/>
                <w:rtl w:val="true"/>
              </w:rPr>
              <w:t>ديدگاه دوم، غيراختياري بودن</w:t>
            </w:r>
            <w:r>
              <w:rPr>
                <w:rStyle w:val="IndexLink"/>
                <w:rtl w:val="true"/>
              </w:rPr>
              <w:tab/>
            </w:r>
            <w:r>
              <w:rPr>
                <w:rStyle w:val="IndexLink"/>
              </w:rPr>
              <w:t>49</w:t>
            </w:r>
          </w:hyperlink>
        </w:p>
        <w:p>
          <w:pPr>
            <w:pStyle w:val="Contents4"/>
            <w:tabs>
              <w:tab w:val="clear" w:pos="8176"/>
              <w:tab w:val="right" w:pos="9026" w:leader="dot"/>
            </w:tabs>
            <w:rPr/>
          </w:pPr>
          <w:hyperlink w:anchor="__RefHeading___Toc2647115_3650668749">
            <w:r>
              <w:rPr>
                <w:webHidden/>
                <w:rStyle w:val="IndexLink"/>
                <w:rtl w:val="true"/>
              </w:rPr>
              <w:t>ديدگاه نگارنده</w:t>
            </w:r>
            <w:r>
              <w:rPr>
                <w:rStyle w:val="IndexLink"/>
                <w:rtl w:val="true"/>
              </w:rPr>
              <w:tab/>
            </w:r>
            <w:r>
              <w:rPr>
                <w:rStyle w:val="IndexLink"/>
              </w:rPr>
              <w:t>51</w:t>
            </w:r>
          </w:hyperlink>
        </w:p>
        <w:p>
          <w:pPr>
            <w:pStyle w:val="Contents4"/>
            <w:tabs>
              <w:tab w:val="clear" w:pos="8176"/>
              <w:tab w:val="right" w:pos="9026" w:leader="dot"/>
            </w:tabs>
            <w:rPr/>
          </w:pPr>
          <w:hyperlink w:anchor="__RefHeading___Toc2647117_3650668749">
            <w:r>
              <w:rPr>
                <w:webHidden/>
                <w:rStyle w:val="IndexLink"/>
                <w:rtl w:val="true"/>
              </w:rPr>
              <w:t>آمادگي و زمينه سازي ظهور</w:t>
            </w:r>
            <w:r>
              <w:rPr>
                <w:rStyle w:val="IndexLink"/>
                <w:rtl w:val="true"/>
              </w:rPr>
              <w:tab/>
            </w:r>
            <w:r>
              <w:rPr>
                <w:rStyle w:val="IndexLink"/>
              </w:rPr>
              <w:t>52</w:t>
            </w:r>
          </w:hyperlink>
        </w:p>
        <w:p>
          <w:pPr>
            <w:pStyle w:val="Contents5"/>
            <w:tabs>
              <w:tab w:val="clear" w:pos="7892"/>
              <w:tab w:val="right" w:pos="9026" w:leader="dot"/>
            </w:tabs>
            <w:rPr/>
          </w:pPr>
          <w:hyperlink w:anchor="__RefHeading___Toc2647119_3650668749">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2647121_3650668749">
            <w:r>
              <w:rPr>
                <w:webHidden/>
                <w:rStyle w:val="IndexLink"/>
              </w:rPr>
              <w:t>1</w:t>
            </w:r>
            <w:r>
              <w:rPr>
                <w:rStyle w:val="IndexLink"/>
                <w:rtl w:val="true"/>
              </w:rPr>
              <w:t xml:space="preserve">. </w:t>
            </w:r>
            <w:r>
              <w:rPr>
                <w:rStyle w:val="IndexLink"/>
                <w:rtl w:val="true"/>
              </w:rPr>
              <w:t>زمينه‌سازان عام</w:t>
            </w:r>
            <w:r>
              <w:rPr>
                <w:rStyle w:val="IndexLink"/>
                <w:rtl w:val="true"/>
              </w:rPr>
              <w:tab/>
            </w:r>
            <w:r>
              <w:rPr>
                <w:rStyle w:val="IndexLink"/>
              </w:rPr>
              <w:t>53</w:t>
            </w:r>
          </w:hyperlink>
        </w:p>
        <w:p>
          <w:pPr>
            <w:pStyle w:val="Contents6"/>
            <w:tabs>
              <w:tab w:val="clear" w:pos="7609"/>
              <w:tab w:val="right" w:pos="9026" w:leader="dot"/>
            </w:tabs>
            <w:rPr/>
          </w:pPr>
          <w:hyperlink w:anchor="__RefHeading___Toc2647123_3650668749">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2647125_3650668749">
            <w:r>
              <w:rPr>
                <w:webHidden/>
                <w:rStyle w:val="IndexLink"/>
                <w:rtl w:val="true"/>
              </w:rPr>
              <w:t>الف</w:t>
            </w:r>
            <w:r>
              <w:rPr>
                <w:rStyle w:val="IndexLink"/>
                <w:rtl w:val="true"/>
              </w:rPr>
              <w:t xml:space="preserve">) </w:t>
            </w:r>
            <w:r>
              <w:rPr>
                <w:rStyle w:val="IndexLink"/>
                <w:rtl w:val="true"/>
              </w:rPr>
              <w:t>در عرصه اعتقادي</w:t>
            </w:r>
            <w:r>
              <w:rPr>
                <w:rStyle w:val="IndexLink"/>
                <w:rtl w:val="true"/>
              </w:rPr>
              <w:tab/>
            </w:r>
            <w:r>
              <w:rPr>
                <w:rStyle w:val="IndexLink"/>
              </w:rPr>
              <w:t>54</w:t>
            </w:r>
          </w:hyperlink>
        </w:p>
        <w:p>
          <w:pPr>
            <w:pStyle w:val="Contents6"/>
            <w:tabs>
              <w:tab w:val="clear" w:pos="7609"/>
              <w:tab w:val="right" w:pos="9026" w:leader="dot"/>
            </w:tabs>
            <w:rPr/>
          </w:pPr>
          <w:hyperlink w:anchor="__RefHeading___Toc2647127_3650668749">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2647129_3650668749">
            <w:r>
              <w:rPr>
                <w:webHidden/>
                <w:rStyle w:val="IndexLink"/>
              </w:rPr>
              <w:t>1</w:t>
            </w:r>
            <w:r>
              <w:rPr>
                <w:rStyle w:val="IndexLink"/>
                <w:rtl w:val="true"/>
              </w:rPr>
              <w:t xml:space="preserve">. </w:t>
            </w:r>
            <w:r>
              <w:rPr>
                <w:rStyle w:val="IndexLink"/>
                <w:rtl w:val="true"/>
              </w:rPr>
              <w:t>شناخت امام زمان</w:t>
            </w:r>
            <w:r>
              <w:rPr>
                <w:rStyle w:val="IndexLink"/>
                <w:rtl w:val="true"/>
              </w:rPr>
              <w:tab/>
            </w:r>
            <w:r>
              <w:rPr>
                <w:rStyle w:val="IndexLink"/>
              </w:rPr>
              <w:t>55</w:t>
            </w:r>
          </w:hyperlink>
        </w:p>
        <w:p>
          <w:pPr>
            <w:pStyle w:val="Contents6"/>
            <w:tabs>
              <w:tab w:val="clear" w:pos="7609"/>
              <w:tab w:val="right" w:pos="9026" w:leader="dot"/>
            </w:tabs>
            <w:rPr/>
          </w:pPr>
          <w:hyperlink w:anchor="__RefHeading___Toc2647131_3650668749">
            <w:r>
              <w:rPr>
                <w:webHidden/>
                <w:rStyle w:val="IndexLink"/>
              </w:rPr>
              <w:t>2</w:t>
            </w:r>
            <w:r>
              <w:rPr>
                <w:rStyle w:val="IndexLink"/>
                <w:rtl w:val="true"/>
              </w:rPr>
              <w:t xml:space="preserve">. </w:t>
            </w:r>
            <w:r>
              <w:rPr>
                <w:rStyle w:val="IndexLink"/>
                <w:rtl w:val="true"/>
              </w:rPr>
              <w:t>پايداري در محبت اهل بيت عليهم السلام</w:t>
            </w:r>
            <w:r>
              <w:rPr>
                <w:rStyle w:val="IndexLink"/>
                <w:rtl w:val="true"/>
              </w:rPr>
              <w:tab/>
            </w:r>
            <w:r>
              <w:rPr>
                <w:rStyle w:val="IndexLink"/>
              </w:rPr>
              <w:t>56</w:t>
            </w:r>
          </w:hyperlink>
        </w:p>
        <w:p>
          <w:pPr>
            <w:pStyle w:val="Contents6"/>
            <w:tabs>
              <w:tab w:val="clear" w:pos="7609"/>
              <w:tab w:val="right" w:pos="9026" w:leader="dot"/>
            </w:tabs>
            <w:rPr/>
          </w:pPr>
          <w:hyperlink w:anchor="__RefHeading___Toc2647133_3650668749">
            <w:r>
              <w:rPr>
                <w:webHidden/>
                <w:rStyle w:val="IndexLink"/>
              </w:rPr>
              <w:t>3</w:t>
            </w:r>
            <w:r>
              <w:rPr>
                <w:rStyle w:val="IndexLink"/>
                <w:rtl w:val="true"/>
              </w:rPr>
              <w:t xml:space="preserve">. </w:t>
            </w:r>
            <w:r>
              <w:rPr>
                <w:rStyle w:val="IndexLink"/>
                <w:rtl w:val="true"/>
              </w:rPr>
              <w:t>پيروي از امامان پيشين عليهم السلام</w:t>
            </w:r>
            <w:r>
              <w:rPr>
                <w:rStyle w:val="IndexLink"/>
                <w:rtl w:val="true"/>
              </w:rPr>
              <w:tab/>
            </w:r>
            <w:r>
              <w:rPr>
                <w:rStyle w:val="IndexLink"/>
              </w:rPr>
              <w:t>57</w:t>
            </w:r>
          </w:hyperlink>
        </w:p>
        <w:p>
          <w:pPr>
            <w:pStyle w:val="Contents6"/>
            <w:tabs>
              <w:tab w:val="clear" w:pos="7609"/>
              <w:tab w:val="right" w:pos="9026" w:leader="dot"/>
            </w:tabs>
            <w:rPr/>
          </w:pPr>
          <w:hyperlink w:anchor="__RefHeading___Toc2647135_3650668749">
            <w:r>
              <w:rPr>
                <w:webHidden/>
                <w:rStyle w:val="IndexLink"/>
              </w:rPr>
              <w:t>4</w:t>
            </w:r>
            <w:r>
              <w:rPr>
                <w:rStyle w:val="IndexLink"/>
                <w:rtl w:val="true"/>
              </w:rPr>
              <w:t xml:space="preserve">. </w:t>
            </w:r>
            <w:r>
              <w:rPr>
                <w:rStyle w:val="IndexLink"/>
                <w:rtl w:val="true"/>
              </w:rPr>
              <w:t>بزرگداشت نام و ياد آن حضرت</w:t>
            </w:r>
            <w:r>
              <w:rPr>
                <w:rStyle w:val="IndexLink"/>
                <w:rtl w:val="true"/>
              </w:rPr>
              <w:tab/>
            </w:r>
            <w:r>
              <w:rPr>
                <w:rStyle w:val="IndexLink"/>
              </w:rPr>
              <w:t>58</w:t>
            </w:r>
          </w:hyperlink>
        </w:p>
        <w:p>
          <w:pPr>
            <w:pStyle w:val="Contents6"/>
            <w:tabs>
              <w:tab w:val="clear" w:pos="7609"/>
              <w:tab w:val="right" w:pos="9026" w:leader="dot"/>
            </w:tabs>
            <w:rPr/>
          </w:pPr>
          <w:hyperlink w:anchor="__RefHeading___Toc2647137_3650668749">
            <w:r>
              <w:rPr>
                <w:webHidden/>
                <w:rStyle w:val="IndexLink"/>
                <w:rtl w:val="true"/>
              </w:rPr>
              <w:t>ب</w:t>
            </w:r>
            <w:r>
              <w:rPr>
                <w:rStyle w:val="IndexLink"/>
                <w:rtl w:val="true"/>
              </w:rPr>
              <w:t xml:space="preserve">) </w:t>
            </w:r>
            <w:r>
              <w:rPr>
                <w:rStyle w:val="IndexLink"/>
                <w:rtl w:val="true"/>
              </w:rPr>
              <w:t>در عرصه سياسي</w:t>
            </w:r>
            <w:r>
              <w:rPr>
                <w:rStyle w:val="IndexLink"/>
                <w:rtl w:val="true"/>
              </w:rPr>
              <w:tab/>
            </w:r>
            <w:r>
              <w:rPr>
                <w:rStyle w:val="IndexLink"/>
              </w:rPr>
              <w:t>59</w:t>
            </w:r>
          </w:hyperlink>
        </w:p>
        <w:p>
          <w:pPr>
            <w:pStyle w:val="Contents6"/>
            <w:tabs>
              <w:tab w:val="clear" w:pos="7609"/>
              <w:tab w:val="right" w:pos="9026" w:leader="dot"/>
            </w:tabs>
            <w:rPr/>
          </w:pPr>
          <w:hyperlink w:anchor="__RefHeading___Toc2647139_3650668749">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2647141_3650668749">
            <w:r>
              <w:rPr>
                <w:webHidden/>
                <w:rStyle w:val="IndexLink"/>
                <w:rtl w:val="true"/>
              </w:rPr>
              <w:t>پيوند مستمر با ولايت</w:t>
            </w:r>
            <w:r>
              <w:rPr>
                <w:rStyle w:val="IndexLink"/>
                <w:rtl w:val="true"/>
              </w:rPr>
              <w:tab/>
            </w:r>
            <w:r>
              <w:rPr>
                <w:rStyle w:val="IndexLink"/>
              </w:rPr>
              <w:t>60</w:t>
            </w:r>
          </w:hyperlink>
        </w:p>
        <w:p>
          <w:pPr>
            <w:pStyle w:val="Contents6"/>
            <w:tabs>
              <w:tab w:val="clear" w:pos="7609"/>
              <w:tab w:val="right" w:pos="9026" w:leader="dot"/>
            </w:tabs>
            <w:rPr/>
          </w:pPr>
          <w:hyperlink w:anchor="__RefHeading___Toc2647143_3650668749">
            <w:r>
              <w:rPr>
                <w:webHidden/>
                <w:rStyle w:val="IndexLink"/>
                <w:rtl w:val="true"/>
              </w:rPr>
              <w:t>ج</w:t>
            </w:r>
            <w:r>
              <w:rPr>
                <w:rStyle w:val="IndexLink"/>
                <w:rtl w:val="true"/>
              </w:rPr>
              <w:t xml:space="preserve">) </w:t>
            </w:r>
            <w:r>
              <w:rPr>
                <w:rStyle w:val="IndexLink"/>
                <w:rtl w:val="true"/>
              </w:rPr>
              <w:t>در عرصة اجتماعي</w:t>
            </w:r>
            <w:r>
              <w:rPr>
                <w:rStyle w:val="IndexLink"/>
                <w:rtl w:val="true"/>
              </w:rPr>
              <w:tab/>
            </w:r>
            <w:r>
              <w:rPr>
                <w:rStyle w:val="IndexLink"/>
              </w:rPr>
              <w:t>61</w:t>
            </w:r>
          </w:hyperlink>
        </w:p>
        <w:p>
          <w:pPr>
            <w:pStyle w:val="Contents6"/>
            <w:tabs>
              <w:tab w:val="clear" w:pos="7609"/>
              <w:tab w:val="right" w:pos="9026" w:leader="dot"/>
            </w:tabs>
            <w:rPr/>
          </w:pPr>
          <w:hyperlink w:anchor="__RefHeading___Toc2647145_3650668749">
            <w:r>
              <w:rPr>
                <w:webHidden/>
                <w:rStyle w:val="IndexLink"/>
                <w:rtl w:val="true"/>
              </w:rPr>
              <w:t>د</w:t>
            </w:r>
            <w:r>
              <w:rPr>
                <w:rStyle w:val="IndexLink"/>
                <w:rtl w:val="true"/>
              </w:rPr>
              <w:t xml:space="preserve">) </w:t>
            </w:r>
            <w:r>
              <w:rPr>
                <w:rStyle w:val="IndexLink"/>
                <w:rtl w:val="true"/>
              </w:rPr>
              <w:t>در عرصة نظامي و انتظامي</w:t>
            </w:r>
            <w:r>
              <w:rPr>
                <w:rStyle w:val="IndexLink"/>
                <w:rtl w:val="true"/>
              </w:rPr>
              <w:tab/>
            </w:r>
            <w:r>
              <w:rPr>
                <w:rStyle w:val="IndexLink"/>
              </w:rPr>
              <w:t>62</w:t>
            </w:r>
          </w:hyperlink>
        </w:p>
        <w:p>
          <w:pPr>
            <w:pStyle w:val="Contents5"/>
            <w:tabs>
              <w:tab w:val="clear" w:pos="7892"/>
              <w:tab w:val="right" w:pos="9026" w:leader="dot"/>
            </w:tabs>
            <w:rPr/>
          </w:pPr>
          <w:hyperlink w:anchor="__RefHeading___Toc2647147_3650668749">
            <w:r>
              <w:rPr>
                <w:webHidden/>
                <w:rStyle w:val="IndexLink"/>
              </w:rPr>
              <w:t>2</w:t>
            </w:r>
            <w:r>
              <w:rPr>
                <w:rStyle w:val="IndexLink"/>
                <w:rtl w:val="true"/>
              </w:rPr>
              <w:t xml:space="preserve">. </w:t>
            </w:r>
            <w:r>
              <w:rPr>
                <w:rStyle w:val="IndexLink"/>
                <w:rtl w:val="true"/>
              </w:rPr>
              <w:t>زمينه‌سازان خاص</w:t>
            </w:r>
            <w:r>
              <w:rPr>
                <w:rStyle w:val="IndexLink"/>
                <w:rtl w:val="true"/>
              </w:rPr>
              <w:tab/>
            </w:r>
            <w:r>
              <w:rPr>
                <w:rStyle w:val="IndexLink"/>
              </w:rPr>
              <w:t>64</w:t>
            </w:r>
          </w:hyperlink>
        </w:p>
        <w:p>
          <w:pPr>
            <w:pStyle w:val="Contents4"/>
            <w:tabs>
              <w:tab w:val="clear" w:pos="8176"/>
              <w:tab w:val="right" w:pos="9026" w:leader="dot"/>
            </w:tabs>
            <w:rPr/>
          </w:pPr>
          <w:hyperlink w:anchor="__RefHeading___Toc2647149_3650668749">
            <w:r>
              <w:rPr>
                <w:webHidden/>
                <w:rStyle w:val="IndexLink"/>
                <w:rtl w:val="true"/>
              </w:rPr>
              <w:t>دو بررسي كوتاه</w:t>
            </w:r>
            <w:r>
              <w:rPr>
                <w:rStyle w:val="IndexLink"/>
                <w:rtl w:val="true"/>
              </w:rPr>
              <w:tab/>
            </w:r>
            <w:r>
              <w:rPr>
                <w:rStyle w:val="IndexLink"/>
              </w:rPr>
              <w:t>65</w:t>
            </w:r>
          </w:hyperlink>
        </w:p>
        <w:p>
          <w:pPr>
            <w:pStyle w:val="Contents5"/>
            <w:tabs>
              <w:tab w:val="clear" w:pos="7892"/>
              <w:tab w:val="right" w:pos="9026" w:leader="dot"/>
            </w:tabs>
            <w:rPr/>
          </w:pPr>
          <w:hyperlink w:anchor="__RefHeading___Toc2647151_3650668749">
            <w:r>
              <w:rPr>
                <w:webHidden/>
                <w:rStyle w:val="IndexLink"/>
                <w:rtl w:val="true"/>
              </w:rPr>
              <w:t xml:space="preserve">يك </w:t>
            </w:r>
            <w:r>
              <w:rPr>
                <w:rStyle w:val="IndexLink"/>
                <w:rtl w:val="true"/>
              </w:rPr>
              <w:t xml:space="preserve">. </w:t>
            </w:r>
            <w:r>
              <w:rPr>
                <w:rStyle w:val="IndexLink"/>
                <w:rtl w:val="true"/>
              </w:rPr>
              <w:t>پرچم‌هاي سياه</w:t>
            </w:r>
            <w:r>
              <w:rPr>
                <w:rStyle w:val="IndexLink"/>
                <w:rtl w:val="true"/>
              </w:rPr>
              <w:tab/>
            </w:r>
            <w:r>
              <w:rPr>
                <w:rStyle w:val="IndexLink"/>
              </w:rPr>
              <w:t>65</w:t>
            </w:r>
          </w:hyperlink>
        </w:p>
        <w:p>
          <w:pPr>
            <w:pStyle w:val="Contents5"/>
            <w:tabs>
              <w:tab w:val="clear" w:pos="7892"/>
              <w:tab w:val="right" w:pos="9026" w:leader="dot"/>
            </w:tabs>
            <w:rPr/>
          </w:pPr>
          <w:hyperlink w:anchor="__RefHeading___Toc2647153_3650668749">
            <w:r>
              <w:rPr>
                <w:webHidden/>
                <w:rStyle w:val="IndexLink"/>
                <w:rtl w:val="true"/>
              </w:rPr>
              <w:t xml:space="preserve">دو </w:t>
            </w:r>
            <w:r>
              <w:rPr>
                <w:rStyle w:val="IndexLink"/>
                <w:rtl w:val="true"/>
              </w:rPr>
              <w:t xml:space="preserve">. </w:t>
            </w:r>
            <w:r>
              <w:rPr>
                <w:rStyle w:val="IndexLink"/>
                <w:rtl w:val="true"/>
              </w:rPr>
              <w:t>موَطئون از مشرق</w:t>
            </w:r>
            <w:r>
              <w:rPr>
                <w:rStyle w:val="IndexLink"/>
                <w:rtl w:val="true"/>
              </w:rPr>
              <w:tab/>
            </w:r>
            <w:r>
              <w:rPr>
                <w:rStyle w:val="IndexLink"/>
              </w:rPr>
              <w:t>68</w:t>
            </w:r>
          </w:hyperlink>
        </w:p>
        <w:p>
          <w:pPr>
            <w:pStyle w:val="Contents4"/>
            <w:tabs>
              <w:tab w:val="clear" w:pos="8176"/>
              <w:tab w:val="right" w:pos="9026" w:leader="dot"/>
            </w:tabs>
            <w:rPr/>
          </w:pPr>
          <w:hyperlink w:anchor="__RefHeading___Toc2647155_3650668749">
            <w:r>
              <w:rPr>
                <w:webHidden/>
                <w:rStyle w:val="IndexLink"/>
                <w:rtl w:val="true"/>
              </w:rPr>
              <w:t>نكته‌ها</w:t>
            </w:r>
            <w:r>
              <w:rPr>
                <w:rStyle w:val="IndexLink"/>
                <w:rtl w:val="true"/>
              </w:rPr>
              <w:tab/>
            </w:r>
            <w:r>
              <w:rPr>
                <w:rStyle w:val="IndexLink"/>
              </w:rPr>
              <w:t>69</w:t>
            </w:r>
          </w:hyperlink>
        </w:p>
        <w:p>
          <w:pPr>
            <w:pStyle w:val="Contents4"/>
            <w:tabs>
              <w:tab w:val="clear" w:pos="8176"/>
              <w:tab w:val="right" w:pos="9026" w:leader="dot"/>
            </w:tabs>
            <w:rPr/>
          </w:pPr>
          <w:hyperlink w:anchor="__RefHeading___Toc2647157_3650668749">
            <w:r>
              <w:rPr>
                <w:webHidden/>
                <w:rStyle w:val="IndexLink"/>
                <w:rtl w:val="true"/>
              </w:rPr>
              <w:t>قيام و برپايي حكومت در عصر غيبت</w:t>
            </w:r>
            <w:r>
              <w:rPr>
                <w:rStyle w:val="IndexLink"/>
                <w:rtl w:val="true"/>
              </w:rPr>
              <w:tab/>
            </w:r>
            <w:r>
              <w:rPr>
                <w:rStyle w:val="IndexLink"/>
              </w:rPr>
              <w:t>70</w:t>
            </w:r>
          </w:hyperlink>
        </w:p>
        <w:p>
          <w:pPr>
            <w:pStyle w:val="Contents5"/>
            <w:tabs>
              <w:tab w:val="clear" w:pos="7892"/>
              <w:tab w:val="right" w:pos="9026" w:leader="dot"/>
            </w:tabs>
            <w:rPr/>
          </w:pPr>
          <w:hyperlink w:anchor="__RefHeading___Toc2647159_3650668749">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2647161_3650668749">
            <w:r>
              <w:rPr>
                <w:webHidden/>
                <w:rStyle w:val="IndexLink"/>
              </w:rPr>
              <w:t>1</w:t>
            </w:r>
            <w:r>
              <w:rPr>
                <w:rStyle w:val="IndexLink"/>
                <w:rtl w:val="true"/>
              </w:rPr>
              <w:t xml:space="preserve">. </w:t>
            </w:r>
            <w:r>
              <w:rPr>
                <w:rStyle w:val="IndexLink"/>
                <w:rtl w:val="true"/>
              </w:rPr>
              <w:t>طاغوت‌بودن پرچم‌داران قيام‌</w:t>
            </w:r>
            <w:r>
              <w:rPr>
                <w:rStyle w:val="IndexLink"/>
                <w:rtl w:val="true"/>
              </w:rPr>
              <w:tab/>
            </w:r>
            <w:r>
              <w:rPr>
                <w:rStyle w:val="IndexLink"/>
              </w:rPr>
              <w:t>71</w:t>
            </w:r>
          </w:hyperlink>
        </w:p>
        <w:p>
          <w:pPr>
            <w:pStyle w:val="Contents5"/>
            <w:tabs>
              <w:tab w:val="clear" w:pos="7892"/>
              <w:tab w:val="right" w:pos="9026" w:leader="dot"/>
            </w:tabs>
            <w:rPr/>
          </w:pPr>
          <w:hyperlink w:anchor="__RefHeading___Toc2647163_3650668749">
            <w:r>
              <w:rPr>
                <w:webHidden/>
                <w:rStyle w:val="IndexLink"/>
              </w:rPr>
              <w:t>2</w:t>
            </w:r>
            <w:r>
              <w:rPr>
                <w:rStyle w:val="IndexLink"/>
                <w:rtl w:val="true"/>
              </w:rPr>
              <w:t xml:space="preserve">. </w:t>
            </w:r>
            <w:r>
              <w:rPr>
                <w:rStyle w:val="IndexLink"/>
                <w:rtl w:val="true"/>
              </w:rPr>
              <w:t>شكست قيام‌هاي پيش از ظهور</w:t>
            </w:r>
            <w:r>
              <w:rPr>
                <w:rStyle w:val="IndexLink"/>
                <w:rtl w:val="true"/>
              </w:rPr>
              <w:tab/>
            </w:r>
            <w:r>
              <w:rPr>
                <w:rStyle w:val="IndexLink"/>
              </w:rPr>
              <w:t>74</w:t>
            </w:r>
          </w:hyperlink>
        </w:p>
        <w:p>
          <w:pPr>
            <w:pStyle w:val="Contents5"/>
            <w:tabs>
              <w:tab w:val="clear" w:pos="7892"/>
              <w:tab w:val="right" w:pos="9026" w:leader="dot"/>
            </w:tabs>
            <w:rPr/>
          </w:pPr>
          <w:hyperlink w:anchor="__RefHeading___Toc2647165_3650668749">
            <w:r>
              <w:rPr>
                <w:webHidden/>
                <w:rStyle w:val="IndexLink"/>
              </w:rPr>
              <w:t>3</w:t>
            </w:r>
            <w:r>
              <w:rPr>
                <w:rStyle w:val="IndexLink"/>
                <w:rtl w:val="true"/>
              </w:rPr>
              <w:t xml:space="preserve">. </w:t>
            </w:r>
            <w:r>
              <w:rPr>
                <w:rStyle w:val="IndexLink"/>
                <w:rtl w:val="true"/>
              </w:rPr>
              <w:t>سكوت و خانه‌نشيني</w:t>
            </w:r>
            <w:r>
              <w:rPr>
                <w:rStyle w:val="IndexLink"/>
                <w:rtl w:val="true"/>
              </w:rPr>
              <w:tab/>
            </w:r>
            <w:r>
              <w:rPr>
                <w:rStyle w:val="IndexLink"/>
              </w:rPr>
              <w:t>76</w:t>
            </w:r>
          </w:hyperlink>
        </w:p>
        <w:p>
          <w:pPr>
            <w:pStyle w:val="Contents5"/>
            <w:tabs>
              <w:tab w:val="clear" w:pos="7892"/>
              <w:tab w:val="right" w:pos="9026" w:leader="dot"/>
            </w:tabs>
            <w:rPr/>
          </w:pPr>
          <w:hyperlink w:anchor="__RefHeading___Toc2647167_3650668749">
            <w:r>
              <w:rPr>
                <w:webHidden/>
                <w:rStyle w:val="IndexLink"/>
              </w:rPr>
              <w:t>4</w:t>
            </w:r>
            <w:r>
              <w:rPr>
                <w:rStyle w:val="IndexLink"/>
                <w:rtl w:val="true"/>
              </w:rPr>
              <w:t xml:space="preserve">. </w:t>
            </w:r>
            <w:r>
              <w:rPr>
                <w:rStyle w:val="IndexLink"/>
                <w:rtl w:val="true"/>
              </w:rPr>
              <w:t>سرزنش شتاب براي نابودي دشمنان</w:t>
            </w:r>
            <w:r>
              <w:rPr>
                <w:rStyle w:val="IndexLink"/>
                <w:rtl w:val="true"/>
              </w:rPr>
              <w:tab/>
            </w:r>
            <w:r>
              <w:rPr>
                <w:rStyle w:val="IndexLink"/>
              </w:rPr>
              <w:t>77</w:t>
            </w:r>
          </w:hyperlink>
        </w:p>
        <w:p>
          <w:pPr>
            <w:pStyle w:val="Contents4"/>
            <w:tabs>
              <w:tab w:val="clear" w:pos="8176"/>
              <w:tab w:val="right" w:pos="9026" w:leader="dot"/>
            </w:tabs>
            <w:rPr/>
          </w:pPr>
          <w:hyperlink w:anchor="__RefHeading___Toc2647169_3650668749">
            <w:r>
              <w:rPr>
                <w:webHidden/>
                <w:rStyle w:val="IndexLink"/>
                <w:rtl w:val="true"/>
              </w:rPr>
              <w:t>بررسي و نتيجه گيري</w:t>
            </w:r>
            <w:r>
              <w:rPr>
                <w:rStyle w:val="IndexLink"/>
                <w:rtl w:val="true"/>
              </w:rPr>
              <w:tab/>
            </w:r>
            <w:r>
              <w:rPr>
                <w:rStyle w:val="IndexLink"/>
              </w:rPr>
              <w:t>78</w:t>
            </w:r>
          </w:hyperlink>
        </w:p>
        <w:p>
          <w:pPr>
            <w:pStyle w:val="Contents3"/>
            <w:tabs>
              <w:tab w:val="clear" w:pos="8459"/>
              <w:tab w:val="right" w:pos="9026" w:leader="dot"/>
            </w:tabs>
            <w:rPr/>
          </w:pPr>
          <w:hyperlink w:anchor="__RefHeading___Toc2647171_3650668749">
            <w:r>
              <w:rPr>
                <w:webHidden/>
                <w:rStyle w:val="IndexLink"/>
                <w:rtl w:val="true"/>
              </w:rPr>
              <w:t>فصل دوم</w:t>
            </w:r>
            <w:r>
              <w:rPr>
                <w:rStyle w:val="IndexLink"/>
                <w:rtl w:val="true"/>
              </w:rPr>
              <w:t xml:space="preserve">: </w:t>
            </w:r>
            <w:r>
              <w:rPr>
                <w:rStyle w:val="IndexLink"/>
                <w:rtl w:val="true"/>
              </w:rPr>
              <w:t>نقش مردم در قيام و پيروزي حضرت مهدي عجل الله فرجه</w:t>
            </w:r>
            <w:r>
              <w:rPr>
                <w:rStyle w:val="IndexLink"/>
                <w:rtl w:val="true"/>
              </w:rPr>
              <w:tab/>
            </w:r>
            <w:r>
              <w:rPr>
                <w:rStyle w:val="IndexLink"/>
              </w:rPr>
              <w:t>79</w:t>
            </w:r>
          </w:hyperlink>
        </w:p>
        <w:p>
          <w:pPr>
            <w:pStyle w:val="Contents4"/>
            <w:tabs>
              <w:tab w:val="clear" w:pos="8176"/>
              <w:tab w:val="right" w:pos="9026" w:leader="dot"/>
            </w:tabs>
            <w:rPr/>
          </w:pPr>
          <w:hyperlink w:anchor="__RefHeading___Toc2647173_3650668749">
            <w:r>
              <w:rPr>
                <w:webHidden/>
                <w:rStyle w:val="IndexLink"/>
                <w:rtl w:val="true"/>
              </w:rPr>
              <w:t>مقدمه</w:t>
            </w:r>
            <w:r>
              <w:rPr>
                <w:rStyle w:val="IndexLink"/>
                <w:rtl w:val="true"/>
              </w:rPr>
              <w:tab/>
            </w:r>
            <w:r>
              <w:rPr>
                <w:rStyle w:val="IndexLink"/>
              </w:rPr>
              <w:t>79</w:t>
            </w:r>
          </w:hyperlink>
        </w:p>
        <w:p>
          <w:pPr>
            <w:pStyle w:val="Contents4"/>
            <w:tabs>
              <w:tab w:val="clear" w:pos="8176"/>
              <w:tab w:val="right" w:pos="9026" w:leader="dot"/>
            </w:tabs>
            <w:rPr/>
          </w:pPr>
          <w:hyperlink w:anchor="__RefHeading___Toc2647175_3650668749">
            <w:r>
              <w:rPr>
                <w:webHidden/>
                <w:rStyle w:val="IndexLink"/>
              </w:rPr>
              <w:t>1</w:t>
            </w:r>
            <w:r>
              <w:rPr>
                <w:rStyle w:val="IndexLink"/>
                <w:rtl w:val="true"/>
              </w:rPr>
              <w:t xml:space="preserve">. </w:t>
            </w:r>
            <w:r>
              <w:rPr>
                <w:rStyle w:val="IndexLink"/>
                <w:rtl w:val="true"/>
              </w:rPr>
              <w:t xml:space="preserve">ياران و ياوران </w:t>
            </w:r>
            <w:r>
              <w:rPr>
                <w:rStyle w:val="IndexLink"/>
                <w:rtl w:val="true"/>
              </w:rPr>
              <w:t>(</w:t>
            </w:r>
            <w:r>
              <w:rPr>
                <w:rStyle w:val="IndexLink"/>
                <w:rtl w:val="true"/>
              </w:rPr>
              <w:t>برخي مردم</w:t>
            </w:r>
            <w:r>
              <w:rPr>
                <w:rStyle w:val="IndexLink"/>
                <w:rtl w:val="true"/>
              </w:rPr>
              <w:t>)</w:t>
              <w:tab/>
            </w:r>
            <w:r>
              <w:rPr>
                <w:rStyle w:val="IndexLink"/>
              </w:rPr>
              <w:t>80</w:t>
            </w:r>
          </w:hyperlink>
        </w:p>
        <w:p>
          <w:pPr>
            <w:pStyle w:val="Contents5"/>
            <w:tabs>
              <w:tab w:val="clear" w:pos="7892"/>
              <w:tab w:val="right" w:pos="9026" w:leader="dot"/>
            </w:tabs>
            <w:rPr/>
          </w:pPr>
          <w:hyperlink w:anchor="__RefHeading___Toc2647177_3650668749">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2647179_3650668749">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ياران خاص</w:t>
            </w:r>
            <w:r>
              <w:rPr>
                <w:rStyle w:val="IndexLink"/>
                <w:rtl w:val="true"/>
              </w:rPr>
              <w:tab/>
            </w:r>
            <w:r>
              <w:rPr>
                <w:rStyle w:val="IndexLink"/>
              </w:rPr>
              <w:t>82</w:t>
            </w:r>
          </w:hyperlink>
        </w:p>
        <w:p>
          <w:pPr>
            <w:pStyle w:val="Contents6"/>
            <w:tabs>
              <w:tab w:val="clear" w:pos="7609"/>
              <w:tab w:val="right" w:pos="9026" w:leader="dot"/>
            </w:tabs>
            <w:rPr/>
          </w:pPr>
          <w:hyperlink w:anchor="__RefHeading___Toc2647181_3650668749">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2647183_3650668749">
            <w:r>
              <w:rPr>
                <w:webHidden/>
                <w:rStyle w:val="IndexLink"/>
                <w:rtl w:val="true"/>
              </w:rPr>
              <w:t>زنان و ياري حضرت مهدي عليه السلام</w:t>
            </w:r>
            <w:r>
              <w:rPr>
                <w:rStyle w:val="IndexLink"/>
                <w:rtl w:val="true"/>
              </w:rPr>
              <w:tab/>
            </w:r>
            <w:r>
              <w:rPr>
                <w:rStyle w:val="IndexLink"/>
              </w:rPr>
              <w:t>84</w:t>
            </w:r>
          </w:hyperlink>
        </w:p>
        <w:p>
          <w:pPr>
            <w:pStyle w:val="Contents6"/>
            <w:tabs>
              <w:tab w:val="clear" w:pos="7609"/>
              <w:tab w:val="right" w:pos="9026" w:leader="dot"/>
            </w:tabs>
            <w:rPr/>
          </w:pPr>
          <w:hyperlink w:anchor="__RefHeading___Toc2647185_3650668749">
            <w:r>
              <w:rPr>
                <w:webHidden/>
                <w:rStyle w:val="IndexLink"/>
                <w:rtl w:val="true"/>
              </w:rPr>
              <w:t>گونه‌هاي ياران خاص در روايات</w:t>
            </w:r>
            <w:r>
              <w:rPr>
                <w:rStyle w:val="IndexLink"/>
                <w:rtl w:val="true"/>
              </w:rPr>
              <w:tab/>
            </w:r>
            <w:r>
              <w:rPr>
                <w:rStyle w:val="IndexLink"/>
              </w:rPr>
              <w:t>85</w:t>
            </w:r>
          </w:hyperlink>
        </w:p>
        <w:p>
          <w:pPr>
            <w:pStyle w:val="Contents6"/>
            <w:tabs>
              <w:tab w:val="clear" w:pos="7609"/>
              <w:tab w:val="right" w:pos="9026" w:leader="dot"/>
            </w:tabs>
            <w:rPr/>
          </w:pPr>
          <w:hyperlink w:anchor="__RefHeading___Toc2647187_3650668749">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2647189_3650668749">
            <w:r>
              <w:rPr>
                <w:webHidden/>
                <w:rStyle w:val="IndexLink"/>
                <w:rtl w:val="true"/>
              </w:rPr>
              <w:t>الف</w:t>
            </w:r>
            <w:r>
              <w:rPr>
                <w:rStyle w:val="IndexLink"/>
                <w:rtl w:val="true"/>
              </w:rPr>
              <w:t xml:space="preserve">) </w:t>
            </w:r>
            <w:r>
              <w:rPr>
                <w:rStyle w:val="IndexLink"/>
                <w:rtl w:val="true"/>
              </w:rPr>
              <w:t>أبدال</w:t>
            </w:r>
            <w:r>
              <w:rPr>
                <w:rStyle w:val="IndexLink"/>
                <w:rtl w:val="true"/>
              </w:rPr>
              <w:tab/>
            </w:r>
            <w:r>
              <w:rPr>
                <w:rStyle w:val="IndexLink"/>
              </w:rPr>
              <w:t>86</w:t>
            </w:r>
          </w:hyperlink>
        </w:p>
        <w:p>
          <w:pPr>
            <w:pStyle w:val="Contents6"/>
            <w:tabs>
              <w:tab w:val="clear" w:pos="7609"/>
              <w:tab w:val="right" w:pos="9026" w:leader="dot"/>
            </w:tabs>
            <w:rPr/>
          </w:pPr>
          <w:hyperlink w:anchor="__RefHeading___Toc2647191_3650668749">
            <w:r>
              <w:rPr>
                <w:webHidden/>
                <w:rStyle w:val="IndexLink"/>
                <w:rtl w:val="true"/>
              </w:rPr>
              <w:t>ب</w:t>
            </w:r>
            <w:r>
              <w:rPr>
                <w:rStyle w:val="IndexLink"/>
                <w:rtl w:val="true"/>
              </w:rPr>
              <w:t xml:space="preserve">) </w:t>
            </w:r>
            <w:r>
              <w:rPr>
                <w:rStyle w:val="IndexLink"/>
                <w:rtl w:val="true"/>
              </w:rPr>
              <w:t>اخيار</w:t>
            </w:r>
            <w:r>
              <w:rPr>
                <w:rStyle w:val="IndexLink"/>
                <w:rtl w:val="true"/>
              </w:rPr>
              <w:tab/>
            </w:r>
            <w:r>
              <w:rPr>
                <w:rStyle w:val="IndexLink"/>
              </w:rPr>
              <w:t>87</w:t>
            </w:r>
          </w:hyperlink>
        </w:p>
        <w:p>
          <w:pPr>
            <w:pStyle w:val="Contents6"/>
            <w:tabs>
              <w:tab w:val="clear" w:pos="7609"/>
              <w:tab w:val="right" w:pos="9026" w:leader="dot"/>
            </w:tabs>
            <w:rPr/>
          </w:pPr>
          <w:hyperlink w:anchor="__RefHeading___Toc2647193_3650668749">
            <w:r>
              <w:rPr>
                <w:webHidden/>
                <w:rStyle w:val="IndexLink"/>
                <w:rtl w:val="true"/>
              </w:rPr>
              <w:t>ج</w:t>
            </w:r>
            <w:r>
              <w:rPr>
                <w:rStyle w:val="IndexLink"/>
                <w:rtl w:val="true"/>
              </w:rPr>
              <w:t xml:space="preserve">) </w:t>
            </w:r>
            <w:r>
              <w:rPr>
                <w:rStyle w:val="IndexLink"/>
                <w:rtl w:val="true"/>
              </w:rPr>
              <w:t>عصائب</w:t>
            </w:r>
            <w:r>
              <w:rPr>
                <w:rStyle w:val="IndexLink"/>
                <w:rtl w:val="true"/>
              </w:rPr>
              <w:tab/>
            </w:r>
            <w:r>
              <w:rPr>
                <w:rStyle w:val="IndexLink"/>
              </w:rPr>
              <w:t>88</w:t>
            </w:r>
          </w:hyperlink>
        </w:p>
        <w:p>
          <w:pPr>
            <w:pStyle w:val="Contents6"/>
            <w:tabs>
              <w:tab w:val="clear" w:pos="7609"/>
              <w:tab w:val="right" w:pos="9026" w:leader="dot"/>
            </w:tabs>
            <w:rPr/>
          </w:pPr>
          <w:hyperlink w:anchor="__RefHeading___Toc2647195_3650668749">
            <w:r>
              <w:rPr>
                <w:webHidden/>
                <w:rStyle w:val="IndexLink"/>
                <w:rtl w:val="true"/>
              </w:rPr>
              <w:t>د</w:t>
            </w:r>
            <w:r>
              <w:rPr>
                <w:rStyle w:val="IndexLink"/>
                <w:rtl w:val="true"/>
              </w:rPr>
              <w:t xml:space="preserve">) </w:t>
            </w:r>
            <w:r>
              <w:rPr>
                <w:rStyle w:val="IndexLink"/>
                <w:rtl w:val="true"/>
              </w:rPr>
              <w:t>نجبا</w:t>
            </w:r>
            <w:r>
              <w:rPr>
                <w:rStyle w:val="IndexLink"/>
                <w:rtl w:val="true"/>
              </w:rPr>
              <w:tab/>
            </w:r>
            <w:r>
              <w:rPr>
                <w:rStyle w:val="IndexLink"/>
              </w:rPr>
              <w:t>89</w:t>
            </w:r>
          </w:hyperlink>
        </w:p>
        <w:p>
          <w:pPr>
            <w:pStyle w:val="Contents6"/>
            <w:tabs>
              <w:tab w:val="clear" w:pos="7609"/>
              <w:tab w:val="right" w:pos="9026" w:leader="dot"/>
            </w:tabs>
            <w:rPr/>
          </w:pPr>
          <w:hyperlink w:anchor="__RefHeading___Toc2647197_3650668749">
            <w:r>
              <w:rPr>
                <w:webHidden/>
                <w:rStyle w:val="IndexLink"/>
                <w:rtl w:val="true"/>
              </w:rPr>
              <w:t>ويژگي هاي ياران</w:t>
            </w:r>
            <w:r>
              <w:rPr>
                <w:rStyle w:val="IndexLink"/>
                <w:rtl w:val="true"/>
              </w:rPr>
              <w:tab/>
            </w:r>
            <w:r>
              <w:rPr>
                <w:rStyle w:val="IndexLink"/>
              </w:rPr>
              <w:t>90</w:t>
            </w:r>
          </w:hyperlink>
        </w:p>
        <w:p>
          <w:pPr>
            <w:pStyle w:val="Contents6"/>
            <w:tabs>
              <w:tab w:val="clear" w:pos="7609"/>
              <w:tab w:val="right" w:pos="9026" w:leader="dot"/>
            </w:tabs>
            <w:rPr/>
          </w:pPr>
          <w:hyperlink w:anchor="__RefHeading___Toc2647199_3650668749">
            <w:r>
              <w:rPr>
                <w:webHidden/>
                <w:rStyle w:val="IndexLink"/>
                <w:rtl w:val="true"/>
              </w:rPr>
              <w:t>ويژگي</w:t>
            </w:r>
            <w:r>
              <w:rPr>
                <w:rStyle w:val="IndexLink"/>
                <w:rtl w:val="true"/>
              </w:rPr>
              <w:t>¬</w:t>
            </w:r>
            <w:r>
              <w:rPr>
                <w:rStyle w:val="IndexLink"/>
                <w:rtl w:val="true"/>
              </w:rPr>
              <w:t>هاي روحي و معنوي</w:t>
            </w:r>
            <w:r>
              <w:rPr>
                <w:rStyle w:val="IndexLink"/>
                <w:rtl w:val="true"/>
              </w:rPr>
              <w:tab/>
            </w:r>
            <w:r>
              <w:rPr>
                <w:rStyle w:val="IndexLink"/>
              </w:rPr>
              <w:t>91</w:t>
            </w:r>
          </w:hyperlink>
        </w:p>
        <w:p>
          <w:pPr>
            <w:pStyle w:val="Contents6"/>
            <w:tabs>
              <w:tab w:val="clear" w:pos="7609"/>
              <w:tab w:val="right" w:pos="9026" w:leader="dot"/>
            </w:tabs>
            <w:rPr/>
          </w:pPr>
          <w:hyperlink w:anchor="__RefHeading___Toc2647201_3650668749">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2647203_3650668749">
            <w:r>
              <w:rPr>
                <w:webHidden/>
                <w:rStyle w:val="IndexLink"/>
              </w:rPr>
              <w:t>1</w:t>
            </w:r>
            <w:r>
              <w:rPr>
                <w:rStyle w:val="IndexLink"/>
                <w:rtl w:val="true"/>
              </w:rPr>
              <w:t xml:space="preserve">. </w:t>
            </w:r>
            <w:r>
              <w:rPr>
                <w:rStyle w:val="IndexLink"/>
                <w:rtl w:val="true"/>
              </w:rPr>
              <w:t>يگانه</w:t>
            </w:r>
            <w:r>
              <w:rPr>
                <w:rStyle w:val="IndexLink"/>
                <w:rtl w:val="true"/>
              </w:rPr>
              <w:t>¬</w:t>
            </w:r>
            <w:r>
              <w:rPr>
                <w:rStyle w:val="IndexLink"/>
                <w:rtl w:val="true"/>
              </w:rPr>
              <w:t>پرستي</w:t>
            </w:r>
            <w:r>
              <w:rPr>
                <w:rStyle w:val="IndexLink"/>
                <w:rtl w:val="true"/>
              </w:rPr>
              <w:tab/>
            </w:r>
            <w:r>
              <w:rPr>
                <w:rStyle w:val="IndexLink"/>
              </w:rPr>
              <w:t>92</w:t>
            </w:r>
          </w:hyperlink>
        </w:p>
        <w:p>
          <w:pPr>
            <w:pStyle w:val="Contents6"/>
            <w:tabs>
              <w:tab w:val="clear" w:pos="7609"/>
              <w:tab w:val="right" w:pos="9026" w:leader="dot"/>
            </w:tabs>
            <w:rPr/>
          </w:pPr>
          <w:hyperlink w:anchor="__RefHeading___Toc2647205_3650668749">
            <w:r>
              <w:rPr>
                <w:webHidden/>
                <w:rStyle w:val="IndexLink"/>
              </w:rPr>
              <w:t>2</w:t>
            </w:r>
            <w:r>
              <w:rPr>
                <w:rStyle w:val="IndexLink"/>
                <w:rtl w:val="true"/>
              </w:rPr>
              <w:t xml:space="preserve">. </w:t>
            </w:r>
            <w:r>
              <w:rPr>
                <w:rStyle w:val="IndexLink"/>
                <w:rtl w:val="true"/>
              </w:rPr>
              <w:t>بصيرت</w:t>
            </w:r>
            <w:r>
              <w:rPr>
                <w:rStyle w:val="IndexLink"/>
                <w:rtl w:val="true"/>
              </w:rPr>
              <w:tab/>
            </w:r>
            <w:r>
              <w:rPr>
                <w:rStyle w:val="IndexLink"/>
              </w:rPr>
              <w:t>93</w:t>
            </w:r>
          </w:hyperlink>
        </w:p>
        <w:p>
          <w:pPr>
            <w:pStyle w:val="Contents6"/>
            <w:tabs>
              <w:tab w:val="clear" w:pos="7609"/>
              <w:tab w:val="right" w:pos="9026" w:leader="dot"/>
            </w:tabs>
            <w:rPr/>
          </w:pPr>
          <w:hyperlink w:anchor="__RefHeading___Toc2647207_3650668749">
            <w:r>
              <w:rPr>
                <w:webHidden/>
                <w:rStyle w:val="IndexLink"/>
              </w:rPr>
              <w:t>3</w:t>
            </w:r>
            <w:r>
              <w:rPr>
                <w:rStyle w:val="IndexLink"/>
                <w:rtl w:val="true"/>
              </w:rPr>
              <w:t xml:space="preserve">. </w:t>
            </w:r>
            <w:r>
              <w:rPr>
                <w:rStyle w:val="IndexLink"/>
                <w:rtl w:val="true"/>
              </w:rPr>
              <w:t>شجاعت</w:t>
            </w:r>
            <w:r>
              <w:rPr>
                <w:rStyle w:val="IndexLink"/>
                <w:rtl w:val="true"/>
              </w:rPr>
              <w:tab/>
            </w:r>
            <w:r>
              <w:rPr>
                <w:rStyle w:val="IndexLink"/>
              </w:rPr>
              <w:t>94</w:t>
            </w:r>
          </w:hyperlink>
        </w:p>
        <w:p>
          <w:pPr>
            <w:pStyle w:val="Contents6"/>
            <w:tabs>
              <w:tab w:val="clear" w:pos="7609"/>
              <w:tab w:val="right" w:pos="9026" w:leader="dot"/>
            </w:tabs>
            <w:rPr/>
          </w:pPr>
          <w:hyperlink w:anchor="__RefHeading___Toc2647209_3650668749">
            <w:r>
              <w:rPr>
                <w:webHidden/>
                <w:rStyle w:val="IndexLink"/>
              </w:rPr>
              <w:t>4</w:t>
            </w:r>
            <w:r>
              <w:rPr>
                <w:rStyle w:val="IndexLink"/>
                <w:rtl w:val="true"/>
              </w:rPr>
              <w:t xml:space="preserve">. </w:t>
            </w:r>
            <w:r>
              <w:rPr>
                <w:rStyle w:val="IndexLink"/>
                <w:rtl w:val="true"/>
              </w:rPr>
              <w:t>ولايت‌مداري</w:t>
            </w:r>
            <w:r>
              <w:rPr>
                <w:rStyle w:val="IndexLink"/>
                <w:rtl w:val="true"/>
              </w:rPr>
              <w:tab/>
            </w:r>
            <w:r>
              <w:rPr>
                <w:rStyle w:val="IndexLink"/>
              </w:rPr>
              <w:t>95</w:t>
            </w:r>
          </w:hyperlink>
        </w:p>
        <w:p>
          <w:pPr>
            <w:pStyle w:val="Contents6"/>
            <w:tabs>
              <w:tab w:val="clear" w:pos="7609"/>
              <w:tab w:val="right" w:pos="9026" w:leader="dot"/>
            </w:tabs>
            <w:rPr/>
          </w:pPr>
          <w:hyperlink w:anchor="__RefHeading___Toc2647211_3650668749">
            <w:r>
              <w:rPr>
                <w:webHidden/>
                <w:rStyle w:val="IndexLink"/>
              </w:rPr>
              <w:t>5</w:t>
            </w:r>
            <w:r>
              <w:rPr>
                <w:rStyle w:val="IndexLink"/>
                <w:rtl w:val="true"/>
              </w:rPr>
              <w:t xml:space="preserve">. </w:t>
            </w:r>
            <w:r>
              <w:rPr>
                <w:rStyle w:val="IndexLink"/>
                <w:rtl w:val="true"/>
              </w:rPr>
              <w:t>از خودگذشتگي</w:t>
            </w:r>
            <w:r>
              <w:rPr>
                <w:rStyle w:val="IndexLink"/>
                <w:rtl w:val="true"/>
              </w:rPr>
              <w:tab/>
            </w:r>
            <w:r>
              <w:rPr>
                <w:rStyle w:val="IndexLink"/>
              </w:rPr>
              <w:t>96</w:t>
            </w:r>
          </w:hyperlink>
        </w:p>
        <w:p>
          <w:pPr>
            <w:pStyle w:val="Contents6"/>
            <w:tabs>
              <w:tab w:val="clear" w:pos="7609"/>
              <w:tab w:val="right" w:pos="9026" w:leader="dot"/>
            </w:tabs>
            <w:rPr/>
          </w:pPr>
          <w:hyperlink w:anchor="__RefHeading___Toc2647213_3650668749">
            <w:r>
              <w:rPr>
                <w:webHidden/>
                <w:rStyle w:val="IndexLink"/>
              </w:rPr>
              <w:t>6</w:t>
            </w:r>
            <w:r>
              <w:rPr>
                <w:rStyle w:val="IndexLink"/>
                <w:rtl w:val="true"/>
              </w:rPr>
              <w:t xml:space="preserve">. </w:t>
            </w:r>
            <w:r>
              <w:rPr>
                <w:rStyle w:val="IndexLink"/>
                <w:rtl w:val="true"/>
              </w:rPr>
              <w:t>ساده</w:t>
            </w:r>
            <w:r>
              <w:rPr>
                <w:rStyle w:val="IndexLink"/>
                <w:rtl w:val="true"/>
              </w:rPr>
              <w:t>¬</w:t>
            </w:r>
            <w:r>
              <w:rPr>
                <w:rStyle w:val="IndexLink"/>
                <w:rtl w:val="true"/>
              </w:rPr>
              <w:t>زيستي</w:t>
            </w:r>
            <w:r>
              <w:rPr>
                <w:rStyle w:val="IndexLink"/>
                <w:rtl w:val="true"/>
              </w:rPr>
              <w:tab/>
            </w:r>
            <w:r>
              <w:rPr>
                <w:rStyle w:val="IndexLink"/>
              </w:rPr>
              <w:t>97</w:t>
            </w:r>
          </w:hyperlink>
        </w:p>
        <w:p>
          <w:pPr>
            <w:pStyle w:val="Contents6"/>
            <w:tabs>
              <w:tab w:val="clear" w:pos="7609"/>
              <w:tab w:val="right" w:pos="9026" w:leader="dot"/>
            </w:tabs>
            <w:rPr/>
          </w:pPr>
          <w:hyperlink w:anchor="__RefHeading___Toc2647215_3650668749">
            <w:r>
              <w:rPr>
                <w:webHidden/>
                <w:rStyle w:val="IndexLink"/>
                <w:rtl w:val="true"/>
              </w:rPr>
              <w:t>ويژگي</w:t>
            </w:r>
            <w:r>
              <w:rPr>
                <w:rStyle w:val="IndexLink"/>
                <w:rtl w:val="true"/>
              </w:rPr>
              <w:t>¬</w:t>
            </w:r>
            <w:r>
              <w:rPr>
                <w:rStyle w:val="IndexLink"/>
                <w:rtl w:val="true"/>
              </w:rPr>
              <w:t>هاي جسمي و ظاهري</w:t>
            </w:r>
            <w:r>
              <w:rPr>
                <w:rStyle w:val="IndexLink"/>
                <w:rtl w:val="true"/>
              </w:rPr>
              <w:tab/>
            </w:r>
            <w:r>
              <w:rPr>
                <w:rStyle w:val="IndexLink"/>
              </w:rPr>
              <w:t>98</w:t>
            </w:r>
          </w:hyperlink>
        </w:p>
        <w:p>
          <w:pPr>
            <w:pStyle w:val="Contents6"/>
            <w:tabs>
              <w:tab w:val="clear" w:pos="7609"/>
              <w:tab w:val="right" w:pos="9026" w:leader="dot"/>
            </w:tabs>
            <w:rPr/>
          </w:pPr>
          <w:hyperlink w:anchor="__RefHeading___Toc2647217_3650668749">
            <w:r>
              <w:rPr>
                <w:webHidden/>
                <w:rStyle w:val="IndexLink"/>
              </w:rPr>
              <w:t>1</w:t>
            </w:r>
            <w:r>
              <w:rPr>
                <w:rStyle w:val="IndexLink"/>
                <w:rtl w:val="true"/>
              </w:rPr>
              <w:t xml:space="preserve">. </w:t>
            </w:r>
            <w:r>
              <w:rPr>
                <w:rStyle w:val="IndexLink"/>
                <w:rtl w:val="true"/>
              </w:rPr>
              <w:t>جوان بودن</w:t>
            </w:r>
            <w:r>
              <w:rPr>
                <w:rStyle w:val="IndexLink"/>
                <w:rtl w:val="true"/>
              </w:rPr>
              <w:tab/>
            </w:r>
            <w:r>
              <w:rPr>
                <w:rStyle w:val="IndexLink"/>
              </w:rPr>
              <w:t>98</w:t>
            </w:r>
          </w:hyperlink>
        </w:p>
        <w:p>
          <w:pPr>
            <w:pStyle w:val="Contents6"/>
            <w:tabs>
              <w:tab w:val="clear" w:pos="7609"/>
              <w:tab w:val="right" w:pos="9026" w:leader="dot"/>
            </w:tabs>
            <w:rPr/>
          </w:pPr>
          <w:hyperlink w:anchor="__RefHeading___Toc2647219_3650668749">
            <w:r>
              <w:rPr>
                <w:webHidden/>
                <w:rStyle w:val="IndexLink"/>
              </w:rPr>
              <w:t>2</w:t>
            </w:r>
            <w:r>
              <w:rPr>
                <w:rStyle w:val="IndexLink"/>
                <w:rtl w:val="true"/>
              </w:rPr>
              <w:t xml:space="preserve">. </w:t>
            </w:r>
            <w:r>
              <w:rPr>
                <w:rStyle w:val="IndexLink"/>
                <w:rtl w:val="true"/>
              </w:rPr>
              <w:t>شمار محدود</w:t>
            </w:r>
            <w:r>
              <w:rPr>
                <w:rStyle w:val="IndexLink"/>
                <w:rtl w:val="true"/>
              </w:rPr>
              <w:tab/>
            </w:r>
            <w:r>
              <w:rPr>
                <w:rStyle w:val="IndexLink"/>
              </w:rPr>
              <w:t>99</w:t>
            </w:r>
          </w:hyperlink>
        </w:p>
        <w:p>
          <w:pPr>
            <w:pStyle w:val="Contents6"/>
            <w:tabs>
              <w:tab w:val="clear" w:pos="7609"/>
              <w:tab w:val="right" w:pos="9026" w:leader="dot"/>
            </w:tabs>
            <w:rPr/>
          </w:pPr>
          <w:hyperlink w:anchor="__RefHeading___Toc2647221_3650668749">
            <w:r>
              <w:rPr>
                <w:webHidden/>
                <w:rStyle w:val="IndexLink"/>
              </w:rPr>
              <w:t>3</w:t>
            </w:r>
            <w:r>
              <w:rPr>
                <w:rStyle w:val="IndexLink"/>
                <w:rtl w:val="true"/>
              </w:rPr>
              <w:t xml:space="preserve">. </w:t>
            </w:r>
            <w:r>
              <w:rPr>
                <w:rStyle w:val="IndexLink"/>
                <w:rtl w:val="true"/>
              </w:rPr>
              <w:t>توانمندي</w:t>
            </w:r>
            <w:r>
              <w:rPr>
                <w:rStyle w:val="IndexLink"/>
                <w:rtl w:val="true"/>
              </w:rPr>
              <w:tab/>
            </w:r>
            <w:r>
              <w:rPr>
                <w:rStyle w:val="IndexLink"/>
              </w:rPr>
              <w:t>100</w:t>
            </w:r>
          </w:hyperlink>
        </w:p>
        <w:p>
          <w:pPr>
            <w:pStyle w:val="Contents6"/>
            <w:tabs>
              <w:tab w:val="clear" w:pos="7609"/>
              <w:tab w:val="right" w:pos="9026" w:leader="dot"/>
            </w:tabs>
            <w:rPr/>
          </w:pPr>
          <w:hyperlink w:anchor="__RefHeading___Toc2647223_3650668749">
            <w:r>
              <w:rPr>
                <w:webHidden/>
                <w:rStyle w:val="IndexLink"/>
              </w:rPr>
              <w:t>4</w:t>
            </w:r>
            <w:r>
              <w:rPr>
                <w:rStyle w:val="IndexLink"/>
                <w:rtl w:val="true"/>
              </w:rPr>
              <w:t xml:space="preserve">. </w:t>
            </w:r>
            <w:r>
              <w:rPr>
                <w:rStyle w:val="IndexLink"/>
                <w:rtl w:val="true"/>
              </w:rPr>
              <w:t>كارگزاري</w:t>
            </w:r>
            <w:r>
              <w:rPr>
                <w:rStyle w:val="IndexLink"/>
                <w:rtl w:val="true"/>
              </w:rPr>
              <w:tab/>
            </w:r>
            <w:r>
              <w:rPr>
                <w:rStyle w:val="IndexLink"/>
              </w:rPr>
              <w:t>101</w:t>
            </w:r>
          </w:hyperlink>
        </w:p>
        <w:p>
          <w:pPr>
            <w:pStyle w:val="Contents5"/>
            <w:tabs>
              <w:tab w:val="clear" w:pos="7892"/>
              <w:tab w:val="right" w:pos="9026" w:leader="dot"/>
            </w:tabs>
            <w:rPr/>
          </w:pPr>
          <w:hyperlink w:anchor="__RefHeading___Toc2647225_3650668749">
            <w:r>
              <w:rPr>
                <w:webHidden/>
                <w:rStyle w:val="IndexLink"/>
              </w:rPr>
              <w:t>2-2</w:t>
            </w:r>
            <w:r>
              <w:rPr>
                <w:rStyle w:val="IndexLink"/>
                <w:rtl w:val="true"/>
              </w:rPr>
              <w:t xml:space="preserve"> . </w:t>
            </w:r>
            <w:r>
              <w:rPr>
                <w:rStyle w:val="IndexLink"/>
                <w:rtl w:val="true"/>
              </w:rPr>
              <w:t>ياوران</w:t>
            </w:r>
            <w:r>
              <w:rPr>
                <w:rStyle w:val="IndexLink"/>
                <w:rtl w:val="true"/>
              </w:rPr>
              <w:tab/>
            </w:r>
            <w:r>
              <w:rPr>
                <w:rStyle w:val="IndexLink"/>
              </w:rPr>
              <w:t>102</w:t>
            </w:r>
          </w:hyperlink>
        </w:p>
        <w:p>
          <w:pPr>
            <w:pStyle w:val="Contents4"/>
            <w:tabs>
              <w:tab w:val="clear" w:pos="8176"/>
              <w:tab w:val="right" w:pos="9026" w:leader="dot"/>
            </w:tabs>
            <w:rPr/>
          </w:pPr>
          <w:hyperlink w:anchor="__RefHeading___Toc2647227_3650668749">
            <w:r>
              <w:rPr>
                <w:webHidden/>
                <w:rStyle w:val="IndexLink"/>
              </w:rPr>
              <w:t>2</w:t>
            </w:r>
            <w:r>
              <w:rPr>
                <w:rStyle w:val="IndexLink"/>
                <w:rtl w:val="true"/>
              </w:rPr>
              <w:t xml:space="preserve">. </w:t>
            </w:r>
            <w:r>
              <w:rPr>
                <w:rStyle w:val="IndexLink"/>
                <w:rtl w:val="true"/>
              </w:rPr>
              <w:t>تودة مردم</w:t>
            </w:r>
            <w:r>
              <w:rPr>
                <w:rStyle w:val="IndexLink"/>
                <w:rtl w:val="true"/>
              </w:rPr>
              <w:tab/>
            </w:r>
            <w:r>
              <w:rPr>
                <w:rStyle w:val="IndexLink"/>
              </w:rPr>
              <w:t>103</w:t>
            </w:r>
          </w:hyperlink>
        </w:p>
        <w:p>
          <w:pPr>
            <w:pStyle w:val="Contents4"/>
            <w:tabs>
              <w:tab w:val="clear" w:pos="8176"/>
              <w:tab w:val="right" w:pos="9026" w:leader="dot"/>
            </w:tabs>
            <w:rPr/>
          </w:pPr>
          <w:hyperlink w:anchor="__RefHeading___Toc2647229_3650668749">
            <w:r>
              <w:rPr>
                <w:webHidden/>
                <w:rStyle w:val="IndexLink"/>
                <w:rtl w:val="true"/>
              </w:rPr>
              <w:t>دشمنان قيام</w:t>
            </w:r>
            <w:r>
              <w:rPr>
                <w:rStyle w:val="IndexLink"/>
                <w:rtl w:val="true"/>
              </w:rPr>
              <w:tab/>
            </w:r>
            <w:r>
              <w:rPr>
                <w:rStyle w:val="IndexLink"/>
              </w:rPr>
              <w:t>104</w:t>
            </w:r>
          </w:hyperlink>
        </w:p>
        <w:p>
          <w:pPr>
            <w:pStyle w:val="Contents5"/>
            <w:tabs>
              <w:tab w:val="clear" w:pos="7892"/>
              <w:tab w:val="right" w:pos="9026" w:leader="dot"/>
            </w:tabs>
            <w:rPr/>
          </w:pPr>
          <w:hyperlink w:anchor="__RefHeading___Toc2647231_3650668749">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2647233_3650668749">
            <w:r>
              <w:rPr>
                <w:webHidden/>
                <w:rStyle w:val="IndexLink"/>
                <w:rtl w:val="true"/>
              </w:rPr>
              <w:t>يك</w:t>
            </w:r>
            <w:r>
              <w:rPr>
                <w:rStyle w:val="IndexLink"/>
                <w:rtl w:val="true"/>
              </w:rPr>
              <w:t xml:space="preserve">. </w:t>
            </w:r>
            <w:r>
              <w:rPr>
                <w:rStyle w:val="IndexLink"/>
                <w:rtl w:val="true"/>
              </w:rPr>
              <w:t>فراگيرترين نبرد حق و باطل</w:t>
            </w:r>
            <w:r>
              <w:rPr>
                <w:rStyle w:val="IndexLink"/>
                <w:rtl w:val="true"/>
              </w:rPr>
              <w:tab/>
            </w:r>
            <w:r>
              <w:rPr>
                <w:rStyle w:val="IndexLink"/>
              </w:rPr>
              <w:t>105</w:t>
            </w:r>
          </w:hyperlink>
        </w:p>
        <w:p>
          <w:pPr>
            <w:pStyle w:val="Contents5"/>
            <w:tabs>
              <w:tab w:val="clear" w:pos="7892"/>
              <w:tab w:val="right" w:pos="9026" w:leader="dot"/>
            </w:tabs>
            <w:rPr/>
          </w:pPr>
          <w:hyperlink w:anchor="__RefHeading___Toc2647235_3650668749">
            <w:r>
              <w:rPr>
                <w:webHidden/>
                <w:rStyle w:val="IndexLink"/>
                <w:rtl w:val="true"/>
              </w:rPr>
              <w:t>دو</w:t>
            </w:r>
            <w:r>
              <w:rPr>
                <w:rStyle w:val="IndexLink"/>
                <w:rtl w:val="true"/>
              </w:rPr>
              <w:t xml:space="preserve">. </w:t>
            </w:r>
            <w:r>
              <w:rPr>
                <w:rStyle w:val="IndexLink"/>
                <w:rtl w:val="true"/>
              </w:rPr>
              <w:t>گونه شناسي دشمنان</w:t>
            </w:r>
            <w:r>
              <w:rPr>
                <w:rStyle w:val="IndexLink"/>
                <w:rtl w:val="true"/>
              </w:rPr>
              <w:tab/>
            </w:r>
            <w:r>
              <w:rPr>
                <w:rStyle w:val="IndexLink"/>
              </w:rPr>
              <w:t>106</w:t>
            </w:r>
          </w:hyperlink>
        </w:p>
        <w:p>
          <w:pPr>
            <w:pStyle w:val="Contents6"/>
            <w:tabs>
              <w:tab w:val="clear" w:pos="7609"/>
              <w:tab w:val="right" w:pos="9026" w:leader="dot"/>
            </w:tabs>
            <w:rPr/>
          </w:pPr>
          <w:hyperlink w:anchor="__RefHeading___Toc2647237_3650668749">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2647239_3650668749">
            <w:r>
              <w:rPr>
                <w:webHidden/>
                <w:rStyle w:val="IndexLink"/>
              </w:rPr>
              <w:t>1</w:t>
            </w:r>
            <w:r>
              <w:rPr>
                <w:rStyle w:val="IndexLink"/>
                <w:rtl w:val="true"/>
              </w:rPr>
              <w:t xml:space="preserve">. </w:t>
            </w:r>
            <w:r>
              <w:rPr>
                <w:rStyle w:val="IndexLink"/>
                <w:rtl w:val="true"/>
              </w:rPr>
              <w:t>غير مسلمانان</w:t>
            </w:r>
            <w:r>
              <w:rPr>
                <w:rStyle w:val="IndexLink"/>
                <w:rtl w:val="true"/>
              </w:rPr>
              <w:tab/>
            </w:r>
            <w:r>
              <w:rPr>
                <w:rStyle w:val="IndexLink"/>
              </w:rPr>
              <w:t>107</w:t>
            </w:r>
          </w:hyperlink>
        </w:p>
        <w:p>
          <w:pPr>
            <w:pStyle w:val="Contents6"/>
            <w:tabs>
              <w:tab w:val="clear" w:pos="7609"/>
              <w:tab w:val="right" w:pos="9026" w:leader="dot"/>
            </w:tabs>
            <w:rPr/>
          </w:pPr>
          <w:hyperlink w:anchor="__RefHeading___Toc2647241_3650668749">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2647243_3650668749">
            <w:r>
              <w:rPr>
                <w:webHidden/>
                <w:rStyle w:val="IndexLink"/>
              </w:rPr>
              <w:t>1-2</w:t>
            </w:r>
            <w:r>
              <w:rPr>
                <w:rStyle w:val="IndexLink"/>
                <w:rtl w:val="true"/>
              </w:rPr>
              <w:t xml:space="preserve">. </w:t>
            </w:r>
            <w:r>
              <w:rPr>
                <w:rStyle w:val="IndexLink"/>
                <w:rtl w:val="true"/>
              </w:rPr>
              <w:t>يهوديان و مسيحي‌ها</w:t>
            </w:r>
            <w:r>
              <w:rPr>
                <w:rStyle w:val="IndexLink"/>
                <w:rtl w:val="true"/>
              </w:rPr>
              <w:tab/>
            </w:r>
            <w:r>
              <w:rPr>
                <w:rStyle w:val="IndexLink"/>
              </w:rPr>
              <w:t>108</w:t>
            </w:r>
          </w:hyperlink>
        </w:p>
        <w:p>
          <w:pPr>
            <w:pStyle w:val="Contents6"/>
            <w:tabs>
              <w:tab w:val="clear" w:pos="7609"/>
              <w:tab w:val="right" w:pos="9026" w:leader="dot"/>
            </w:tabs>
            <w:rPr/>
          </w:pPr>
          <w:hyperlink w:anchor="__RefHeading___Toc2647245_3650668749">
            <w:r>
              <w:rPr>
                <w:webHidden/>
                <w:rStyle w:val="IndexLink"/>
              </w:rPr>
              <w:t>2</w:t>
            </w:r>
            <w:r>
              <w:rPr>
                <w:rStyle w:val="IndexLink"/>
                <w:rtl w:val="true"/>
              </w:rPr>
              <w:t xml:space="preserve">. </w:t>
            </w:r>
            <w:r>
              <w:rPr>
                <w:rStyle w:val="IndexLink"/>
                <w:rtl w:val="true"/>
              </w:rPr>
              <w:t>برخي مسلمانان</w:t>
            </w:r>
            <w:r>
              <w:rPr>
                <w:rStyle w:val="IndexLink"/>
                <w:rtl w:val="true"/>
              </w:rPr>
              <w:tab/>
            </w:r>
            <w:r>
              <w:rPr>
                <w:rStyle w:val="IndexLink"/>
              </w:rPr>
              <w:t>109</w:t>
            </w:r>
          </w:hyperlink>
        </w:p>
        <w:p>
          <w:pPr>
            <w:pStyle w:val="Contents6"/>
            <w:tabs>
              <w:tab w:val="clear" w:pos="7609"/>
              <w:tab w:val="right" w:pos="9026" w:leader="dot"/>
            </w:tabs>
            <w:rPr/>
          </w:pPr>
          <w:hyperlink w:anchor="__RefHeading___Toc2647247_3650668749">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2647249_3650668749">
            <w:r>
              <w:rPr>
                <w:webHidden/>
                <w:rStyle w:val="IndexLink"/>
              </w:rPr>
              <w:t>2-1</w:t>
            </w:r>
            <w:r>
              <w:rPr>
                <w:rStyle w:val="IndexLink"/>
                <w:rtl w:val="true"/>
              </w:rPr>
              <w:t xml:space="preserve">. </w:t>
            </w:r>
            <w:r>
              <w:rPr>
                <w:rStyle w:val="IndexLink"/>
                <w:rtl w:val="true"/>
              </w:rPr>
              <w:t>منافقان</w:t>
            </w:r>
            <w:r>
              <w:rPr>
                <w:rStyle w:val="IndexLink"/>
                <w:rtl w:val="true"/>
              </w:rPr>
              <w:tab/>
            </w:r>
            <w:r>
              <w:rPr>
                <w:rStyle w:val="IndexLink"/>
              </w:rPr>
              <w:t>110</w:t>
            </w:r>
          </w:hyperlink>
        </w:p>
        <w:p>
          <w:pPr>
            <w:pStyle w:val="Contents6"/>
            <w:tabs>
              <w:tab w:val="clear" w:pos="7609"/>
              <w:tab w:val="right" w:pos="9026" w:leader="dot"/>
            </w:tabs>
            <w:rPr/>
          </w:pPr>
          <w:hyperlink w:anchor="__RefHeading___Toc2647251_365066874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رفاه طلبان</w:t>
            </w:r>
            <w:r>
              <w:rPr>
                <w:rStyle w:val="IndexLink"/>
                <w:rtl w:val="true"/>
              </w:rPr>
              <w:tab/>
            </w:r>
            <w:r>
              <w:rPr>
                <w:rStyle w:val="IndexLink"/>
              </w:rPr>
              <w:t>111</w:t>
            </w:r>
          </w:hyperlink>
        </w:p>
        <w:p>
          <w:pPr>
            <w:pStyle w:val="Contents6"/>
            <w:tabs>
              <w:tab w:val="clear" w:pos="7609"/>
              <w:tab w:val="right" w:pos="9026" w:leader="dot"/>
            </w:tabs>
            <w:rPr/>
          </w:pPr>
          <w:hyperlink w:anchor="__RefHeading___Toc2647253_3650668749">
            <w:r>
              <w:rPr>
                <w:webHidden/>
                <w:rStyle w:val="IndexLink"/>
              </w:rPr>
              <w:t>2-3</w:t>
            </w:r>
            <w:r>
              <w:rPr>
                <w:rStyle w:val="IndexLink"/>
                <w:rtl w:val="true"/>
              </w:rPr>
              <w:t xml:space="preserve"> . </w:t>
            </w:r>
            <w:r>
              <w:rPr>
                <w:rStyle w:val="IndexLink"/>
                <w:rtl w:val="true"/>
              </w:rPr>
              <w:t>بهانه‌جويان</w:t>
            </w:r>
            <w:r>
              <w:rPr>
                <w:rStyle w:val="IndexLink"/>
                <w:rtl w:val="true"/>
              </w:rPr>
              <w:tab/>
            </w:r>
            <w:r>
              <w:rPr>
                <w:rStyle w:val="IndexLink"/>
              </w:rPr>
              <w:t>112</w:t>
            </w:r>
          </w:hyperlink>
        </w:p>
        <w:p>
          <w:pPr>
            <w:pStyle w:val="Contents4"/>
            <w:tabs>
              <w:tab w:val="clear" w:pos="8176"/>
              <w:tab w:val="right" w:pos="9026" w:leader="dot"/>
            </w:tabs>
            <w:rPr/>
          </w:pPr>
          <w:hyperlink w:anchor="__RefHeading___Toc2647255_3650668749">
            <w:r>
              <w:rPr>
                <w:webHidden/>
                <w:rStyle w:val="IndexLink"/>
                <w:rtl w:val="true"/>
              </w:rPr>
              <w:t>امدادهاي الهي و تلاش مردم</w:t>
            </w:r>
            <w:r>
              <w:rPr>
                <w:rStyle w:val="IndexLink"/>
                <w:rtl w:val="true"/>
              </w:rPr>
              <w:tab/>
            </w:r>
            <w:r>
              <w:rPr>
                <w:rStyle w:val="IndexLink"/>
              </w:rPr>
              <w:t>113</w:t>
            </w:r>
          </w:hyperlink>
        </w:p>
        <w:p>
          <w:pPr>
            <w:pStyle w:val="Contents5"/>
            <w:tabs>
              <w:tab w:val="clear" w:pos="7892"/>
              <w:tab w:val="right" w:pos="9026" w:leader="dot"/>
            </w:tabs>
            <w:rPr/>
          </w:pPr>
          <w:hyperlink w:anchor="__RefHeading___Toc2647257_3650668749">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2647259_3650668749">
            <w:r>
              <w:rPr>
                <w:webHidden/>
                <w:rStyle w:val="IndexLink"/>
              </w:rPr>
              <w:t>1</w:t>
            </w:r>
            <w:r>
              <w:rPr>
                <w:rStyle w:val="IndexLink"/>
                <w:rtl w:val="true"/>
              </w:rPr>
              <w:t xml:space="preserve">. </w:t>
            </w:r>
            <w:r>
              <w:rPr>
                <w:rStyle w:val="IndexLink"/>
                <w:rtl w:val="true"/>
              </w:rPr>
              <w:t>فرشتگان</w:t>
            </w:r>
            <w:r>
              <w:rPr>
                <w:rStyle w:val="IndexLink"/>
                <w:rtl w:val="true"/>
              </w:rPr>
              <w:tab/>
            </w:r>
            <w:r>
              <w:rPr>
                <w:rStyle w:val="IndexLink"/>
              </w:rPr>
              <w:t>114</w:t>
            </w:r>
          </w:hyperlink>
        </w:p>
        <w:p>
          <w:pPr>
            <w:pStyle w:val="Contents5"/>
            <w:tabs>
              <w:tab w:val="clear" w:pos="7892"/>
              <w:tab w:val="right" w:pos="9026" w:leader="dot"/>
            </w:tabs>
            <w:rPr/>
          </w:pPr>
          <w:hyperlink w:anchor="__RefHeading___Toc2647261_3650668749">
            <w:r>
              <w:rPr>
                <w:webHidden/>
                <w:rStyle w:val="IndexLink"/>
              </w:rPr>
              <w:t>2</w:t>
            </w:r>
            <w:r>
              <w:rPr>
                <w:rStyle w:val="IndexLink"/>
                <w:rtl w:val="true"/>
              </w:rPr>
              <w:t xml:space="preserve">. </w:t>
            </w:r>
            <w:r>
              <w:rPr>
                <w:rStyle w:val="IndexLink"/>
                <w:rtl w:val="true"/>
              </w:rPr>
              <w:t>انداختن ترس در دل دشمنان</w:t>
            </w:r>
            <w:r>
              <w:rPr>
                <w:rStyle w:val="IndexLink"/>
                <w:rtl w:val="true"/>
              </w:rPr>
              <w:tab/>
            </w:r>
            <w:r>
              <w:rPr>
                <w:rStyle w:val="IndexLink"/>
              </w:rPr>
              <w:t>115</w:t>
            </w:r>
          </w:hyperlink>
        </w:p>
        <w:p>
          <w:pPr>
            <w:pStyle w:val="Contents5"/>
            <w:tabs>
              <w:tab w:val="clear" w:pos="7892"/>
              <w:tab w:val="right" w:pos="9026" w:leader="dot"/>
            </w:tabs>
            <w:rPr/>
          </w:pPr>
          <w:hyperlink w:anchor="__RefHeading___Toc2647263_3650668749">
            <w:r>
              <w:rPr>
                <w:webHidden/>
                <w:rStyle w:val="IndexLink"/>
              </w:rPr>
              <w:t>3</w:t>
            </w:r>
            <w:r>
              <w:rPr>
                <w:rStyle w:val="IndexLink"/>
                <w:rtl w:val="true"/>
              </w:rPr>
              <w:t xml:space="preserve">. </w:t>
            </w:r>
            <w:r>
              <w:rPr>
                <w:rStyle w:val="IndexLink"/>
                <w:rtl w:val="true"/>
              </w:rPr>
              <w:t>نيروهاي طبيعت</w:t>
            </w:r>
            <w:r>
              <w:rPr>
                <w:rStyle w:val="IndexLink"/>
                <w:rtl w:val="true"/>
              </w:rPr>
              <w:tab/>
            </w:r>
            <w:r>
              <w:rPr>
                <w:rStyle w:val="IndexLink"/>
              </w:rPr>
              <w:t>116</w:t>
            </w:r>
          </w:hyperlink>
        </w:p>
        <w:p>
          <w:pPr>
            <w:pStyle w:val="Contents4"/>
            <w:tabs>
              <w:tab w:val="clear" w:pos="8176"/>
              <w:tab w:val="right" w:pos="9026" w:leader="dot"/>
            </w:tabs>
            <w:rPr/>
          </w:pPr>
          <w:hyperlink w:anchor="__RefHeading___Toc2647265_3650668749">
            <w:r>
              <w:rPr>
                <w:webHidden/>
                <w:rStyle w:val="IndexLink"/>
                <w:rtl w:val="true"/>
              </w:rPr>
              <w:t>برخي امدادهاي ديگر</w:t>
            </w:r>
            <w:r>
              <w:rPr>
                <w:rStyle w:val="IndexLink"/>
                <w:rtl w:val="true"/>
              </w:rPr>
              <w:tab/>
            </w:r>
            <w:r>
              <w:rPr>
                <w:rStyle w:val="IndexLink"/>
              </w:rPr>
              <w:t>117</w:t>
            </w:r>
          </w:hyperlink>
        </w:p>
        <w:p>
          <w:pPr>
            <w:pStyle w:val="Contents5"/>
            <w:tabs>
              <w:tab w:val="clear" w:pos="7892"/>
              <w:tab w:val="right" w:pos="9026" w:leader="dot"/>
            </w:tabs>
            <w:rPr/>
          </w:pPr>
          <w:hyperlink w:anchor="__RefHeading___Toc2647267_3650668749">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2647269_3650668749">
            <w:r>
              <w:rPr>
                <w:webHidden/>
                <w:rStyle w:val="IndexLink"/>
                <w:rtl w:val="true"/>
              </w:rPr>
              <w:t>الف</w:t>
            </w:r>
            <w:r>
              <w:rPr>
                <w:rStyle w:val="IndexLink"/>
                <w:rtl w:val="true"/>
              </w:rPr>
              <w:t xml:space="preserve">) </w:t>
            </w:r>
            <w:r>
              <w:rPr>
                <w:rStyle w:val="IndexLink"/>
                <w:rtl w:val="true"/>
              </w:rPr>
              <w:t>طِي الاَرْض</w:t>
            </w:r>
            <w:r>
              <w:rPr>
                <w:rStyle w:val="IndexLink"/>
                <w:rtl w:val="true"/>
              </w:rPr>
              <w:tab/>
            </w:r>
            <w:r>
              <w:rPr>
                <w:rStyle w:val="IndexLink"/>
              </w:rPr>
              <w:t>118</w:t>
            </w:r>
          </w:hyperlink>
        </w:p>
        <w:p>
          <w:pPr>
            <w:pStyle w:val="Contents5"/>
            <w:tabs>
              <w:tab w:val="clear" w:pos="7892"/>
              <w:tab w:val="right" w:pos="9026" w:leader="dot"/>
            </w:tabs>
            <w:rPr/>
          </w:pPr>
          <w:hyperlink w:anchor="__RefHeading___Toc2647271_3650668749">
            <w:r>
              <w:rPr>
                <w:webHidden/>
                <w:rStyle w:val="IndexLink"/>
                <w:rtl w:val="true"/>
              </w:rPr>
              <w:t>ب</w:t>
            </w:r>
            <w:r>
              <w:rPr>
                <w:rStyle w:val="IndexLink"/>
                <w:rtl w:val="true"/>
              </w:rPr>
              <w:t xml:space="preserve">) </w:t>
            </w:r>
            <w:r>
              <w:rPr>
                <w:rStyle w:val="IndexLink"/>
                <w:rtl w:val="true"/>
              </w:rPr>
              <w:t>ميراث‌هاي پيامبران عليهم 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2647273_3650668749">
            <w:r>
              <w:rPr>
                <w:webHidden/>
                <w:rStyle w:val="IndexLink"/>
                <w:rtl w:val="true"/>
              </w:rPr>
              <w:t>نتيجه گيري</w:t>
            </w:r>
            <w:r>
              <w:rPr>
                <w:rStyle w:val="IndexLink"/>
                <w:rtl w:val="true"/>
              </w:rPr>
              <w:tab/>
            </w:r>
            <w:r>
              <w:rPr>
                <w:rStyle w:val="IndexLink"/>
              </w:rPr>
              <w:t>120</w:t>
            </w:r>
          </w:hyperlink>
        </w:p>
        <w:p>
          <w:pPr>
            <w:pStyle w:val="Contents3"/>
            <w:tabs>
              <w:tab w:val="clear" w:pos="8459"/>
              <w:tab w:val="right" w:pos="9026" w:leader="dot"/>
            </w:tabs>
            <w:rPr/>
          </w:pPr>
          <w:hyperlink w:anchor="__RefHeading___Toc2647275_3650668749">
            <w:r>
              <w:rPr>
                <w:webHidden/>
                <w:rStyle w:val="IndexLink"/>
                <w:rtl w:val="true"/>
              </w:rPr>
              <w:t>فصل سوم</w:t>
            </w:r>
            <w:r>
              <w:rPr>
                <w:rStyle w:val="IndexLink"/>
                <w:rtl w:val="true"/>
              </w:rPr>
              <w:t xml:space="preserve">: </w:t>
            </w:r>
            <w:r>
              <w:rPr>
                <w:rStyle w:val="IndexLink"/>
                <w:rtl w:val="true"/>
              </w:rPr>
              <w:t>نقش و جايگاه مردم در حكومت جهاني حضرت مهدي عجل الله فرجه</w:t>
            </w:r>
            <w:r>
              <w:rPr>
                <w:rStyle w:val="IndexLink"/>
                <w:rtl w:val="true"/>
              </w:rPr>
              <w:tab/>
            </w:r>
            <w:r>
              <w:rPr>
                <w:rStyle w:val="IndexLink"/>
              </w:rPr>
              <w:t>121</w:t>
            </w:r>
          </w:hyperlink>
        </w:p>
        <w:p>
          <w:pPr>
            <w:pStyle w:val="Contents4"/>
            <w:tabs>
              <w:tab w:val="clear" w:pos="8176"/>
              <w:tab w:val="right" w:pos="9026" w:leader="dot"/>
            </w:tabs>
            <w:rPr/>
          </w:pPr>
          <w:hyperlink w:anchor="__RefHeading___Toc2647277_3650668749">
            <w:r>
              <w:rPr>
                <w:webHidden/>
                <w:rStyle w:val="IndexLink"/>
                <w:rtl w:val="true"/>
              </w:rPr>
              <w:t>مقدمه</w:t>
            </w:r>
            <w:r>
              <w:rPr>
                <w:rStyle w:val="IndexLink"/>
                <w:rtl w:val="true"/>
              </w:rPr>
              <w:tab/>
            </w:r>
            <w:r>
              <w:rPr>
                <w:rStyle w:val="IndexLink"/>
              </w:rPr>
              <w:t>121</w:t>
            </w:r>
          </w:hyperlink>
        </w:p>
        <w:p>
          <w:pPr>
            <w:pStyle w:val="Contents4"/>
            <w:tabs>
              <w:tab w:val="clear" w:pos="8176"/>
              <w:tab w:val="right" w:pos="9026" w:leader="dot"/>
            </w:tabs>
            <w:rPr/>
          </w:pPr>
          <w:hyperlink w:anchor="__RefHeading___Toc2647279_3650668749">
            <w:r>
              <w:rPr>
                <w:webHidden/>
                <w:rStyle w:val="IndexLink"/>
                <w:rtl w:val="true"/>
              </w:rPr>
              <w:t>ويژگي‌هاي حكومت حضرت مهدي عجل الله فرجه</w:t>
            </w:r>
            <w:r>
              <w:rPr>
                <w:rStyle w:val="IndexLink"/>
                <w:rtl w:val="true"/>
              </w:rPr>
              <w:tab/>
            </w:r>
            <w:r>
              <w:rPr>
                <w:rStyle w:val="IndexLink"/>
              </w:rPr>
              <w:t>122</w:t>
            </w:r>
          </w:hyperlink>
        </w:p>
        <w:p>
          <w:pPr>
            <w:pStyle w:val="Contents5"/>
            <w:tabs>
              <w:tab w:val="clear" w:pos="7892"/>
              <w:tab w:val="right" w:pos="9026" w:leader="dot"/>
            </w:tabs>
            <w:rPr/>
          </w:pPr>
          <w:hyperlink w:anchor="__RefHeading___Toc2647281_3650668749">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2647283_3650668749">
            <w:r>
              <w:rPr>
                <w:webHidden/>
                <w:rStyle w:val="IndexLink"/>
                <w:rtl w:val="true"/>
              </w:rPr>
              <w:t>مشروعيت الهي</w:t>
            </w:r>
            <w:r>
              <w:rPr>
                <w:rStyle w:val="IndexLink"/>
                <w:rtl w:val="true"/>
              </w:rPr>
              <w:tab/>
            </w:r>
            <w:r>
              <w:rPr>
                <w:rStyle w:val="IndexLink"/>
              </w:rPr>
              <w:t>123</w:t>
            </w:r>
          </w:hyperlink>
        </w:p>
        <w:p>
          <w:pPr>
            <w:pStyle w:val="Contents5"/>
            <w:tabs>
              <w:tab w:val="clear" w:pos="7892"/>
              <w:tab w:val="right" w:pos="9026" w:leader="dot"/>
            </w:tabs>
            <w:rPr/>
          </w:pPr>
          <w:hyperlink w:anchor="__RefHeading___Toc2647285_3650668749">
            <w:r>
              <w:rPr>
                <w:webHidden/>
                <w:rStyle w:val="IndexLink"/>
                <w:rtl w:val="true"/>
              </w:rPr>
              <w:t>قانون‌گزاري الهي</w:t>
            </w:r>
            <w:r>
              <w:rPr>
                <w:rStyle w:val="IndexLink"/>
                <w:rtl w:val="true"/>
              </w:rPr>
              <w:tab/>
            </w:r>
            <w:r>
              <w:rPr>
                <w:rStyle w:val="IndexLink"/>
              </w:rPr>
              <w:t>124</w:t>
            </w:r>
          </w:hyperlink>
        </w:p>
        <w:p>
          <w:pPr>
            <w:pStyle w:val="Contents5"/>
            <w:tabs>
              <w:tab w:val="clear" w:pos="7892"/>
              <w:tab w:val="right" w:pos="9026" w:leader="dot"/>
            </w:tabs>
            <w:rPr/>
          </w:pPr>
          <w:hyperlink w:anchor="__RefHeading___Toc2647287_3650668749">
            <w:r>
              <w:rPr>
                <w:webHidden/>
                <w:rStyle w:val="IndexLink"/>
                <w:rtl w:val="true"/>
              </w:rPr>
              <w:t>گسترش عمومي دانش</w:t>
            </w:r>
            <w:r>
              <w:rPr>
                <w:rStyle w:val="IndexLink"/>
                <w:rtl w:val="true"/>
              </w:rPr>
              <w:tab/>
            </w:r>
            <w:r>
              <w:rPr>
                <w:rStyle w:val="IndexLink"/>
              </w:rPr>
              <w:t>125</w:t>
            </w:r>
          </w:hyperlink>
        </w:p>
        <w:p>
          <w:pPr>
            <w:pStyle w:val="Contents5"/>
            <w:tabs>
              <w:tab w:val="clear" w:pos="7892"/>
              <w:tab w:val="right" w:pos="9026" w:leader="dot"/>
            </w:tabs>
            <w:rPr/>
          </w:pPr>
          <w:hyperlink w:anchor="__RefHeading___Toc2647289_3650668749">
            <w:r>
              <w:rPr>
                <w:webHidden/>
                <w:rStyle w:val="IndexLink"/>
                <w:rtl w:val="true"/>
              </w:rPr>
              <w:t>تعميق خردورزي</w:t>
            </w:r>
            <w:r>
              <w:rPr>
                <w:rStyle w:val="IndexLink"/>
                <w:rtl w:val="true"/>
              </w:rPr>
              <w:tab/>
            </w:r>
            <w:r>
              <w:rPr>
                <w:rStyle w:val="IndexLink"/>
              </w:rPr>
              <w:t>126</w:t>
            </w:r>
          </w:hyperlink>
        </w:p>
        <w:p>
          <w:pPr>
            <w:pStyle w:val="Contents5"/>
            <w:tabs>
              <w:tab w:val="clear" w:pos="7892"/>
              <w:tab w:val="right" w:pos="9026" w:leader="dot"/>
            </w:tabs>
            <w:rPr/>
          </w:pPr>
          <w:hyperlink w:anchor="__RefHeading___Toc2647291_3650668749">
            <w:r>
              <w:rPr>
                <w:webHidden/>
                <w:rStyle w:val="IndexLink"/>
                <w:rtl w:val="true"/>
              </w:rPr>
              <w:t>بهره‌مندي از همة منابع</w:t>
            </w:r>
            <w:r>
              <w:rPr>
                <w:rStyle w:val="IndexLink"/>
                <w:rtl w:val="true"/>
              </w:rPr>
              <w:tab/>
            </w:r>
            <w:r>
              <w:rPr>
                <w:rStyle w:val="IndexLink"/>
              </w:rPr>
              <w:t>127</w:t>
            </w:r>
          </w:hyperlink>
        </w:p>
        <w:p>
          <w:pPr>
            <w:pStyle w:val="Contents6"/>
            <w:tabs>
              <w:tab w:val="clear" w:pos="7609"/>
              <w:tab w:val="right" w:pos="9026" w:leader="dot"/>
            </w:tabs>
            <w:rPr/>
          </w:pPr>
          <w:hyperlink w:anchor="__RefHeading___Toc2647293_3650668749">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2647295_3650668749">
            <w:r>
              <w:rPr>
                <w:webHidden/>
                <w:rStyle w:val="IndexLink"/>
              </w:rPr>
              <w:t>1</w:t>
            </w:r>
            <w:r>
              <w:rPr>
                <w:rStyle w:val="IndexLink"/>
                <w:rtl w:val="true"/>
              </w:rPr>
              <w:t xml:space="preserve">. </w:t>
            </w:r>
            <w:r>
              <w:rPr>
                <w:rStyle w:val="IndexLink"/>
                <w:rtl w:val="true"/>
              </w:rPr>
              <w:t>مشروعيّت</w:t>
            </w:r>
            <w:r>
              <w:rPr>
                <w:rStyle w:val="IndexLink"/>
                <w:rtl w:val="true"/>
              </w:rPr>
              <w:tab/>
            </w:r>
            <w:r>
              <w:rPr>
                <w:rStyle w:val="IndexLink"/>
              </w:rPr>
              <w:t>128</w:t>
            </w:r>
          </w:hyperlink>
        </w:p>
        <w:p>
          <w:pPr>
            <w:pStyle w:val="Contents6"/>
            <w:tabs>
              <w:tab w:val="clear" w:pos="7609"/>
              <w:tab w:val="right" w:pos="9026" w:leader="dot"/>
            </w:tabs>
            <w:rPr/>
          </w:pPr>
          <w:hyperlink w:anchor="__RefHeading___Toc2647297_3650668749">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2647299_3650668749">
            <w:r>
              <w:rPr>
                <w:webHidden/>
                <w:rStyle w:val="IndexLink"/>
                <w:rtl w:val="true"/>
              </w:rPr>
              <w:t>مفهوم شناسي</w:t>
            </w:r>
            <w:r>
              <w:rPr>
                <w:rStyle w:val="IndexLink"/>
                <w:rtl w:val="true"/>
              </w:rPr>
              <w:tab/>
            </w:r>
            <w:r>
              <w:rPr>
                <w:rStyle w:val="IndexLink"/>
              </w:rPr>
              <w:t>129</w:t>
            </w:r>
          </w:hyperlink>
        </w:p>
        <w:p>
          <w:pPr>
            <w:pStyle w:val="Contents6"/>
            <w:tabs>
              <w:tab w:val="clear" w:pos="7609"/>
              <w:tab w:val="right" w:pos="9026" w:leader="dot"/>
            </w:tabs>
            <w:rPr/>
          </w:pPr>
          <w:hyperlink w:anchor="__RefHeading___Toc2647301_3650668749">
            <w:r>
              <w:rPr>
                <w:webHidden/>
                <w:rStyle w:val="IndexLink"/>
                <w:rtl w:val="true"/>
              </w:rPr>
              <w:t>الف</w:t>
            </w:r>
            <w:r>
              <w:rPr>
                <w:rStyle w:val="IndexLink"/>
                <w:rtl w:val="true"/>
              </w:rPr>
              <w:t xml:space="preserve">) </w:t>
            </w:r>
            <w:r>
              <w:rPr>
                <w:rStyle w:val="IndexLink"/>
                <w:rtl w:val="true"/>
              </w:rPr>
              <w:t>از نگاه لغت</w:t>
            </w:r>
            <w:r>
              <w:rPr>
                <w:rStyle w:val="IndexLink"/>
                <w:rtl w:val="true"/>
              </w:rPr>
              <w:tab/>
            </w:r>
            <w:r>
              <w:rPr>
                <w:rStyle w:val="IndexLink"/>
              </w:rPr>
              <w:t>129</w:t>
            </w:r>
          </w:hyperlink>
        </w:p>
        <w:p>
          <w:pPr>
            <w:pStyle w:val="Contents6"/>
            <w:tabs>
              <w:tab w:val="clear" w:pos="7609"/>
              <w:tab w:val="right" w:pos="9026" w:leader="dot"/>
            </w:tabs>
            <w:rPr/>
          </w:pPr>
          <w:hyperlink w:anchor="__RefHeading___Toc2647303_3650668749">
            <w:r>
              <w:rPr>
                <w:webHidden/>
                <w:rStyle w:val="IndexLink"/>
                <w:rtl w:val="true"/>
              </w:rPr>
              <w:t>ب</w:t>
            </w:r>
            <w:r>
              <w:rPr>
                <w:rStyle w:val="IndexLink"/>
                <w:rtl w:val="true"/>
              </w:rPr>
              <w:t xml:space="preserve">) </w:t>
            </w:r>
            <w:r>
              <w:rPr>
                <w:rStyle w:val="IndexLink"/>
                <w:rtl w:val="true"/>
              </w:rPr>
              <w:t>از نگاه اصطلاح</w:t>
            </w:r>
            <w:r>
              <w:rPr>
                <w:rStyle w:val="IndexLink"/>
                <w:rtl w:val="true"/>
              </w:rPr>
              <w:tab/>
            </w:r>
            <w:r>
              <w:rPr>
                <w:rStyle w:val="IndexLink"/>
              </w:rPr>
              <w:t>130</w:t>
            </w:r>
          </w:hyperlink>
        </w:p>
        <w:p>
          <w:pPr>
            <w:pStyle w:val="Contents6"/>
            <w:tabs>
              <w:tab w:val="clear" w:pos="7609"/>
              <w:tab w:val="right" w:pos="9026" w:leader="dot"/>
            </w:tabs>
            <w:rPr/>
          </w:pPr>
          <w:hyperlink w:anchor="__RefHeading___Toc2647305_3650668749">
            <w:r>
              <w:rPr>
                <w:webHidden/>
                <w:rStyle w:val="IndexLink"/>
                <w:rtl w:val="true"/>
              </w:rPr>
              <w:t>انواع مشروعيت الهي</w:t>
            </w:r>
            <w:r>
              <w:rPr>
                <w:rStyle w:val="IndexLink"/>
                <w:rtl w:val="true"/>
              </w:rPr>
              <w:tab/>
            </w:r>
            <w:r>
              <w:rPr>
                <w:rStyle w:val="IndexLink"/>
              </w:rPr>
              <w:t>131</w:t>
            </w:r>
          </w:hyperlink>
        </w:p>
        <w:p>
          <w:pPr>
            <w:pStyle w:val="Contents6"/>
            <w:tabs>
              <w:tab w:val="clear" w:pos="7609"/>
              <w:tab w:val="right" w:pos="9026" w:leader="dot"/>
            </w:tabs>
            <w:rPr/>
          </w:pPr>
          <w:hyperlink w:anchor="__RefHeading___Toc2647307_3650668749">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2647309_3650668749">
            <w:r>
              <w:rPr>
                <w:webHidden/>
                <w:rStyle w:val="IndexLink"/>
                <w:rtl w:val="true"/>
              </w:rPr>
              <w:t>الف</w:t>
            </w:r>
            <w:r>
              <w:rPr>
                <w:rStyle w:val="IndexLink"/>
                <w:rtl w:val="true"/>
              </w:rPr>
              <w:t xml:space="preserve">) </w:t>
            </w:r>
            <w:r>
              <w:rPr>
                <w:rStyle w:val="IndexLink"/>
                <w:rtl w:val="true"/>
              </w:rPr>
              <w:t>از جنبة هستي‌شناختي</w:t>
            </w:r>
            <w:r>
              <w:rPr>
                <w:rStyle w:val="IndexLink"/>
                <w:rtl w:val="true"/>
              </w:rPr>
              <w:tab/>
            </w:r>
            <w:r>
              <w:rPr>
                <w:rStyle w:val="IndexLink"/>
              </w:rPr>
              <w:t>132</w:t>
            </w:r>
          </w:hyperlink>
        </w:p>
        <w:p>
          <w:pPr>
            <w:pStyle w:val="Contents6"/>
            <w:tabs>
              <w:tab w:val="clear" w:pos="7609"/>
              <w:tab w:val="right" w:pos="9026" w:leader="dot"/>
            </w:tabs>
            <w:rPr/>
          </w:pPr>
          <w:hyperlink w:anchor="__RefHeading___Toc2647311_3650668749">
            <w:r>
              <w:rPr>
                <w:webHidden/>
                <w:rStyle w:val="IndexLink"/>
                <w:rtl w:val="true"/>
              </w:rPr>
              <w:t>ب</w:t>
            </w:r>
            <w:r>
              <w:rPr>
                <w:rStyle w:val="IndexLink"/>
                <w:rtl w:val="true"/>
              </w:rPr>
              <w:t xml:space="preserve">) </w:t>
            </w:r>
            <w:r>
              <w:rPr>
                <w:rStyle w:val="IndexLink"/>
                <w:rtl w:val="true"/>
              </w:rPr>
              <w:t>از جنبه انسان‌شناختي</w:t>
            </w:r>
            <w:r>
              <w:rPr>
                <w:rStyle w:val="IndexLink"/>
                <w:rtl w:val="true"/>
              </w:rPr>
              <w:tab/>
            </w:r>
            <w:r>
              <w:rPr>
                <w:rStyle w:val="IndexLink"/>
              </w:rPr>
              <w:t>133</w:t>
            </w:r>
          </w:hyperlink>
        </w:p>
        <w:p>
          <w:pPr>
            <w:pStyle w:val="Contents6"/>
            <w:tabs>
              <w:tab w:val="clear" w:pos="7609"/>
              <w:tab w:val="right" w:pos="9026" w:leader="dot"/>
            </w:tabs>
            <w:rPr/>
          </w:pPr>
          <w:hyperlink w:anchor="__RefHeading___Toc2647313_3650668749">
            <w:r>
              <w:rPr>
                <w:webHidden/>
                <w:rStyle w:val="IndexLink"/>
              </w:rPr>
              <w:t>2</w:t>
            </w:r>
            <w:r>
              <w:rPr>
                <w:rStyle w:val="IndexLink"/>
                <w:rtl w:val="true"/>
              </w:rPr>
              <w:t xml:space="preserve">. </w:t>
            </w:r>
            <w:r>
              <w:rPr>
                <w:rStyle w:val="IndexLink"/>
                <w:rtl w:val="true"/>
              </w:rPr>
              <w:t xml:space="preserve">مقبوليت </w:t>
            </w:r>
            <w:r>
              <w:rPr>
                <w:rStyle w:val="IndexLink"/>
                <w:rtl w:val="true"/>
              </w:rPr>
              <w:t>(</w:t>
            </w:r>
            <w:r>
              <w:rPr>
                <w:rStyle w:val="IndexLink"/>
                <w:rtl w:val="true"/>
              </w:rPr>
              <w:t>پذيرش مردم</w:t>
            </w:r>
            <w:r>
              <w:rPr>
                <w:rStyle w:val="IndexLink"/>
                <w:rtl w:val="true"/>
              </w:rPr>
              <w:t>)</w:t>
              <w:tab/>
            </w:r>
            <w:r>
              <w:rPr>
                <w:rStyle w:val="IndexLink"/>
              </w:rPr>
              <w:t>134</w:t>
            </w:r>
          </w:hyperlink>
        </w:p>
        <w:p>
          <w:pPr>
            <w:pStyle w:val="Contents6"/>
            <w:tabs>
              <w:tab w:val="clear" w:pos="7609"/>
              <w:tab w:val="right" w:pos="9026" w:leader="dot"/>
            </w:tabs>
            <w:rPr/>
          </w:pPr>
          <w:hyperlink w:anchor="__RefHeading___Toc2647315_3650668749">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2647317_3650668749">
            <w:r>
              <w:rPr>
                <w:webHidden/>
                <w:rStyle w:val="IndexLink"/>
                <w:rtl w:val="true"/>
              </w:rPr>
              <w:t>مشروعيت الهي، مقبوليت مردمي‌</w:t>
            </w:r>
            <w:r>
              <w:rPr>
                <w:rStyle w:val="IndexLink"/>
                <w:rtl w:val="true"/>
              </w:rPr>
              <w:tab/>
            </w:r>
            <w:r>
              <w:rPr>
                <w:rStyle w:val="IndexLink"/>
              </w:rPr>
              <w:t>136</w:t>
            </w:r>
          </w:hyperlink>
        </w:p>
        <w:p>
          <w:pPr>
            <w:pStyle w:val="Contents6"/>
            <w:tabs>
              <w:tab w:val="clear" w:pos="7609"/>
              <w:tab w:val="right" w:pos="9026" w:leader="dot"/>
            </w:tabs>
            <w:rPr/>
          </w:pPr>
          <w:hyperlink w:anchor="__RefHeading___Toc2647319_3650668749">
            <w:r>
              <w:rPr>
                <w:webHidden/>
                <w:rStyle w:val="IndexLink"/>
                <w:rtl w:val="true"/>
              </w:rPr>
              <w:t>بيعت و رأي‌دادن، تفاوت‌ها و شباهت‌ها</w:t>
            </w:r>
            <w:r>
              <w:rPr>
                <w:rStyle w:val="IndexLink"/>
                <w:rtl w:val="true"/>
              </w:rPr>
              <w:tab/>
            </w:r>
            <w:r>
              <w:rPr>
                <w:rStyle w:val="IndexLink"/>
              </w:rPr>
              <w:t>137</w:t>
            </w:r>
          </w:hyperlink>
        </w:p>
        <w:p>
          <w:pPr>
            <w:pStyle w:val="Contents6"/>
            <w:tabs>
              <w:tab w:val="clear" w:pos="7609"/>
              <w:tab w:val="right" w:pos="9026" w:leader="dot"/>
            </w:tabs>
            <w:rPr/>
          </w:pPr>
          <w:hyperlink w:anchor="__RefHeading___Toc2647321_3650668749">
            <w:r>
              <w:rPr>
                <w:webHidden/>
                <w:rStyle w:val="IndexLink"/>
                <w:rtl w:val="true"/>
              </w:rPr>
              <w:t>پذيرش حاكميت، اجابت درخواست مردم‌</w:t>
            </w:r>
            <w:r>
              <w:rPr>
                <w:rStyle w:val="IndexLink"/>
                <w:rtl w:val="true"/>
              </w:rPr>
              <w:tab/>
            </w:r>
            <w:r>
              <w:rPr>
                <w:rStyle w:val="IndexLink"/>
              </w:rPr>
              <w:t>138</w:t>
            </w:r>
          </w:hyperlink>
        </w:p>
        <w:p>
          <w:pPr>
            <w:pStyle w:val="Contents6"/>
            <w:tabs>
              <w:tab w:val="clear" w:pos="7609"/>
              <w:tab w:val="right" w:pos="9026" w:leader="dot"/>
            </w:tabs>
            <w:rPr/>
          </w:pPr>
          <w:hyperlink w:anchor="__RefHeading___Toc2647323_3650668749">
            <w:r>
              <w:rPr>
                <w:webHidden/>
                <w:rStyle w:val="IndexLink"/>
              </w:rPr>
              <w:t>3</w:t>
            </w:r>
            <w:r>
              <w:rPr>
                <w:rStyle w:val="IndexLink"/>
                <w:rtl w:val="true"/>
              </w:rPr>
              <w:t xml:space="preserve">. </w:t>
            </w:r>
            <w:r>
              <w:rPr>
                <w:rStyle w:val="IndexLink"/>
                <w:rtl w:val="true"/>
              </w:rPr>
              <w:t>مشاركت مردمي</w:t>
            </w:r>
            <w:r>
              <w:rPr>
                <w:rStyle w:val="IndexLink"/>
                <w:rtl w:val="true"/>
              </w:rPr>
              <w:tab/>
            </w:r>
            <w:r>
              <w:rPr>
                <w:rStyle w:val="IndexLink"/>
              </w:rPr>
              <w:t>139</w:t>
            </w:r>
          </w:hyperlink>
        </w:p>
        <w:p>
          <w:pPr>
            <w:pStyle w:val="Contents6"/>
            <w:tabs>
              <w:tab w:val="clear" w:pos="7609"/>
              <w:tab w:val="right" w:pos="9026" w:leader="dot"/>
            </w:tabs>
            <w:rPr/>
          </w:pPr>
          <w:hyperlink w:anchor="__RefHeading___Toc2647325_3650668749">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2647327_3650668749">
            <w:r>
              <w:rPr>
                <w:webHidden/>
                <w:rStyle w:val="IndexLink"/>
                <w:rtl w:val="true"/>
              </w:rPr>
              <w:t>يك</w:t>
            </w:r>
            <w:r>
              <w:rPr>
                <w:rStyle w:val="IndexLink"/>
                <w:rtl w:val="true"/>
              </w:rPr>
              <w:t xml:space="preserve">. </w:t>
            </w:r>
            <w:r>
              <w:rPr>
                <w:rStyle w:val="IndexLink"/>
                <w:rtl w:val="true"/>
              </w:rPr>
              <w:t>حقوق مردم بر امام</w:t>
            </w:r>
            <w:r>
              <w:rPr>
                <w:rStyle w:val="IndexLink"/>
                <w:rtl w:val="true"/>
              </w:rPr>
              <w:tab/>
            </w:r>
            <w:r>
              <w:rPr>
                <w:rStyle w:val="IndexLink"/>
              </w:rPr>
              <w:t>140</w:t>
            </w:r>
          </w:hyperlink>
        </w:p>
        <w:p>
          <w:pPr>
            <w:pStyle w:val="Contents6"/>
            <w:tabs>
              <w:tab w:val="clear" w:pos="7609"/>
              <w:tab w:val="right" w:pos="9026" w:leader="dot"/>
            </w:tabs>
            <w:rPr/>
          </w:pPr>
          <w:hyperlink w:anchor="__RefHeading___Toc2647329_3650668749">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2647331_3650668749">
            <w:r>
              <w:rPr>
                <w:webHidden/>
                <w:rStyle w:val="IndexLink"/>
              </w:rPr>
              <w:t>1</w:t>
            </w:r>
            <w:r>
              <w:rPr>
                <w:rStyle w:val="IndexLink"/>
                <w:rtl w:val="true"/>
              </w:rPr>
              <w:t xml:space="preserve">. </w:t>
            </w:r>
            <w:r>
              <w:rPr>
                <w:rStyle w:val="IndexLink"/>
                <w:rtl w:val="true"/>
              </w:rPr>
              <w:t>نيك‌خواهي</w:t>
            </w:r>
            <w:r>
              <w:rPr>
                <w:rStyle w:val="IndexLink"/>
                <w:rtl w:val="true"/>
              </w:rPr>
              <w:tab/>
            </w:r>
            <w:r>
              <w:rPr>
                <w:rStyle w:val="IndexLink"/>
              </w:rPr>
              <w:t>141</w:t>
            </w:r>
          </w:hyperlink>
        </w:p>
        <w:p>
          <w:pPr>
            <w:pStyle w:val="Contents6"/>
            <w:tabs>
              <w:tab w:val="clear" w:pos="7609"/>
              <w:tab w:val="right" w:pos="9026" w:leader="dot"/>
            </w:tabs>
            <w:rPr/>
          </w:pPr>
          <w:hyperlink w:anchor="__RefHeading___Toc2647333_3650668749">
            <w:r>
              <w:rPr>
                <w:webHidden/>
                <w:rStyle w:val="IndexLink"/>
              </w:rPr>
              <w:t>2</w:t>
            </w:r>
            <w:r>
              <w:rPr>
                <w:rStyle w:val="IndexLink"/>
                <w:rtl w:val="true"/>
              </w:rPr>
              <w:t xml:space="preserve">. </w:t>
            </w:r>
            <w:r>
              <w:rPr>
                <w:rStyle w:val="IndexLink"/>
                <w:rtl w:val="true"/>
              </w:rPr>
              <w:t>رفاه و آسايش</w:t>
            </w:r>
            <w:r>
              <w:rPr>
                <w:rStyle w:val="IndexLink"/>
                <w:rtl w:val="true"/>
              </w:rPr>
              <w:tab/>
            </w:r>
            <w:r>
              <w:rPr>
                <w:rStyle w:val="IndexLink"/>
              </w:rPr>
              <w:t>142</w:t>
            </w:r>
          </w:hyperlink>
        </w:p>
        <w:p>
          <w:pPr>
            <w:pStyle w:val="Contents6"/>
            <w:tabs>
              <w:tab w:val="clear" w:pos="7609"/>
              <w:tab w:val="right" w:pos="9026" w:leader="dot"/>
            </w:tabs>
            <w:rPr/>
          </w:pPr>
          <w:hyperlink w:anchor="__RefHeading___Toc2647335_3650668749">
            <w:r>
              <w:rPr>
                <w:webHidden/>
                <w:rStyle w:val="IndexLink"/>
              </w:rPr>
              <w:t>3</w:t>
            </w:r>
            <w:r>
              <w:rPr>
                <w:rStyle w:val="IndexLink"/>
                <w:rtl w:val="true"/>
              </w:rPr>
              <w:t xml:space="preserve">. </w:t>
            </w:r>
            <w:r>
              <w:rPr>
                <w:rStyle w:val="IndexLink"/>
                <w:rtl w:val="true"/>
              </w:rPr>
              <w:t>آموزش همگاني</w:t>
            </w:r>
            <w:r>
              <w:rPr>
                <w:rStyle w:val="IndexLink"/>
                <w:rtl w:val="true"/>
              </w:rPr>
              <w:tab/>
            </w:r>
            <w:r>
              <w:rPr>
                <w:rStyle w:val="IndexLink"/>
              </w:rPr>
              <w:t>143</w:t>
            </w:r>
          </w:hyperlink>
        </w:p>
        <w:p>
          <w:pPr>
            <w:pStyle w:val="Contents6"/>
            <w:tabs>
              <w:tab w:val="clear" w:pos="7609"/>
              <w:tab w:val="right" w:pos="9026" w:leader="dot"/>
            </w:tabs>
            <w:rPr/>
          </w:pPr>
          <w:hyperlink w:anchor="__RefHeading___Toc2647337_3650668749">
            <w:r>
              <w:rPr>
                <w:webHidden/>
                <w:rStyle w:val="IndexLink"/>
              </w:rPr>
              <w:t>4</w:t>
            </w:r>
            <w:r>
              <w:rPr>
                <w:rStyle w:val="IndexLink"/>
                <w:rtl w:val="true"/>
              </w:rPr>
              <w:t xml:space="preserve">. </w:t>
            </w:r>
            <w:r>
              <w:rPr>
                <w:rStyle w:val="IndexLink"/>
                <w:rtl w:val="true"/>
              </w:rPr>
              <w:t>گسترش خردورزي</w:t>
            </w:r>
            <w:r>
              <w:rPr>
                <w:rStyle w:val="IndexLink"/>
                <w:rtl w:val="true"/>
              </w:rPr>
              <w:tab/>
            </w:r>
            <w:r>
              <w:rPr>
                <w:rStyle w:val="IndexLink"/>
              </w:rPr>
              <w:t>144</w:t>
            </w:r>
          </w:hyperlink>
        </w:p>
        <w:p>
          <w:pPr>
            <w:pStyle w:val="Contents6"/>
            <w:tabs>
              <w:tab w:val="clear" w:pos="7609"/>
              <w:tab w:val="right" w:pos="9026" w:leader="dot"/>
            </w:tabs>
            <w:rPr/>
          </w:pPr>
          <w:hyperlink w:anchor="__RefHeading___Toc2647339_3650668749">
            <w:r>
              <w:rPr>
                <w:webHidden/>
                <w:rStyle w:val="IndexLink"/>
              </w:rPr>
              <w:t>5</w:t>
            </w:r>
            <w:r>
              <w:rPr>
                <w:rStyle w:val="IndexLink"/>
                <w:rtl w:val="true"/>
              </w:rPr>
              <w:t xml:space="preserve">. </w:t>
            </w:r>
            <w:r>
              <w:rPr>
                <w:rStyle w:val="IndexLink"/>
                <w:rtl w:val="true"/>
              </w:rPr>
              <w:t>رشد و تربيت</w:t>
            </w:r>
            <w:r>
              <w:rPr>
                <w:rStyle w:val="IndexLink"/>
                <w:rtl w:val="true"/>
              </w:rPr>
              <w:tab/>
            </w:r>
            <w:r>
              <w:rPr>
                <w:rStyle w:val="IndexLink"/>
              </w:rPr>
              <w:t>145</w:t>
            </w:r>
          </w:hyperlink>
        </w:p>
        <w:p>
          <w:pPr>
            <w:pStyle w:val="Contents6"/>
            <w:tabs>
              <w:tab w:val="clear" w:pos="7609"/>
              <w:tab w:val="right" w:pos="9026" w:leader="dot"/>
            </w:tabs>
            <w:rPr/>
          </w:pPr>
          <w:hyperlink w:anchor="__RefHeading___Toc2647341_3650668749">
            <w:r>
              <w:rPr>
                <w:webHidden/>
                <w:rStyle w:val="IndexLink"/>
                <w:rtl w:val="true"/>
              </w:rPr>
              <w:t>دو</w:t>
            </w:r>
            <w:r>
              <w:rPr>
                <w:rStyle w:val="IndexLink"/>
                <w:rtl w:val="true"/>
              </w:rPr>
              <w:t xml:space="preserve">. </w:t>
            </w:r>
            <w:r>
              <w:rPr>
                <w:rStyle w:val="IndexLink"/>
                <w:rtl w:val="true"/>
              </w:rPr>
              <w:t>حقوق امام بر مردم</w:t>
            </w:r>
            <w:r>
              <w:rPr>
                <w:rStyle w:val="IndexLink"/>
                <w:rtl w:val="true"/>
              </w:rPr>
              <w:tab/>
            </w:r>
            <w:r>
              <w:rPr>
                <w:rStyle w:val="IndexLink"/>
              </w:rPr>
              <w:t>146</w:t>
            </w:r>
          </w:hyperlink>
        </w:p>
        <w:p>
          <w:pPr>
            <w:pStyle w:val="Contents6"/>
            <w:tabs>
              <w:tab w:val="clear" w:pos="7609"/>
              <w:tab w:val="right" w:pos="9026" w:leader="dot"/>
            </w:tabs>
            <w:rPr/>
          </w:pPr>
          <w:hyperlink w:anchor="__RefHeading___Toc2647343_3650668749">
            <w:r>
              <w:rPr>
                <w:webHidden/>
                <w:rStyle w:val="IndexLink"/>
              </w:rPr>
              <w:t>1</w:t>
            </w:r>
            <w:r>
              <w:rPr>
                <w:rStyle w:val="IndexLink"/>
                <w:rtl w:val="true"/>
              </w:rPr>
              <w:t xml:space="preserve">. </w:t>
            </w:r>
            <w:r>
              <w:rPr>
                <w:rStyle w:val="IndexLink"/>
                <w:rtl w:val="true"/>
              </w:rPr>
              <w:t>استواري بر بيعت</w:t>
            </w:r>
            <w:r>
              <w:rPr>
                <w:rStyle w:val="IndexLink"/>
                <w:rtl w:val="true"/>
              </w:rPr>
              <w:tab/>
            </w:r>
            <w:r>
              <w:rPr>
                <w:rStyle w:val="IndexLink"/>
              </w:rPr>
              <w:t>146</w:t>
            </w:r>
          </w:hyperlink>
        </w:p>
        <w:p>
          <w:pPr>
            <w:pStyle w:val="Contents6"/>
            <w:tabs>
              <w:tab w:val="clear" w:pos="7609"/>
              <w:tab w:val="right" w:pos="9026" w:leader="dot"/>
            </w:tabs>
            <w:rPr/>
          </w:pPr>
          <w:hyperlink w:anchor="__RefHeading___Toc2647345_3650668749">
            <w:r>
              <w:rPr>
                <w:webHidden/>
                <w:rStyle w:val="IndexLink"/>
              </w:rPr>
              <w:t>2</w:t>
            </w:r>
            <w:r>
              <w:rPr>
                <w:rStyle w:val="IndexLink"/>
                <w:rtl w:val="true"/>
              </w:rPr>
              <w:t xml:space="preserve">. </w:t>
            </w:r>
            <w:r>
              <w:rPr>
                <w:rStyle w:val="IndexLink"/>
                <w:rtl w:val="true"/>
              </w:rPr>
              <w:t>نيك‌خواهي در امور حكومت</w:t>
            </w:r>
            <w:r>
              <w:rPr>
                <w:rStyle w:val="IndexLink"/>
                <w:rtl w:val="true"/>
              </w:rPr>
              <w:tab/>
            </w:r>
            <w:r>
              <w:rPr>
                <w:rStyle w:val="IndexLink"/>
              </w:rPr>
              <w:t>147</w:t>
            </w:r>
          </w:hyperlink>
        </w:p>
        <w:p>
          <w:pPr>
            <w:pStyle w:val="Contents6"/>
            <w:tabs>
              <w:tab w:val="clear" w:pos="7609"/>
              <w:tab w:val="right" w:pos="9026" w:leader="dot"/>
            </w:tabs>
            <w:rPr/>
          </w:pPr>
          <w:hyperlink w:anchor="__RefHeading___Toc2647347_3650668749">
            <w:r>
              <w:rPr>
                <w:webHidden/>
                <w:rStyle w:val="IndexLink"/>
              </w:rPr>
              <w:t>3</w:t>
            </w:r>
            <w:r>
              <w:rPr>
                <w:rStyle w:val="IndexLink"/>
                <w:rtl w:val="true"/>
              </w:rPr>
              <w:t xml:space="preserve">. </w:t>
            </w:r>
            <w:r>
              <w:rPr>
                <w:rStyle w:val="IndexLink"/>
                <w:rtl w:val="true"/>
              </w:rPr>
              <w:t>فرمان‌برداري</w:t>
            </w:r>
            <w:r>
              <w:rPr>
                <w:rStyle w:val="IndexLink"/>
                <w:rtl w:val="true"/>
              </w:rPr>
              <w:tab/>
            </w:r>
            <w:r>
              <w:rPr>
                <w:rStyle w:val="IndexLink"/>
              </w:rPr>
              <w:t>148</w:t>
            </w:r>
          </w:hyperlink>
        </w:p>
        <w:p>
          <w:pPr>
            <w:pStyle w:val="Contents5"/>
            <w:tabs>
              <w:tab w:val="clear" w:pos="7892"/>
              <w:tab w:val="right" w:pos="9026" w:leader="dot"/>
            </w:tabs>
            <w:rPr/>
          </w:pPr>
          <w:hyperlink w:anchor="__RefHeading___Toc2647349_3650668749">
            <w:r>
              <w:rPr>
                <w:webHidden/>
                <w:rStyle w:val="IndexLink"/>
                <w:rtl w:val="true"/>
              </w:rPr>
              <w:t>سازوكار مشاركت مردم در حكومت مهدوي</w:t>
            </w:r>
            <w:r>
              <w:rPr>
                <w:rStyle w:val="IndexLink"/>
                <w:rtl w:val="true"/>
              </w:rPr>
              <w:tab/>
            </w:r>
            <w:r>
              <w:rPr>
                <w:rStyle w:val="IndexLink"/>
              </w:rPr>
              <w:t>149</w:t>
            </w:r>
          </w:hyperlink>
        </w:p>
        <w:p>
          <w:pPr>
            <w:pStyle w:val="Contents6"/>
            <w:tabs>
              <w:tab w:val="clear" w:pos="7609"/>
              <w:tab w:val="right" w:pos="9026" w:leader="dot"/>
            </w:tabs>
            <w:rPr/>
          </w:pPr>
          <w:hyperlink w:anchor="__RefHeading___Toc2647351_3650668749">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2647353_3650668749">
            <w:r>
              <w:rPr>
                <w:webHidden/>
                <w:rStyle w:val="IndexLink"/>
                <w:rtl w:val="true"/>
              </w:rPr>
              <w:t>پايه‌هاي بيعت</w:t>
            </w:r>
            <w:r>
              <w:rPr>
                <w:rStyle w:val="IndexLink"/>
                <w:rtl w:val="true"/>
              </w:rPr>
              <w:tab/>
            </w:r>
            <w:r>
              <w:rPr>
                <w:rStyle w:val="IndexLink"/>
              </w:rPr>
              <w:t>150</w:t>
            </w:r>
          </w:hyperlink>
        </w:p>
        <w:p>
          <w:pPr>
            <w:pStyle w:val="Contents6"/>
            <w:tabs>
              <w:tab w:val="clear" w:pos="7609"/>
              <w:tab w:val="right" w:pos="9026" w:leader="dot"/>
            </w:tabs>
            <w:rPr/>
          </w:pPr>
          <w:hyperlink w:anchor="__RefHeading___Toc2647355_3650668749">
            <w:r>
              <w:rPr>
                <w:webHidden/>
                <w:rStyle w:val="IndexLink"/>
                <w:rtl w:val="true"/>
              </w:rPr>
              <w:t>چگونگي و چيستي بيعت</w:t>
            </w:r>
            <w:r>
              <w:rPr>
                <w:rStyle w:val="IndexLink"/>
                <w:rtl w:val="true"/>
              </w:rPr>
              <w:tab/>
            </w:r>
            <w:r>
              <w:rPr>
                <w:rStyle w:val="IndexLink"/>
              </w:rPr>
              <w:t>151</w:t>
            </w:r>
          </w:hyperlink>
        </w:p>
        <w:p>
          <w:pPr>
            <w:pStyle w:val="Contents6"/>
            <w:tabs>
              <w:tab w:val="clear" w:pos="7609"/>
              <w:tab w:val="right" w:pos="9026" w:leader="dot"/>
            </w:tabs>
            <w:rPr/>
          </w:pPr>
          <w:hyperlink w:anchor="__RefHeading___Toc2647357_3650668749">
            <w:r>
              <w:rPr>
                <w:webHidden/>
                <w:rStyle w:val="IndexLink"/>
                <w:rtl w:val="true"/>
              </w:rPr>
              <w:t>آثار بيعت</w:t>
            </w:r>
            <w:r>
              <w:rPr>
                <w:rStyle w:val="IndexLink"/>
                <w:rtl w:val="true"/>
              </w:rPr>
              <w:tab/>
            </w:r>
            <w:r>
              <w:rPr>
                <w:rStyle w:val="IndexLink"/>
              </w:rPr>
              <w:t>153</w:t>
            </w:r>
          </w:hyperlink>
        </w:p>
        <w:p>
          <w:pPr>
            <w:pStyle w:val="Contents6"/>
            <w:tabs>
              <w:tab w:val="clear" w:pos="7609"/>
              <w:tab w:val="right" w:pos="9026" w:leader="dot"/>
            </w:tabs>
            <w:rPr/>
          </w:pPr>
          <w:hyperlink w:anchor="__RefHeading___Toc2647359_3650668749">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2647361_3650668749">
            <w:r>
              <w:rPr>
                <w:webHidden/>
                <w:rStyle w:val="IndexLink"/>
              </w:rPr>
              <w:t>1</w:t>
            </w:r>
            <w:r>
              <w:rPr>
                <w:rStyle w:val="IndexLink"/>
                <w:rtl w:val="true"/>
              </w:rPr>
              <w:t xml:space="preserve">. </w:t>
            </w:r>
            <w:r>
              <w:rPr>
                <w:rStyle w:val="IndexLink"/>
                <w:rtl w:val="true"/>
              </w:rPr>
              <w:t>اظهار آمادگي</w:t>
            </w:r>
            <w:r>
              <w:rPr>
                <w:rStyle w:val="IndexLink"/>
                <w:rtl w:val="true"/>
              </w:rPr>
              <w:tab/>
            </w:r>
            <w:r>
              <w:rPr>
                <w:rStyle w:val="IndexLink"/>
              </w:rPr>
              <w:t>154</w:t>
            </w:r>
          </w:hyperlink>
        </w:p>
        <w:p>
          <w:pPr>
            <w:pStyle w:val="Contents6"/>
            <w:tabs>
              <w:tab w:val="clear" w:pos="7609"/>
              <w:tab w:val="right" w:pos="9026" w:leader="dot"/>
            </w:tabs>
            <w:rPr/>
          </w:pPr>
          <w:hyperlink w:anchor="__RefHeading___Toc2647363_3650668749">
            <w:r>
              <w:rPr>
                <w:webHidden/>
                <w:rStyle w:val="IndexLink"/>
              </w:rPr>
              <w:t>2</w:t>
            </w:r>
            <w:r>
              <w:rPr>
                <w:rStyle w:val="IndexLink"/>
                <w:rtl w:val="true"/>
              </w:rPr>
              <w:t xml:space="preserve">. </w:t>
            </w:r>
            <w:r>
              <w:rPr>
                <w:rStyle w:val="IndexLink"/>
                <w:rtl w:val="true"/>
              </w:rPr>
              <w:t>پذيرش ولايت</w:t>
            </w:r>
            <w:r>
              <w:rPr>
                <w:rStyle w:val="IndexLink"/>
                <w:rtl w:val="true"/>
              </w:rPr>
              <w:tab/>
            </w:r>
            <w:r>
              <w:rPr>
                <w:rStyle w:val="IndexLink"/>
              </w:rPr>
              <w:t>155</w:t>
            </w:r>
          </w:hyperlink>
        </w:p>
        <w:p>
          <w:pPr>
            <w:pStyle w:val="Contents6"/>
            <w:tabs>
              <w:tab w:val="clear" w:pos="7609"/>
              <w:tab w:val="right" w:pos="9026" w:leader="dot"/>
            </w:tabs>
            <w:rPr/>
          </w:pPr>
          <w:hyperlink w:anchor="__RefHeading___Toc2647365_3650668749">
            <w:r>
              <w:rPr>
                <w:webHidden/>
                <w:rStyle w:val="IndexLink"/>
              </w:rPr>
              <w:t>3</w:t>
            </w:r>
            <w:r>
              <w:rPr>
                <w:rStyle w:val="IndexLink"/>
                <w:rtl w:val="true"/>
              </w:rPr>
              <w:t xml:space="preserve">. </w:t>
            </w:r>
            <w:r>
              <w:rPr>
                <w:rStyle w:val="IndexLink"/>
                <w:rtl w:val="true"/>
              </w:rPr>
              <w:t>يادآوري وظيفه</w:t>
            </w:r>
            <w:r>
              <w:rPr>
                <w:rStyle w:val="IndexLink"/>
                <w:rtl w:val="true"/>
              </w:rPr>
              <w:tab/>
            </w:r>
            <w:r>
              <w:rPr>
                <w:rStyle w:val="IndexLink"/>
              </w:rPr>
              <w:t>156</w:t>
            </w:r>
          </w:hyperlink>
        </w:p>
        <w:p>
          <w:pPr>
            <w:pStyle w:val="Contents6"/>
            <w:tabs>
              <w:tab w:val="clear" w:pos="7609"/>
              <w:tab w:val="right" w:pos="9026" w:leader="dot"/>
            </w:tabs>
            <w:rPr/>
          </w:pPr>
          <w:hyperlink w:anchor="__RefHeading___Toc2647367_3650668749">
            <w:r>
              <w:rPr>
                <w:webHidden/>
                <w:rStyle w:val="IndexLink"/>
              </w:rPr>
              <w:t>4</w:t>
            </w:r>
            <w:r>
              <w:rPr>
                <w:rStyle w:val="IndexLink"/>
                <w:rtl w:val="true"/>
              </w:rPr>
              <w:t xml:space="preserve">. </w:t>
            </w:r>
            <w:r>
              <w:rPr>
                <w:rStyle w:val="IndexLink"/>
                <w:rtl w:val="true"/>
              </w:rPr>
              <w:t>تأكيد بر وفاداري</w:t>
            </w:r>
            <w:r>
              <w:rPr>
                <w:rStyle w:val="IndexLink"/>
                <w:rtl w:val="true"/>
              </w:rPr>
              <w:tab/>
            </w:r>
            <w:r>
              <w:rPr>
                <w:rStyle w:val="IndexLink"/>
              </w:rPr>
              <w:t>157</w:t>
            </w:r>
          </w:hyperlink>
        </w:p>
        <w:p>
          <w:pPr>
            <w:pStyle w:val="Contents6"/>
            <w:tabs>
              <w:tab w:val="clear" w:pos="7609"/>
              <w:tab w:val="right" w:pos="9026" w:leader="dot"/>
            </w:tabs>
            <w:rPr/>
          </w:pPr>
          <w:hyperlink w:anchor="__RefHeading___Toc2647369_3650668749">
            <w:r>
              <w:rPr>
                <w:webHidden/>
                <w:rStyle w:val="IndexLink"/>
                <w:rtl w:val="true"/>
              </w:rPr>
              <w:t>بيعت با امام مهدي عليه السلام، از نگاه روايات</w:t>
            </w:r>
            <w:r>
              <w:rPr>
                <w:rStyle w:val="IndexLink"/>
                <w:rtl w:val="true"/>
              </w:rPr>
              <w:tab/>
            </w:r>
            <w:r>
              <w:rPr>
                <w:rStyle w:val="IndexLink"/>
              </w:rPr>
              <w:t>158</w:t>
            </w:r>
          </w:hyperlink>
        </w:p>
        <w:p>
          <w:pPr>
            <w:pStyle w:val="Contents6"/>
            <w:tabs>
              <w:tab w:val="clear" w:pos="7609"/>
              <w:tab w:val="right" w:pos="9026" w:leader="dot"/>
            </w:tabs>
            <w:rPr/>
          </w:pPr>
          <w:hyperlink w:anchor="__RefHeading___Toc2647371_3650668749">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2647373_3650668749">
            <w:r>
              <w:rPr>
                <w:webHidden/>
                <w:rStyle w:val="IndexLink"/>
              </w:rPr>
              <w:t>1</w:t>
            </w:r>
            <w:r>
              <w:rPr>
                <w:rStyle w:val="IndexLink"/>
                <w:rtl w:val="true"/>
              </w:rPr>
              <w:t xml:space="preserve">. </w:t>
            </w:r>
            <w:r>
              <w:rPr>
                <w:rStyle w:val="IndexLink"/>
                <w:rtl w:val="true"/>
              </w:rPr>
              <w:t>بيعت‌كنندگان</w:t>
            </w:r>
            <w:r>
              <w:rPr>
                <w:rStyle w:val="IndexLink"/>
                <w:rtl w:val="true"/>
              </w:rPr>
              <w:tab/>
            </w:r>
            <w:r>
              <w:rPr>
                <w:rStyle w:val="IndexLink"/>
              </w:rPr>
              <w:t>159</w:t>
            </w:r>
          </w:hyperlink>
        </w:p>
        <w:p>
          <w:pPr>
            <w:pStyle w:val="Contents6"/>
            <w:tabs>
              <w:tab w:val="clear" w:pos="7609"/>
              <w:tab w:val="right" w:pos="9026" w:leader="dot"/>
            </w:tabs>
            <w:rPr/>
          </w:pPr>
          <w:hyperlink w:anchor="__RefHeading___Toc2647375_3650668749">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2647377_3650668749">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بيعت جبرئيل فرشتة وحي</w:t>
            </w:r>
            <w:r>
              <w:rPr>
                <w:rStyle w:val="IndexLink"/>
                <w:rtl w:val="true"/>
              </w:rPr>
              <w:tab/>
            </w:r>
            <w:r>
              <w:rPr>
                <w:rStyle w:val="IndexLink"/>
              </w:rPr>
              <w:t>160</w:t>
            </w:r>
          </w:hyperlink>
        </w:p>
        <w:p>
          <w:pPr>
            <w:pStyle w:val="Contents6"/>
            <w:tabs>
              <w:tab w:val="clear" w:pos="7609"/>
              <w:tab w:val="right" w:pos="9026" w:leader="dot"/>
            </w:tabs>
            <w:rPr/>
          </w:pPr>
          <w:hyperlink w:anchor="__RefHeading___Toc2647379_3650668749">
            <w:r>
              <w:rPr>
                <w:webHidden/>
                <w:rStyle w:val="IndexLink"/>
              </w:rPr>
              <w:t>1</w:t>
            </w:r>
            <w:r>
              <w:rPr>
                <w:rStyle w:val="IndexLink"/>
                <w:rtl w:val="true"/>
              </w:rPr>
              <w:t xml:space="preserve">ـ </w:t>
            </w:r>
            <w:r>
              <w:rPr>
                <w:rStyle w:val="IndexLink"/>
              </w:rPr>
              <w:t>2</w:t>
            </w:r>
            <w:r>
              <w:rPr>
                <w:rStyle w:val="IndexLink"/>
                <w:rtl w:val="true"/>
              </w:rPr>
              <w:t>.</w:t>
            </w:r>
            <w:r>
              <w:rPr>
                <w:rStyle w:val="IndexLink"/>
                <w:rtl w:val="true"/>
              </w:rPr>
              <w:t>بيعت ياران خاص</w:t>
            </w:r>
            <w:r>
              <w:rPr>
                <w:rStyle w:val="IndexLink"/>
                <w:rtl w:val="true"/>
              </w:rPr>
              <w:t>(</w:t>
            </w:r>
            <w:r>
              <w:rPr>
                <w:rStyle w:val="IndexLink"/>
                <w:rtl w:val="true"/>
              </w:rPr>
              <w:t>سيصد و سيزده نفر</w:t>
            </w:r>
            <w:r>
              <w:rPr>
                <w:rStyle w:val="IndexLink"/>
                <w:rtl w:val="true"/>
              </w:rPr>
              <w:t>)</w:t>
            </w:r>
            <w:r>
              <w:rPr>
                <w:rStyle w:val="IndexLink"/>
                <w:rtl w:val="true"/>
              </w:rPr>
              <w:t>؛</w:t>
            </w:r>
            <w:r>
              <w:rPr>
                <w:rStyle w:val="IndexLink"/>
                <w:rtl w:val="true"/>
              </w:rPr>
              <w:tab/>
            </w:r>
            <w:r>
              <w:rPr>
                <w:rStyle w:val="IndexLink"/>
              </w:rPr>
              <w:t>161</w:t>
            </w:r>
          </w:hyperlink>
        </w:p>
        <w:p>
          <w:pPr>
            <w:pStyle w:val="Contents6"/>
            <w:tabs>
              <w:tab w:val="clear" w:pos="7609"/>
              <w:tab w:val="right" w:pos="9026" w:leader="dot"/>
            </w:tabs>
            <w:rPr/>
          </w:pPr>
          <w:hyperlink w:anchor="__RefHeading___Toc2647381_3650668749">
            <w:r>
              <w:rPr>
                <w:webHidden/>
                <w:rStyle w:val="IndexLink"/>
              </w:rPr>
              <w:t>1</w:t>
            </w:r>
            <w:r>
              <w:rPr>
                <w:rStyle w:val="IndexLink"/>
                <w:rtl w:val="true"/>
              </w:rPr>
              <w:t>ـ</w:t>
            </w:r>
            <w:r>
              <w:rPr>
                <w:rStyle w:val="IndexLink"/>
              </w:rPr>
              <w:t>3</w:t>
            </w:r>
            <w:r>
              <w:rPr>
                <w:rStyle w:val="IndexLink"/>
                <w:rtl w:val="true"/>
              </w:rPr>
              <w:t xml:space="preserve">. </w:t>
            </w:r>
            <w:r>
              <w:rPr>
                <w:rStyle w:val="IndexLink"/>
                <w:rtl w:val="true"/>
              </w:rPr>
              <w:t>برخي از مردم</w:t>
            </w:r>
            <w:r>
              <w:rPr>
                <w:rStyle w:val="IndexLink"/>
                <w:rtl w:val="true"/>
              </w:rPr>
              <w:tab/>
            </w:r>
            <w:r>
              <w:rPr>
                <w:rStyle w:val="IndexLink"/>
              </w:rPr>
              <w:t>162</w:t>
            </w:r>
          </w:hyperlink>
        </w:p>
        <w:p>
          <w:pPr>
            <w:pStyle w:val="Contents6"/>
            <w:tabs>
              <w:tab w:val="clear" w:pos="7609"/>
              <w:tab w:val="right" w:pos="9026" w:leader="dot"/>
            </w:tabs>
            <w:rPr/>
          </w:pPr>
          <w:hyperlink w:anchor="__RefHeading___Toc2647383_3650668749">
            <w:r>
              <w:rPr>
                <w:webHidden/>
                <w:rStyle w:val="IndexLink"/>
              </w:rPr>
              <w:t>2</w:t>
            </w:r>
            <w:r>
              <w:rPr>
                <w:rStyle w:val="IndexLink"/>
                <w:rtl w:val="true"/>
              </w:rPr>
              <w:t xml:space="preserve">. </w:t>
            </w:r>
            <w:r>
              <w:rPr>
                <w:rStyle w:val="IndexLink"/>
                <w:rtl w:val="true"/>
              </w:rPr>
              <w:t>مكان بيعت</w:t>
            </w:r>
            <w:r>
              <w:rPr>
                <w:rStyle w:val="IndexLink"/>
                <w:rtl w:val="true"/>
              </w:rPr>
              <w:tab/>
            </w:r>
            <w:r>
              <w:rPr>
                <w:rStyle w:val="IndexLink"/>
              </w:rPr>
              <w:t>163</w:t>
            </w:r>
          </w:hyperlink>
        </w:p>
        <w:p>
          <w:pPr>
            <w:pStyle w:val="Contents6"/>
            <w:tabs>
              <w:tab w:val="clear" w:pos="7609"/>
              <w:tab w:val="right" w:pos="9026" w:leader="dot"/>
            </w:tabs>
            <w:rPr/>
          </w:pPr>
          <w:hyperlink w:anchor="__RefHeading___Toc2647385_3650668749">
            <w:r>
              <w:rPr>
                <w:webHidden/>
                <w:rStyle w:val="IndexLink"/>
              </w:rPr>
              <w:t>3</w:t>
            </w:r>
            <w:r>
              <w:rPr>
                <w:rStyle w:val="IndexLink"/>
                <w:rtl w:val="true"/>
              </w:rPr>
              <w:t xml:space="preserve">. </w:t>
            </w:r>
            <w:r>
              <w:rPr>
                <w:rStyle w:val="IndexLink"/>
                <w:rtl w:val="true"/>
              </w:rPr>
              <w:t>مفاد بيعت</w:t>
            </w:r>
            <w:r>
              <w:rPr>
                <w:rStyle w:val="IndexLink"/>
                <w:rtl w:val="true"/>
              </w:rPr>
              <w:tab/>
            </w:r>
            <w:r>
              <w:rPr>
                <w:rStyle w:val="IndexLink"/>
              </w:rPr>
              <w:t>164</w:t>
            </w:r>
          </w:hyperlink>
        </w:p>
        <w:p>
          <w:pPr>
            <w:pStyle w:val="Contents6"/>
            <w:tabs>
              <w:tab w:val="clear" w:pos="7609"/>
              <w:tab w:val="right" w:pos="9026" w:leader="dot"/>
            </w:tabs>
            <w:rPr/>
          </w:pPr>
          <w:hyperlink w:anchor="__RefHeading___Toc2647387_3650668749">
            <w:r>
              <w:rPr>
                <w:webHidden/>
                <w:rStyle w:val="IndexLink"/>
                <w:rtl w:val="true"/>
              </w:rPr>
              <w:t>يك بررسي كوتاه در بيعت‌نامه</w:t>
            </w:r>
            <w:r>
              <w:rPr>
                <w:rStyle w:val="IndexLink"/>
                <w:rtl w:val="true"/>
              </w:rPr>
              <w:tab/>
            </w:r>
            <w:r>
              <w:rPr>
                <w:rStyle w:val="IndexLink"/>
              </w:rPr>
              <w:t>165</w:t>
            </w:r>
          </w:hyperlink>
        </w:p>
        <w:p>
          <w:pPr>
            <w:pStyle w:val="Contents6"/>
            <w:tabs>
              <w:tab w:val="clear" w:pos="7609"/>
              <w:tab w:val="right" w:pos="9026" w:leader="dot"/>
            </w:tabs>
            <w:rPr/>
          </w:pPr>
          <w:hyperlink w:anchor="__RefHeading___Toc2647389_3650668749">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2647391_3650668749">
            <w:r>
              <w:rPr>
                <w:webHidden/>
                <w:rStyle w:val="IndexLink"/>
              </w:rPr>
              <w:t>1</w:t>
            </w:r>
            <w:r>
              <w:rPr>
                <w:rStyle w:val="IndexLink"/>
                <w:rtl w:val="true"/>
              </w:rPr>
              <w:t xml:space="preserve">. </w:t>
            </w:r>
            <w:r>
              <w:rPr>
                <w:rStyle w:val="IndexLink"/>
                <w:rtl w:val="true"/>
              </w:rPr>
              <w:t>استناد</w:t>
            </w:r>
            <w:r>
              <w:rPr>
                <w:rStyle w:val="IndexLink"/>
                <w:rtl w:val="true"/>
              </w:rPr>
              <w:tab/>
            </w:r>
            <w:r>
              <w:rPr>
                <w:rStyle w:val="IndexLink"/>
              </w:rPr>
              <w:t>166</w:t>
            </w:r>
          </w:hyperlink>
        </w:p>
        <w:p>
          <w:pPr>
            <w:pStyle w:val="Contents6"/>
            <w:tabs>
              <w:tab w:val="clear" w:pos="7609"/>
              <w:tab w:val="right" w:pos="9026" w:leader="dot"/>
            </w:tabs>
            <w:rPr/>
          </w:pPr>
          <w:hyperlink w:anchor="__RefHeading___Toc2647393_3650668749">
            <w:r>
              <w:rPr>
                <w:webHidden/>
                <w:rStyle w:val="IndexLink"/>
              </w:rPr>
              <w:t>1-1</w:t>
            </w:r>
            <w:r>
              <w:rPr>
                <w:rStyle w:val="IndexLink"/>
                <w:rtl w:val="true"/>
              </w:rPr>
              <w:t xml:space="preserve">. </w:t>
            </w:r>
            <w:r>
              <w:rPr>
                <w:rStyle w:val="IndexLink"/>
                <w:rtl w:val="true"/>
              </w:rPr>
              <w:t>از جهت منبع</w:t>
            </w:r>
            <w:r>
              <w:rPr>
                <w:rStyle w:val="IndexLink"/>
                <w:rtl w:val="true"/>
              </w:rPr>
              <w:t>:</w:t>
              <w:tab/>
            </w:r>
            <w:r>
              <w:rPr>
                <w:rStyle w:val="IndexLink"/>
              </w:rPr>
              <w:t>166</w:t>
            </w:r>
          </w:hyperlink>
        </w:p>
        <w:p>
          <w:pPr>
            <w:pStyle w:val="Contents6"/>
            <w:tabs>
              <w:tab w:val="clear" w:pos="7609"/>
              <w:tab w:val="right" w:pos="9026" w:leader="dot"/>
            </w:tabs>
            <w:rPr/>
          </w:pPr>
          <w:hyperlink w:anchor="__RefHeading___Toc2647395_3650668749">
            <w:r>
              <w:rPr>
                <w:webHidden/>
                <w:rStyle w:val="IndexLink"/>
              </w:rPr>
              <w:t>1-2</w:t>
            </w:r>
            <w:r>
              <w:rPr>
                <w:rStyle w:val="IndexLink"/>
                <w:rtl w:val="true"/>
              </w:rPr>
              <w:t xml:space="preserve">. </w:t>
            </w:r>
            <w:r>
              <w:rPr>
                <w:rStyle w:val="IndexLink"/>
                <w:rtl w:val="true"/>
              </w:rPr>
              <w:t>از جهت سند</w:t>
            </w:r>
            <w:r>
              <w:rPr>
                <w:rStyle w:val="IndexLink"/>
                <w:rtl w:val="true"/>
              </w:rPr>
              <w:t>:</w:t>
              <w:tab/>
            </w:r>
            <w:r>
              <w:rPr>
                <w:rStyle w:val="IndexLink"/>
              </w:rPr>
              <w:t>167</w:t>
            </w:r>
          </w:hyperlink>
        </w:p>
        <w:p>
          <w:pPr>
            <w:pStyle w:val="Contents6"/>
            <w:tabs>
              <w:tab w:val="clear" w:pos="7609"/>
              <w:tab w:val="right" w:pos="9026" w:leader="dot"/>
            </w:tabs>
            <w:rPr/>
          </w:pPr>
          <w:hyperlink w:anchor="__RefHeading___Toc2647397_3650668749">
            <w:r>
              <w:rPr>
                <w:webHidden/>
                <w:rStyle w:val="IndexLink"/>
              </w:rPr>
              <w:t>2</w:t>
            </w:r>
            <w:r>
              <w:rPr>
                <w:rStyle w:val="IndexLink"/>
                <w:rtl w:val="true"/>
              </w:rPr>
              <w:t xml:space="preserve">. </w:t>
            </w:r>
            <w:r>
              <w:rPr>
                <w:rStyle w:val="IndexLink"/>
                <w:rtl w:val="true"/>
              </w:rPr>
              <w:t>از نظر محتوا</w:t>
            </w:r>
            <w:r>
              <w:rPr>
                <w:rStyle w:val="IndexLink"/>
                <w:rtl w:val="true"/>
              </w:rPr>
              <w:tab/>
            </w:r>
            <w:r>
              <w:rPr>
                <w:rStyle w:val="IndexLink"/>
              </w:rPr>
              <w:t>168</w:t>
            </w:r>
          </w:hyperlink>
        </w:p>
        <w:p>
          <w:pPr>
            <w:pStyle w:val="Contents6"/>
            <w:tabs>
              <w:tab w:val="clear" w:pos="7609"/>
              <w:tab w:val="right" w:pos="9026" w:leader="dot"/>
            </w:tabs>
            <w:rPr/>
          </w:pPr>
          <w:hyperlink w:anchor="__RefHeading___Toc2647399_3650668749">
            <w:r>
              <w:rPr>
                <w:webHidden/>
                <w:rStyle w:val="IndexLink"/>
                <w:rtl w:val="true"/>
              </w:rPr>
              <w:t>مشاركت در پيشبرد كارهاي حكومت</w:t>
            </w:r>
            <w:r>
              <w:rPr>
                <w:rStyle w:val="IndexLink"/>
                <w:rtl w:val="true"/>
              </w:rPr>
              <w:tab/>
            </w:r>
            <w:r>
              <w:rPr>
                <w:rStyle w:val="IndexLink"/>
              </w:rPr>
              <w:t>169</w:t>
            </w:r>
          </w:hyperlink>
        </w:p>
        <w:p>
          <w:pPr>
            <w:pStyle w:val="Contents6"/>
            <w:tabs>
              <w:tab w:val="clear" w:pos="7609"/>
              <w:tab w:val="right" w:pos="9026" w:leader="dot"/>
            </w:tabs>
            <w:rPr/>
          </w:pPr>
          <w:hyperlink w:anchor="__RefHeading___Toc2647401_3650668749">
            <w:r>
              <w:rPr>
                <w:webHidden/>
                <w:rStyle w:val="IndexLink"/>
                <w:rtl w:val="true"/>
              </w:rPr>
              <w:t>نقش مردم در تصميم‌گيري</w:t>
            </w:r>
            <w:r>
              <w:rPr>
                <w:rStyle w:val="IndexLink"/>
                <w:rtl w:val="true"/>
              </w:rPr>
              <w:tab/>
            </w:r>
            <w:r>
              <w:rPr>
                <w:rStyle w:val="IndexLink"/>
              </w:rPr>
              <w:t>173</w:t>
            </w:r>
          </w:hyperlink>
        </w:p>
        <w:p>
          <w:pPr>
            <w:pStyle w:val="Contents6"/>
            <w:tabs>
              <w:tab w:val="clear" w:pos="7609"/>
              <w:tab w:val="right" w:pos="9026" w:leader="dot"/>
            </w:tabs>
            <w:rPr/>
          </w:pPr>
          <w:hyperlink w:anchor="__RefHeading___Toc2647403_3650668749">
            <w:r>
              <w:rPr>
                <w:webHidden/>
                <w:rStyle w:val="IndexLink"/>
                <w:rtl w:val="true"/>
              </w:rPr>
              <w:t>كارگزاران حكومت‌</w:t>
            </w:r>
            <w:r>
              <w:rPr>
                <w:rStyle w:val="IndexLink"/>
                <w:rtl w:val="true"/>
              </w:rPr>
              <w:tab/>
            </w:r>
            <w:r>
              <w:rPr>
                <w:rStyle w:val="IndexLink"/>
              </w:rPr>
              <w:t>174</w:t>
            </w:r>
          </w:hyperlink>
        </w:p>
        <w:p>
          <w:pPr>
            <w:pStyle w:val="Contents6"/>
            <w:tabs>
              <w:tab w:val="clear" w:pos="7609"/>
              <w:tab w:val="right" w:pos="9026" w:leader="dot"/>
            </w:tabs>
            <w:rPr/>
          </w:pPr>
          <w:hyperlink w:anchor="__RefHeading___Toc2647405_3650668749">
            <w:r>
              <w:rPr>
                <w:webHidden/>
                <w:rStyle w:val="IndexLink"/>
                <w:rtl w:val="true"/>
              </w:rPr>
              <w:t>گونه‌هايي از كارگزاران از نگاه روايات</w:t>
            </w:r>
            <w:r>
              <w:rPr>
                <w:rStyle w:val="IndexLink"/>
                <w:rtl w:val="true"/>
              </w:rPr>
              <w:tab/>
            </w:r>
            <w:r>
              <w:rPr>
                <w:rStyle w:val="IndexLink"/>
              </w:rPr>
              <w:t>176</w:t>
            </w:r>
          </w:hyperlink>
        </w:p>
        <w:p>
          <w:pPr>
            <w:pStyle w:val="Contents6"/>
            <w:tabs>
              <w:tab w:val="clear" w:pos="7609"/>
              <w:tab w:val="right" w:pos="9026" w:leader="dot"/>
            </w:tabs>
            <w:rPr/>
          </w:pPr>
          <w:hyperlink w:anchor="__RefHeading___Toc2647407_3650668749">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2647409_3650668749">
            <w:r>
              <w:rPr>
                <w:webHidden/>
                <w:rStyle w:val="IndexLink"/>
                <w:rtl w:val="true"/>
              </w:rPr>
              <w:t xml:space="preserve">يك </w:t>
            </w:r>
            <w:r>
              <w:rPr>
                <w:rStyle w:val="IndexLink"/>
                <w:rtl w:val="true"/>
              </w:rPr>
              <w:t xml:space="preserve">. </w:t>
            </w:r>
            <w:r>
              <w:rPr>
                <w:rStyle w:val="IndexLink"/>
                <w:rtl w:val="true"/>
              </w:rPr>
              <w:t>شيعيان راستين، برخي از كارگزاران</w:t>
            </w:r>
            <w:r>
              <w:rPr>
                <w:rStyle w:val="IndexLink"/>
                <w:rtl w:val="true"/>
              </w:rPr>
              <w:tab/>
            </w:r>
            <w:r>
              <w:rPr>
                <w:rStyle w:val="IndexLink"/>
              </w:rPr>
              <w:t>177</w:t>
            </w:r>
          </w:hyperlink>
        </w:p>
        <w:p>
          <w:pPr>
            <w:pStyle w:val="Contents6"/>
            <w:tabs>
              <w:tab w:val="clear" w:pos="7609"/>
              <w:tab w:val="right" w:pos="9026" w:leader="dot"/>
            </w:tabs>
            <w:rPr/>
          </w:pPr>
          <w:hyperlink w:anchor="__RefHeading___Toc2647411_3650668749">
            <w:r>
              <w:rPr>
                <w:webHidden/>
                <w:rStyle w:val="IndexLink"/>
                <w:rtl w:val="true"/>
              </w:rPr>
              <w:t xml:space="preserve">دو </w:t>
            </w:r>
            <w:r>
              <w:rPr>
                <w:rStyle w:val="IndexLink"/>
                <w:rtl w:val="true"/>
              </w:rPr>
              <w:t xml:space="preserve">. </w:t>
            </w:r>
            <w:r>
              <w:rPr>
                <w:rStyle w:val="IndexLink"/>
                <w:rtl w:val="true"/>
              </w:rPr>
              <w:t>برخي رجعت كنندگان، كارگزاران حضرت</w:t>
            </w:r>
            <w:r>
              <w:rPr>
                <w:rStyle w:val="IndexLink"/>
                <w:rtl w:val="true"/>
              </w:rPr>
              <w:tab/>
            </w:r>
            <w:r>
              <w:rPr>
                <w:rStyle w:val="IndexLink"/>
              </w:rPr>
              <w:t>178</w:t>
            </w:r>
          </w:hyperlink>
        </w:p>
        <w:p>
          <w:pPr>
            <w:pStyle w:val="Contents6"/>
            <w:tabs>
              <w:tab w:val="clear" w:pos="7609"/>
              <w:tab w:val="right" w:pos="9026" w:leader="dot"/>
            </w:tabs>
            <w:rPr/>
          </w:pPr>
          <w:hyperlink w:anchor="__RefHeading___Toc2647413_3650668749">
            <w:r>
              <w:rPr>
                <w:webHidden/>
                <w:rStyle w:val="IndexLink"/>
                <w:rtl w:val="true"/>
              </w:rPr>
              <w:t xml:space="preserve">سه </w:t>
            </w:r>
            <w:r>
              <w:rPr>
                <w:rStyle w:val="IndexLink"/>
                <w:rtl w:val="true"/>
              </w:rPr>
              <w:t xml:space="preserve">. </w:t>
            </w:r>
            <w:r>
              <w:rPr>
                <w:rStyle w:val="IndexLink"/>
                <w:rtl w:val="true"/>
              </w:rPr>
              <w:t>سخنگوي حضرت مهدي عليه السلام</w:t>
            </w:r>
            <w:r>
              <w:rPr>
                <w:rStyle w:val="IndexLink"/>
                <w:rtl w:val="true"/>
              </w:rPr>
              <w:tab/>
            </w:r>
            <w:r>
              <w:rPr>
                <w:rStyle w:val="IndexLink"/>
              </w:rPr>
              <w:t>179</w:t>
            </w:r>
          </w:hyperlink>
        </w:p>
        <w:p>
          <w:pPr>
            <w:pStyle w:val="Contents6"/>
            <w:tabs>
              <w:tab w:val="clear" w:pos="7609"/>
              <w:tab w:val="right" w:pos="9026" w:leader="dot"/>
            </w:tabs>
            <w:rPr/>
          </w:pPr>
          <w:hyperlink w:anchor="__RefHeading___Toc2647415_3650668749">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2647417_3650668749">
            <w:r>
              <w:rPr>
                <w:webHidden/>
                <w:rStyle w:val="IndexLink"/>
              </w:rPr>
              <w:t>1</w:t>
            </w:r>
            <w:r>
              <w:rPr>
                <w:rStyle w:val="IndexLink"/>
                <w:rtl w:val="true"/>
              </w:rPr>
              <w:t xml:space="preserve">. </w:t>
            </w:r>
            <w:r>
              <w:rPr>
                <w:rStyle w:val="IndexLink"/>
                <w:rtl w:val="true"/>
              </w:rPr>
              <w:t>كارگزاران اقتصادي</w:t>
            </w:r>
            <w:r>
              <w:rPr>
                <w:rStyle w:val="IndexLink"/>
                <w:rtl w:val="true"/>
              </w:rPr>
              <w:tab/>
            </w:r>
            <w:r>
              <w:rPr>
                <w:rStyle w:val="IndexLink"/>
              </w:rPr>
              <w:t>180</w:t>
            </w:r>
          </w:hyperlink>
        </w:p>
        <w:p>
          <w:pPr>
            <w:pStyle w:val="Contents6"/>
            <w:tabs>
              <w:tab w:val="clear" w:pos="7609"/>
              <w:tab w:val="right" w:pos="9026" w:leader="dot"/>
            </w:tabs>
            <w:rPr/>
          </w:pPr>
          <w:hyperlink w:anchor="__RefHeading___Toc2647419_3650668749">
            <w:r>
              <w:rPr>
                <w:webHidden/>
                <w:rStyle w:val="IndexLink"/>
              </w:rPr>
              <w:t>2</w:t>
            </w:r>
            <w:r>
              <w:rPr>
                <w:rStyle w:val="IndexLink"/>
                <w:rtl w:val="true"/>
              </w:rPr>
              <w:t xml:space="preserve">. </w:t>
            </w:r>
            <w:r>
              <w:rPr>
                <w:rStyle w:val="IndexLink"/>
                <w:rtl w:val="true"/>
              </w:rPr>
              <w:t>كارگزاران فرهنگي</w:t>
            </w:r>
            <w:r>
              <w:rPr>
                <w:rStyle w:val="IndexLink"/>
                <w:rtl w:val="true"/>
              </w:rPr>
              <w:tab/>
            </w:r>
            <w:r>
              <w:rPr>
                <w:rStyle w:val="IndexLink"/>
              </w:rPr>
              <w:t>181</w:t>
            </w:r>
          </w:hyperlink>
        </w:p>
        <w:p>
          <w:pPr>
            <w:pStyle w:val="Contents6"/>
            <w:tabs>
              <w:tab w:val="clear" w:pos="7609"/>
              <w:tab w:val="right" w:pos="9026" w:leader="dot"/>
            </w:tabs>
            <w:rPr/>
          </w:pPr>
          <w:hyperlink w:anchor="__RefHeading___Toc2647421_3650668749">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2647423_3650668749">
            <w:r>
              <w:rPr>
                <w:webHidden/>
                <w:rStyle w:val="IndexLink"/>
                <w:rtl w:val="true"/>
              </w:rPr>
              <w:t>كارگزاران قضايي</w:t>
            </w:r>
            <w:r>
              <w:rPr>
                <w:rStyle w:val="IndexLink"/>
                <w:rtl w:val="true"/>
              </w:rPr>
              <w:tab/>
            </w:r>
            <w:r>
              <w:rPr>
                <w:rStyle w:val="IndexLink"/>
              </w:rPr>
              <w:t>182</w:t>
            </w:r>
          </w:hyperlink>
        </w:p>
        <w:p>
          <w:pPr>
            <w:pStyle w:val="Contents6"/>
            <w:tabs>
              <w:tab w:val="clear" w:pos="7609"/>
              <w:tab w:val="right" w:pos="9026" w:leader="dot"/>
            </w:tabs>
            <w:rPr/>
          </w:pPr>
          <w:hyperlink w:anchor="__RefHeading___Toc2647425_3650668749">
            <w:r>
              <w:rPr>
                <w:webHidden/>
                <w:rStyle w:val="IndexLink"/>
                <w:rtl w:val="true"/>
              </w:rPr>
              <w:t xml:space="preserve">چهار </w:t>
            </w:r>
            <w:r>
              <w:rPr>
                <w:rStyle w:val="IndexLink"/>
                <w:rtl w:val="true"/>
              </w:rPr>
              <w:t xml:space="preserve">. </w:t>
            </w:r>
            <w:r>
              <w:rPr>
                <w:rStyle w:val="IndexLink"/>
                <w:rtl w:val="true"/>
              </w:rPr>
              <w:t>سيصد وسيزده نفر، كارگزاران حضرت</w:t>
            </w:r>
            <w:r>
              <w:rPr>
                <w:rStyle w:val="IndexLink"/>
                <w:rtl w:val="true"/>
              </w:rPr>
              <w:tab/>
            </w:r>
            <w:r>
              <w:rPr>
                <w:rStyle w:val="IndexLink"/>
              </w:rPr>
              <w:t>183</w:t>
            </w:r>
          </w:hyperlink>
        </w:p>
        <w:p>
          <w:pPr>
            <w:pStyle w:val="Contents6"/>
            <w:tabs>
              <w:tab w:val="clear" w:pos="7609"/>
              <w:tab w:val="right" w:pos="9026" w:leader="dot"/>
            </w:tabs>
            <w:rPr/>
          </w:pPr>
          <w:hyperlink w:anchor="__RefHeading___Toc2647427_3650668749">
            <w:r>
              <w:rPr>
                <w:webHidden/>
                <w:rStyle w:val="IndexLink"/>
                <w:rtl w:val="true"/>
              </w:rPr>
              <w:t xml:space="preserve">پنچ </w:t>
            </w:r>
            <w:r>
              <w:rPr>
                <w:rStyle w:val="IndexLink"/>
                <w:rtl w:val="true"/>
              </w:rPr>
              <w:t xml:space="preserve">. </w:t>
            </w:r>
            <w:r>
              <w:rPr>
                <w:rStyle w:val="IndexLink"/>
                <w:rtl w:val="true"/>
              </w:rPr>
              <w:t>پراكندگي كارگزاران حضرت</w:t>
            </w:r>
            <w:r>
              <w:rPr>
                <w:rStyle w:val="IndexLink"/>
                <w:rtl w:val="true"/>
              </w:rPr>
              <w:tab/>
            </w:r>
            <w:r>
              <w:rPr>
                <w:rStyle w:val="IndexLink"/>
              </w:rPr>
              <w:t>184</w:t>
            </w:r>
          </w:hyperlink>
        </w:p>
        <w:p>
          <w:pPr>
            <w:pStyle w:val="Contents6"/>
            <w:tabs>
              <w:tab w:val="clear" w:pos="7609"/>
              <w:tab w:val="right" w:pos="9026" w:leader="dot"/>
            </w:tabs>
            <w:rPr/>
          </w:pPr>
          <w:hyperlink w:anchor="__RefHeading___Toc2647429_3650668749">
            <w:r>
              <w:rPr>
                <w:webHidden/>
                <w:rStyle w:val="IndexLink"/>
                <w:rtl w:val="true"/>
              </w:rPr>
              <w:t>نظارت مردم بر حكومت</w:t>
            </w:r>
            <w:r>
              <w:rPr>
                <w:rStyle w:val="IndexLink"/>
                <w:rtl w:val="true"/>
              </w:rPr>
              <w:tab/>
            </w:r>
            <w:r>
              <w:rPr>
                <w:rStyle w:val="IndexLink"/>
              </w:rPr>
              <w:t>185</w:t>
            </w:r>
          </w:hyperlink>
        </w:p>
        <w:p>
          <w:pPr>
            <w:pStyle w:val="Contents4"/>
            <w:tabs>
              <w:tab w:val="clear" w:pos="8176"/>
              <w:tab w:val="right" w:pos="9026" w:leader="dot"/>
            </w:tabs>
            <w:rPr/>
          </w:pPr>
          <w:hyperlink w:anchor="__RefHeading___Toc2647431_3650668749">
            <w:r>
              <w:rPr>
                <w:webHidden/>
                <w:rStyle w:val="IndexLink"/>
                <w:rtl w:val="true"/>
              </w:rPr>
              <w:t>جمع بندي و نتيجه‌گيري</w:t>
            </w:r>
            <w:r>
              <w:rPr>
                <w:rStyle w:val="IndexLink"/>
                <w:rtl w:val="true"/>
              </w:rPr>
              <w:tab/>
            </w:r>
            <w:r>
              <w:rPr>
                <w:rStyle w:val="IndexLink"/>
              </w:rPr>
              <w:t>187</w:t>
            </w:r>
          </w:hyperlink>
        </w:p>
        <w:p>
          <w:pPr>
            <w:pStyle w:val="Contents4"/>
            <w:tabs>
              <w:tab w:val="clear" w:pos="8176"/>
              <w:tab w:val="right" w:pos="9026" w:leader="dot"/>
            </w:tabs>
            <w:rPr/>
          </w:pPr>
          <w:hyperlink w:anchor="__RefHeading___Toc2647433_3650668749">
            <w:r>
              <w:rPr>
                <w:webHidden/>
                <w:rStyle w:val="IndexLink"/>
                <w:rtl w:val="true"/>
              </w:rPr>
              <w:t>آخرين سخن</w:t>
            </w:r>
            <w:r>
              <w:rPr>
                <w:rStyle w:val="IndexLink"/>
                <w:rtl w:val="true"/>
              </w:rPr>
              <w:tab/>
            </w:r>
            <w:r>
              <w:rPr>
                <w:rStyle w:val="IndexLink"/>
              </w:rPr>
              <w:t>189</w:t>
            </w:r>
          </w:hyperlink>
        </w:p>
        <w:p>
          <w:pPr>
            <w:pStyle w:val="Contents4"/>
            <w:tabs>
              <w:tab w:val="clear" w:pos="8176"/>
              <w:tab w:val="right" w:pos="9026" w:leader="dot"/>
            </w:tabs>
            <w:rPr/>
          </w:pPr>
          <w:hyperlink w:anchor="__RefHeading___Toc2647435_3650668749">
            <w:r>
              <w:rPr>
                <w:webHidden/>
                <w:rStyle w:val="IndexLink"/>
                <w:rtl w:val="true"/>
              </w:rPr>
              <w:t>منابع و مآخذ</w:t>
            </w:r>
            <w:r>
              <w:rPr>
                <w:rStyle w:val="IndexLink"/>
                <w:rtl w:val="true"/>
              </w:rPr>
              <w:tab/>
            </w:r>
            <w:r>
              <w:rPr>
                <w:rStyle w:val="IndexLink"/>
              </w:rPr>
              <w:t>190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14_18879"/>
      <w:bookmarkStart w:id="1" w:name="pg1814_18879"/>
      <w:bookmarkEnd w:id="1"/>
    </w:p>
    <w:p>
      <w:pPr>
        <w:pStyle w:val="Heading2"/>
        <w:numPr>
          <w:ilvl w:val="1"/>
          <w:numId w:val="1"/>
        </w:numPr>
        <w:rPr/>
      </w:pPr>
      <w:bookmarkStart w:id="2" w:name="pg1814_18879"/>
      <w:bookmarkStart w:id="3" w:name="__RefHeading___Toc2647025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سليميان، خدامراد، </w:t>
      </w:r>
      <w:r>
        <w:rPr>
          <w:rFonts w:ascii="Amiri" w:hAnsi="Amiri" w:eastAsia="Amiri" w:cs="Amiri"/>
          <w:color w:val="111111"/>
          <w:sz w:val="28"/>
          <w:sz w:val="28"/>
          <w:szCs w:val="28"/>
          <w:lang w:bidi="ar-SA"/>
        </w:rPr>
        <w:t>۱۳۴۶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مردم در انقلاب جهاني حضرت مهدي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خدامراد سليميان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مركز تخصصي مهدويت حوزه علميه قم، </w:t>
      </w:r>
      <w:r>
        <w:rPr>
          <w:rFonts w:ascii="Amiri" w:hAnsi="Amiri" w:eastAsia="Amiri" w:cs="Amiri"/>
          <w:color w:val="111111"/>
          <w:sz w:val="28"/>
          <w:sz w:val="28"/>
          <w:szCs w:val="28"/>
          <w:lang w:bidi="ar-SA"/>
        </w:rPr>
        <w:t>۱۳۹۲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مهدويت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مهدويت—انتظار</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۸۷۳</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۴۶۲</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۳۱۸۹۹۳۰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47027_3650668749"/>
      <w:bookmarkStart w:id="6" w:name="_Toc2"/>
      <w:bookmarkEnd w:id="5"/>
      <w:r>
        <w:rPr>
          <w:rtl w:val="true"/>
        </w:rPr>
        <w:t>پيش‌گفتار</w:t>
      </w:r>
      <w:bookmarkEnd w:id="6"/>
    </w:p>
    <w:p>
      <w:pPr>
        <w:pStyle w:val="BookText"/>
        <w:rPr/>
      </w:pPr>
      <w:r>
        <w:rPr>
          <w:rFonts w:ascii="Amiri" w:hAnsi="Amiri" w:eastAsia="Amiri" w:cs="Amiri"/>
          <w:color w:val="111111"/>
          <w:sz w:val="28"/>
          <w:sz w:val="28"/>
          <w:szCs w:val="28"/>
          <w:rtl w:val="true"/>
          <w:lang w:bidi="ar-SA"/>
        </w:rPr>
        <w:t>ايميل مؤلف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kh.salimian@yahoo.com</w:t>
      </w:r>
    </w:p>
    <w:p>
      <w:pPr>
        <w:pStyle w:val="BookText"/>
        <w:rPr/>
      </w:pPr>
      <w:r>
        <w:rPr>
          <w:rFonts w:ascii="Amiri" w:hAnsi="Amiri" w:eastAsia="Amiri" w:cs="Amiri"/>
          <w:color w:val="111111"/>
          <w:sz w:val="28"/>
          <w:sz w:val="28"/>
          <w:szCs w:val="28"/>
          <w:rtl w:val="true"/>
          <w:lang w:bidi="ar-SA"/>
        </w:rPr>
        <w:t>سايت مؤلف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www.khsalimian.ir</w:t>
      </w:r>
    </w:p>
    <w:p>
      <w:pPr>
        <w:pStyle w:val="BookText"/>
        <w:rPr/>
      </w:pPr>
      <w:r>
        <w:rPr>
          <w:rFonts w:ascii="IRNazanin" w:hAnsi="IRNazanin" w:eastAsia="IRNazanin"/>
          <w:color w:val="111111"/>
          <w:sz w:val="28"/>
          <w:sz w:val="28"/>
          <w:szCs w:val="28"/>
          <w:rtl w:val="true"/>
          <w:lang w:bidi="fa-IR"/>
        </w:rPr>
        <w:t>جامعة انساني از آن رو كه از افرادي با خواسته‌ها و انگيزه‌‌هاي گوناگون شكل يافته، به گونه‌اي ناگزير، نيازمند حكومت است؛ و نبود حكومت، بي‌درنگ، سبب هرج‌ومرج، نابساماني و ازهم‌گسيختگي بنيان‌هاي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حكومت، در جايگاه پايه‌اي‌ترين ابزار در سامان‌بخشي كارهاي جامعه و تضمين اجراي قوانين در پيشرفت معنوي و مادّي گروه‌ها، نقشي اساسي و سرنوشت‌ساز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 عليه السلام در پاسخ به پندار نادرست خوارج ‌ـ كه حكومت را فقط از آنِ خداوند بزرگ مي‌پنداشتند ـ مردمان را ناگزير از داشتن امير و حاكم دانسته است؛ نيكوكردار باشد، يا تبه‌كار</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آن پيشواي معصوم به‌طور ويژه به بايستگي حاكم و حكومت اشاره فرموده و نشان داده در جامعة انساني اهميّتِ بودن حكومت و حاكم، به اندازه‌اي است كه حتي يك حكومت بدكار و سرپرستي سياسي فردي زشت‌كار، بهتر از هرج‌ومرج اجتماعي و نبود حكومت است؛</w:t>
      </w:r>
      <w:r>
        <w:rPr>
          <w:rStyle w:val="FootnoteAnchor"/>
          <w:rtl w:val="true"/>
        </w:rPr>
        <w:footnoteReference w:id="3"/>
      </w:r>
      <w:r>
        <w:rPr>
          <w:rFonts w:ascii="IRNazanin" w:hAnsi="IRNazanin" w:eastAsia="IRNazanin"/>
          <w:color w:val="111111"/>
          <w:sz w:val="28"/>
          <w:sz w:val="28"/>
          <w:szCs w:val="28"/>
          <w:rtl w:val="true"/>
          <w:lang w:bidi="fa-IR"/>
        </w:rPr>
        <w:t>كه حكومت ـ هر چند نامشروع و ناموجه ـ برخي نياز‌هاي بنيادين جامعه را برطرف ساخته، پاره‌اي از كمبود‌ها و كاستي‌هاي اجتماعي را پاسخ داده و كارها را كم‌وبيش سامان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حضرت در ادامه، ويژگي‌هاي يك حكومت پذيرفتني، شايسته و نيكو را آن‌گونه مي‌داند كه در آن، انسانِ باايمان، كار خويش كند، و كافر، بي‌بهره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ساية آن حكومت، با دشمنان پيكار كنند، و راه‌ها را بي‌هراس سازند، و به نيروي او، حقِ ناتوان را از توانا بستانند، تا نيكوكردار، روز به آسودگي به شب رساند، و از گزند تبه‌كاران در امان ماند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اين سخنان ارزشمند، حكومت پسنديده از سه ويژگي برجسته و محور پايه‌اي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عدالت‌محوري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پديدآمدن عيني و عملي اين شاخصه‌ها در جامعه، به وجود زمامداران و كارگزاران صالح و شايسته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 و پيشواي جامعه در راه حق بود و بر پاية سنجه‌هاي ديني رفتار كرد، يعني پايه‌هاي نظري و رفتارهاي سياسي او هماهنگ با بنيان‌هاي شريعت و احكام دين بود، و كارگزاران او در مسئوليت‌هاي گوناگون از شايستگي در باور به پروردگار و رفتار درخور با مردم، برخوردار بودند، و مردم نيز به وظايف و تكاليف خود در برابر زمامداران و مديران به‌خوبي رفتار نمودند، سامان و سلامت جامعه در يك توازن اجتماعي و هماهنگي اركان گوناگون، برآورده خواهد شد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اسلام به سبب دارابودن ويژگي‌هاي يادشده و مانند آن، در آموزه‌هاي خود، به مسئلة حكومت و حاكم، نگاهي ويژه كرده است؛ به گونه‌اي كه انبوهي از آيات و روايات اسلامي را مي‌توان گواه روشن بر اين سخن دانست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بر اين پايه، روشن است كه دين اسلام، گرچه حكومت را به مثابه يك امر ناگزير اجتماعي پذيرفته، امّا بيشترين سفارش‌ها و پافشاري خود را بر برپايي حاكميت انسان‌هاي شايسته بر پاية دين و دين‌داري، متمركز كرده است؛ چرا كه حاكم نيكوكار است كه جامعة انساني را به نيكي‌ها و رستگاري رهنمون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پيِ آن است كه هدف آفرينش انسان، كه همانا بندگي خداوند است،</w:t>
      </w:r>
      <w:r>
        <w:rPr>
          <w:rStyle w:val="FootnoteAnchor"/>
          <w:rtl w:val="true"/>
        </w:rPr>
        <w:footnoteReference w:id="6"/>
      </w:r>
      <w:r>
        <w:rPr>
          <w:rFonts w:ascii="IRNazanin" w:hAnsi="IRNazanin" w:eastAsia="IRNazanin"/>
          <w:color w:val="111111"/>
          <w:sz w:val="28"/>
          <w:sz w:val="28"/>
          <w:szCs w:val="28"/>
          <w:rtl w:val="true"/>
          <w:lang w:bidi="fa-IR"/>
        </w:rPr>
        <w:t>پديدار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پيش‌گفته در گذر تاريخ اسلام همواره در كانون توجه و سرلوحة تلاش پيشوايان معصوم عليهم السلام و دانشمندان بزرگ دين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واقعيت‌هاي آشكار تاريخي، گواه روشني است بر اين‌كه پيامبر اكرم صلي الله عليه و آله، ‌پس از هجرت از مكه به مدينه، قبيله‌هاي اطراف مدينه را به اسلام فرا خواند و هماهنگي و همدلي به مركزيت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برداشت مسلمانان از اين سازوكار چنين بود كه پيامبر اكرم صلي الله عليه و آله ‌در مدينه حكومت برپا كرد تا در كنار پيام‌آوري و مسئوليت‌هاي تبليغي و ارشادي، سرپرستي سياسي مسلمانان را نيز بر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اين برپايي حكومت به دست آن حضرت، ريشه در آموزه‌هاي آسماني و دستورات پروردگار داشت و بي‌گمان سرپرستي سياسي پيامبر صلي الله عليه و آله، برخاسته از فرمان خداوند بود؛ كه پروردگار پيامبر را بر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نزديك‌تر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و نيز آن حضرت را داور بين مردم شناسانده است</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و از سوي ديگر در آياتي از قرآن كريم از مسلمانان مي‌خواهد كه از فرمان‌هاي او پيروي كرده، دستورهاي او را همچون دستورات خداوند بپذيرند و بدان گردن نهند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شيعة دوازده امامي ـ كه همچنان پس از رحلت پيامبر خاتم صلي الله عليه و آله،‌ آموزه‌هاي ديني را از زبان خاندان آن پيام‌آور بزرگ فرا مي‌گيرند ـ بر اين باور است كه اين جايگاه و مسئوليت، البته، با درگذشت آن حضرت به پايان نرسيد، و همچنان در جانشينان او با گفتماني ويژه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باب ولايت سياسي پس از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بيان كه امامان معصوم عليهم السلام در همة شئون پيامبر خاتم صلي الله عليه و آله، مگر دريافت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 الهي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جانشين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برآيند اين اعتقاد، آن باور شد كه پيشوايان معصوم عليهم السلام، افزون بر ولايت روحي و معنوي و رهبري ديني جامعه و آموزگاري حقايق ديني، داراي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سرپرستي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ديدگاه دانشمندان شيعي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عليه السلام در دوران حضور، به‌طور كامل هماهنگ، صريح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به ديدگاه امامت باورمند است و ولايت امّت را يكي از شئون پيشوايي امام معصوم عليه السلام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اين مذهب، همة حكومت‌هايي كه با ناديده‌گرفتن اين حقّ الهي پديد آمده را، غاصبانه و حكومت ستم‌گران مي‌داند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 همچنين بر اين باورند كه در ادامة اين راه، قيام و حكومت جهاني حضرت مهدي عجل الله فرجه، به عنوان مهم‌ترين پديدة بشارت‌داده‌شده، بر زبان همة پيامبران و اولياي خداوند عليهم السلام، يگانه دوراني است كه همة شئونات امام، به‌ويژه ولايت سياسي او به همة معنا، پديدارخواهد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پاية ديدگاه اسلام ـ به‌ويژه سخنان پيشوايان معصوم عليهم السلام ـ مدينة فاضلة وعده‌داده‌شده در قرآن،</w:t>
      </w:r>
      <w:r>
        <w:rPr>
          <w:rStyle w:val="FootnoteAnchor"/>
          <w:rtl w:val="true"/>
        </w:rPr>
        <w:footnoteReference w:id="11"/>
      </w:r>
      <w:r>
        <w:rPr>
          <w:rFonts w:ascii="IRNazanin" w:hAnsi="IRNazanin" w:eastAsia="IRNazanin"/>
          <w:color w:val="111111"/>
          <w:sz w:val="28"/>
          <w:sz w:val="28"/>
          <w:szCs w:val="28"/>
          <w:rtl w:val="true"/>
          <w:lang w:bidi="fa-IR"/>
        </w:rPr>
        <w:t>در حكومت حضرت مهدي عجل الله فرجه، شكل خواهد گرفت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آنچه در اينجا اهميت دارد اين‌كه در كنار نقش رهبران و امكانات مادي و معنوي، يكي از پايه‌هاي اساسي شكل‌گيري حكومت، مردم و چگونگي نقش آن‌ها در زمينه‌سازي، شكل‌گيري و برپايي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با گوناگوني مباني، اندازه و چگونگي اين نقش، گوناگون خواهد بود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دوازده امامي بر اين باور است كه در حكومت ولايي پيشوايان معصوم عليهم السلام، مردم اگر چه نقشي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بخشي به آن حكومت ندارند، اما پذيرش و همراهي آن‌ها ـ كه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مي‌شود ـ نقشي كليدي، محوري و اساسي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اين پژوهش پي گرفته خواهد شد، تبيين نقش و جايگاه مردم در انقلاب جهاني حضرت مهدي عليه السلام از زمينه‌سازي براي اين قيام بزرگ و نيز دوران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عرصه‌هاي اعتقادي، اجتماعي، اقتصادي و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مباني عقلي، نقلي و سنت‌هاي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بررسي نقش و جايگاه مردم در شكل‌گيري و فرآيند قيام و حكومت جهاني حضرت مهدي عجل الله فرجه در انديشة مهدويت به‌طور عمده، بر پاية روايات معتبر از پيامبر اكرم صلي الله عليه و آله و پيشوايان معصوم عليهم السلام پذيرفته خواهد بود؛ از اين رو، تلاش شده تا بنياد اين بررسي‌ها و محدودة مسئله، بر پاية آيات قرآن و سخنان معتبر معصومان عليهم السلام، بنا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مباحث سياسي كه از بزرگان اين فن مطرح شده در محل خود محترم و قابل بررسي است كه در اينجا كمتر به آن 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مي‌رسد با همة تلاش‌هاي ارزشمند دانشمندان و بزرگان شيعه در زمينة فهم و درك هرچه بهتر مباحث حكومت جهاني حضرت مهدي عليه السلام و موضوعات مربوط به آن، همچنان برخي از امور نيازمند بررسي‌هاي بيشتر است كه مي‌توان به برخي از اين موارد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چگونگي تأثيرگذاري مردم در پيروزي قيام حضرت مهدي عجل الله فرجه؛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مردم در گزينش حاكمان؛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مردم در سياست‌گذاري‌ها و خط مشي‌ها؛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مردم در منصب‌هاي حكومتي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پژوهش‌هاي درازدامن و گستردة نگارنده</w:t>
      </w:r>
      <w:r>
        <w:rPr>
          <w:rStyle w:val="FootnoteAnchor"/>
          <w:rtl w:val="true"/>
        </w:rPr>
        <w:footnoteReference w:id="13"/>
      </w:r>
      <w:r>
        <w:rPr>
          <w:rFonts w:ascii="IRNazanin" w:hAnsi="IRNazanin" w:eastAsia="IRNazanin"/>
          <w:color w:val="111111"/>
          <w:sz w:val="28"/>
          <w:sz w:val="28"/>
          <w:szCs w:val="28"/>
          <w:rtl w:val="true"/>
          <w:lang w:bidi="fa-IR"/>
        </w:rPr>
        <w:t>در مباحث مربوط به مهدويّت و حضرت مهدي عجل الله فرجه، به نظر مي‌رسد عوامل زير، بحث در بارة موضوع يادشده را امري برجسته و گريز‌ناپذير مي‌نمايد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جهاني به بحث نقش مردم در حاكميت‌ها؛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بررسي‌هاي ژرف و قابل توجه در زمينة يادشده؛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علاقة دوستداران مباحث مهدوي به آگاهي از نقش مردم در قيام و حكومت حضرت مهدي عجل الله فرجه؛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برخي شبهه‌افكني‌هاي دشمنان و مخالفان، در زمينة نقش مردم در آن حكومت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اثر تلاش شده تا به تبيين جايگاه و نقش مردم در قيام و حكومت جهاني حضرت مهدي عجل الله فرجه، بپردازد و نيز با بررسي و تبيين چيستي و برجستگي‌هاي حكومت جهاني آن حضرت، از نگاه چگونگي حضور مردم، بر پايه روايات معتبر از پيشوايان معصوم عليهم السلام، ره‌آوردي پذيرفتني به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شايسته است كوتاه و گذرا به پيشينة اين بررسي‌ها اشاره‌ شود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روشني مي‌توان گفت كه قيام و حكومت جهاني حضرت مهدي عجل الله فرجه از مباحثي است كه همواره در منابع روايي بدان اهتمام فراواني شده است؛ از اين رو نقل روايات در اين باره در منابع عمومي و ويژه، همواره در كانون نگاه‌هاي علاقه‌مندان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سوي ديگر انديشمندان، پژوهشگران و نويسندگان، همواره بدان توجه و اهتمام داشته، كتاب‌ها و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پر‌شماري در اين باره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پژوهشي فراگير و مستقل در بارة نقش مردم در آن قيام و حكومت بزرگ،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برخي كتاب‌ها و يا مقاله‌ها در كنار بحث‌هاي ديگر به اين موضوع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رهبري بر فراز قرون، اثر سيد محمد باقر صدر، يكي از آثار در اين زمينه است؛ وي در اين كتاب در كنار پرداختن به پاره‌اي مباحث عمومي با طرح اين پرسش كه آيا يك فرد مي‌تواند سرنوشت بشريت را تغيير دهد؟ و نيز اينكه در روز موعود به چه روشي دگرگوني‌ها صورت مي‌گيرد؟ به بحث‌هايي در پيوند با اين موضوع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آثار كتاب ارزشمند شهيد مرتضي مطهري با عنوان قيام و انقلاب مهدي عليه السلام از ديدگاه فلسفه تاريخ است كه در آن به مناسبت‌هايي به نقش مردم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حكومت جهاني مهدوي، اثر آيت الله مكارم شيرازي از ديگر آثار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اثر به موضوعات مربوط به حكومت آن حضرت پرداخته و در كنار مباحث ديگر، به بحث روش حكومت جهاني حضرت و نيز راه‌هاي پيروزي آن حضرت به‌طور گسترده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آثار مي‌توان به كتاب چشم اندازي به حكومت مهدي عليه السلام اثر نجم الدين طبسي،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كه بيشتر اهتمام به نقل روايات داشته و در نقل نيز اصراري به بيان اعتبار روايات نداشته، در مواردي نيز به تحليل و بررسي آنها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آثار در اين زمينه مي‌شود به كتاب عصر ظهور اثر علي كوراني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كه به صورت گسترده با استناد به برخي روايات، اين دوران را تصوير كرده، در مواردي نيز به نقش مردم در اين دوران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برخي تطبيق‌هاي صورت گرفته از جريان‌ها و تحولات معاصر بر روايات در اين كتاب،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 سال‌هاي گذشته كتاب آينده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سياست مهدويت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رحيم كارگر با طرح برخي از بحث‌هاي مربوط به نقش مردم در دولت حضرت مهدي عليه السلام به پاره‌اي مطالب در اين زمينه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كتاب‌هاي پيش‌گفته در اين زمينه، برخي مقالات نيز تدوين شده كه از جملة آنها مقالة نقش و جايگاه مردم در نظام سياسي مهدوي، نوشتة غلامرضا بهروزي‌لك؛ به مناسبتي به بحث مورد نظر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آنچه در اين پژوهش انجام مي‌شود، به‌طور عمده بر پاية زحمات گذشتگان از دانشمندان و بزرگان پيرو مكتب اهل بيت عليهم السلام، و ادامة كار آنان است، اما در اين پژوهش تلاش شده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 تبيين موضوع نقش مردم در زمينه‌سازي و امكان نقش‌آفريني آنان در قيام جهاني حضرت مهدي عجل الله فرجه و نيز حضور آنان در سازمان سياسي حكومت جهاني مهدوي؛ به گونه‌اي ژرف، فراگير و مستقل صورت پذيرد؛</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بررسي‌ها به‌طور عمده بر پاية استناد به روايات معتبر مشهور صورت پذيرد؛</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اعتبارسنجي روايات، افزون بر اعتبار سندي، به اعتبار دلالي و محتوايي نيز توجه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سازماندهي ابتدايي كه براي بحث پيش‌بيني شد، اين‌گونه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نخست، به برخي مفاهيم پرداخته شده و سپس به بررسي مباني نظري نقش مردم در قيام و حكومت جهاني حضرت مهدي عجل الله فرجه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مباني نظري نقش مردم در قيام و حكومت جهاني مهدوي، همان مباني نظري نقش آنان در اسلام و حكومت اسلامي است، اما به گونه‌اي ويژه با يادآوري شواهد در خصوص قيام و حكومت مهدوي به اين مباني اشاره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مباني در اين بخش، مباني معرفت‌شناختي، هستي‌شناختي، انسان‌شناختي و جامعه‌شناختي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حكومت جهاني 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مردم در زمينه‌سازي انقلاب جهاني حضرت مهدي عجل الله فرجه؛ كه در اين فصل نقش مردم در زمينه‌سازي در سه عرصه اعتقادي، سياسي و نظامي و انتظامي بررسي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مردم در قيام و پيروزي حضرت مهدي عجل الله فرجه؛ كه در اين فصل به اقتضاي عنوان بحث، به‌طور عمده در دو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نظامي و فرهنگي، بررسي‌هايي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و جايگاه مردم در حكومت جهاني حضرت مهدي عجل الله فرجه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فصل ـ كه از جايگاه ويژه‌اي برخوردار است ـ به‌طور عمده در محورهاي ذيل پي گرفته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چيستي حكومت جهاني حضرت مهدي عجل الله فرجه؛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مردم در مشروعيت و ساختار حكومت حضرت مهدي 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اين محور در ساحت‌هاي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اقتصادي و فرهنگي بررسي‌هايي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محور پاياني، موضوع احزاب و نهادهاي مدني در حكومت جهاني حضرت مهدي عجل الله فرجه به صورت كوتاه بررسي خواهد شد كه آيا به‌طور اساسي چنين اموري وجود خواهد داشت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بايسته است از جناب حجت الاسلام و المسلمين دكتر غلام‌رضا بهروزي‌لك، كه راهنمايي‌هاي عالمانه و دقيق ايشان بسيار سودمند و راه‌گشا بود و سهم مهمي در سامان يافتن اين اثر داشت و نيز از حجت الاسلام و المسلمين مجتبي كلباسي و همة بزرگواران در مركز تخصصي مهدويت، سپاس خود را اعلام نموده، از همة عزيزان قدرداني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متعالِ منّان، صحت، سلامتي و سعادت روزافزونشان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پدر و مادر ارجمندم كه در زندگي، هميشه الطاف و دعاي خيرشان نصيبم گشته است، قدرداني مي‌كنم و دستشان را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همراهي صميمانة همسر گرامي‌ام و فرزندان عزيزم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مصطفي، فاطمه، محمد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ارج مي‌نهم و اميدوارم اگر خداوند بزرگ اين كمترين اثر را پذيرفت، همگان در پاداش آن سهيم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واپسين سخن</w:t>
      </w:r>
    </w:p>
    <w:p>
      <w:pPr>
        <w:pStyle w:val="BookText"/>
        <w:rPr/>
      </w:pPr>
      <w:r>
        <w:rPr>
          <w:rFonts w:ascii="IRNazanin" w:hAnsi="IRNazanin" w:eastAsia="IRNazanin"/>
          <w:color w:val="111111"/>
          <w:sz w:val="28"/>
          <w:sz w:val="28"/>
          <w:szCs w:val="28"/>
          <w:rtl w:val="true"/>
          <w:lang w:bidi="fa-IR"/>
        </w:rPr>
        <w:t>همة ستايش‌ها و سپاس‌ها از آن خداوند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خدامراد سليميان</w:t>
      </w:r>
      <w:bookmarkStart w:id="7" w:name="pg1814_18889"/>
    </w:p>
    <w:p>
      <w:pPr>
        <w:pStyle w:val="Heading2"/>
        <w:numPr>
          <w:ilvl w:val="1"/>
          <w:numId w:val="1"/>
        </w:numPr>
        <w:rPr/>
      </w:pPr>
      <w:bookmarkStart w:id="8" w:name="__RefHeading___Toc2647029_3650668749"/>
      <w:bookmarkStart w:id="9" w:name="_Toc3"/>
      <w:bookmarkEnd w:id="7"/>
      <w:bookmarkEnd w:id="8"/>
      <w:r>
        <w:rPr>
          <w:rtl w:val="true"/>
        </w:rPr>
        <w:t>بخش نخست</w:t>
      </w:r>
      <w:r>
        <w:rPr>
          <w:rtl w:val="true"/>
        </w:rPr>
        <w:t xml:space="preserve">: </w:t>
      </w:r>
      <w:r>
        <w:rPr>
          <w:rtl w:val="true"/>
        </w:rPr>
        <w:t>مفاهيم و مباني</w:t>
      </w:r>
      <w:bookmarkEnd w:id="9"/>
    </w:p>
    <w:p>
      <w:pPr>
        <w:pStyle w:val="Heading3"/>
        <w:numPr>
          <w:ilvl w:val="2"/>
          <w:numId w:val="1"/>
        </w:numPr>
        <w:rPr/>
      </w:pPr>
      <w:bookmarkStart w:id="10" w:name="__RefHeading___Toc2647031_3650668749"/>
      <w:bookmarkStart w:id="11" w:name="_Toc4"/>
      <w:bookmarkEnd w:id="10"/>
      <w:r>
        <w:rPr>
          <w:rtl w:val="true"/>
        </w:rPr>
        <w:t>فصل اول</w:t>
      </w:r>
      <w:r>
        <w:rPr>
          <w:rtl w:val="true"/>
        </w:rPr>
        <w:t xml:space="preserve">: </w:t>
      </w:r>
      <w:r>
        <w:rPr>
          <w:rtl w:val="true"/>
        </w:rPr>
        <w:t>مفاهيم</w:t>
      </w:r>
      <w:bookmarkEnd w:id="11"/>
    </w:p>
    <w:p>
      <w:pPr>
        <w:pStyle w:val="Heading4"/>
        <w:numPr>
          <w:ilvl w:val="3"/>
          <w:numId w:val="1"/>
        </w:numPr>
        <w:rPr/>
      </w:pPr>
      <w:bookmarkStart w:id="12" w:name="__RefHeading___Toc2647033_3650668749"/>
      <w:bookmarkStart w:id="13" w:name="_Toc5"/>
      <w:bookmarkEnd w:id="12"/>
      <w:r>
        <w:rPr>
          <w:rtl w:val="true"/>
        </w:rPr>
        <w:t>مقدمه</w:t>
      </w:r>
      <w:bookmarkEnd w:id="13"/>
    </w:p>
    <w:p>
      <w:pPr>
        <w:pStyle w:val="BookText"/>
        <w:rPr/>
      </w:pPr>
      <w:r>
        <w:rPr>
          <w:rFonts w:ascii="IRNazanin" w:hAnsi="IRNazanin" w:eastAsia="IRNazanin"/>
          <w:color w:val="111111"/>
          <w:sz w:val="28"/>
          <w:sz w:val="28"/>
          <w:szCs w:val="28"/>
          <w:rtl w:val="true"/>
          <w:lang w:bidi="fa-IR"/>
        </w:rPr>
        <w:t>همواره در بهره‌مندي از دانش‌ها، بررسي واژگاني هر دانش از جايگاه ويژه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انديشوران بزرگ ديني، پيوسته در تبيين كلمه‌ها، تركيب‌ها و اصطلاح‌هاي به‌كاررفته در متون ديني، تلاش‌هاي شايسته‌اي را از خود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فرهنگ‌نامه و اصطلاح‌نامه در كنار كتاب‌هاي لغت، گواه روشن اين مطلب است؛ به گونه‌اي كه امروزه كمتر موضوع و مبحثي را مي‌توان يافت كه اصطلاحات و مفاهيم آن بررسي نشده باشد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مهدويت نيز چون ديگر مباحث، داراي واژه‌هاي ويژه و تخصصي فراوان است كه توجه به مفهوم‌شناسي آن، داراي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مي‌تواند در تبيين دقيق بحث‌هاي مربوط، به‌طور كامل مفيد باشد؛ به گونه‌اي كه ندانستن مفهوم‌ اين واژه‌ها، افق‌هاي بسياري را در اين عرصه، مبهم و يا پنهان نگه مي‌دارد</w:t>
      </w:r>
      <w:r>
        <w:rPr>
          <w:rFonts w:eastAsia="IRNazanin" w:cs="IRNazanin"/>
          <w:color w:val="111111"/>
          <w:sz w:val="28"/>
          <w:szCs w:val="28"/>
          <w:rtl w:val="true"/>
          <w:lang w:bidi="fa-IR"/>
        </w:rPr>
        <w:t>.</w:t>
      </w:r>
      <w:bookmarkStart w:id="14" w:name="pg1814_18891"/>
    </w:p>
    <w:p>
      <w:pPr>
        <w:pStyle w:val="Heading4"/>
        <w:numPr>
          <w:ilvl w:val="3"/>
          <w:numId w:val="1"/>
        </w:numPr>
        <w:rPr/>
      </w:pPr>
      <w:bookmarkStart w:id="15" w:name="__RefHeading___Toc2647035_3650668749"/>
      <w:bookmarkStart w:id="16" w:name="_Toc6"/>
      <w:bookmarkEnd w:id="14"/>
      <w:bookmarkEnd w:id="15"/>
      <w:r>
        <w:rPr>
          <w:rtl w:val="true"/>
        </w:rPr>
        <w:t>واژه ‌ها و اصطلاحات اساسي</w:t>
      </w:r>
      <w:bookmarkEnd w:id="16"/>
    </w:p>
    <w:p>
      <w:pPr>
        <w:pStyle w:val="Heading5"/>
        <w:numPr>
          <w:ilvl w:val="4"/>
          <w:numId w:val="1"/>
        </w:numPr>
        <w:rPr/>
      </w:pPr>
      <w:bookmarkStart w:id="17" w:name="__RefHeading___Toc2647037_3650668749"/>
      <w:bookmarkStart w:id="18" w:name="_Toc7"/>
      <w:bookmarkEnd w:id="17"/>
      <w:r>
        <w:rPr>
          <w:rtl w:val="true"/>
        </w:rPr>
        <w:t>اشاره</w:t>
      </w:r>
      <w:bookmarkEnd w:id="1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مفاهيم اين پژوهش از اين قرارند</w:t>
      </w:r>
      <w:r>
        <w:rPr>
          <w:rFonts w:eastAsia="IRNazanin" w:cs="IRNazanin"/>
          <w:color w:val="111111"/>
          <w:sz w:val="28"/>
          <w:szCs w:val="28"/>
          <w:rtl w:val="true"/>
          <w:lang w:bidi="fa-IR"/>
        </w:rPr>
        <w:t>:</w:t>
      </w:r>
      <w:bookmarkStart w:id="19" w:name="pg1814_18892"/>
    </w:p>
    <w:p>
      <w:pPr>
        <w:pStyle w:val="Heading5"/>
        <w:numPr>
          <w:ilvl w:val="4"/>
          <w:numId w:val="1"/>
        </w:numPr>
        <w:rPr/>
      </w:pPr>
      <w:bookmarkStart w:id="20" w:name="__RefHeading___Toc2647039_3650668749"/>
      <w:bookmarkStart w:id="21" w:name="_Toc8"/>
      <w:bookmarkEnd w:id="19"/>
      <w:bookmarkEnd w:id="20"/>
      <w:r>
        <w:rPr>
          <w:rtl w:val="true"/>
        </w:rPr>
        <w:t>ـ ظهور حضرت مهدي عجل الله فرجه</w:t>
      </w:r>
      <w:bookmarkEnd w:id="21"/>
    </w:p>
    <w:p>
      <w:pPr>
        <w:pStyle w:val="BookText"/>
        <w:rPr/>
      </w:pPr>
      <w:r>
        <w:rPr>
          <w:rFonts w:ascii="IRNazanin" w:hAnsi="IRNazanin" w:eastAsia="IRNazanin"/>
          <w:color w:val="111111"/>
          <w:sz w:val="28"/>
          <w:sz w:val="28"/>
          <w:szCs w:val="28"/>
          <w:rtl w:val="true"/>
          <w:lang w:bidi="fa-IR"/>
        </w:rPr>
        <w:t xml:space="preserve">از اصطلاحات رايج و شناخته‌شده در فرهنگ مهدويّت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از نگاه لغت به معناي آشكارشدن چيزي كه پيش‌تر آشكار نبوده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و در اصطلاح، ظاهرشدن حضرت مهدي عجل الله فرجه، پس از يك دوران پنهان‌زيستي طولاني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صغرا و كبرا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قيام و برپايي حكومت عدل جهاني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آشكارشدن حضرت مهدي عجل الله فرجه،</w:t>
      </w:r>
      <w:r>
        <w:rPr>
          <w:rStyle w:val="FootnoteAnchor"/>
          <w:rtl w:val="true"/>
        </w:rPr>
        <w:footnoteReference w:id="15"/>
      </w:r>
      <w:r>
        <w:rPr>
          <w:rFonts w:ascii="IRNazanin" w:hAnsi="IRNazanin" w:eastAsia="IRNazanin"/>
          <w:color w:val="111111"/>
          <w:sz w:val="28"/>
          <w:sz w:val="28"/>
          <w:szCs w:val="28"/>
          <w:rtl w:val="true"/>
          <w:lang w:bidi="fa-IR"/>
        </w:rPr>
        <w:t>بر موارد ديگري چون آشكارشدن دولت اهل حق وحقيقت</w:t>
      </w:r>
      <w:r>
        <w:rPr>
          <w:rStyle w:val="FootnoteAnchor"/>
          <w:rtl w:val="true"/>
        </w:rPr>
        <w:footnoteReference w:id="16"/>
      </w:r>
      <w:r>
        <w:rPr>
          <w:rFonts w:ascii="IRNazanin" w:hAnsi="IRNazanin" w:eastAsia="IRNazanin"/>
          <w:color w:val="111111"/>
          <w:sz w:val="28"/>
          <w:sz w:val="28"/>
          <w:szCs w:val="28"/>
          <w:rtl w:val="true"/>
          <w:lang w:bidi="fa-IR"/>
        </w:rPr>
        <w:t>و پيروزي آن حضرت</w:t>
      </w:r>
      <w:r>
        <w:rPr>
          <w:rStyle w:val="FootnoteAnchor"/>
          <w:rtl w:val="true"/>
        </w:rPr>
        <w:footnoteReference w:id="17"/>
      </w:r>
      <w:r>
        <w:rPr>
          <w:rFonts w:ascii="Amiri" w:hAnsi="Amiri" w:eastAsia="Amiri" w:cs="Amiri"/>
          <w:color w:val="111111"/>
          <w:sz w:val="28"/>
          <w:sz w:val="28"/>
          <w:szCs w:val="28"/>
          <w:rtl w:val="true"/>
          <w:lang w:bidi="ar-SA"/>
        </w:rPr>
        <w:t>نيز به كار رفته است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بارة چگونگي اين آشكارشدن، سخني روشن در روايات نيامده است؛ اما از آنجا كه اين ظهور، پايان دوران غيبت دانسته شده، مي‌توان اين آشكارشدن را بر پاية رواياتي كه به چگونگي غيبت اشاره كرده‌اند،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روايات غيبت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ناپيدايي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بر اين پايه، ظهور حضرت،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كناررفتن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ديدگان مردم و آشكارشدن ناگهاني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بر اساس رواياتي كه غيبت را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ناشناسايي</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 xml:space="preserve">دانسته، ظهور 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شناخته‌شدن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اين شناخته‌شدن به زبان خودش به مردم است</w:t>
      </w:r>
      <w:r>
        <w:rPr>
          <w:rFonts w:eastAsia="Amiri" w:cs="Amiri" w:ascii="Amiri" w:hAnsi="Amiri"/>
          <w:color w:val="111111"/>
          <w:sz w:val="28"/>
          <w:szCs w:val="28"/>
          <w:rtl w:val="true"/>
          <w:lang w:bidi="ar-SA"/>
        </w:rPr>
        <w:t>.</w:t>
      </w:r>
      <w:bookmarkStart w:id="22" w:name="pg1814_18894"/>
    </w:p>
    <w:p>
      <w:pPr>
        <w:pStyle w:val="Heading5"/>
        <w:numPr>
          <w:ilvl w:val="4"/>
          <w:numId w:val="1"/>
        </w:numPr>
        <w:rPr/>
      </w:pPr>
      <w:bookmarkStart w:id="23" w:name="__RefHeading___Toc2647041_3650668749"/>
      <w:bookmarkStart w:id="24" w:name="_Toc9"/>
      <w:bookmarkEnd w:id="22"/>
      <w:bookmarkEnd w:id="23"/>
      <w:r>
        <w:rPr>
          <w:rtl w:val="true"/>
        </w:rPr>
        <w:t>ـ قيام حضرت مهدي عجل الله فرجه</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مشهورترين واژگان براي شناساندن مفهوم انقلاب جهاني حضرت مهدي عليه السلام ـ به‌ويژه در منابع شيعه ـ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اين واژه به معناي ايستادن و در برابر معناي نشستن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در اصطلاح،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جهاني حضرت مهدي عليه السلام برابر ستم‌گران، براي برپايي قسط و عدل در سراسر كرة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چنين حادثه‌اي بس بزرگ و برجسته است كه در روايات از روز قيام آن حضرت، يكي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روزهاي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اين برجستگي، سبب شده تا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لقب‌هاي آن حضرت، در روايات شيعه، از جايگاه ويژه‌اي برخوردار شود و لقبي به اندازة آن به‌كار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مي‌توان گفت مهم‌ترين سبب نام‌بردن به اين لقب، آن است كه او، در برابر اوضاع سياسي و كج‌روي‌هاي ديني و اجتماعي، بزرگ ترين قيام تاريخ را رهبري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همة امامان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23"/>
      </w:r>
      <w:r>
        <w:rPr>
          <w:rFonts w:ascii="IRNazanin" w:hAnsi="IRNazanin" w:eastAsia="IRNazanin"/>
          <w:color w:val="111111"/>
          <w:sz w:val="28"/>
          <w:sz w:val="28"/>
          <w:szCs w:val="28"/>
          <w:rtl w:val="true"/>
          <w:lang w:bidi="fa-IR"/>
        </w:rPr>
        <w:t>اما ويژگي‌هاي قيام امام مهدي عليه السلام، آن حضرت را از ديگر امامان متفاوت ساخته است</w:t>
      </w:r>
      <w:r>
        <w:rPr>
          <w:rFonts w:eastAsia="IRNazanin" w:cs="IRNazanin"/>
          <w:color w:val="111111"/>
          <w:sz w:val="28"/>
          <w:szCs w:val="28"/>
          <w:rtl w:val="true"/>
          <w:lang w:bidi="fa-IR"/>
        </w:rPr>
        <w:t>.</w:t>
      </w:r>
      <w:bookmarkStart w:id="25" w:name="pg1814_18897"/>
    </w:p>
    <w:p>
      <w:pPr>
        <w:pStyle w:val="Heading5"/>
        <w:numPr>
          <w:ilvl w:val="4"/>
          <w:numId w:val="1"/>
        </w:numPr>
        <w:rPr/>
      </w:pPr>
      <w:bookmarkStart w:id="26" w:name="__RefHeading___Toc2647043_3650668749"/>
      <w:bookmarkStart w:id="27" w:name="_Toc10"/>
      <w:bookmarkEnd w:id="25"/>
      <w:bookmarkEnd w:id="26"/>
      <w:r>
        <w:rPr>
          <w:rtl w:val="true"/>
        </w:rPr>
        <w:t>يك بررسي مهم</w:t>
      </w:r>
      <w:bookmarkEnd w:id="27"/>
    </w:p>
    <w:p>
      <w:pPr>
        <w:pStyle w:val="Heading6"/>
        <w:numPr>
          <w:ilvl w:val="5"/>
          <w:numId w:val="1"/>
        </w:numPr>
        <w:rPr/>
      </w:pPr>
      <w:bookmarkStart w:id="28" w:name="__RefHeading___Toc2647045_3650668749"/>
      <w:bookmarkStart w:id="29" w:name="_Toc11"/>
      <w:bookmarkEnd w:id="28"/>
      <w:r>
        <w:rPr>
          <w:rtl w:val="true"/>
        </w:rPr>
        <w:t>اشاره</w:t>
      </w:r>
      <w:bookmarkEnd w:id="2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برخي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مفهوم به كار رفته است</w:t>
      </w:r>
      <w:r>
        <w:rPr>
          <w:rStyle w:val="FootnoteAnchor"/>
          <w:rtl w:val="true"/>
        </w:rPr>
        <w:footnoteReference w:id="24"/>
      </w:r>
      <w:r>
        <w:rPr>
          <w:rFonts w:ascii="IRNazanin" w:hAnsi="IRNazanin" w:eastAsia="IRNazanin"/>
          <w:color w:val="111111"/>
          <w:sz w:val="28"/>
          <w:sz w:val="28"/>
          <w:szCs w:val="28"/>
          <w:rtl w:val="true"/>
          <w:lang w:bidi="fa-IR"/>
        </w:rPr>
        <w:t>و اين خود سبب شده تا افرادي، هر دو را در يك معنا به كار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برخي روايات به دست مي‌آيد كه ظهور مي‌تواند با قيام، متفاوت باشد و قيام، مرحله‌اي است كه پس از ظهور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برخي روايات در اين باره عبارتند از</w:t>
      </w:r>
      <w:r>
        <w:rPr>
          <w:rFonts w:eastAsia="IRNazanin" w:cs="IRNazanin"/>
          <w:color w:val="111111"/>
          <w:sz w:val="28"/>
          <w:szCs w:val="28"/>
          <w:rtl w:val="true"/>
          <w:lang w:bidi="fa-IR"/>
        </w:rPr>
        <w:t>:</w:t>
      </w:r>
      <w:bookmarkStart w:id="30" w:name="pg1814_18898"/>
    </w:p>
    <w:p>
      <w:pPr>
        <w:pStyle w:val="Heading6"/>
        <w:numPr>
          <w:ilvl w:val="5"/>
          <w:numId w:val="1"/>
        </w:numPr>
        <w:rPr/>
      </w:pPr>
      <w:bookmarkStart w:id="31" w:name="__RefHeading___Toc2647047_3650668749"/>
      <w:bookmarkStart w:id="32" w:name="_Toc12"/>
      <w:bookmarkEnd w:id="30"/>
      <w:bookmarkEnd w:id="31"/>
      <w:r>
        <w:rPr>
          <w:rtl w:val="true"/>
        </w:rPr>
        <w:t>قيام پس از ظهور</w:t>
      </w:r>
      <w:bookmarkEnd w:id="32"/>
    </w:p>
    <w:p>
      <w:pPr>
        <w:pStyle w:val="BookText"/>
        <w:rPr/>
      </w:pPr>
      <w:r>
        <w:rPr>
          <w:rFonts w:ascii="Amiri" w:hAnsi="Amiri" w:eastAsia="Amiri" w:cs="Amiri"/>
          <w:color w:val="111111"/>
          <w:sz w:val="28"/>
          <w:sz w:val="28"/>
          <w:szCs w:val="28"/>
          <w:rtl w:val="true"/>
          <w:lang w:bidi="ar-SA"/>
        </w:rPr>
        <w:t>محمد بن يعقوب 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دربارة فرمايش خداوند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با يادآوري سند، اين روايت را نقل كرده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مِنَّا إِمَاماً مُظَفَّراً مُسْتَتِراً فَإِذَا أَرَادَ اللَّهُ عَزَّ ذِكْرُهُ إِظْهَارَ أَمْرِهِ نَكَتَ فِي قَلْبِهِ نُكْتَةً فَظَهَرَ فَقَامَ بِأَمْرِ اللَّهِ تَبَارَكَ وَ تَعَالَي؛</w:t>
      </w:r>
      <w:r>
        <w:rPr>
          <w:rStyle w:val="FootnoteAnchor"/>
          <w:rtl w:val="true"/>
        </w:rPr>
        <w:footnoteReference w:id="26"/>
      </w:r>
      <w:r>
        <w:rPr>
          <w:rFonts w:ascii="IRNazanin" w:hAnsi="IRNazanin" w:eastAsia="IRNazanin"/>
          <w:color w:val="111111"/>
          <w:sz w:val="28"/>
          <w:sz w:val="28"/>
          <w:szCs w:val="28"/>
          <w:rtl w:val="true"/>
          <w:lang w:bidi="fa-IR"/>
        </w:rPr>
        <w:t>همانا امام پيروز و پنهان از ما خاندان است كه چون خداي بزرگ بخواهد امر او را آشكار سازد، در دلش نكته‌اي مي‌گذا‌رد، پس آشكار مي‌شود و سپس به امر خداي تبارك و تعالي به پا 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افزون بر محمد بن يعقوب كليني، محمد بن عمر 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رجال،</w:t>
      </w:r>
      <w:r>
        <w:rPr>
          <w:rStyle w:val="FootnoteAnchor"/>
          <w:rtl w:val="true"/>
        </w:rPr>
        <w:footnoteReference w:id="27"/>
      </w:r>
      <w:r>
        <w:rPr>
          <w:rFonts w:ascii="IRNazanin" w:hAnsi="IRNazanin" w:eastAsia="IRNazanin"/>
          <w:color w:val="111111"/>
          <w:sz w:val="28"/>
          <w:sz w:val="28"/>
          <w:szCs w:val="28"/>
          <w:rtl w:val="true"/>
          <w:lang w:bidi="fa-IR"/>
        </w:rPr>
        <w:t>محمد بن ابراهيم نعماني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الغيبه،</w:t>
      </w:r>
      <w:r>
        <w:rPr>
          <w:rStyle w:val="FootnoteAnchor"/>
          <w:rtl w:val="true"/>
        </w:rPr>
        <w:footnoteReference w:id="28"/>
      </w:r>
      <w:r>
        <w:rPr>
          <w:rFonts w:ascii="Amiri" w:hAnsi="Amiri" w:eastAsia="Amiri" w:cs="Amiri"/>
          <w:color w:val="111111"/>
          <w:sz w:val="28"/>
          <w:sz w:val="28"/>
          <w:szCs w:val="28"/>
          <w:rtl w:val="true"/>
          <w:lang w:bidi="ar-SA"/>
        </w:rPr>
        <w:t>و محمد بن حسن 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الغيبه</w:t>
      </w:r>
      <w:r>
        <w:rPr>
          <w:rStyle w:val="FootnoteAnchor"/>
          <w:rtl w:val="true"/>
        </w:rPr>
        <w:footnoteReference w:id="29"/>
      </w:r>
      <w:r>
        <w:rPr>
          <w:rFonts w:ascii="IRNazanin" w:hAnsi="IRNazanin" w:eastAsia="IRNazanin"/>
          <w:color w:val="111111"/>
          <w:sz w:val="28"/>
          <w:sz w:val="28"/>
          <w:szCs w:val="28"/>
          <w:rtl w:val="true"/>
          <w:lang w:bidi="fa-IR"/>
        </w:rPr>
        <w:t>با اندك تفاوتي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اين فراواني شمار نقل‌ها ـ به خاطر وجود برخي قرائن كه به دست ما نرسيده است ـ نزد اين بزرگان از اعتبار روايت حكايت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چنين برداشتي را بيشتر به ذهن نزديك كند كه قيام پس از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در روايت ديگري نيز با يادآوري سند</w:t>
      </w:r>
      <w:r>
        <w:rPr>
          <w:rStyle w:val="FootnoteAnchor"/>
          <w:rtl w:val="true"/>
        </w:rPr>
        <w:footnoteReference w:id="30"/>
      </w:r>
      <w:r>
        <w:rPr>
          <w:rFonts w:ascii="IRNazanin" w:hAnsi="IRNazanin" w:eastAsia="IRNazanin"/>
          <w:color w:val="111111"/>
          <w:sz w:val="28"/>
          <w:sz w:val="28"/>
          <w:szCs w:val="28"/>
          <w:rtl w:val="true"/>
          <w:lang w:bidi="fa-IR"/>
        </w:rPr>
        <w:t>از امام جواد عليه السلام نقل كرده كه آن حضرت پس از اشاره به فراهم‌شدن ياران ويژه براي حضرت مهدي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اجْتَمَعَتْ لَهُ هَذِهِ الْعِدَّةُ مِنْ أَهْلِ الْإِخْلَاصِ أَظْهَرَ اللَّهُ أَمْرَهُ فَإِذَا كَمَلَ لَهُ الْعَقْدُ وَ هُوَ عَشَرَةُ آلَافِ رَجُلٍ خَرَجَ بِإِذْنِ اللَّهِ عَزَّوَجَلَّ؛</w:t>
      </w:r>
      <w:r>
        <w:rPr>
          <w:rStyle w:val="FootnoteAnchor"/>
          <w:rtl w:val="true"/>
        </w:rPr>
        <w:footnoteReference w:id="31"/>
      </w:r>
      <w:r>
        <w:rPr>
          <w:rFonts w:ascii="IRNazanin" w:hAnsi="IRNazanin" w:eastAsia="IRNazanin"/>
          <w:color w:val="111111"/>
          <w:sz w:val="28"/>
          <w:sz w:val="28"/>
          <w:szCs w:val="28"/>
          <w:rtl w:val="true"/>
          <w:lang w:bidi="fa-IR"/>
        </w:rPr>
        <w:t xml:space="preserve">و چون اين شمار از اهل اخلاص به گرد او فراهم مي‌آيند، خداوند بزرگ، امرش را آشكار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عقد ـ كه عبارت از ده هزار مرد باشد ـ كامل شد، به خواست پروردگار بزرگ قيام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در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متفاوت دانسته شده است؛ كه مي‌تواند مقصود از بخش نخست، ظهور و از بخش دوم، قيام و خروج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افزون بر شيخ صدوق، علي بن محمد خزاز قمي در كفاية الاثر</w:t>
      </w:r>
      <w:r>
        <w:rPr>
          <w:rStyle w:val="FootnoteAnchor"/>
          <w:rtl w:val="true"/>
        </w:rPr>
        <w:footnoteReference w:id="32"/>
      </w:r>
      <w:r>
        <w:rPr>
          <w:rFonts w:ascii="Amiri" w:hAnsi="Amiri" w:eastAsia="Amiri" w:cs="Amiri"/>
          <w:color w:val="111111"/>
          <w:sz w:val="28"/>
          <w:sz w:val="28"/>
          <w:szCs w:val="28"/>
          <w:rtl w:val="true"/>
          <w:lang w:bidi="ar-SA"/>
        </w:rPr>
        <w:t>و مرحوم طبرسي ـ كه در مقدمه، سبب نياوردن سندهاي روايات كتاب را به خاطر معتبربودن آن‌ها يادآوري كرده،</w:t>
      </w:r>
      <w:r>
        <w:rPr>
          <w:rStyle w:val="FootnoteAnchor"/>
          <w:rtl w:val="true"/>
        </w:rPr>
        <w:footnoteReference w:id="33"/>
      </w:r>
      <w:r>
        <w:rPr>
          <w:rFonts w:ascii="Amiri" w:hAnsi="Amiri" w:eastAsia="Amiri" w:cs="Amiri"/>
          <w:color w:val="111111"/>
          <w:sz w:val="28"/>
          <w:sz w:val="28"/>
          <w:szCs w:val="28"/>
          <w:rtl w:val="true"/>
          <w:lang w:bidi="ar-SA"/>
        </w:rPr>
        <w:t>ـ نيز در الاحتجاج</w:t>
      </w:r>
      <w:r>
        <w:rPr>
          <w:rStyle w:val="FootnoteAnchor"/>
          <w:rtl w:val="true"/>
        </w:rPr>
        <w:footnoteReference w:id="34"/>
      </w:r>
      <w:r>
        <w:rPr>
          <w:rFonts w:ascii="Amiri" w:hAnsi="Amiri" w:eastAsia="Amiri" w:cs="Amiri"/>
          <w:color w:val="111111"/>
          <w:sz w:val="28"/>
          <w:sz w:val="28"/>
          <w:szCs w:val="28"/>
          <w:rtl w:val="true"/>
          <w:lang w:bidi="ar-SA"/>
        </w:rPr>
        <w:t>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توجه به نقل شيخ صدوق و طبرسي مي‌توان آن را معتبر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روايتي ديگر روشن‌تر به اين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شيخ صدوق با يادآوري سند</w:t>
      </w:r>
      <w:r>
        <w:rPr>
          <w:rStyle w:val="FootnoteAnchor"/>
          <w:rtl w:val="true"/>
        </w:rPr>
        <w:footnoteReference w:id="35"/>
      </w:r>
      <w:r>
        <w:rPr>
          <w:rFonts w:ascii="IRNazanin" w:hAnsi="IRNazanin" w:eastAsia="IRNazanin"/>
          <w:color w:val="111111"/>
          <w:sz w:val="28"/>
          <w:sz w:val="28"/>
          <w:szCs w:val="28"/>
          <w:rtl w:val="true"/>
          <w:lang w:bidi="fa-IR"/>
        </w:rPr>
        <w:t>نوشته است 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ياري‌شده به ترس دشمنان است و تأييدشده به ياري خداوند، زمين براي او درنورديده شود و گنج‌هاي خود را آشكار سازد، پس از ادامة روايت در پاسخ به اين پرسش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كي خروج مي‌كند؟ با اشاره به برخي نشانه‌ها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خَرَجَ أَسْنَدَ ظَهْرَهُ إِلَي الْكَعْبَةِ وَ اجْتَمَعَ إِلَيْهِ ثَلَاثُمِائَةٍ وَ ثَلَاثَةَ عَشَرَ رَجُلًا وَ أَوَّلُ مَا يَنْطِقُ بِهِ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بَقِيَّةُ اللَّهِ فِي أَرْضِهِ وَ خَلِيفَتُهُ وَ حُجَّتُهُ عَلَيْكُمْ فَلَا يُسَلِّمُ عَلَيْهِ مُسَلِّمٌ إِلَّا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 إِلَيْهِ الْعِقْدُ وَ هُوَ عَشَرَةُ آلَافِ رَجُلٍ خَرَجَ فَلَا يَبْقَي فِي الْأَرْضِ مَعْبُودٌ دُونَ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در اين هنگام است كه قائم ما خروج كند و چون ظهور كند به خانه كعبه تكيه زند و سيصد و سيزده مرد به گرد او اجتماع كنند و اوّلين سخن او اين آيه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بَقِيَّتُ اللَّهِ خَيْرٌ لَكُمْ إِنْ كُنْتُمْ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بقيّه اللَّه در زمين و منم خليفة خداوند و حجّت او بر شما و هر درود فرستنده‌اي به او چنين 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بقيّة اللَّه في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براي بيعت ده هزار مرد به گرد او اجتماع كنند خروج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زمين هيچ پرستيده‌اي مگر پروردگار نباشد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روايت نيز سخن از دو خروج به ميان آمده كه مي‌توان يكي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را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سخني ديگر امام صادق عليه السلام در پاسخ به مردي از اهالي كوفه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در قيام، قائم عليه السلام را همراهي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 مردم مي‌گويند با سيصد و سيزده نفر، به شمار اهل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يَخْرُجُ إِلَّا فِي أُولِي قُوَّةٍ وَ مَا تَكُونُ أُولُو الْقُوَّةِ أَقَلَّ مِنْ عَشَرَةِ آلَافٍ</w:t>
      </w:r>
      <w:r>
        <w:rPr>
          <w:rStyle w:val="FootnoteAnchor"/>
          <w:rtl w:val="true"/>
        </w:rPr>
        <w:footnoteReference w:id="37"/>
      </w:r>
      <w:r>
        <w:rPr>
          <w:rFonts w:ascii="Amiri" w:hAnsi="Amiri" w:eastAsia="Amiri" w:cs="Amiri"/>
          <w:color w:val="111111"/>
          <w:sz w:val="28"/>
          <w:sz w:val="28"/>
          <w:szCs w:val="28"/>
          <w:rtl w:val="true"/>
          <w:lang w:bidi="ar-SA"/>
        </w:rPr>
        <w:t>او جز به همراه ياوراني نيرومند خروج نمي‌كند و آن كمتر از ده هزار تن نيست</w:t>
      </w:r>
      <w:r>
        <w:rPr>
          <w:rFonts w:eastAsia="Amiri" w:cs="Amiri" w:ascii="Amiri" w:hAnsi="Amiri"/>
          <w:color w:val="111111"/>
          <w:sz w:val="28"/>
          <w:szCs w:val="28"/>
          <w:rtl w:val="true"/>
          <w:lang w:bidi="ar-SA"/>
        </w:rPr>
        <w:t>.</w:t>
      </w:r>
      <w:bookmarkStart w:id="33" w:name="pg1814_18901"/>
    </w:p>
    <w:p>
      <w:pPr>
        <w:pStyle w:val="Heading6"/>
        <w:numPr>
          <w:ilvl w:val="5"/>
          <w:numId w:val="1"/>
        </w:numPr>
        <w:rPr/>
      </w:pPr>
      <w:bookmarkStart w:id="34" w:name="__RefHeading___Toc2647049_3650668749"/>
      <w:bookmarkStart w:id="35" w:name="_Toc13"/>
      <w:bookmarkEnd w:id="33"/>
      <w:bookmarkEnd w:id="34"/>
      <w:r>
        <w:rPr>
          <w:rtl w:val="true"/>
        </w:rPr>
        <w:t>خروج مهدي عليه السلام شبيه بعثت پيامبر صلي الله عليه و آله</w:t>
      </w:r>
      <w:bookmarkEnd w:id="3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روايات يادشده، از رواياتي كه خروج حضرت مهدي عليه السلام را مانند برانگيخته‌شدن پيامبر گرامي اسلام صلي الله عليه و آله دانسته،</w:t>
      </w:r>
      <w:r>
        <w:rPr>
          <w:rStyle w:val="FootnoteAnchor"/>
          <w:rtl w:val="true"/>
        </w:rPr>
        <w:footnoteReference w:id="38"/>
      </w:r>
      <w:r>
        <w:rPr>
          <w:rFonts w:ascii="IRNazanin" w:hAnsi="IRNazanin" w:eastAsia="IRNazanin"/>
          <w:color w:val="111111"/>
          <w:sz w:val="28"/>
          <w:sz w:val="28"/>
          <w:szCs w:val="28"/>
          <w:rtl w:val="true"/>
          <w:lang w:bidi="fa-IR"/>
        </w:rPr>
        <w:t>نيز مي‌توان استفاده كرد، حضرت پيش از قيام فراگير و جهاني خود، آشكار شده و ضمن رساندن پيام خويش براي قيام برابر دشمنان، حجت را بر آنان تمام مي‌كند، چرا كه يك فاصلة زماني مناسبي بين بعثت پيامبر اكرم صلي الله عليه و آله وسلم و مبارزه آن حضرت با كفار و مشركان وجود داشته كه در آن فاصله پيامبر به بيان دستورات الهي، دعوت مردمان و اتمام حجت بر دشمنان دست زد</w:t>
      </w:r>
      <w:r>
        <w:rPr>
          <w:rFonts w:eastAsia="IRNazanin" w:cs="IRNazanin"/>
          <w:color w:val="111111"/>
          <w:sz w:val="28"/>
          <w:szCs w:val="28"/>
          <w:rtl w:val="true"/>
          <w:lang w:bidi="fa-IR"/>
        </w:rPr>
        <w:t>.</w:t>
      </w:r>
      <w:bookmarkStart w:id="36" w:name="pg1814_18903"/>
    </w:p>
    <w:p>
      <w:pPr>
        <w:pStyle w:val="Heading6"/>
        <w:numPr>
          <w:ilvl w:val="5"/>
          <w:numId w:val="1"/>
        </w:numPr>
        <w:rPr/>
      </w:pPr>
      <w:bookmarkStart w:id="37" w:name="__RefHeading___Toc2647051_3650668749"/>
      <w:bookmarkStart w:id="38" w:name="_Toc14"/>
      <w:bookmarkEnd w:id="36"/>
      <w:bookmarkEnd w:id="37"/>
      <w:r>
        <w:rPr>
          <w:rtl w:val="true"/>
        </w:rPr>
        <w:t>نپذيرفتن توبه پس از آغاز قيام</w:t>
      </w:r>
      <w:bookmarkEnd w:id="3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رواياتي وجود دارد كه در آن گفته شده كساني كه تا آغاز قيام حضرت مهدي عليه السلام به وي ايمان نياورده‌اند؛ اگر چنانچه با آغاز قيام ايمان بياورند آن ايمان سودي براي آن‌ها نخواهد داشت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كه روشن است اگر قيام همان ظهور دانسته شود معناي روايت آن است كه هرگاه حضرت ظهور كرد ديگر ايمان از كسي پذيرفته نيست؛ در حالي كه كسي چنين نگفته، و حضرت پس از عرضة ايمان بر مخالفان و اتمام حجت با آنان، به قيام جهاني خود دست خواهد زد</w:t>
      </w:r>
      <w:r>
        <w:rPr>
          <w:rFonts w:eastAsia="IRNazanin" w:cs="IRNazanin"/>
          <w:color w:val="111111"/>
          <w:sz w:val="28"/>
          <w:szCs w:val="28"/>
          <w:rtl w:val="true"/>
          <w:lang w:bidi="fa-IR"/>
        </w:rPr>
        <w:t>.</w:t>
      </w:r>
      <w:bookmarkStart w:id="39" w:name="pg1814_18905"/>
    </w:p>
    <w:p>
      <w:pPr>
        <w:pStyle w:val="Heading6"/>
        <w:numPr>
          <w:ilvl w:val="5"/>
          <w:numId w:val="1"/>
        </w:numPr>
        <w:rPr/>
      </w:pPr>
      <w:bookmarkStart w:id="40" w:name="__RefHeading___Toc2647053_3650668749"/>
      <w:bookmarkStart w:id="41" w:name="_Toc15"/>
      <w:bookmarkEnd w:id="39"/>
      <w:bookmarkEnd w:id="40"/>
      <w:r>
        <w:rPr>
          <w:rtl w:val="true"/>
        </w:rPr>
        <w:t>ديدگاه نگارنده</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از برخي روايات و سخنان برخي از بزرگان، يگانگي ظهور و قيام استفاده مي‌شود، اما برخي روايات نيز قيام را رخدادي پس از ظهور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متفاوت دانستن ظهور با قيام مي‌توان بين رواياتي كه زمان‌هاي گوناگوني را براي ظهور و قيام بيان كرده جمع كرد؛ به اين بيان كه برخي روايات به زمان ظهور و برخي به زمان قيام اشاره كرده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متفاوت‌دانستن ظهور با قيام، با آموزه‌هاي ديني و منطق اهل بيت عليهم السلام سازگاري بيشتري دارد، چرا كه يكي‌دانستن ظهور با قيام بدين معنا است كه حضرت همين كه ظهور كرد قيام جهاني خود را آغاز مي‌كند، در حالي كه با توجه به جهاني‌بودن قيام، اين دگرگوني بزرگ، نياز به زمينه‌ها و مقدماتي دارد؛ از جمله اينكه مردم با دقت و انتخاب خود، حضرت را بپذيرند و نه از ترس شمشير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فراهم‌شدن ياران خاص</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شرايط ظهور دانسته شده، اما در برخي روايات، گردآمدن ياوران براي كمك در آن قيام جهاني پس از ظهور دانسته شده است؛ چه اينكه در روايات گفته نشده به طور لزوم، همة ياوران حضرت پيش از ظهور، شرايط ياري حضرت را به دست مي‌آورند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دست كم اين كه قيام، متفاوت از امر ظهور و متأخر بر آن است، دور از ذهن نخواهد بود</w:t>
      </w:r>
      <w:r>
        <w:rPr>
          <w:rFonts w:eastAsia="Amiri" w:cs="Amiri" w:ascii="Amiri" w:hAnsi="Amiri"/>
          <w:color w:val="111111"/>
          <w:sz w:val="28"/>
          <w:szCs w:val="28"/>
          <w:rtl w:val="true"/>
          <w:lang w:bidi="ar-SA"/>
        </w:rPr>
        <w:t>.</w:t>
      </w:r>
      <w:bookmarkStart w:id="42" w:name="pg1814_18907"/>
    </w:p>
    <w:p>
      <w:pPr>
        <w:pStyle w:val="Heading6"/>
        <w:numPr>
          <w:ilvl w:val="5"/>
          <w:numId w:val="1"/>
        </w:numPr>
        <w:rPr/>
      </w:pPr>
      <w:bookmarkStart w:id="43" w:name="__RefHeading___Toc2647055_3650668749"/>
      <w:bookmarkStart w:id="44" w:name="_Toc16"/>
      <w:bookmarkEnd w:id="42"/>
      <w:bookmarkEnd w:id="43"/>
      <w:r>
        <w:rPr>
          <w:rtl w:val="true"/>
        </w:rPr>
        <w:t>خروج حضرت مهدي عجل الله فرجه</w:t>
      </w:r>
      <w:bookmarkEnd w:id="44"/>
    </w:p>
    <w:p>
      <w:pPr>
        <w:pStyle w:val="BookText"/>
        <w:rPr/>
      </w:pPr>
      <w:r>
        <w:rPr>
          <w:rFonts w:ascii="IRNazanin" w:hAnsi="IRNazanin" w:eastAsia="IRNazanin"/>
          <w:color w:val="111111"/>
          <w:sz w:val="28"/>
          <w:sz w:val="28"/>
          <w:szCs w:val="28"/>
          <w:rtl w:val="true"/>
          <w:lang w:bidi="fa-IR"/>
        </w:rPr>
        <w:t xml:space="preserve">از واژگاني كه در بارة ظهور و قيام حضرت مهدي عجل الله فرجه به كار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معناي بيرون‌شدن</w:t>
      </w:r>
      <w:r>
        <w:rPr>
          <w:rStyle w:val="FootnoteAnchor"/>
          <w:rtl w:val="true"/>
        </w:rPr>
        <w:footnoteReference w:id="41"/>
      </w:r>
      <w:r>
        <w:rPr>
          <w:rFonts w:ascii="Amiri" w:hAnsi="Amiri" w:eastAsia="Amiri" w:cs="Amiri"/>
          <w:color w:val="111111"/>
          <w:sz w:val="28"/>
          <w:sz w:val="28"/>
          <w:szCs w:val="28"/>
          <w:rtl w:val="true"/>
          <w:lang w:bidi="ar-SA"/>
        </w:rPr>
        <w:t>و در اصطلاح، به معناي ظهور يا معناي قيام است</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بررسي‌ها نشان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و سخنان دانشمندان ديني، بيشتر همان قيام است؛ چه اينكه شيخ صدوق در كتاب خود براي روايات قيام، اين عنوان را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علامات خروج القائم</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علامات خروج القائم</w:t>
      </w:r>
      <w:r>
        <w:rPr>
          <w:rFonts w:eastAsia="Amiri" w:cs="Amiri" w:ascii="Amiri" w:hAnsi="Amiri"/>
          <w:color w:val="111111"/>
          <w:sz w:val="28"/>
          <w:szCs w:val="28"/>
          <w:rtl w:val="true"/>
          <w:lang w:bidi="ar-SA"/>
        </w:rPr>
        <w:t>».</w:t>
      </w:r>
      <w:r>
        <w:rPr>
          <w:rStyle w:val="FootnoteAnchor"/>
          <w:rtl w:val="true"/>
        </w:rPr>
        <w:footnoteReference w:id="44"/>
      </w:r>
      <w:bookmarkStart w:id="45" w:name="pg1814_18909"/>
    </w:p>
    <w:p>
      <w:pPr>
        <w:pStyle w:val="Heading6"/>
        <w:numPr>
          <w:ilvl w:val="5"/>
          <w:numId w:val="1"/>
        </w:numPr>
        <w:rPr/>
      </w:pPr>
      <w:bookmarkStart w:id="46" w:name="__RefHeading___Toc2647057_3650668749"/>
      <w:bookmarkStart w:id="47" w:name="_Toc17"/>
      <w:bookmarkEnd w:id="45"/>
      <w:bookmarkEnd w:id="46"/>
      <w:r>
        <w:rPr>
          <w:rtl w:val="true"/>
        </w:rPr>
        <w:t>حكومت حضرت مهدي عجل الله فرجه</w:t>
      </w:r>
      <w:bookmarkEnd w:id="47"/>
    </w:p>
    <w:p>
      <w:pPr>
        <w:pStyle w:val="BookText"/>
        <w:rPr/>
      </w:pPr>
      <w:r>
        <w:rPr>
          <w:rFonts w:ascii="IRNazanin" w:hAnsi="IRNazanin" w:eastAsia="IRNazanin"/>
          <w:color w:val="111111"/>
          <w:sz w:val="28"/>
          <w:sz w:val="28"/>
          <w:szCs w:val="28"/>
          <w:rtl w:val="true"/>
          <w:lang w:bidi="fa-IR"/>
        </w:rPr>
        <w:t xml:space="preserve">حكومت، در كتاب‌هاي لغت، بيشتر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معاني ديگري نيز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فرمان‌دادن، امركردن، فرمان‌روايي كردن، سلطنت‌كردن، پادشاهي‌كردن، نيز به كار رفته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ابن فارس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معناي منع و جلوگيري است، و حكم را حكم گويند؛ زيرا از ظلم و جور جلوگيري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كند، همچنان كه افسار حيوانات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چون حيوان را از حركت و سركشي باز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نيز حكمت خوانند؛ چون صاحب خود را از جهل و اعمال نابخردانه نگه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در اصطلاح به گونه‌هاي مختلفي تعريف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حكومت يا نظام سياسي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مجموعه‌اي از سازمان‌هاي اجتماعي كه براي تأمين روابط طبقات اجتماعي و حفظ انتظام جامعه به وجود مي‌آيند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يا حكومت به معناي كوششي است كه براي تحت قاعدة مشخص درآوردن و تبيين نحوة پيوند عناصر يك نظام سياسي خاص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سياسي را همچنين مجموعة محسوس نهادها و انگيزه‌هايي مي‌دانند كه ساخت قدرت را ممكن مي‌سازد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يا اينكه گفته شده، حكومت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فرمانروايي يك شخص و يا يك هيئت حاكمه يا هيئت‌هاي مختلف بر جامعه به منظور تنظيم و اصلاح امور اجتماعي و انتظام امر معاش آن جامعه</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يكي از اساتيد معاصر پس از اشاره به اين نكته كه تعريف‌هاي گوناگوني از اين واژه در كتاب‌هاي علوم سياسي ارائه شده است، در بيان ساده‌اي، حكومت را ارگاني رسمي دانسته كه بر رفتارهاي اجتماعي افراد جامعه، نظارت داشته، و تلاش مي‌كند به رفتارهاي اجتماعي مردم جهت ببخشد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بر پاية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حكومت جهاني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ظهور امام غايب عجل الله فرجه، اسلام، يگانه دين حق و كامل و داراي شريعت فراگير، پذيرفتة همگان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ستم‌گران و زورگويان از بلنداي قدرت به زير كشيده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حكومت جهاني اسلام با پيشوايي و رهبري امام معصوم و دادگر برپا شده و عدالت بر بنياد ديانت و اخلاق در گستره‌اي به بزرگي همة جمعيت كرة زمين اجرا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برخي آيات قرآن، به اين حاكميت اشاره شده و آيات در بارة جهاني‌بودن اسلام نيز مؤيد اين معناست</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جهاني‌بودن دين اسلام و ويژه‌نبودن آن براي گروه يا منطقه‌اي ويژه، از امور ضروري اين آيين الهي است و نيز كساني كه باور به آن ندارند، مي‌دانند كه فراخواني اسلام، همگاني بوده و به منطقة جغرافيايي ويژه‌اي محدود نبوده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فراواني در منابع شيعه و اهل سنت، حكومت حضرت مهدي عليه السلام، را امري ناگزير دانسته كه پيش از برپايي رستاخيز، اگر چه يك روز از عمر جهان باقي مانده باشد، پديد خواهد آمد</w:t>
      </w:r>
      <w:r>
        <w:rPr>
          <w:rFonts w:eastAsia="IRNazanin" w:cs="IRNazanin"/>
          <w:color w:val="111111"/>
          <w:sz w:val="28"/>
          <w:szCs w:val="28"/>
          <w:rtl w:val="true"/>
          <w:lang w:bidi="fa-IR"/>
        </w:rPr>
        <w:t>.</w:t>
      </w:r>
      <w:r>
        <w:rPr>
          <w:rStyle w:val="FootnoteAnchor"/>
          <w:rtl w:val="true"/>
        </w:rPr>
        <w:footnoteReference w:id="52"/>
      </w:r>
      <w:bookmarkStart w:id="48" w:name="pg1814_18911"/>
    </w:p>
    <w:p>
      <w:pPr>
        <w:pStyle w:val="Heading4"/>
        <w:numPr>
          <w:ilvl w:val="3"/>
          <w:numId w:val="1"/>
        </w:numPr>
        <w:rPr/>
      </w:pPr>
      <w:bookmarkStart w:id="49" w:name="__RefHeading___Toc2647059_3650668749"/>
      <w:bookmarkStart w:id="50" w:name="_Toc18"/>
      <w:bookmarkEnd w:id="48"/>
      <w:bookmarkEnd w:id="49"/>
      <w:r>
        <w:rPr>
          <w:rtl w:val="true"/>
        </w:rPr>
        <w:t>واژگان حكومت</w:t>
      </w:r>
      <w:bookmarkEnd w:id="50"/>
    </w:p>
    <w:p>
      <w:pPr>
        <w:pStyle w:val="Heading5"/>
        <w:numPr>
          <w:ilvl w:val="4"/>
          <w:numId w:val="1"/>
        </w:numPr>
        <w:rPr/>
      </w:pPr>
      <w:bookmarkStart w:id="51" w:name="__RefHeading___Toc2647061_3650668749"/>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اگرچه تعبير حكومت در بارة چيرگي حضرت مهدي عليه السلام پس از قيام، بر كرة زمين ـ در بحث‌هاي مربوط ـ بسيار رايج و شناخته‌شده است، اما بررسي‌هاي سخنان بزرگان دين، حكايت از آن مي‌كند كه اين واژگان در هيچ روايتي آنگاه كه به اين دوره اشاره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به كار نرفته است و اگر برخي مشتقات آن در روايتي به كار رفته، مقصود حكومت نيست، بلكه قضاوت و داوري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برخي تعبيرهايي كه براي اشاره به دوران حكومت آن حضرت از آن بهره برده شده از اين قرارند</w:t>
      </w:r>
      <w:r>
        <w:rPr>
          <w:rFonts w:eastAsia="Amiri" w:cs="Amiri" w:ascii="Amiri" w:hAnsi="Amiri"/>
          <w:color w:val="111111"/>
          <w:sz w:val="28"/>
          <w:szCs w:val="28"/>
          <w:rtl w:val="true"/>
          <w:lang w:bidi="ar-SA"/>
        </w:rPr>
        <w:t>:</w:t>
      </w:r>
      <w:bookmarkStart w:id="53" w:name="pg1814_18913"/>
    </w:p>
    <w:p>
      <w:pPr>
        <w:pStyle w:val="Heading5"/>
        <w:numPr>
          <w:ilvl w:val="4"/>
          <w:numId w:val="1"/>
        </w:numPr>
        <w:rPr/>
      </w:pPr>
      <w:bookmarkStart w:id="54" w:name="__RefHeading___Toc2647063_3650668749"/>
      <w:bookmarkStart w:id="55" w:name="_Toc20"/>
      <w:bookmarkEnd w:id="53"/>
      <w:bookmarkEnd w:id="54"/>
      <w:r>
        <w:rPr/>
        <w:t>1</w:t>
      </w:r>
      <w:r>
        <w:rPr>
          <w:rtl w:val="true"/>
        </w:rPr>
        <w:t xml:space="preserve">. </w:t>
      </w:r>
      <w:r>
        <w:rPr>
          <w:rtl w:val="true"/>
        </w:rPr>
        <w:t>مُلك</w:t>
      </w:r>
      <w:bookmarkEnd w:id="5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در لغت به معناي تسلط بر چيزي به گونه‌اي كه اختيار آن به دست او باشد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 مَلِك كسي را گويند كه امر ونهي در تصرف اوست و اين ويژگي سياست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پاره‌اي از روايات از دوران حكومت حضرت با عنوان ملك ياد كرده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كه با تعبيرهايي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ليملكن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اشاره به حتمي‌بودن دارد ـ در روايات آمده است</w:t>
      </w:r>
      <w:r>
        <w:rPr>
          <w:rFonts w:eastAsia="IRNazanin" w:cs="IRNazanin"/>
          <w:color w:val="111111"/>
          <w:sz w:val="28"/>
          <w:szCs w:val="28"/>
          <w:rtl w:val="true"/>
          <w:lang w:bidi="fa-IR"/>
        </w:rPr>
        <w:t>.</w:t>
      </w:r>
      <w:bookmarkStart w:id="56" w:name="pg1814_18915"/>
    </w:p>
    <w:p>
      <w:pPr>
        <w:pStyle w:val="Heading5"/>
        <w:numPr>
          <w:ilvl w:val="4"/>
          <w:numId w:val="1"/>
        </w:numPr>
        <w:rPr/>
      </w:pPr>
      <w:bookmarkStart w:id="57" w:name="__RefHeading___Toc2647065_3650668749"/>
      <w:bookmarkStart w:id="58" w:name="_Toc21"/>
      <w:bookmarkEnd w:id="56"/>
      <w:bookmarkEnd w:id="57"/>
      <w:r>
        <w:rPr/>
        <w:t>2</w:t>
      </w:r>
      <w:r>
        <w:rPr>
          <w:rtl w:val="true"/>
        </w:rPr>
        <w:t xml:space="preserve">. </w:t>
      </w:r>
      <w:r>
        <w:rPr>
          <w:rtl w:val="true"/>
        </w:rPr>
        <w:t>خلافت</w:t>
      </w:r>
      <w:bookmarkEnd w:id="5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در لغت به معناي جانشين و كسي كه پس از ديگري مي‌آيد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اين خلافت در بارة حضرت مهدي عليه السلام مي‌تواند به معناي جانشيني از رسول گرامي اسلام صلي الله عليه و آله و يا از پدران بزرگوار خود امامان معصوم عليهم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روايات به اين دوران با واژه خلافت نام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58"/>
      </w:r>
      <w:bookmarkStart w:id="59" w:name="pg1814_18917"/>
    </w:p>
    <w:p>
      <w:pPr>
        <w:pStyle w:val="Heading5"/>
        <w:numPr>
          <w:ilvl w:val="4"/>
          <w:numId w:val="1"/>
        </w:numPr>
        <w:rPr/>
      </w:pPr>
      <w:bookmarkStart w:id="60" w:name="__RefHeading___Toc2647067_3650668749"/>
      <w:bookmarkStart w:id="61" w:name="_Toc22"/>
      <w:bookmarkEnd w:id="59"/>
      <w:bookmarkEnd w:id="60"/>
      <w:r>
        <w:rPr/>
        <w:t>3</w:t>
      </w:r>
      <w:r>
        <w:rPr>
          <w:rtl w:val="true"/>
        </w:rPr>
        <w:t xml:space="preserve">. </w:t>
      </w:r>
      <w:r>
        <w:rPr>
          <w:rtl w:val="true"/>
        </w:rPr>
        <w:t>دولت</w:t>
      </w:r>
      <w:bookmarkEnd w:id="61"/>
    </w:p>
    <w:p>
      <w:pPr>
        <w:pStyle w:val="BookText"/>
        <w:rPr/>
      </w:pPr>
      <w:r>
        <w:rPr>
          <w:rFonts w:ascii="IRNazanin" w:hAnsi="IRNazanin" w:eastAsia="IRNazanin"/>
          <w:color w:val="111111"/>
          <w:sz w:val="28"/>
          <w:sz w:val="28"/>
          <w:szCs w:val="28"/>
          <w:rtl w:val="true"/>
          <w:lang w:bidi="fa-IR"/>
        </w:rPr>
        <w:t>دولت در لغت به معناي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 از حالي به حالي، گردش نيك‌بختي و پيروزي از شخصي به ديگري، اقبال،</w:t>
      </w:r>
      <w:r>
        <w:rPr>
          <w:rStyle w:val="FootnoteAnchor"/>
          <w:rtl w:val="true"/>
        </w:rPr>
        <w:footnoteReference w:id="59"/>
      </w:r>
      <w:r>
        <w:rPr>
          <w:rFonts w:ascii="IRNazanin" w:hAnsi="IRNazanin" w:eastAsia="IRNazanin"/>
          <w:color w:val="111111"/>
          <w:sz w:val="28"/>
          <w:sz w:val="28"/>
          <w:szCs w:val="28"/>
          <w:rtl w:val="true"/>
          <w:lang w:bidi="fa-IR"/>
        </w:rPr>
        <w:t>امري است كه از كسي به ديگري مي‌رسد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 نيز به معناي گذر از سختي‌ها و شدّت به آرامش و آسايش است</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 xml:space="preserve">از تعبيرهايي كه كم و بيش در برخي روايات و نيز دعاها در اميدواري حضور در حكومت حضرت نقل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فراگير كلمه عبارت است از جامعه‌اي كه در آن قدرت سياسي بر پاية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اساسي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و تشريح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محدودتر، دولت عبارت است از قدرتي كه سرنوشت جامعه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عمومي، دولت به معناي مجموعة سازمان‌هاي اجرايي است كه قدرت ادارة جامعه به آن واگذار شده است</w:t>
      </w:r>
      <w:r>
        <w:rPr>
          <w:rFonts w:eastAsia="IRNazanin" w:cs="IRNazanin"/>
          <w:color w:val="111111"/>
          <w:sz w:val="28"/>
          <w:szCs w:val="28"/>
          <w:rtl w:val="true"/>
          <w:lang w:bidi="fa-IR"/>
        </w:rPr>
        <w:t>.</w:t>
      </w:r>
      <w:r>
        <w:rPr>
          <w:rStyle w:val="FootnoteAnchor"/>
          <w:rtl w:val="true"/>
        </w:rPr>
        <w:footnoteReference w:id="63"/>
      </w:r>
      <w:bookmarkStart w:id="62" w:name="pg1814_18918"/>
    </w:p>
    <w:p>
      <w:pPr>
        <w:pStyle w:val="Heading5"/>
        <w:numPr>
          <w:ilvl w:val="4"/>
          <w:numId w:val="1"/>
        </w:numPr>
        <w:rPr/>
      </w:pPr>
      <w:bookmarkStart w:id="63" w:name="__RefHeading___Toc2647069_3650668749"/>
      <w:bookmarkStart w:id="64" w:name="_Toc23"/>
      <w:bookmarkEnd w:id="62"/>
      <w:bookmarkEnd w:id="63"/>
      <w:r>
        <w:rPr/>
        <w:t>4</w:t>
      </w:r>
      <w:r>
        <w:rPr>
          <w:rtl w:val="true"/>
        </w:rPr>
        <w:t xml:space="preserve">. </w:t>
      </w:r>
      <w:r>
        <w:rPr>
          <w:rtl w:val="true"/>
        </w:rPr>
        <w:t>سلطنت</w:t>
      </w:r>
      <w:bookmarkEnd w:id="6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سلطنت به معناي پادشاهي و حكومت، يكي ديگر از تعبيرهايي است كه برخي روايات براي اشاره به دوران حاكميت حضرت به كار رفته است</w:t>
      </w:r>
      <w:r>
        <w:rPr>
          <w:rFonts w:eastAsia="IRNazanin" w:cs="IRNazanin"/>
          <w:color w:val="111111"/>
          <w:sz w:val="28"/>
          <w:szCs w:val="28"/>
          <w:rtl w:val="true"/>
          <w:lang w:bidi="fa-IR"/>
        </w:rPr>
        <w:t>.</w:t>
      </w:r>
      <w:r>
        <w:rPr>
          <w:rStyle w:val="FootnoteAnchor"/>
          <w:rtl w:val="true"/>
        </w:rPr>
        <w:footnoteReference w:id="64"/>
      </w:r>
      <w:bookmarkStart w:id="65" w:name="pg1814_18920"/>
    </w:p>
    <w:p>
      <w:pPr>
        <w:pStyle w:val="Heading5"/>
        <w:numPr>
          <w:ilvl w:val="4"/>
          <w:numId w:val="1"/>
        </w:numPr>
        <w:rPr/>
      </w:pPr>
      <w:bookmarkStart w:id="66" w:name="__RefHeading___Toc2647071_3650668749"/>
      <w:bookmarkStart w:id="67" w:name="_Toc24"/>
      <w:bookmarkEnd w:id="65"/>
      <w:bookmarkEnd w:id="66"/>
      <w:r>
        <w:rPr/>
        <w:t>5</w:t>
      </w:r>
      <w:r>
        <w:rPr>
          <w:rtl w:val="true"/>
        </w:rPr>
        <w:t xml:space="preserve">. </w:t>
      </w:r>
      <w:r>
        <w:rPr>
          <w:rtl w:val="true"/>
        </w:rPr>
        <w:t>ولايت</w:t>
      </w:r>
      <w:bookmarkEnd w:id="67"/>
    </w:p>
    <w:p>
      <w:pPr>
        <w:pStyle w:val="BookText"/>
        <w:rPr/>
      </w:pPr>
      <w:r>
        <w:rPr>
          <w:rFonts w:ascii="IRNazanin" w:hAnsi="IRNazanin" w:eastAsia="IRNazanin"/>
          <w:color w:val="111111"/>
          <w:sz w:val="28"/>
          <w:sz w:val="28"/>
          <w:szCs w:val="28"/>
          <w:rtl w:val="true"/>
          <w:lang w:bidi="fa-IR"/>
        </w:rPr>
        <w:t xml:space="preserve">اگرچه همة پيشوايان معصوم عليهم السلام داراي ولايت هستند، اما در برخي روايات براي اشاره به دوران حكومت واپسين حجت الهي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اگرچه مفهوم حكومت از برخي واژگان يادشده استفاده مي‌شود، اما شايسته است در مجالي گسترده‌تر روايات مربوط، به گونه‌اي كامل بررسي شود</w:t>
      </w:r>
      <w:r>
        <w:rPr>
          <w:rFonts w:eastAsia="IRNazanin" w:cs="IRNazanin"/>
          <w:color w:val="111111"/>
          <w:sz w:val="28"/>
          <w:szCs w:val="28"/>
          <w:rtl w:val="true"/>
          <w:lang w:bidi="fa-IR"/>
        </w:rPr>
        <w:t>.</w:t>
      </w:r>
      <w:bookmarkStart w:id="68" w:name="pg1814_18922"/>
    </w:p>
    <w:p>
      <w:pPr>
        <w:pStyle w:val="Heading4"/>
        <w:numPr>
          <w:ilvl w:val="3"/>
          <w:numId w:val="1"/>
        </w:numPr>
        <w:rPr/>
      </w:pPr>
      <w:bookmarkStart w:id="69" w:name="__RefHeading___Toc2647073_3650668749"/>
      <w:bookmarkStart w:id="70" w:name="_Toc25"/>
      <w:bookmarkEnd w:id="68"/>
      <w:bookmarkEnd w:id="69"/>
      <w:r>
        <w:rPr>
          <w:rtl w:val="true"/>
        </w:rPr>
        <w:t>زمينه‌ سازي قيام حضرت مهدي عجل الله فرجه</w:t>
      </w:r>
      <w:bookmarkEnd w:id="7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انجام همة كارهايي كه براي بسترسازي اين انقلاب بزرگ صورت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گيرد، مي‌توان به عنوان زمينه‌سازي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حركت اصلاح‌گرانه و تحول‌آفرين، زماني به نتيجه مي‌رسد كه براي آن زمينه‌سازي‌هاي بايسته فراهم شده باشد و گروهي باورمند، پاك‌باخته و فداكار، آن را ياري كنند و به پيش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بيشتر مردم كه به جهت فراگيري و جهاني‌بودن اين تحوّل بزرگ، با پذيرش خود به نوعي زمينه‌سازي مي‌كنند، برخي از سلسله قيام‌ها و انقلاب‌ها ـ كه از سوي حق‌پويان صورت مي‌گيرد ـ بر پاية آنچه در برخي از روايات آمده، زمينه را براي حركت جهاني حضرت مهدي عجل الله فرجه، آماده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زمينه‌سازي ـ كه پس از اين، گسترده بدان خواهيم پرداخت</w:t>
      </w:r>
      <w:r>
        <w:rPr>
          <w:rStyle w:val="FootnoteAnchor"/>
          <w:rtl w:val="true"/>
        </w:rPr>
        <w:footnoteReference w:id="66"/>
      </w:r>
      <w:r>
        <w:rPr>
          <w:rFonts w:ascii="Amiri" w:hAnsi="Amiri" w:eastAsia="Amiri" w:cs="Amiri"/>
          <w:color w:val="111111"/>
          <w:sz w:val="28"/>
          <w:sz w:val="28"/>
          <w:szCs w:val="28"/>
          <w:rtl w:val="true"/>
          <w:lang w:bidi="ar-SA"/>
        </w:rPr>
        <w:t>ـ در عرصه‌هاي اعتقادي، سياسي، اجتماعي و نظامي و انتظامي سفارش شده است</w:t>
      </w:r>
      <w:r>
        <w:rPr>
          <w:rFonts w:eastAsia="Amiri" w:cs="Amiri" w:ascii="Amiri" w:hAnsi="Amiri"/>
          <w:color w:val="111111"/>
          <w:sz w:val="28"/>
          <w:szCs w:val="28"/>
          <w:rtl w:val="true"/>
          <w:lang w:bidi="ar-SA"/>
        </w:rPr>
        <w:t>.</w:t>
      </w:r>
      <w:bookmarkStart w:id="71" w:name="pg1814_18924"/>
    </w:p>
    <w:p>
      <w:pPr>
        <w:pStyle w:val="Heading3"/>
        <w:numPr>
          <w:ilvl w:val="2"/>
          <w:numId w:val="1"/>
        </w:numPr>
        <w:rPr/>
      </w:pPr>
      <w:bookmarkStart w:id="72" w:name="__RefHeading___Toc2647075_3650668749"/>
      <w:bookmarkStart w:id="73" w:name="_Toc26"/>
      <w:bookmarkEnd w:id="71"/>
      <w:bookmarkEnd w:id="72"/>
      <w:r>
        <w:rPr>
          <w:rtl w:val="true"/>
        </w:rPr>
        <w:t>فصل دوم</w:t>
      </w:r>
      <w:r>
        <w:rPr>
          <w:rtl w:val="true"/>
        </w:rPr>
        <w:t xml:space="preserve">: </w:t>
      </w:r>
      <w:r>
        <w:rPr>
          <w:rtl w:val="true"/>
        </w:rPr>
        <w:t>مباني نظري نقش مردم در انقلاب جهاني حضرت مهدي عليه السلام</w:t>
      </w:r>
      <w:bookmarkEnd w:id="73"/>
    </w:p>
    <w:p>
      <w:pPr>
        <w:pStyle w:val="Heading4"/>
        <w:numPr>
          <w:ilvl w:val="3"/>
          <w:numId w:val="1"/>
        </w:numPr>
        <w:rPr/>
      </w:pPr>
      <w:bookmarkStart w:id="74" w:name="__RefHeading___Toc2647077_3650668749"/>
      <w:bookmarkStart w:id="75" w:name="_Toc27"/>
      <w:bookmarkEnd w:id="74"/>
      <w:r>
        <w:rPr>
          <w:rtl w:val="true"/>
        </w:rPr>
        <w:t>مقدمه</w:t>
      </w:r>
      <w:bookmarkEnd w:id="75"/>
    </w:p>
    <w:p>
      <w:pPr>
        <w:pStyle w:val="BookText"/>
        <w:rPr/>
      </w:pPr>
      <w:r>
        <w:rPr>
          <w:rFonts w:ascii="IRNazanin" w:hAnsi="IRNazanin" w:eastAsia="IRNazanin"/>
          <w:color w:val="111111"/>
          <w:sz w:val="28"/>
          <w:sz w:val="28"/>
          <w:szCs w:val="28"/>
          <w:rtl w:val="true"/>
          <w:lang w:bidi="fa-IR"/>
        </w:rPr>
        <w:t>ناهمگوني بيشتر مكتب‌هاي سياسي، برخاسته از حوزة مباني و پيش‌فرض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باورهاي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هستي‌شناسي، انسان‌شناسي و جامعه‌شناسي از مهم‌ترين اين مباني به شمار مي‌آيد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بي‌گمان، فهم چرايي شكل‌گيري و نيز چگونگي استمرار قيام و حكومت جهاني حضرت مهدي عليه السلام در مقايسه با ديگر انقلاب‌ها و قيام‌ها در مباني ويژة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مهم‌ترين اين مباني، به‌طور كوتاه اشاره مي‌شود</w:t>
      </w:r>
      <w:r>
        <w:rPr>
          <w:rFonts w:eastAsia="IRNazanin" w:cs="IRNazanin"/>
          <w:color w:val="111111"/>
          <w:sz w:val="28"/>
          <w:szCs w:val="28"/>
          <w:rtl w:val="true"/>
          <w:lang w:bidi="fa-IR"/>
        </w:rPr>
        <w:t>:</w:t>
      </w:r>
      <w:bookmarkStart w:id="76" w:name="pg1814_18926"/>
    </w:p>
    <w:p>
      <w:pPr>
        <w:pStyle w:val="Heading4"/>
        <w:numPr>
          <w:ilvl w:val="3"/>
          <w:numId w:val="1"/>
        </w:numPr>
        <w:rPr/>
      </w:pPr>
      <w:bookmarkStart w:id="77" w:name="__RefHeading___Toc2647079_3650668749"/>
      <w:bookmarkStart w:id="78" w:name="_Toc28"/>
      <w:bookmarkEnd w:id="76"/>
      <w:bookmarkEnd w:id="77"/>
      <w:r>
        <w:rPr>
          <w:rtl w:val="true"/>
        </w:rPr>
        <w:t>الف</w:t>
      </w:r>
      <w:r>
        <w:rPr>
          <w:rtl w:val="true"/>
        </w:rPr>
        <w:t xml:space="preserve">) </w:t>
      </w:r>
      <w:r>
        <w:rPr>
          <w:rtl w:val="true"/>
        </w:rPr>
        <w:t>مباني هستي شناختي</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هستي، آفريدة پروردگار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بدين جهت، او به شايستگي‌ها و تباهي‌هاي آفريده‌ها و سازوكار آن، آگاه‌تر از هر كس ديگري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پس، انسان نمي‌تواند دور از پروردگار، همه نيازهاي زندگي خويش را آن‌گونه كه بايسته و شايسته است، تدبير كند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آفريدگار هستي، مالك آن و در نتيجه 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ورود در شئون تشريعي بشر مانند شئون تكويني وي، از آنِ اوست و اين حق ورود، در چارچوب خاص به انسان‌هاي ويژه، واگذار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آفرينش هستي و انسان، هدف‌مند و فرجام‌مدار است،</w:t>
      </w:r>
      <w:r>
        <w:rPr>
          <w:rStyle w:val="FootnoteAnchor"/>
          <w:rtl w:val="true"/>
        </w:rPr>
        <w:footnoteReference w:id="70"/>
      </w:r>
      <w:r>
        <w:rPr>
          <w:rFonts w:ascii="IRNazanin" w:hAnsi="IRNazanin" w:eastAsia="IRNazanin"/>
          <w:color w:val="111111"/>
          <w:sz w:val="28"/>
          <w:sz w:val="28"/>
          <w:szCs w:val="28"/>
          <w:rtl w:val="true"/>
          <w:lang w:bidi="fa-IR"/>
        </w:rPr>
        <w:t>حساب و كتابي دارد و آفريدگار بزرگ از آفرينش آن هدفي را پي مي‌گيرد</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خداوند در برخي آيات قرآن، اين هدف‌داربودن را يادآوري كرده،</w:t>
      </w:r>
      <w:r>
        <w:rPr>
          <w:rStyle w:val="FootnoteAnchor"/>
          <w:rtl w:val="true"/>
        </w:rPr>
        <w:footnoteReference w:id="72"/>
      </w:r>
      <w:r>
        <w:rPr>
          <w:rFonts w:ascii="IRNazanin" w:hAnsi="IRNazanin" w:eastAsia="IRNazanin"/>
          <w:color w:val="111111"/>
          <w:sz w:val="28"/>
          <w:sz w:val="28"/>
          <w:szCs w:val="28"/>
          <w:rtl w:val="true"/>
          <w:lang w:bidi="fa-IR"/>
        </w:rPr>
        <w:t>كساني كه آفرينش انسان را بيهوده و بي‌هدف پنداشته‌اند، سرزنش كرده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بر پاية اين آيات، همة پديده‌هاي اختياري و غيراختياري و طبيعي و غير طبيعي از آغازي يگانه،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بوده و در كنار كثرت‌هاي گوناگون كه پديده‌ها به ازاي ماهيت گوناگون خود دارند، از جهت‌گيري يگانه و يك هدف‌گذاري در رسيدن به يگانگي نهايي و نهايت يگانه، يعني پروردگار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آفريدگار از آفرينش هستي و انسان، هدفي دارد و اين هدف، شدني است و دنيا به همين روندي كه هست پيش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هدف از آفرينش انسان، بندگي آفريدگار بلندمرتبه دانسته شده؛ اين هدف در زمان حكومت جهاني موعود منجي عليه السلام به‌طور كامل، همگاني و فراگير شكل خواهد گرفت</w:t>
      </w:r>
      <w:r>
        <w:rPr>
          <w:rStyle w:val="FootnoteAnchor"/>
          <w:rtl w:val="true"/>
        </w:rPr>
        <w:footnoteReference w:id="74"/>
      </w:r>
      <w:r>
        <w:rPr>
          <w:rFonts w:ascii="IRNazanin" w:hAnsi="IRNazanin" w:eastAsia="IRNazanin"/>
          <w:color w:val="111111"/>
          <w:sz w:val="28"/>
          <w:sz w:val="28"/>
          <w:szCs w:val="28"/>
          <w:rtl w:val="true"/>
          <w:lang w:bidi="fa-IR"/>
        </w:rPr>
        <w:t>و نقش مردم در اين رخداد بزرگ انكارناپذير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چگونگي گسترة جهان هستي، ما را به اين رهنمون مي‌سازد كه روزي بشر نيز خودخواسته در برابر ساختارمندي جهان هستي، سر همرنگي و همنوايي فرود خواهد آورد و از دستورهاي منظم و عادلانة خداوند، فرمانبرداري و پيروي خواهد كرد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براين پايه همة مردم براي رسيدن به آن جايگاه بلند، همرنگي و همنوايي موعود منجي عليه السلام را همراهي كرده، او را در برطرف‌ساختن موانع تا پاي جان ياري خواهند داد و از هيچ‌گونه مبارزه اي با ستمگران هراس نخواهند داشت</w:t>
      </w:r>
      <w:r>
        <w:rPr>
          <w:rFonts w:eastAsia="IRNazanin" w:cs="IRNazanin"/>
          <w:color w:val="111111"/>
          <w:sz w:val="28"/>
          <w:szCs w:val="28"/>
          <w:rtl w:val="true"/>
          <w:lang w:bidi="fa-IR"/>
        </w:rPr>
        <w:t>.</w:t>
      </w:r>
      <w:bookmarkStart w:id="79" w:name="pg1814_18928"/>
    </w:p>
    <w:p>
      <w:pPr>
        <w:pStyle w:val="Heading4"/>
        <w:numPr>
          <w:ilvl w:val="3"/>
          <w:numId w:val="1"/>
        </w:numPr>
        <w:rPr/>
      </w:pPr>
      <w:bookmarkStart w:id="80" w:name="__RefHeading___Toc2647081_3650668749"/>
      <w:bookmarkStart w:id="81" w:name="_Toc29"/>
      <w:bookmarkEnd w:id="79"/>
      <w:bookmarkEnd w:id="80"/>
      <w:r>
        <w:rPr>
          <w:rtl w:val="true"/>
        </w:rPr>
        <w:t>ب</w:t>
      </w:r>
      <w:r>
        <w:rPr>
          <w:rtl w:val="true"/>
        </w:rPr>
        <w:t xml:space="preserve">) </w:t>
      </w:r>
      <w:r>
        <w:rPr>
          <w:rtl w:val="true"/>
        </w:rPr>
        <w:t>مباني انسان شناختي</w:t>
      </w:r>
      <w:bookmarkEnd w:id="81"/>
    </w:p>
    <w:p>
      <w:pPr>
        <w:pStyle w:val="Heading5"/>
        <w:numPr>
          <w:ilvl w:val="4"/>
          <w:numId w:val="1"/>
        </w:numPr>
        <w:rPr/>
      </w:pPr>
      <w:bookmarkStart w:id="82" w:name="__RefHeading___Toc2647083_3650668749"/>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بي‌گمان هيچ ديدگاه سياسي را نمي‌توان بدون توجه به نگاهش دربارة انسان و ابعاد و ويژگي‌هاي زندگي او بررسي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هر ديدگاه سياسي بر انسان‌شناسي ويژة خود پايه‌گذاري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توجه به مباني انسان‌شناختي حكومت جهاني حضرت مهدي عليه السلام و نقش مردم در آن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آموزه‌هاي ديني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به‌ويژه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گل سرسبد هستي و برخوردار از آفرينش برتر از ديگر آفريده‌ها است؛</w:t>
      </w:r>
      <w:r>
        <w:rPr>
          <w:rStyle w:val="FootnoteAnchor"/>
          <w:rtl w:val="true"/>
        </w:rPr>
        <w:footnoteReference w:id="75"/>
      </w:r>
      <w:r>
        <w:rPr>
          <w:rFonts w:ascii="IRNazanin" w:hAnsi="IRNazanin" w:eastAsia="IRNazanin"/>
          <w:color w:val="111111"/>
          <w:sz w:val="28"/>
          <w:sz w:val="28"/>
          <w:szCs w:val="28"/>
          <w:rtl w:val="true"/>
          <w:lang w:bidi="fa-IR"/>
        </w:rPr>
        <w:t xml:space="preserve">كه با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و هم‌معناهاي آن،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آدم</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فراوان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فراواني به‌كارگيري، اهميت و جايگاه انسان را از نگاه قرآن نشان مي‌دهد، تا انسان‌ها هر چه بيشتر به شناخت خود پرداخته،</w:t>
      </w:r>
      <w:r>
        <w:rPr>
          <w:rStyle w:val="FootnoteAnchor"/>
          <w:rtl w:val="true"/>
        </w:rPr>
        <w:footnoteReference w:id="80"/>
      </w:r>
      <w:r>
        <w:rPr>
          <w:rFonts w:ascii="Amiri" w:hAnsi="Amiri" w:eastAsia="Amiri" w:cs="Amiri"/>
          <w:color w:val="111111"/>
          <w:sz w:val="28"/>
          <w:sz w:val="28"/>
          <w:szCs w:val="28"/>
          <w:rtl w:val="true"/>
          <w:lang w:bidi="ar-SA"/>
        </w:rPr>
        <w:t>بتوانند از اين نردبان، به كمال خواسته‌شده برسند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قرآن براي انسان تعريف ويژه‌اي نكرده است، بلكه او را در دو ساحت گوناگون ياد كرده و درآن، او را تعريف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ويژگي‌هايي كه او را هم‌رديف فرشتگان و بلكه بالاتر از آن‌ها قرار مي‌دهد</w:t>
      </w:r>
      <w:r>
        <w:rPr>
          <w:rStyle w:val="FootnoteAnchor"/>
          <w:rtl w:val="true"/>
        </w:rPr>
        <w:footnoteReference w:id="81"/>
      </w:r>
      <w:r>
        <w:rPr>
          <w:rFonts w:ascii="IRNazanin" w:hAnsi="IRNazanin" w:eastAsia="IRNazanin"/>
          <w:color w:val="111111"/>
          <w:sz w:val="28"/>
          <w:sz w:val="28"/>
          <w:szCs w:val="28"/>
          <w:rtl w:val="true"/>
          <w:lang w:bidi="fa-IR"/>
        </w:rPr>
        <w:t>و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ويژگي‌هايي كه وي را در شمار حيوانات و بلكه پست‌تر از آنان قرار داده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شاخصه‌هاي انسان‌شناسي دولت مهدوي و كاركرد انسان‌شناسانه آن به مثابة راه‌حلي براي رفع دغدغه‌هاي بشر امروزي، با توجه به دو دسته ويژگي‌هاي يادشده را مي‌توان ـ با بهره‌مندي از آيات قرآن و روايات پيشوايان معصوم عليهم السلام ـ بررسي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مباني انسان‌شناسي ديني</w:t>
      </w:r>
      <w:r>
        <w:rPr>
          <w:rStyle w:val="FootnoteAnchor"/>
          <w:rtl w:val="true"/>
        </w:rPr>
        <w:footnoteReference w:id="83"/>
      </w:r>
      <w:r>
        <w:rPr>
          <w:rFonts w:ascii="Amiri" w:hAnsi="Amiri" w:eastAsia="Amiri" w:cs="Amiri"/>
          <w:color w:val="111111"/>
          <w:sz w:val="28"/>
          <w:sz w:val="28"/>
          <w:szCs w:val="28"/>
          <w:rtl w:val="true"/>
          <w:lang w:bidi="ar-SA"/>
        </w:rPr>
        <w:t>در مباحث مهدوي اشاره 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كنيم</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مباني بدين قرارند</w:t>
      </w:r>
      <w:r>
        <w:rPr>
          <w:rFonts w:eastAsia="Amiri" w:cs="Amiri" w:ascii="Amiri" w:hAnsi="Amiri"/>
          <w:color w:val="111111"/>
          <w:sz w:val="28"/>
          <w:szCs w:val="28"/>
          <w:rtl w:val="true"/>
          <w:lang w:bidi="ar-SA"/>
        </w:rPr>
        <w:t>:</w:t>
      </w:r>
      <w:bookmarkStart w:id="84" w:name="pg1814_18930"/>
    </w:p>
    <w:p>
      <w:pPr>
        <w:pStyle w:val="Heading5"/>
        <w:numPr>
          <w:ilvl w:val="4"/>
          <w:numId w:val="1"/>
        </w:numPr>
        <w:rPr/>
      </w:pPr>
      <w:bookmarkStart w:id="85" w:name="__RefHeading___Toc2647085_3650668749"/>
      <w:bookmarkStart w:id="86" w:name="_Toc31"/>
      <w:bookmarkEnd w:id="84"/>
      <w:bookmarkEnd w:id="85"/>
      <w:r>
        <w:rPr/>
        <w:t>1</w:t>
      </w:r>
      <w:r>
        <w:rPr>
          <w:rtl w:val="true"/>
        </w:rPr>
        <w:t xml:space="preserve">. </w:t>
      </w:r>
      <w:r>
        <w:rPr>
          <w:rtl w:val="true"/>
        </w:rPr>
        <w:t>جانشيني خداوند</w:t>
      </w:r>
      <w:bookmarkEnd w:id="86"/>
    </w:p>
    <w:p>
      <w:pPr>
        <w:pStyle w:val="BookText"/>
        <w:rPr/>
      </w:pPr>
      <w:r>
        <w:rPr>
          <w:rFonts w:ascii="IRNazanin" w:hAnsi="IRNazanin" w:eastAsia="IRNazanin"/>
          <w:color w:val="111111"/>
          <w:sz w:val="28"/>
          <w:sz w:val="28"/>
          <w:szCs w:val="28"/>
          <w:rtl w:val="true"/>
          <w:lang w:bidi="fa-IR"/>
        </w:rPr>
        <w:t>انسان در آموزه‌هاي اسلامي، يگانه جانشين خداوند در روي زمين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 نه از يك نوع آفريده‌اي زميني پيش از انسان</w:t>
      </w:r>
      <w:r>
        <w:rPr>
          <w:rStyle w:val="FootnoteAnchor"/>
          <w:rtl w:val="true"/>
        </w:rPr>
        <w:footnoteReference w:id="86"/>
      </w:r>
      <w:r>
        <w:rPr>
          <w:rFonts w:ascii="IRNazanin" w:hAnsi="IRNazanin" w:eastAsia="IRNazanin"/>
          <w:color w:val="111111"/>
          <w:sz w:val="28"/>
          <w:sz w:val="28"/>
          <w:szCs w:val="28"/>
          <w:rtl w:val="true"/>
          <w:lang w:bidi="fa-IR"/>
        </w:rPr>
        <w:t>و نيز به نوع انسان مربوط است و نه ويژة آدم عليه السلام</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خداوند پيش از آفرينش آدم، به فرشتگان، اين حقيقت را به روشني بازگو كرده،</w:t>
      </w:r>
      <w:r>
        <w:rPr>
          <w:rStyle w:val="FootnoteAnchor"/>
          <w:rtl w:val="true"/>
        </w:rPr>
        <w:footnoteReference w:id="88"/>
      </w:r>
      <w:r>
        <w:rPr>
          <w:rFonts w:ascii="IRNazanin" w:hAnsi="IRNazanin" w:eastAsia="IRNazanin"/>
          <w:color w:val="111111"/>
          <w:sz w:val="28"/>
          <w:sz w:val="28"/>
          <w:szCs w:val="28"/>
          <w:rtl w:val="true"/>
          <w:lang w:bidi="fa-IR"/>
        </w:rPr>
        <w:t>و برخي را بر ديگران برتري داده است</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مهدي عليه السلام بر پاية رسالت خويش در آن قيام جهاني پس از نفي هر گونه شرك در زندگي انسان‌ها، به دنبال زنده كردن همة ارزش‌هاي نهفته در درون انسان‌ها ـ كه در طول تاريخ به فراموشي سپرده شده بود ـ كرامت آن‌ها را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فعليت مي‌رساند</w:t>
      </w:r>
      <w:r>
        <w:rPr>
          <w:rFonts w:eastAsia="IRNazanin" w:cs="IRNazanin"/>
          <w:color w:val="111111"/>
          <w:sz w:val="28"/>
          <w:szCs w:val="28"/>
          <w:rtl w:val="true"/>
          <w:lang w:bidi="fa-IR"/>
        </w:rPr>
        <w:t>.</w:t>
      </w:r>
      <w:r>
        <w:rPr>
          <w:rStyle w:val="FootnoteAnchor"/>
          <w:rtl w:val="true"/>
        </w:rPr>
        <w:footnoteReference w:id="90"/>
      </w:r>
      <w:bookmarkStart w:id="87" w:name="pg1814_18932"/>
    </w:p>
    <w:p>
      <w:pPr>
        <w:pStyle w:val="Heading5"/>
        <w:numPr>
          <w:ilvl w:val="4"/>
          <w:numId w:val="1"/>
        </w:numPr>
        <w:rPr/>
      </w:pPr>
      <w:bookmarkStart w:id="88" w:name="__RefHeading___Toc2647087_3650668749"/>
      <w:bookmarkStart w:id="89" w:name="_Toc32"/>
      <w:bookmarkEnd w:id="87"/>
      <w:bookmarkEnd w:id="88"/>
      <w:r>
        <w:rPr/>
        <w:t>2</w:t>
      </w:r>
      <w:r>
        <w:rPr>
          <w:rtl w:val="true"/>
        </w:rPr>
        <w:t xml:space="preserve">. </w:t>
      </w:r>
      <w:r>
        <w:rPr>
          <w:rtl w:val="true"/>
        </w:rPr>
        <w:t xml:space="preserve">آفريده‌اي دو ساحتي </w:t>
      </w:r>
      <w:r>
        <w:rPr>
          <w:rtl w:val="true"/>
        </w:rPr>
        <w:t>(</w:t>
      </w:r>
      <w:r>
        <w:rPr>
          <w:rtl w:val="true"/>
        </w:rPr>
        <w:t>ماهيت دوگانه</w:t>
      </w:r>
      <w:r>
        <w:rPr>
          <w:rtl w:val="true"/>
        </w:rPr>
        <w:t>)</w:t>
      </w:r>
      <w:bookmarkEnd w:id="89"/>
    </w:p>
    <w:p>
      <w:pPr>
        <w:pStyle w:val="BookText"/>
        <w:rPr/>
      </w:pPr>
      <w:r>
        <w:rPr>
          <w:rFonts w:ascii="IRNazanin" w:hAnsi="IRNazanin" w:eastAsia="IRNazanin"/>
          <w:color w:val="111111"/>
          <w:sz w:val="28"/>
          <w:sz w:val="28"/>
          <w:szCs w:val="28"/>
          <w:rtl w:val="true"/>
          <w:lang w:bidi="fa-IR"/>
        </w:rPr>
        <w:t>از برجستگي‌هاي ويژة انسان، چگونگي آفرينش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تركيبي دوگانه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روح، خاك و افلاك، ماده و معنا، صورت و سيرت و ملك و ملكوت است كه اين آميختگي دوگانه است كه راهي براي نزديكي انسان تا هدف خواسته‌شده</w:t>
      </w:r>
      <w:r>
        <w:rPr>
          <w:rStyle w:val="FootnoteAnchor"/>
          <w:rtl w:val="true"/>
        </w:rPr>
        <w:footnoteReference w:id="91"/>
      </w:r>
      <w:r>
        <w:rPr>
          <w:rFonts w:ascii="Amiri" w:hAnsi="Amiri" w:eastAsia="Amiri" w:cs="Amiri"/>
          <w:color w:val="111111"/>
          <w:sz w:val="28"/>
          <w:sz w:val="28"/>
          <w:szCs w:val="28"/>
          <w:rtl w:val="true"/>
          <w:lang w:bidi="ar-SA"/>
        </w:rPr>
        <w:t>او هموار مي‌سازد</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قيام و حكومت حضرت مهدي عليه السلام تلاشي است تا اين هستي دوگانة الهي ـ شيطاني، معنوي ـ مادي و انساني ـ حيواني انسان را شكوفا سازد و او را به جايگاه حقيقي و وجودي خود ـ كه بلنداي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بندگي خالص</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اللهي</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است ـ برساند</w:t>
      </w:r>
      <w:r>
        <w:rPr>
          <w:rFonts w:eastAsia="IRNazanin" w:cs="IRNazanin"/>
          <w:color w:val="111111"/>
          <w:sz w:val="28"/>
          <w:szCs w:val="28"/>
          <w:rtl w:val="true"/>
          <w:lang w:bidi="fa-IR"/>
        </w:rPr>
        <w:t>.</w:t>
      </w:r>
      <w:bookmarkStart w:id="90" w:name="pg1814_18934"/>
    </w:p>
    <w:p>
      <w:pPr>
        <w:pStyle w:val="Heading5"/>
        <w:numPr>
          <w:ilvl w:val="4"/>
          <w:numId w:val="1"/>
        </w:numPr>
        <w:rPr/>
      </w:pPr>
      <w:bookmarkStart w:id="91" w:name="__RefHeading___Toc2647089_3650668749"/>
      <w:bookmarkStart w:id="92" w:name="_Toc33"/>
      <w:bookmarkEnd w:id="90"/>
      <w:bookmarkEnd w:id="91"/>
      <w:r>
        <w:rPr/>
        <w:t>3</w:t>
      </w:r>
      <w:r>
        <w:rPr>
          <w:rtl w:val="true"/>
        </w:rPr>
        <w:t xml:space="preserve">. </w:t>
      </w:r>
      <w:r>
        <w:rPr>
          <w:rtl w:val="true"/>
        </w:rPr>
        <w:t>اراده و اختيار</w:t>
      </w:r>
      <w:bookmarkEnd w:id="92"/>
    </w:p>
    <w:p>
      <w:pPr>
        <w:pStyle w:val="BookText"/>
        <w:rPr/>
      </w:pPr>
      <w:r>
        <w:rPr>
          <w:rFonts w:ascii="IRNazanin" w:hAnsi="IRNazanin" w:eastAsia="IRNazanin"/>
          <w:color w:val="111111"/>
          <w:sz w:val="28"/>
          <w:sz w:val="28"/>
          <w:szCs w:val="28"/>
          <w:rtl w:val="true"/>
          <w:lang w:bidi="fa-IR"/>
        </w:rPr>
        <w:t>مقصود از اختيار انسان، اين است كه انسان داراي توان گزينش‌هاي دروني گوناگوني است كه مي‌تواند با خواست خود، يكي را بر ديگري برتري دهد و در پايان برگزيند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خواستي كه سرنوشت او و ديگران را رقم زده و زمينة دگرگوني سرنوشت الهي را در پي خواهد داشت</w:t>
      </w:r>
      <w:r>
        <w:rPr>
          <w:rFonts w:eastAsia="IRNazanin" w:cs="IRNazanin"/>
          <w:color w:val="111111"/>
          <w:sz w:val="28"/>
          <w:szCs w:val="28"/>
          <w:rtl w:val="true"/>
          <w:lang w:bidi="fa-IR"/>
        </w:rPr>
        <w:t>.</w:t>
      </w:r>
      <w:r>
        <w:rPr>
          <w:rStyle w:val="FootnoteAnchor"/>
          <w:rtl w:val="true"/>
        </w:rPr>
        <w:footnoteReference w:id="9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انسان دوگانه به واقع، انتخاب‌گري دوگانه است، كه در حركت انساني خود، زمينة رسيدن به پايان هر دو سوي جسماني و روحاني را داراست</w:t>
      </w:r>
      <w:r>
        <w:rPr>
          <w:rFonts w:eastAsia="IRNazanin" w:cs="IRNazanin"/>
          <w:color w:val="111111"/>
          <w:sz w:val="28"/>
          <w:szCs w:val="28"/>
          <w:rtl w:val="true"/>
          <w:lang w:bidi="fa-IR"/>
        </w:rPr>
        <w:t>.</w:t>
      </w:r>
      <w:bookmarkStart w:id="93" w:name="pg1814_18935"/>
    </w:p>
    <w:p>
      <w:pPr>
        <w:pStyle w:val="Heading5"/>
        <w:numPr>
          <w:ilvl w:val="4"/>
          <w:numId w:val="1"/>
        </w:numPr>
        <w:rPr/>
      </w:pPr>
      <w:bookmarkStart w:id="94" w:name="__RefHeading___Toc2647091_3650668749"/>
      <w:bookmarkStart w:id="95" w:name="_Toc34"/>
      <w:bookmarkEnd w:id="93"/>
      <w:bookmarkEnd w:id="94"/>
      <w:r>
        <w:rPr/>
        <w:t>4</w:t>
      </w:r>
      <w:r>
        <w:rPr>
          <w:rtl w:val="true"/>
        </w:rPr>
        <w:t xml:space="preserve">. </w:t>
      </w:r>
      <w:r>
        <w:rPr>
          <w:rtl w:val="true"/>
        </w:rPr>
        <w:t>فطرت يگانه‌پرستانه</w:t>
      </w:r>
      <w:bookmarkEnd w:id="95"/>
    </w:p>
    <w:p>
      <w:pPr>
        <w:pStyle w:val="BookText"/>
        <w:rPr/>
      </w:pPr>
      <w:r>
        <w:rPr>
          <w:rFonts w:ascii="IRNazanin" w:hAnsi="IRNazanin" w:eastAsia="IRNazanin"/>
          <w:color w:val="111111"/>
          <w:sz w:val="28"/>
          <w:sz w:val="28"/>
          <w:szCs w:val="28"/>
          <w:rtl w:val="true"/>
          <w:lang w:bidi="fa-IR"/>
        </w:rPr>
        <w:t>انسان به سبب ملكوتي‌بودن آفرينش خود، داراي فطرتي خداجو و خداپرستانه است؛</w:t>
      </w:r>
      <w:r>
        <w:rPr>
          <w:rStyle w:val="FootnoteAnchor"/>
          <w:rtl w:val="true"/>
        </w:rPr>
        <w:footnoteReference w:id="97"/>
      </w:r>
      <w:r>
        <w:rPr>
          <w:rFonts w:ascii="IRNazanin" w:hAnsi="IRNazanin" w:eastAsia="IRNazanin"/>
          <w:color w:val="111111"/>
          <w:sz w:val="28"/>
          <w:sz w:val="28"/>
          <w:szCs w:val="28"/>
          <w:rtl w:val="true"/>
          <w:lang w:bidi="fa-IR"/>
        </w:rPr>
        <w:t>فطرتي كه از روز نخست در درون او به امانت گذارده شده</w:t>
      </w:r>
      <w:r>
        <w:rPr>
          <w:rStyle w:val="FootnoteAnchor"/>
          <w:rtl w:val="true"/>
        </w:rPr>
        <w:footnoteReference w:id="98"/>
      </w:r>
      <w:r>
        <w:rPr>
          <w:rFonts w:ascii="IRNazanin" w:hAnsi="IRNazanin" w:eastAsia="IRNazanin"/>
          <w:color w:val="111111"/>
          <w:sz w:val="28"/>
          <w:sz w:val="28"/>
          <w:szCs w:val="28"/>
          <w:rtl w:val="true"/>
          <w:lang w:bidi="fa-IR"/>
        </w:rPr>
        <w:t>تا سرشت جان او از اين فطرت جان گرفته، رو به سوي آفريدگار آورد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در اين ديدگاه، پديدآورندة ايمان در روح و جان مؤمنان، فقط خداوند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بي‌گمان، مهم‌ترين دغدغة انسان‌ها در آستانة قيام جهاني حضرت مهدي عليه السلام ازبين‌رفتن ارزش‌هاي الهي ـ انساني و جايگزيني زشتي‌ها، ستم‌ها، جنگ‌ها و افزون‌خواهي به جاي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اولويت نخست در قيام حضرت مهدي عليه السلام، نجات انسان از گرداب‌هاي ستم و ستم‌گران و بازگرداندن آنان به نهاد يگانه‌پرستي است تا در پرتو اين بازگشت بتوانند ارزش‌هاي انساني را پاية رفتار فردي و گروهي خود قرار دهند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امير مؤمنان علي عليه السلام افزون بر هزار و چهار صد سال پيش حقيقت تبلور بازگشت انسان به آموزه‌هاي وحياني را در حكومت جهاني موعود منجي عليه السلام، اين‌گونه بيان فرموده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يَعْطِفُ الْهَوَى عَلَى الْهُدَى إِذَا عَطَفُوا الْهُدَى عَلَى الْهَوَى وَ يَعْطِفُ الرَّأْيَ عَلَى الْقُرْآنِ إِذَا عَطَفُوا الْقُرْآنَ عَلَى الرَّأْيِ؛</w:t>
      </w:r>
      <w:r>
        <w:rPr>
          <w:rStyle w:val="FootnoteAnchor"/>
          <w:rtl w:val="true"/>
        </w:rPr>
        <w:footnoteReference w:id="102"/>
      </w:r>
      <w:r>
        <w:rPr>
          <w:rFonts w:ascii="IRNazanin" w:hAnsi="IRNazanin" w:eastAsia="IRNazanin"/>
          <w:color w:val="111111"/>
          <w:sz w:val="28"/>
          <w:sz w:val="28"/>
          <w:szCs w:val="28"/>
          <w:rtl w:val="true"/>
          <w:lang w:bidi="fa-IR"/>
        </w:rPr>
        <w:t>خواهش نفسانى را به هدايت آسمانى بازگرداند، و آن هنگامى است كه ـ مردم ـ رستگارى را تابع هوى ساخته‌اند، و رأى آنان را پيرو قرآن كند، و آن هنگامى است كه قرآن را تابع رأى خود كرده‌اند</w:t>
      </w:r>
      <w:r>
        <w:rPr>
          <w:rFonts w:eastAsia="IRNazanin" w:cs="IRNazanin"/>
          <w:color w:val="111111"/>
          <w:sz w:val="28"/>
          <w:szCs w:val="28"/>
          <w:rtl w:val="true"/>
          <w:lang w:bidi="fa-IR"/>
        </w:rPr>
        <w:t>.</w:t>
      </w:r>
      <w:bookmarkStart w:id="96" w:name="pg1814_18937"/>
    </w:p>
    <w:p>
      <w:pPr>
        <w:pStyle w:val="Heading5"/>
        <w:numPr>
          <w:ilvl w:val="4"/>
          <w:numId w:val="1"/>
        </w:numPr>
        <w:rPr/>
      </w:pPr>
      <w:bookmarkStart w:id="97" w:name="__RefHeading___Toc2647093_3650668749"/>
      <w:bookmarkStart w:id="98" w:name="_Toc35"/>
      <w:bookmarkEnd w:id="96"/>
      <w:bookmarkEnd w:id="97"/>
      <w:r>
        <w:rPr/>
        <w:t>5</w:t>
      </w:r>
      <w:r>
        <w:rPr>
          <w:rtl w:val="true"/>
        </w:rPr>
        <w:t xml:space="preserve">. </w:t>
      </w:r>
      <w:r>
        <w:rPr>
          <w:rtl w:val="true"/>
        </w:rPr>
        <w:t>شرافت و كرامت</w:t>
      </w:r>
      <w:bookmarkEnd w:id="98"/>
    </w:p>
    <w:p>
      <w:pPr>
        <w:pStyle w:val="BookText"/>
        <w:rPr/>
      </w:pPr>
      <w:r>
        <w:rPr>
          <w:rFonts w:ascii="IRNazanin" w:hAnsi="IRNazanin" w:eastAsia="IRNazanin"/>
          <w:color w:val="111111"/>
          <w:sz w:val="28"/>
          <w:sz w:val="28"/>
          <w:szCs w:val="28"/>
          <w:rtl w:val="true"/>
          <w:lang w:bidi="fa-IR"/>
        </w:rPr>
        <w:t>قرآن، بزرگواري و شرافت را براي انسان گزارش كرده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انسان، افزون بر كرامت خداخواسته ـ كه به اعتبار انسان‌بودنش از آن برخوردار است ـ از كرامت خودخواسته ـ كه از راه دريافت شناخت‌هاي بلندمرتبة الهي و پرهيزگاري به دست مي‌آيد ـ نيز برخوردار است كه در اين كرامت خودخواسته به هر اندازه كه در به دست‌آوردن خشنودي و نزديكي خداوند بكوشد از بزرگواري بيشتري برخوردار خواهد شد</w:t>
      </w:r>
      <w:r>
        <w:rPr>
          <w:rFonts w:eastAsia="IRNazanin" w:cs="IRNazanin"/>
          <w:color w:val="111111"/>
          <w:sz w:val="28"/>
          <w:szCs w:val="28"/>
          <w:rtl w:val="true"/>
          <w:lang w:bidi="fa-IR"/>
        </w:rPr>
        <w:t>.</w:t>
      </w:r>
      <w:r>
        <w:rPr>
          <w:rStyle w:val="FootnoteAnchor"/>
          <w:rtl w:val="true"/>
        </w:rPr>
        <w:footnoteReference w:id="10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كرامت خداخواستة انسان از چيزهايي است كه در حاكميت انسان بر گزينش سرنوشت خويش، نقش به‌سزايي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ويژگي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حكومت حضرت مهدي عليه السلام، كرامت انساني، دغدغه و هدف اساسي روش سياسي حضرت مهدي عليه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حكومت است كه رسيدن به كرامت انساني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خداخواسته و خودخواسته</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فراهم خواهد شد</w:t>
      </w:r>
      <w:r>
        <w:rPr>
          <w:rFonts w:eastAsia="IRNazanin" w:cs="IRNazanin"/>
          <w:color w:val="111111"/>
          <w:sz w:val="28"/>
          <w:szCs w:val="28"/>
          <w:rtl w:val="true"/>
          <w:lang w:bidi="fa-IR"/>
        </w:rPr>
        <w:t>.</w:t>
      </w:r>
      <w:bookmarkStart w:id="99" w:name="pg1814_18939"/>
    </w:p>
    <w:p>
      <w:pPr>
        <w:pStyle w:val="Heading4"/>
        <w:numPr>
          <w:ilvl w:val="3"/>
          <w:numId w:val="1"/>
        </w:numPr>
        <w:rPr/>
      </w:pPr>
      <w:bookmarkStart w:id="100" w:name="__RefHeading___Toc2647095_3650668749"/>
      <w:bookmarkStart w:id="101" w:name="_Toc36"/>
      <w:bookmarkEnd w:id="99"/>
      <w:bookmarkEnd w:id="100"/>
      <w:r>
        <w:rPr>
          <w:rtl w:val="true"/>
        </w:rPr>
        <w:t>ج</w:t>
      </w:r>
      <w:r>
        <w:rPr>
          <w:rtl w:val="true"/>
        </w:rPr>
        <w:t xml:space="preserve">) </w:t>
      </w:r>
      <w:r>
        <w:rPr>
          <w:rtl w:val="true"/>
        </w:rPr>
        <w:t>مباني جامعه شناختي</w:t>
      </w:r>
      <w:bookmarkEnd w:id="101"/>
    </w:p>
    <w:p>
      <w:pPr>
        <w:pStyle w:val="BookText"/>
        <w:rPr/>
      </w:pPr>
      <w:r>
        <w:rPr>
          <w:rFonts w:ascii="IRNazanin" w:hAnsi="IRNazanin" w:eastAsia="IRNazanin"/>
          <w:color w:val="111111"/>
          <w:sz w:val="28"/>
          <w:sz w:val="28"/>
          <w:szCs w:val="28"/>
          <w:rtl w:val="true"/>
          <w:lang w:bidi="fa-IR"/>
        </w:rPr>
        <w:t>آموزه‌هاي الهي و وحياني، به‌ويژه دين مقدس اسلام، آيندة اميدواركننده و درخشاني را نويد مي‌دهند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كه حركت روبه‌رشد او گواهي روشن بر اين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روزي كه انسان به خود، آگاهي و شناخت پيدا كرده، هيچگاه گواه زندگي يكنواخت نبوده و همواره در كوشش و تلاش بوده تا خود و جامعة خود را به رشد، پيشرفت و شكوفايي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دگرگوني همه‌جانبة انسان در سويه‌هاي گوناگون زندگي، گواه و گوياي عشق دروني او به پيشرفت، شكوفايي، رشد و كمال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مي‌رسد مهم‌ترين اصل در اين بخش، اصل برابري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اصل از جمله پايه‌هاي زيربنايي مهمي است كه در گسترة سياست و حاكميت به اصل حاكميت انسان‌ها بر سرنوشت خويش پايان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آموزه‌هاي دين مقدس اسلام بر اصل برابري انسان‌ها به منزلة يك اصل فطري پافشاري شده و اين اصل به نخستين پاية نظام اجتماعي اسلام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يكسان‌بودن همة انسان‌ها در بهره‌مندي از آفريده‌هاي خداوند، گسترده‌ترين و مهم‌ترين حق آنان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قرآن كريم بر اين نكته پافشاري مي‌كند كه از نگاه اسلام، همة انسان‌ها، به اعتبار آفرينش انساني و اصل انسان‌بودن با هم برابرند و كسي را بر ديگري هيچ‌گونه برتري نيست و به گفتة قرآن، همة انسان‌ها از يك نفس يگانه‌اي آفريده شده‌اند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 صلي الله عليه و آله، نيز مبارزه با نابرابري بين انسان‌ها و بايستگي پاي‌بندي آنان به برابري طبيعي ـ كه در آن هيچ‌گونه تفاوتي جز پرهيزگاري نمي‌تواند سنجة برتري انسان‌ها بر يكديگر به شمار آيد ـ را همواره يادآوري كرده است</w:t>
      </w:r>
      <w:r>
        <w:rPr>
          <w:rFonts w:eastAsia="IRNazanin" w:cs="IRNazanin"/>
          <w:color w:val="111111"/>
          <w:sz w:val="28"/>
          <w:szCs w:val="28"/>
          <w:rtl w:val="true"/>
          <w:lang w:bidi="fa-IR"/>
        </w:rPr>
        <w:t>.</w:t>
      </w:r>
      <w:r>
        <w:rPr>
          <w:rStyle w:val="FootnoteAnchor"/>
          <w:rtl w:val="true"/>
        </w:rPr>
        <w:footnoteReference w:id="109"/>
      </w:r>
      <w:bookmarkStart w:id="102" w:name="pg1814_18941"/>
    </w:p>
    <w:p>
      <w:pPr>
        <w:pStyle w:val="Heading4"/>
        <w:numPr>
          <w:ilvl w:val="3"/>
          <w:numId w:val="1"/>
        </w:numPr>
        <w:rPr/>
      </w:pPr>
      <w:bookmarkStart w:id="103" w:name="__RefHeading___Toc2647097_3650668749"/>
      <w:bookmarkStart w:id="104" w:name="_Toc37"/>
      <w:bookmarkEnd w:id="102"/>
      <w:bookmarkEnd w:id="103"/>
      <w:r>
        <w:rPr>
          <w:rtl w:val="true"/>
        </w:rPr>
        <w:t>جمع‌بندي و نتيجه گيري</w:t>
      </w:r>
      <w:bookmarkEnd w:id="104"/>
    </w:p>
    <w:p>
      <w:pPr>
        <w:pStyle w:val="BookText"/>
        <w:rPr/>
      </w:pPr>
      <w:r>
        <w:rPr>
          <w:rFonts w:ascii="IRNazanin" w:hAnsi="IRNazanin" w:eastAsia="IRNazanin"/>
          <w:color w:val="111111"/>
          <w:sz w:val="28"/>
          <w:sz w:val="28"/>
          <w:szCs w:val="28"/>
          <w:rtl w:val="true"/>
          <w:lang w:bidi="fa-IR"/>
        </w:rPr>
        <w:t>انسان، بيت‌الغزل آفرينشي هدف‌دار است كه بزرگواري و كرامت انساني جزو جدايي‌ناپذير هستيِ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آگاهي از جايگاه بلند انساني خويش، خود را از بندگي و برد‌گي غير خداوند رها خواهد ساخت و اين مهم جز در جامعه مهدوي به‌طور كامل و فراگير شدني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دين اسلام، از جامعيت و شمول بايسته برخوردار است، به همة عرصه‌هاي زندگي آدمي از جمله روش‌هاي رفتار و احكام رفتاري خاص در همة زمينه‌ها، به‌ويژه حكومت و سياست پرداخته است و بخش‌هاي گوناگون اين دين هماهنگ با يكديگر و در پيوندي ناگسستني هستند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مهدوي بر پايه شاخصه‌هاي فضيلت‌محور ـ كه همان پاسداشت اخلاق و معيارهاي اخلاقي است ـ بنا شده و در انديشة ساختن مدينة فاضله‌اي است كه در آن شهروندانِ فضيلت‌مدار و ارزش‌مدار زندگي مي‌كنند</w:t>
      </w:r>
      <w:r>
        <w:rPr>
          <w:rFonts w:eastAsia="IRNazanin" w:cs="IRNazanin"/>
          <w:color w:val="111111"/>
          <w:sz w:val="28"/>
          <w:szCs w:val="28"/>
          <w:rtl w:val="true"/>
          <w:lang w:bidi="fa-IR"/>
        </w:rPr>
        <w:t>.</w:t>
      </w:r>
      <w:bookmarkStart w:id="105" w:name="pg1814_18943"/>
    </w:p>
    <w:p>
      <w:pPr>
        <w:pStyle w:val="Heading2"/>
        <w:numPr>
          <w:ilvl w:val="1"/>
          <w:numId w:val="1"/>
        </w:numPr>
        <w:rPr/>
      </w:pPr>
      <w:bookmarkStart w:id="106" w:name="__RefHeading___Toc2647099_3650668749"/>
      <w:bookmarkStart w:id="107" w:name="_Toc38"/>
      <w:bookmarkEnd w:id="105"/>
      <w:bookmarkEnd w:id="106"/>
      <w:r>
        <w:rPr>
          <w:rtl w:val="true"/>
        </w:rPr>
        <w:t>بخش دوم</w:t>
      </w:r>
      <w:r>
        <w:rPr>
          <w:rtl w:val="true"/>
        </w:rPr>
        <w:t xml:space="preserve">: </w:t>
      </w:r>
      <w:r>
        <w:rPr>
          <w:rtl w:val="true"/>
        </w:rPr>
        <w:t>مردم و حكومت جهاني مهدوي</w:t>
      </w:r>
      <w:bookmarkEnd w:id="107"/>
    </w:p>
    <w:p>
      <w:pPr>
        <w:pStyle w:val="Heading3"/>
        <w:numPr>
          <w:ilvl w:val="2"/>
          <w:numId w:val="1"/>
        </w:numPr>
        <w:rPr/>
      </w:pPr>
      <w:bookmarkStart w:id="108" w:name="__RefHeading___Toc2647101_3650668749"/>
      <w:bookmarkStart w:id="109" w:name="_Toc39"/>
      <w:bookmarkEnd w:id="108"/>
      <w:r>
        <w:rPr>
          <w:rtl w:val="true"/>
        </w:rPr>
        <w:t>فصل اول</w:t>
      </w:r>
      <w:r>
        <w:rPr>
          <w:rtl w:val="true"/>
        </w:rPr>
        <w:t xml:space="preserve">: </w:t>
      </w:r>
      <w:r>
        <w:rPr>
          <w:rtl w:val="true"/>
        </w:rPr>
        <w:t>نقش مردم در زمينه‌سازي انقلاب جهاني حضرت مهدي عجل الله فرجه</w:t>
      </w:r>
      <w:bookmarkEnd w:id="109"/>
    </w:p>
    <w:p>
      <w:pPr>
        <w:pStyle w:val="Heading4"/>
        <w:numPr>
          <w:ilvl w:val="3"/>
          <w:numId w:val="1"/>
        </w:numPr>
        <w:rPr/>
      </w:pPr>
      <w:bookmarkStart w:id="110" w:name="__RefHeading___Toc2647103_3650668749"/>
      <w:bookmarkStart w:id="111" w:name="_Toc40"/>
      <w:bookmarkEnd w:id="110"/>
      <w:r>
        <w:rPr>
          <w:rtl w:val="true"/>
        </w:rPr>
        <w:t>مقدمه</w:t>
      </w:r>
      <w:bookmarkEnd w:id="111"/>
    </w:p>
    <w:p>
      <w:pPr>
        <w:pStyle w:val="BookText"/>
        <w:rPr/>
      </w:pPr>
      <w:r>
        <w:rPr>
          <w:rFonts w:ascii="IRNazanin" w:hAnsi="IRNazanin" w:eastAsia="IRNazanin"/>
          <w:color w:val="111111"/>
          <w:sz w:val="28"/>
          <w:sz w:val="28"/>
          <w:szCs w:val="28"/>
          <w:rtl w:val="true"/>
          <w:lang w:bidi="fa-IR"/>
        </w:rPr>
        <w:t>از مهم‌ترين آموزه‌هاي ديني در انديشة سياسي اسلام درباره سرنوشت گروه‌هاي انساني، بر اين پايه، پاگرفته است كه پديد‌آوردن هرگونه دگرگوني در گروه‌هاي انساني در گرو اراده و خواست انسان‌ها و به دست خود آنان شدني است و پاية هر نوع دگرگوني در چگونگي‌هاي اجتماعي، به تغيير و تحول آدمي از درون بستگي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دگرگوني دروني در هر فرد، ـ در جايگاه دگرگوني در زيرساخت‌هاي ارزشي جامعه ـ بستر و زمينة برجسته‌اي براي دگرگوني‌هاي اجتماعي است؛ زيرا با تحوّل در انديشه و خِرد آدمي، ارادة جمعي همگون با آن انديشه و آرمان شكل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دگرگوني دروني وابستة به اراده و گزينش آدمي است، تغييرهاي اجتماعي نيز از اراده و خواست انسان‌ها بر مي‌خيزد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بارها بر اين امر پافشاري كرده است كه رهبران الهي، فرستاده شده‌اند تا مردم را براي حمايت و پيروي از خود براي برپايي حكومت عدل فراخوانند، نه آنكه با زور و گرفتن حق انتخاب از مردم، بر آن‌ها سروري كنند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قرآن كريم درباره ضابطه‌مندي نظام آفرينش و سرنوشت فردي و گروهي انسان، روش خداوند را اين‌گونه بازشناسانده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ذَالِكَ بِأَنَّ اللَّهَ لَمْ يَكُ مُغَيرًِّا نِّعْمَةً أَنْعَمَهَا عَلىَ قَوْمٍ حَتىَ يُغَيرُِّواْ مَا بِأَنفُسِهِمْ وَ أَنَّ اللَّهَ سَمِيعٌ عَلِيم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است كه خداوند نعمتي را كه بر قومي ارزاني داشته تغيير نمي‌دهد، مگر آنكه آنان آنچه را در دل دارند تغيير دهند، و خدا شنواي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آيه‌اي ديگر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 اللَّهَ لا يُغَيِّرُ مَا بِقَوْمٍ حَتَّي يُغَيِّرُوا مَا بِأَنفُسِهِمْ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در حقيقت، خدا حال قومي را تغيير نمي‌دهد تا آنان حال خود را تغيير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نيز در بارة اين روش الهي در هستي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اللَّهُ أَنْ يُجْرِيَ الْأَشْيَاءَ إِلَّا بِأَسْبَابٍ فَجَعَلَ لِكُلِّ شَيْ‌ءٍ سَبَباً؛</w:t>
      </w:r>
      <w:r>
        <w:rPr>
          <w:rStyle w:val="FootnoteAnchor"/>
          <w:rtl w:val="true"/>
        </w:rPr>
        <w:footnoteReference w:id="113"/>
      </w:r>
      <w:r>
        <w:rPr>
          <w:rFonts w:ascii="IRNazanin" w:hAnsi="IRNazanin" w:eastAsia="IRNazanin"/>
          <w:color w:val="111111"/>
          <w:sz w:val="28"/>
          <w:sz w:val="28"/>
          <w:szCs w:val="28"/>
          <w:rtl w:val="true"/>
          <w:lang w:bidi="fa-IR"/>
        </w:rPr>
        <w:t>خداوند از اين كه جريان امور هستي را جز از راه اسباب و علل آن انجام دهد، پرهيز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براي هر چيزي سببي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آنجايي كه انسان آفريده‌اي است با ويژگي اختيار و انتخاب، و پاداش و كيفر او با اين ويژگي مفهوم پيدا مي‌كند، روش خداوند بر اين پايه استوار است كه هرگونه دگرگوني در سرنوشت فردي و گروهي انسان در سوي فرومايگي و يا نيك‌فرجامي، فقط با ارادة و گزينش خود انسان، پديد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پيش‌گفته نيز، اين سنت الهي را دربارة انسان، باز مي‌گويد و دگرگوني زندگي و سرنوشت هر قوم و طايفه‌اي را وابسته به كارهاي آنان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يكي از اساتيد معاصر در اين باره پس از دو آية يادشده،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قطعي و يقيني و مسلم است اين است كه مادام كه مردم نعمت‌هاي الهي را قدرداني و سپاسگزاري مي‌كنند آنها را از دست نخواهند داد؛ ناسپاسي و عدم تحقق اين امور بستگي دارد به اينكه سنت ديگري حاكم بر اين سنت بشود يا نه؛ و اينكه آيا كدام سنت ديگر حكومت و رجحان مي‌يابد براي ما انسان‌ها معلوم نيست و فقط به علم و حكمت و تدبير و تقدير الهي باز بسته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كه منافاتي با برداشت يادشده از آيات ندارد و مي‌تواند در بارة كساني كه حال خويش را از بد به نيكو تبديل مي‌كنند نيز صادق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يكي از تفاسير معاصر نيز به دنبال آية ياد شده زير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هميشه تغييرات از خود ما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 قانون كلى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آية يادشده يك قانون كلى و عمومى را بيان مى‌كند، قانونى سرنوشت‌ساز و حركت آفرين و هشدار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كه يكى از پايه‌هاى اساسى جهان بينى و جامعه‌شناسى در اسلام است، به ما مى‌گويد مقدرات شما قبل از هر چيز و هر كس در دست خود شما است، و هر گونه تغيير و دگرگونى در خوشبختى و بدبختى اقوام در درجه اول به خود آنها بازگشت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اصل قرآنى كه يكى از مهمترين برنامه‌هاى اجتماعى اسلام را بيان مى‌كند به ما مى‌گويد هر گونه تغييرات برونى متكى به تغييرات درونى ملتها و اقوام است، و هر گونه پيروزى و شكستى كه به قومى رسيد از همين جا سرچشمه مى‌گيرد، بنا بر اين آنها كه هميشه براى تبرئه خويش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برونى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مى‌گردند، و قدرت‌هاى سلطه‌گر و استعماركننده را همواره عامل بدبختى خود مى‌شمارند، سخت در اشتباهند، چرا كه اگر اين قدرتهاى جهنمى پايگاهى در درون يك جامعه نداشته باشند، كارى از آنان ساخته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اصل قرآنى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پايان‌دادن به بدبختي‌ها و ناكامي‌ها بايد دست به انقلابى از درون بزنيم، يك انقلاب فكرى و فرهنگى، يك انقلاب ايمانى و اخلاقى، و به هنگام گرفتارى در چنگال بدبختي‌ها بايد فورا به جستجوى نقطه‌هاى ضعف خويشتن بپردازيم، و آنها را با آب توبه و بازگشت به سوى حق از دامان روح و جان خود بشوئيم، تولدى تازه پيدا كنيم و نور و حركتى جديد، تا در پرتو آن بتوانيم ناكامي‌ها و شكست‌ها را به پيروزى مبدل سازيم، نه اينكه اين نقطه‌هاى ضعف كه عوامل شكست است در زير پوشش‌هاى خود خواهى مكتوم بماند و به جستجوى عوامل شكست در بيرون جامعه خود در بيراهه‌ها سرگردان بمانيم</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بنابراين، خواست انسان‌ها يكي از برترين سبب‌هاي فراهم‌كنندة رخداد ظهور است و اگرچه همة سبب به شمار نمي‌آيد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را از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يغيروا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آية يادشده مي‌توان فهميد؛ زيرا اين آيه، تأثيرگذاري انسان را در دگرگوني‌هاي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بايسته براي خواست و ارادة خداوند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پديدآمدن تغييرها و شكل‌گيري خواست‌هاي انسان، بر پاية اين آيه، به كار او در زمينة پديدآوردن دگرگوني دروني و مديريت پديده‌هاي بيروني، مشروط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نقش مردم در فرآيند ظهور موعود منجي، دست‌كم در شكل علت فراهم‌كننده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موضوعي ناگزير و انكارناپذير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چيزي جز چشم‌داشتِ ازميان‌بردن نظام‌هاي ستمگرانه مسلط بر جهان و جاي‌گزين‌كردن نظام عدل جهاني به جاي آن، نيست و مأموريت اساسي حضرت مهدي عجل الله فرجه نيز در عصر ظهور فراهم‌كردن همين تحوّل در اوضاع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دگرگوني‌اي كه پيش از وي هيچ كس شرايط پديدآوردنش را به‌طور كامل و فراگير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دگرگون‌ساختن نظام‌هاي سياسي، اجتماعي، اقتصادي و فرهنگي بشر، زمين را از قسط و عدل پر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مي‌توان گفت شايع‌ترين و فراگيرترين واژگاني كه در شمار فراواني از روايات به كار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مضمون را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اين دگرگوني در عصر ظهور و فراگيرشدن عدالت، بي‌گمان با هم‌گرايي، ميل، رغبت و خواست عمومي مردم همراه است و حضرت مهدي عليه السلام، ناچار با رهزنان اين روند، به‌ناگزير برخورد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تا زماني كه نگرش‌هاي همگاني دگرگون نشود، حكومت ديني نزد مردم جايگاه و ارزش نيابد و آنان حضور رهبري الهي را براي رهايي خويش بايسته ندانند و او را نخواهند، ظهوري پديد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حضرت مهدي عجل الله فرجه، سرآغازي است بر انقلابي بزرگ، گسترده و فراگير كه همة بنيان‌هاي اعتقادي، اخلاقي، اجتماعي و سياسي بشر را دگرگون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تحول بزرگ در جهان آفرينش ـ همانند قيام و نهضت همة پيامبران و شايستگان ـ كه به‌طور عمده با اسباب و علل طبيعي شكل مي‌گيرد،</w:t>
      </w:r>
      <w:r>
        <w:rPr>
          <w:rStyle w:val="FootnoteAnchor"/>
          <w:rtl w:val="true"/>
        </w:rPr>
        <w:footnoteReference w:id="117"/>
      </w:r>
      <w:r>
        <w:rPr>
          <w:rFonts w:ascii="Amiri" w:hAnsi="Amiri" w:eastAsia="Amiri" w:cs="Amiri"/>
          <w:color w:val="111111"/>
          <w:sz w:val="28"/>
          <w:sz w:val="28"/>
          <w:szCs w:val="28"/>
          <w:rtl w:val="true"/>
          <w:lang w:bidi="ar-SA"/>
        </w:rPr>
        <w:t>نيازمند فراهم‌شدن شرايط</w:t>
      </w:r>
      <w:r>
        <w:rPr>
          <w:rStyle w:val="FootnoteAnchor"/>
          <w:rtl w:val="true"/>
        </w:rPr>
        <w:footnoteReference w:id="118"/>
      </w:r>
      <w:r>
        <w:rPr>
          <w:rFonts w:ascii="IRNazanin" w:hAnsi="IRNazanin" w:eastAsia="IRNazanin"/>
          <w:color w:val="111111"/>
          <w:sz w:val="28"/>
          <w:sz w:val="28"/>
          <w:szCs w:val="28"/>
          <w:rtl w:val="true"/>
          <w:lang w:bidi="fa-IR"/>
        </w:rPr>
        <w:t>و زمينه‌هايي بايسته و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در اين انقلاب از شرايط مهم اين شكل‌گيري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 پديدآمدن ظهور موعود منجي ـ به عنوان بزرگ‌ترين دگرگوني اجتماعي، با گسترة جهاني، كه بشريت چشم به‌راه آن است، ـ به فراهم‌شدن زمينه‌ها و مقدماتي بستگي دارد كه عوامل انساني و آمادگي اوضاع اجتماعي، بخشي مهم از اين بسترها و زمينه‌ها است</w:t>
      </w:r>
      <w:r>
        <w:rPr>
          <w:rFonts w:eastAsia="IRNazanin" w:cs="IRNazanin"/>
          <w:color w:val="111111"/>
          <w:sz w:val="28"/>
          <w:szCs w:val="28"/>
          <w:rtl w:val="true"/>
          <w:lang w:bidi="fa-IR"/>
        </w:rPr>
        <w:t>.</w:t>
      </w:r>
      <w:bookmarkStart w:id="112" w:name="pg1814_18945"/>
    </w:p>
    <w:p>
      <w:pPr>
        <w:pStyle w:val="Heading4"/>
        <w:numPr>
          <w:ilvl w:val="3"/>
          <w:numId w:val="1"/>
        </w:numPr>
        <w:rPr/>
      </w:pPr>
      <w:bookmarkStart w:id="113" w:name="__RefHeading___Toc2647105_3650668749"/>
      <w:bookmarkStart w:id="114" w:name="_Toc41"/>
      <w:bookmarkEnd w:id="112"/>
      <w:bookmarkEnd w:id="113"/>
      <w:r>
        <w:rPr>
          <w:rtl w:val="true"/>
        </w:rPr>
        <w:t>نقش مردم در پيش يا پس‌افتادن ظهور</w:t>
      </w:r>
      <w:bookmarkEnd w:id="114"/>
    </w:p>
    <w:p>
      <w:pPr>
        <w:pStyle w:val="BookText"/>
        <w:rPr/>
      </w:pPr>
      <w:r>
        <w:rPr>
          <w:rFonts w:ascii="IRNazanin" w:hAnsi="IRNazanin" w:eastAsia="IRNazanin"/>
          <w:color w:val="111111"/>
          <w:sz w:val="28"/>
          <w:sz w:val="28"/>
          <w:szCs w:val="28"/>
          <w:rtl w:val="true"/>
          <w:lang w:bidi="fa-IR"/>
        </w:rPr>
        <w:t>با توجه به سخنان پيش‌گفته، يكي از بحث‌هايي كه در زمينه‌سازي بدان پرداخته مي‌شود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رفتار مردم در پيش‌انداختن و يا پس‌انداختن ظهور نقش دارد يا نه؟ به عبارت ديگر آيا امر ظهور اختياري است يا اجباري؟</w:t>
      </w:r>
    </w:p>
    <w:p>
      <w:pPr>
        <w:pStyle w:val="BookText"/>
        <w:rPr/>
      </w:pPr>
      <w:r>
        <w:rPr>
          <w:rFonts w:ascii="IRNazanin" w:hAnsi="IRNazanin" w:eastAsia="IRNazanin"/>
          <w:color w:val="111111"/>
          <w:sz w:val="28"/>
          <w:sz w:val="28"/>
          <w:szCs w:val="28"/>
          <w:rtl w:val="true"/>
          <w:lang w:bidi="fa-IR"/>
        </w:rPr>
        <w:t>با توجه به روايات دردست، دربارة زمان ظهور دو ديدگاه شكل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امري اختياري است كه مردم در آن نقش دارند؛ از اين رو گاه آن را رفتار انسان‌ها تعيين مي‌كند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 در اختيار خداوند است و پيش‌افتادن و پس‌افتادن در آن راه ندارد</w:t>
      </w:r>
      <w:r>
        <w:rPr>
          <w:rFonts w:eastAsia="IRNazanin" w:cs="IRNazanin"/>
          <w:color w:val="111111"/>
          <w:sz w:val="28"/>
          <w:szCs w:val="28"/>
          <w:rtl w:val="true"/>
          <w:lang w:bidi="fa-IR"/>
        </w:rPr>
        <w:t>.</w:t>
      </w:r>
      <w:bookmarkStart w:id="115" w:name="pg1814_18947"/>
    </w:p>
    <w:p>
      <w:pPr>
        <w:pStyle w:val="Heading4"/>
        <w:numPr>
          <w:ilvl w:val="3"/>
          <w:numId w:val="1"/>
        </w:numPr>
        <w:rPr/>
      </w:pPr>
      <w:bookmarkStart w:id="116" w:name="__RefHeading___Toc2647107_3650668749"/>
      <w:bookmarkStart w:id="117" w:name="_Toc42"/>
      <w:bookmarkEnd w:id="115"/>
      <w:bookmarkEnd w:id="116"/>
      <w:r>
        <w:rPr>
          <w:rtl w:val="true"/>
        </w:rPr>
        <w:t>ديدگاه نخست، اختياري بودن</w:t>
      </w:r>
      <w:bookmarkEnd w:id="117"/>
    </w:p>
    <w:p>
      <w:pPr>
        <w:pStyle w:val="Heading5"/>
        <w:numPr>
          <w:ilvl w:val="4"/>
          <w:numId w:val="1"/>
        </w:numPr>
        <w:rPr/>
      </w:pPr>
      <w:bookmarkStart w:id="118" w:name="__RefHeading___Toc2647109_3650668749"/>
      <w:bookmarkStart w:id="119" w:name="_Toc43"/>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اين ديدگاه بر آن است تا با اشاره به برخي روايات ثابت كند كه ظهور در انتخاب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پاية اين ديدگاه، هر چه آمادگي براي ظهور زودتر فراهم شود، ظهور، نزديك‌تر پديد مي‌آيد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كساني كه چنين ديدگاهي را به ميان افكنده‌اند، نخست به برخي آيات استناد كرده‌اند كه سرنوشت انسان‌ها را در دست خود آن‌ها دانسته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پاسخ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دليل‌آوردن به اين‌گونه آيات، جايي پذيرفته است كه سفارش شده باشيم فقط سرنوشت خود را با پديدة ظهور حضرت مهدي عليه السلام، دگرگون سازيم؛ در حالي كه آزمايش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سنت‌هاي الهي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هماهنگ آن دوره قرار داده شده است و تغيير سرنوشت و رسيدن به نيك‌فرجامي، متناسب آن دوره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ما در هيچ روايتي سفارش نشده‌ايم كه كاري انجام دهيم تا زمان ظهور پيش بيفتد و آن‌گاه با رفتار خود در آن دوران تغيير يافته، به سعادت دست يابيم، بلكه به تكليف‌هاي ويژة همان دوره مكلف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كسي بگويد كه پايه‌اي‌ترين سبب غيبت حضرت مهدي عليه السلام، رفتار ما انسان‌ها است، بنابراين، انسان‌ها هستند كه با دگرگوني در رفتار خود مي‌توانند ظهور را نزديك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سخن، آن مي‌شود كه ظهور در اختيار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دليل‌هاي ديگر غيبت و نيز آزمايش‌انسان‌ها در اين دوران را ناديده بگيريم، رواياتي غيبت آن حضرت را رازي از رازهاي خداوند دانسته‌اند؛ همان‌گونه كه ظهور آن حضرت، سرّي از اسرار الهي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سرّبودن اين امر را رسول گرامي صلي الله عليه و آله وسلم چنين بيان فرموده‌است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جَابِرُ إِنَّ هَذَا أَمْرٌ مِنْ أَمْرِ اللَّهِ عَزَّ وَ جَلَّ وَ سِرٌّ مِنْ سِرِّ اللَّهِ عِلْمُهُ مَطْوِيٌّ عَنْ عِبَادِ اللَّهِ إِيَّاكَ وَ الشَّكَّ فِيهِ فَإِنَّ الشَّكَّ فِي أَمْرِ اللَّهِ عَزَّ وَ جَلَّ كُفْرٌ؛</w:t>
      </w:r>
      <w:r>
        <w:rPr>
          <w:rStyle w:val="FootnoteAnchor"/>
          <w:rtl w:val="true"/>
        </w:rPr>
        <w:footnoteReference w:id="121"/>
      </w:r>
      <w:r>
        <w:rPr>
          <w:rFonts w:ascii="IRNazanin" w:hAnsi="IRNazanin" w:eastAsia="IRNazanin"/>
          <w:color w:val="111111"/>
          <w:sz w:val="28"/>
          <w:sz w:val="28"/>
          <w:szCs w:val="28"/>
          <w:rtl w:val="true"/>
          <w:lang w:bidi="fa-IR"/>
        </w:rPr>
        <w:t>اي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امر، امري است از امر خداوندي و سِرّي است از سِرّ خدا كه بر بندگان او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كه دچار ترديد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شك درباره امر خدا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 گمان اين حكمت، از اساسي‌ترين دليل‌ها بر اين رخداد بزرگ است؛ بنابراين در كنار اين‌كه مردم در غيبت حضرت نقش داشته‌اند، حكمت‌ها و دليل‌هاي غيبت، فراتر از نقش مردم است؛ از اين رو نمي‌توان گفت با رفتار مردم به‌طور بايسته ظهور، قطعي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دليل‌هاي ديدگاه نخست بر نقش مردم، روايتي است كه ابو حمزه ثمالي از امام باقر عليه السلام نقل كرده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ثَابِتُ إِنَّ اللَّهَ تَبَارَكَ وَ تَعَالَي قَدْ كَانَ وَقَّتَ هَذَا الْأَمْرَ فِي السَّبْعِينَ فَلَمَّا أَنْ قُتِلَ الْحُسَيْنُ صَلَوَاتُ اللَّهِ عَلَيْهِ اشْتَدَّ غَضَبُ اللَّهِ تَعَالَي عَلَي أَهْلِ الْأَرْضِ فَأَخَّرَهُ إِلَي أَرْبَعِينَ وَ مِائَةٍ فَحَدَّثْنَاكُمْ فَأَذَعْتُمُ الْحَدِيثَ فَكَشَفْتُمْ قِنَاعَ السَّتْرِ وَ لَمْ يَجْعَلِ اللَّهُ لَهُ بَعْدَ ذَلِكَ وَقْتاً عِنْدَنَا وَ يَمْحُو اللَّهُ مَا يَشَاءُ وَ يُثْبِتُ وَ عِنْدَهُ أُمُّ الْكِتَابِ؛</w:t>
      </w:r>
      <w:r>
        <w:rPr>
          <w:rStyle w:val="FootnoteAnchor"/>
          <w:rtl w:val="true"/>
        </w:rPr>
        <w:footnoteReference w:id="122"/>
      </w:r>
      <w:r>
        <w:rPr>
          <w:rFonts w:ascii="IRNazanin" w:hAnsi="IRNazanin" w:eastAsia="IRNazanin"/>
          <w:color w:val="111111"/>
          <w:sz w:val="28"/>
          <w:sz w:val="28"/>
          <w:szCs w:val="28"/>
          <w:rtl w:val="true"/>
          <w:lang w:bidi="fa-IR"/>
        </w:rPr>
        <w:t>‌اي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تبارك و تعالي اين امر را در هفتاد وقت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ـ صلوات اللَّه عليه ـ كشته شد، خشم خداي متعال بر اهل زمين سخت شد و آن را تا صد و چهل به تأخير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كه ما به شما خبر داديم، آن خبر را فاش كرديد و از مطلب پوشيده، پرده برداشتيد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 براي آن وقتي نزد ما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را خواهد محو كند و ثابت گذارد و اصل كتاب نزد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حديث را به امام صادق عليه السلام عرض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بوده است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بر اين باورند چون برخي رفتار مردم سبب پس‌افتادن ظهور مي‌شود، پس به‌ناگزير با انجام برخي كارها مي‌توان ظهور را نيز پيش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نكاتي در بارة روايت لازم است</w:t>
      </w:r>
      <w:r>
        <w:rPr>
          <w:rFonts w:eastAsia="IRNazanin" w:cs="IRNazanin"/>
          <w:color w:val="111111"/>
          <w:sz w:val="28"/>
          <w:szCs w:val="28"/>
          <w:rtl w:val="true"/>
          <w:lang w:bidi="fa-IR"/>
        </w:rPr>
        <w:t>:</w:t>
      </w:r>
      <w:bookmarkStart w:id="120" w:name="pg1814_18949"/>
    </w:p>
    <w:p>
      <w:pPr>
        <w:pStyle w:val="Heading5"/>
        <w:numPr>
          <w:ilvl w:val="4"/>
          <w:numId w:val="1"/>
        </w:numPr>
        <w:rPr/>
      </w:pPr>
      <w:bookmarkStart w:id="121" w:name="__RefHeading___Toc2647111_3650668749"/>
      <w:bookmarkStart w:id="122" w:name="_Toc44"/>
      <w:bookmarkEnd w:id="120"/>
      <w:bookmarkEnd w:id="121"/>
      <w:r>
        <w:rPr>
          <w:rtl w:val="true"/>
        </w:rPr>
        <w:t>بررسي روايت</w:t>
      </w:r>
      <w:bookmarkEnd w:id="122"/>
    </w:p>
    <w:p>
      <w:pPr>
        <w:pStyle w:val="BookText"/>
        <w:rPr/>
      </w:pPr>
      <w:r>
        <w:rPr>
          <w:rFonts w:ascii="IRNazanin" w:hAnsi="IRNazanin" w:eastAsia="IRNazanin"/>
          <w:color w:val="111111"/>
          <w:sz w:val="28"/>
          <w:sz w:val="28"/>
          <w:szCs w:val="28"/>
          <w:rtl w:val="true"/>
          <w:lang w:bidi="fa-IR"/>
        </w:rPr>
        <w:t xml:space="preserve">در همة نقل‌هاي اين روايت، حسن بن محبوب از ابو حمزه نقل كرده است، در حالي كه بر حسب كتاب‌هاي رجال ابو حمزه ثمالي از طبقه چهارم محدثان بوده و وفات او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محبوب كه طبق سند، اين خبر را از ابو حمزه روايت كرده، از طبقه ششم است كه در هفتاد و پنج سالگي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حسن بن محبوب در سال وفات ابو حمزه، يك سال بيشتر نداشته و در اين صورت، روايت او از ابو حمزه اصلاً امكان ندارد و حتماً شخص ديگري بين او و ابو حمزه واسطه بوده است و چون معلوم نيست او چه كسي بوده است، نمي‌توانيم اين حديث را معتبر بدانيم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يكي از بزرگان علماي معاصر، پس از اشاره به بيان يادشده، مي‌افزايد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خبر واحد ـ اگر چه صحيح باشد ـ در اصول اعتقادي نمي‌تواند حجّت باشد، تا چه رسد به آن كه سندش هم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ادامه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احاديث معتبري كه همه با صراحت دلالت دارند كه ظهور حضرت مهدي عليه السلام و حكومت عدل صالحان به اين زودي‌ها صورت نخواهد گرفت و تا ظهور آن حضرت بايد منتظر تحوّلات شگرف و حوادث خطير در طيّ زمان‌هاي بسيار طولاني بود،</w:t>
      </w:r>
      <w:r>
        <w:rPr>
          <w:rStyle w:val="FootnoteAnchor"/>
          <w:rtl w:val="true"/>
        </w:rPr>
        <w:footnoteReference w:id="125"/>
      </w:r>
      <w:r>
        <w:rPr>
          <w:rFonts w:ascii="IRNazanin" w:hAnsi="IRNazanin" w:eastAsia="IRNazanin"/>
          <w:color w:val="111111"/>
          <w:sz w:val="28"/>
          <w:sz w:val="28"/>
          <w:szCs w:val="28"/>
          <w:rtl w:val="true"/>
          <w:lang w:bidi="fa-IR"/>
        </w:rPr>
        <w:t>با اين حال چگونه مي‌توان به يك خبر واحد مجهول در برابر آن همه احاديث اعتماد نمود؟ به علاوه از حضرت اميرالمؤمنين عليه السلام خطبه‌ها و روايات زيادي نقل شده است كه در آن‌ها هم به طول مدتي كه بايد در طيّ آن به انتظار اين ظهور بود، اشاره شده است و هم از پيشامدهاي بزرگ و امتحانات شديد مؤمنان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چگونه ممكن است گفته شود خبر واحد مجهولي كه مي‌گويد آن حضرت وقت ظهور را سال هفتاد معيّن كرده است، صحيح است؟</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افزون بر آن، صرف نظر از بحث سند، گمان اينكه مقصود روايت، پديدآمدن گشايشي كلي و عام و به تعبيري حاكميت و ولايت ظاهري اهل بيت عليهم السلام، ميان شيعيان باشد و نه ظهور واپسين حجت خداوند؛ قوي‌تر است؛ چرا كه بنا بر صريح روايات، قيام جهاني به دست دوازدهمين جانشين پيامبر صلي الله عليه و آله وسلم فرزند امام عسكري عليه السلام رخ خواهد داد و سال‌هاي ياد شده، هيچ هماهنگي با زندگي حضرت مهدي عجل الله فرجه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اين نكته را مي‌افزاييم كه با توجه به دسته رواياتي كه پيش از اين ياد شد و رواياتي كه در آن نه فقط زمان ظهور را در علم و ارادة خداوند دانسته؛ بلكه امر ديگري را در آن دخيل ندانسته است، ادعاي بداء در زمان ظهور امام زمان عليه السلام نه با معناي اصطلاحي بداء سازگاري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زماني براي ظهور تعيين نشده و كسي از آن آگاهي ندارد، تا خلاف آن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طريق روايت ياد شده مي‌توان آن را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ظهور، در زمان مقرر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ما به گونه‌اي زندگي كنيم كه هرگاه به طور ناگهاني آن اتفاق افتاد، در كمال آمادگي براي درك آن دوران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برخي روايات ياد شده، فقط به عنوان شاهد بحث مي‌تواند بررسي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نگذرم كه اين هرگز به معناي نقش نداشتن مردم نيست، بلكه به معناي آن است كه چون كسي از زمان ظهور آگاه نيست پس ادعاي تقديم و تأخير آن با بداء پذيرفتني نيست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همة تكاليف ما در دوران غيبت، فراهم‌ساختن زمينه و مقدمة ظهور نيست؛ بلكه ما مكلف به انجام تكليف‌هاي مشخصي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غيبت، مقدمه دوران ظهور نيست؛ بلكه دوراني است جداگانه با ويژگي‌هاي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كسي به تكليف خود عمل كرد، خداوند طبق وعدة خود سرنوشت او را تغيير خواهد داد</w:t>
      </w:r>
      <w:r>
        <w:rPr>
          <w:rFonts w:eastAsia="IRNazanin" w:cs="IRNazanin"/>
          <w:color w:val="111111"/>
          <w:sz w:val="28"/>
          <w:szCs w:val="28"/>
          <w:rtl w:val="true"/>
          <w:lang w:bidi="fa-IR"/>
        </w:rPr>
        <w:t>.</w:t>
      </w:r>
      <w:bookmarkStart w:id="123" w:name="pg1814_18952"/>
    </w:p>
    <w:p>
      <w:pPr>
        <w:pStyle w:val="Heading4"/>
        <w:numPr>
          <w:ilvl w:val="3"/>
          <w:numId w:val="1"/>
        </w:numPr>
        <w:rPr/>
      </w:pPr>
      <w:bookmarkStart w:id="124" w:name="__RefHeading___Toc2647113_3650668749"/>
      <w:bookmarkStart w:id="125" w:name="_Toc45"/>
      <w:bookmarkEnd w:id="123"/>
      <w:bookmarkEnd w:id="124"/>
      <w:r>
        <w:rPr>
          <w:rtl w:val="true"/>
        </w:rPr>
        <w:t>ديدگاه دوم، غيراختياري بودن</w:t>
      </w:r>
      <w:bookmarkEnd w:id="125"/>
    </w:p>
    <w:p>
      <w:pPr>
        <w:pStyle w:val="BookText"/>
        <w:rPr/>
      </w:pPr>
      <w:r>
        <w:rPr>
          <w:rFonts w:ascii="IRNazanin" w:hAnsi="IRNazanin" w:eastAsia="IRNazanin"/>
          <w:color w:val="111111"/>
          <w:sz w:val="28"/>
          <w:sz w:val="28"/>
          <w:szCs w:val="28"/>
          <w:rtl w:val="true"/>
          <w:lang w:bidi="fa-IR"/>
        </w:rPr>
        <w:t>در اين ديدگاه باور بر اين است كه در برابر روايت يادشده، برخي روايات، از قطعي‌بودن زمان ظهور سخن به ميان آورده است و اشاره‌اي به نقش مردم نشده، يا اينكه خواست مردم نقشي در آن نخواهد داشت، از جمله اين روايات، به موارد زير اشاره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رواياتي كه طبق آن‌ها از مسؤوليت‌هاي پايه‌اي شيعه، پايداري بر حب اهل بيت عليهم السلام و كينة دشمنانشان و رفتار به فرموده‌هاي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از امام صادق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شبانه‌روزي آمد كه در آن، امام ديده نشود،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فَأَحِبَّ مَنْ كُنْتَ تُحِبُّ وَ أَبْغِضْ مَنْ كُنْتَ تُبْغِضُ حَتَّي يُظْهِرَهُ اللَّهُ عَزَّ وَ جَلَّ؛</w:t>
      </w:r>
      <w:r>
        <w:rPr>
          <w:rStyle w:val="FootnoteAnchor"/>
          <w:rtl w:val="true"/>
        </w:rPr>
        <w:footnoteReference w:id="127"/>
      </w:r>
      <w:r>
        <w:rPr>
          <w:rFonts w:ascii="Amiri" w:hAnsi="Amiri" w:eastAsia="Amiri" w:cs="Amiri"/>
          <w:color w:val="111111"/>
          <w:sz w:val="28"/>
          <w:sz w:val="28"/>
          <w:szCs w:val="28"/>
          <w:rtl w:val="true"/>
          <w:lang w:bidi="ar-SA"/>
        </w:rPr>
        <w:t xml:space="preserve">آن كس را كه بايد دوست داشته باشي، دوست بدار و آن كس را كه بايد دشمن بداري، دشمن بدار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 و تبري را از دست 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خداوند عزوجل او را آشكار كند</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از اين روايات به روشني به دست مي‌آيد كه تكليف اساسي، انجام دستورهاي امامان پيشين و پيروزي در آزمايش‌هاي دوران غيبت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رواياتي كه شتاب‌كنندگان در امر ظهور را به شدّت نكوهش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كثير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نشسته بودم كه مهزم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دهيد اين امري كه در انتظارش هستيم، كي واقع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مِهْزَمُ كَذَبَ الْوَقَّاتُونَ وَ هَلَكَ الْمُسْتَعْجِلُونَ وَ نَجَا الْمُسَلِّمُونَ؛</w:t>
      </w:r>
      <w:r>
        <w:rPr>
          <w:rStyle w:val="FootnoteAnchor"/>
          <w:rtl w:val="true"/>
        </w:rPr>
        <w:footnoteReference w:id="129"/>
      </w:r>
      <w:r>
        <w:rPr>
          <w:rFonts w:ascii="IRNazanin" w:hAnsi="IRNazanin" w:eastAsia="IRNazanin"/>
          <w:color w:val="111111"/>
          <w:sz w:val="28"/>
          <w:sz w:val="28"/>
          <w:szCs w:val="28"/>
          <w:rtl w:val="true"/>
          <w:lang w:bidi="fa-IR"/>
        </w:rPr>
        <w:t>اي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وقت‌گذاران، دروغ گفتند و شتاب‌كنندگان هلاك شدند و تسليم‌شوندگان نجات 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هستند كه به اعتراض و ناخشنودي از خدا امر ظهور را مي‌خواهند و تأخير ظهور را اعتراض مي‌كنند و به قضاي الهي ناخرسندند</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ابراهيم بن مهزم از پدر خود از امام صادق عليه السلام روايت كرده،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آن حضرت از فرمانروايان فلان خاندان ياد كرديم؛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هَلَكَ النَّاسُ مِنِ اسْتِعْجَالِهِمْ لِهَذَا الْأَمْرِ إِنَّ اللَّهَ لَا يَعْجَلُ لِعَجَلَةِ الْعِبَادِ إِنَّ لِهَذَا الْأَمْرِ غَايَةً يُنْتَهَي إِلَيْهَا فَلَوْ قَدْ بَلَغُوهَا لَمْ يَسْتَقْدِمُوا سَاعَةً وَ لَمْ يَسْتَأْخِرُوا؛</w:t>
      </w:r>
      <w:r>
        <w:rPr>
          <w:rStyle w:val="FootnoteAnchor"/>
          <w:rtl w:val="true"/>
        </w:rPr>
        <w:footnoteReference w:id="131"/>
      </w:r>
      <w:r>
        <w:rPr>
          <w:rFonts w:ascii="IRNazanin" w:hAnsi="IRNazanin" w:eastAsia="IRNazanin"/>
          <w:color w:val="111111"/>
          <w:sz w:val="28"/>
          <w:sz w:val="28"/>
          <w:szCs w:val="28"/>
          <w:rtl w:val="true"/>
          <w:lang w:bidi="fa-IR"/>
        </w:rPr>
        <w:t>مردم از شتاب‌جويي‌شان در اين امر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با شتاب بندگان شتاب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فرجامي است كه به آن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 پايان رسيدند، ديگر نه ساعتي پيش مي‌افتد و نه پس مي‌افتد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نعماني نيز از كليني نقل كرده است</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كه در آن اشاره شده كساني كه پيش از پايان‌يافتن مدّت مقرر بر حكومت‌هاي جور خروج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 پيروز نشده، به هلاكت مي‌افتند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همچنين امام باقر عليه السلام در پاسخ به زيد بن علي بن حسين عليه السلام كه مردم از وي خواسته بودند قيام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نكن كه خداوند، به شتاب بندگان، شتاب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پيشي نگير؛ كه گرفتاري‌ها تو را ناتوان و زمين‌گير مي‌كند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اين روايات و مانند آن به‌طور روشن مردم را به پرهيز از شتاب در امر ظهور سفارش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رواياتي كه پيش‌افتادن و پس‌افتادن ظهور را مهم ندانسته و فقط شناخت امام را امري اساسي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پس از شناخت، تكاليفي بر گردن انسان گذاشته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بن يسار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باقر عليه السلام 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لَيْسَ لَهُ إِمَامٌ فَمِيتَتُهُ مِيتَةُ جَاهِلِيَّةٍ وَ مَنْ مَاتَ وَ هُوَ عَارِفٌ لِإِمَامِهِ لَمْ يَضُرَّهُ تَقَدَّمَ هَذَا الْأَمْرُ أَوْ تَأَخَّرَ وَ مَنْ مَاتَ وَ هُوَ عَارِفٌ لِإِمَامِهِ كَانَ كَمَنْ هُوَ مَعَ الْقَائِمِ فِي فُسْطَاطِه؛</w:t>
      </w:r>
      <w:r>
        <w:rPr>
          <w:rStyle w:val="FootnoteAnchor"/>
          <w:rtl w:val="true"/>
        </w:rPr>
        <w:footnoteReference w:id="135"/>
      </w:r>
      <w:r>
        <w:rPr>
          <w:rFonts w:ascii="IRNazanin" w:hAnsi="IRNazanin" w:eastAsia="IRNazanin"/>
          <w:color w:val="111111"/>
          <w:sz w:val="28"/>
          <w:sz w:val="28"/>
          <w:szCs w:val="28"/>
          <w:rtl w:val="true"/>
          <w:lang w:bidi="fa-IR"/>
        </w:rPr>
        <w:t>كسي كه بميرد و امامي نداشته باشد، مرگ او مرگ جاهليت است و هر كس بميرد و امامش را بشناسد، تقدم يا تأخر اين امر، او را زيان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بميرد، در حالي كه امامش را بشناسد، مانند كسي است كه در خيمه امام قائم و همراه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ياد شد، شناخت امام از آن سو اهميت دارد كه مقدمة بايسته براي انجام تكاليف الهي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رواياتي كه در آن، ظهور حضرت مهدي عجل الله فرجه به رستاخيز مانند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آگاهي از گاه رستاخيز، فقط آنِ خداوند است و كسي نيز در پس و پيش‌افتادن آن نقش ندارد</w:t>
      </w:r>
      <w:r>
        <w:rPr>
          <w:rFonts w:eastAsia="IRNazanin" w:cs="IRNazanin"/>
          <w:color w:val="111111"/>
          <w:sz w:val="28"/>
          <w:szCs w:val="28"/>
          <w:rtl w:val="true"/>
          <w:lang w:bidi="fa-IR"/>
        </w:rPr>
        <w:t>.</w:t>
      </w:r>
      <w:bookmarkStart w:id="126" w:name="pg1814_18954"/>
    </w:p>
    <w:p>
      <w:pPr>
        <w:pStyle w:val="Heading4"/>
        <w:numPr>
          <w:ilvl w:val="3"/>
          <w:numId w:val="1"/>
        </w:numPr>
        <w:rPr/>
      </w:pPr>
      <w:bookmarkStart w:id="127" w:name="__RefHeading___Toc2647115_3650668749"/>
      <w:bookmarkStart w:id="128" w:name="_Toc46"/>
      <w:bookmarkEnd w:id="126"/>
      <w:bookmarkEnd w:id="127"/>
      <w:r>
        <w:rPr>
          <w:rtl w:val="true"/>
        </w:rPr>
        <w:t>ديدگاه نگارنده</w:t>
      </w:r>
      <w:bookmarkEnd w:id="128"/>
    </w:p>
    <w:p>
      <w:pPr>
        <w:pStyle w:val="BookText"/>
        <w:rPr/>
      </w:pPr>
      <w:r>
        <w:rPr>
          <w:rFonts w:ascii="IRNazanin" w:hAnsi="IRNazanin" w:eastAsia="IRNazanin"/>
          <w:color w:val="111111"/>
          <w:sz w:val="28"/>
          <w:sz w:val="28"/>
          <w:szCs w:val="28"/>
          <w:rtl w:val="true"/>
          <w:lang w:bidi="fa-IR"/>
        </w:rPr>
        <w:t>چه ديدگاه نخست را بپذيريم كه انسان‌ها با رفتارشان در پديدة ظهور نقش دارند و چه ديدگاه دوم را كه گاه ظهور را ثابت و در ارادة خداوند مي‌داند، اثبات بايستگي زمينه‌سازي امري جداي از نقش زمينه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سازي در ناگزيري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كه اگرچه ما مأمور به زمينه‌سازي هستيم اما همة شرايط ظهور چيزي نيست كه ما آن را فراهم كنيم؛ اي بسا در كنار فراهم‌ساختن زمينه‌ها، ظهور نيازمند شرايط ديگري نيز باشد، كه بر ما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 بسا همة شرايط پديدآمده و زمينه‌سازي مردم واپسين حلقه در اين زنجيره باشد؛ پس بي‌گمان، مردمان موظف به فراهم‌كردن زمينه‌ها براي آن قيام جهاني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نظر مي‌رسد اصل زمينه‌سازي براي ظهور مهدي موعود عليه السلام امري پذيرفته و روشن است؛</w:t>
      </w:r>
      <w:r>
        <w:rPr>
          <w:rStyle w:val="FootnoteAnchor"/>
          <w:rtl w:val="true"/>
        </w:rPr>
        <w:footnoteReference w:id="136"/>
      </w:r>
      <w:r>
        <w:rPr>
          <w:rFonts w:ascii="IRNazanin" w:hAnsi="IRNazanin" w:eastAsia="IRNazanin"/>
          <w:color w:val="111111"/>
          <w:sz w:val="28"/>
          <w:sz w:val="28"/>
          <w:szCs w:val="28"/>
          <w:rtl w:val="true"/>
          <w:lang w:bidi="fa-IR"/>
        </w:rPr>
        <w:t>چه اينكه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از دريچة يكي از فلسفه‌هاي آشكار غيبت</w:t>
      </w:r>
      <w:r>
        <w:rPr>
          <w:rStyle w:val="FootnoteAnchor"/>
          <w:rtl w:val="true"/>
        </w:rPr>
        <w:footnoteReference w:id="137"/>
      </w:r>
      <w:r>
        <w:rPr>
          <w:rFonts w:ascii="IRNazanin" w:hAnsi="IRNazanin" w:eastAsia="IRNazanin"/>
          <w:color w:val="111111"/>
          <w:sz w:val="28"/>
          <w:sz w:val="28"/>
          <w:szCs w:val="28"/>
          <w:rtl w:val="true"/>
          <w:lang w:bidi="fa-IR"/>
        </w:rPr>
        <w:t>بنگريم؛ به اين بيان كه در برخي روايات، يكي از حكمت‌هاي غيبت، ترس آن حضرت از كشته‌شدن، دانسته شده</w:t>
      </w:r>
      <w:r>
        <w:rPr>
          <w:rStyle w:val="FootnoteAnchor"/>
          <w:rtl w:val="true"/>
        </w:rPr>
        <w:footnoteReference w:id="138"/>
      </w:r>
      <w:r>
        <w:rPr>
          <w:rFonts w:ascii="IRNazanin" w:hAnsi="IRNazanin" w:eastAsia="IRNazanin"/>
          <w:color w:val="111111"/>
          <w:sz w:val="28"/>
          <w:sz w:val="28"/>
          <w:szCs w:val="28"/>
          <w:rtl w:val="true"/>
          <w:lang w:bidi="fa-IR"/>
        </w:rPr>
        <w:t>و انسان‌ها براي برطرف‌كردن اين دغدغه و نگراني مي‌بايست زمينه‌ها را به گونه‌اي فراهم كنند كه ديگر آن حضرت بيمي از جان خويش نداشته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و يا انجام فراگير دستورات ديني كه بخشي نيز به زمينه‌سازي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روايات فراواني تأكيد شده، در دوران غيبت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ترين مسئوليت منتظران انجام دستورات شرعي است</w:t>
      </w:r>
      <w:r>
        <w:rPr>
          <w:rFonts w:eastAsia="IRNazanin" w:cs="IRNazanin"/>
          <w:color w:val="111111"/>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كه در همة حالت‌ها، امر زمينه‌سازي، شرطي اساسي، لازم و مورد اهتمام خواهد بود</w:t>
      </w:r>
      <w:r>
        <w:rPr>
          <w:rFonts w:eastAsia="Amiri" w:cs="Amiri" w:ascii="Amiri" w:hAnsi="Amiri"/>
          <w:color w:val="111111"/>
          <w:sz w:val="28"/>
          <w:szCs w:val="28"/>
          <w:rtl w:val="true"/>
          <w:lang w:bidi="ar-SA"/>
        </w:rPr>
        <w:t>.</w:t>
      </w:r>
      <w:bookmarkStart w:id="129" w:name="pg1814_18956"/>
    </w:p>
    <w:p>
      <w:pPr>
        <w:pStyle w:val="Heading4"/>
        <w:numPr>
          <w:ilvl w:val="3"/>
          <w:numId w:val="1"/>
        </w:numPr>
        <w:rPr/>
      </w:pPr>
      <w:bookmarkStart w:id="130" w:name="__RefHeading___Toc2647117_3650668749"/>
      <w:bookmarkStart w:id="131" w:name="_Toc47"/>
      <w:bookmarkEnd w:id="129"/>
      <w:bookmarkEnd w:id="130"/>
      <w:r>
        <w:rPr>
          <w:rtl w:val="true"/>
        </w:rPr>
        <w:t>آمادگي و زمينه سازي ظهور</w:t>
      </w:r>
      <w:bookmarkEnd w:id="131"/>
    </w:p>
    <w:p>
      <w:pPr>
        <w:pStyle w:val="Heading5"/>
        <w:numPr>
          <w:ilvl w:val="4"/>
          <w:numId w:val="1"/>
        </w:numPr>
        <w:rPr/>
      </w:pPr>
      <w:bookmarkStart w:id="132" w:name="__RefHeading___Toc2647119_3650668749"/>
      <w:bookmarkStart w:id="133" w:name="_Toc48"/>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پيش از اين گفته شد يكي از سفارش‌هاي پايه‌اي قرآن به مؤمنان در برابر دشمنان، به دست‌آوردن و نگهداري آمادگي آنان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از اين رو آمادگي‌هاي مناسب هر عصر براي ياري حق در برابر باطل، امري اساسي و بايسته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بارة زمينه‌سازان ظهور حضرت مهدي عليه السلام، در دو عرصه مي‌توان بحث كرد</w:t>
      </w:r>
      <w:r>
        <w:rPr>
          <w:rFonts w:eastAsia="Amiri" w:cs="Amiri" w:ascii="Amiri" w:hAnsi="Amiri"/>
          <w:color w:val="111111"/>
          <w:sz w:val="28"/>
          <w:szCs w:val="28"/>
          <w:rtl w:val="true"/>
          <w:lang w:bidi="ar-SA"/>
        </w:rPr>
        <w:t>:</w:t>
      </w:r>
      <w:bookmarkStart w:id="134" w:name="pg1814_18958"/>
    </w:p>
    <w:p>
      <w:pPr>
        <w:pStyle w:val="Heading5"/>
        <w:numPr>
          <w:ilvl w:val="4"/>
          <w:numId w:val="1"/>
        </w:numPr>
        <w:rPr/>
      </w:pPr>
      <w:bookmarkStart w:id="135" w:name="__RefHeading___Toc2647121_3650668749"/>
      <w:bookmarkStart w:id="136" w:name="_Toc49"/>
      <w:bookmarkEnd w:id="134"/>
      <w:bookmarkEnd w:id="135"/>
      <w:r>
        <w:rPr/>
        <w:t>1</w:t>
      </w:r>
      <w:r>
        <w:rPr>
          <w:rtl w:val="true"/>
        </w:rPr>
        <w:t xml:space="preserve">. </w:t>
      </w:r>
      <w:r>
        <w:rPr>
          <w:rtl w:val="true"/>
        </w:rPr>
        <w:t>زمينه‌سازان عام</w:t>
      </w:r>
      <w:bookmarkEnd w:id="136"/>
    </w:p>
    <w:p>
      <w:pPr>
        <w:pStyle w:val="Heading6"/>
        <w:numPr>
          <w:ilvl w:val="5"/>
          <w:numId w:val="1"/>
        </w:numPr>
        <w:rPr/>
      </w:pPr>
      <w:bookmarkStart w:id="137" w:name="__RefHeading___Toc2647123_3650668749"/>
      <w:bookmarkStart w:id="138" w:name="_Toc50"/>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قيام جهاني حضرت مهدي عجل الله فرجه، براي برپايي حكومت شايستگان بر پاية عدل و قسط است و ياري آن امام بزرگوار، امري بايسته و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ياري، نيازمند فراهم‌ساختن مقدمات و زمينه‌هايي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در اين‌باره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لَيُعِدَّنَّ أَحَدُكُمْ لِخُرُوجِ الْقَائِمِ وَ لَوْ سَهْماً فَإِنَّ اللَّهَ تَعَالَي إِذَا عَلِمَ ذَلِكَ مِنْ نِيَّتِهِ رَجَوْتُ لِأَنْ يُنْسِئَ فِي عُمُرِهِ حَتَّي يُدْرِكَهُ فَيَكُونَ مِنْ أَعْوَانِهِ وَ أَنْصَارِهِ؛</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بايد براي خروج قائم آماده كند، هر چند يك تير، كه هر گاه خداي تعالي از نيّت او، آن را بداند، اميدوارم كه در عمر او تأخير اندازد تا آنكه قائم را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روايات، به طور مشخص، فقط تهيه‌كردن جنگ‌افزار و مانند آن نيست؛ بلكه بياني نمادين و كنايه از نهايت آمادگي براي آن قيام بزرگ مي‌تواند باشد و فراهم‌كردن ابزار جنگي از جمله تير و كمان و مانند آن دست‌كم آمادگي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كليني از ابو عبدالله جعفي نقل مي‌كند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امام باقر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زمان مرابطه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چند روز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رِبَاطُنَا رِبَاطُ الدَّهْر؛</w:t>
      </w:r>
      <w:r>
        <w:rPr>
          <w:rStyle w:val="FootnoteAnchor"/>
          <w:rtl w:val="true"/>
        </w:rPr>
        <w:footnoteReference w:id="143"/>
      </w:r>
      <w:r>
        <w:rPr>
          <w:rFonts w:ascii="IRNazanin" w:hAnsi="IRNazanin" w:eastAsia="IRNazanin"/>
          <w:color w:val="111111"/>
          <w:sz w:val="28"/>
          <w:sz w:val="28"/>
          <w:szCs w:val="28"/>
          <w:rtl w:val="true"/>
          <w:lang w:bidi="fa-IR"/>
        </w:rPr>
        <w:t xml:space="preserve">ولي مرابطه و مرزداري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حريم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هميشگي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مطهري با بهره‌مندي از روايات اسلامي، گروهي زبده كه به محض ظهور امام عجل الله فرجه به آن حضرت مي‌پيوندند، را بخشي مهم براي اين رخداد دانسته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البته آمادگي و مهيابودن براي ظهور، بسته به شرايط زمان و مكان در عرصه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هايي صورت مي‌پذيرد كه مهم‌ترين آن‌ها عبارتند از</w:t>
      </w:r>
      <w:r>
        <w:rPr>
          <w:rFonts w:eastAsia="IRNazanin" w:cs="IRNazanin"/>
          <w:color w:val="111111"/>
          <w:sz w:val="28"/>
          <w:szCs w:val="28"/>
          <w:rtl w:val="true"/>
          <w:lang w:bidi="fa-IR"/>
        </w:rPr>
        <w:t>:</w:t>
      </w:r>
      <w:bookmarkStart w:id="139" w:name="pg1814_18960"/>
    </w:p>
    <w:p>
      <w:pPr>
        <w:pStyle w:val="Heading6"/>
        <w:numPr>
          <w:ilvl w:val="5"/>
          <w:numId w:val="1"/>
        </w:numPr>
        <w:rPr/>
      </w:pPr>
      <w:bookmarkStart w:id="140" w:name="__RefHeading___Toc2647125_3650668749"/>
      <w:bookmarkStart w:id="141" w:name="_Toc51"/>
      <w:bookmarkEnd w:id="139"/>
      <w:bookmarkEnd w:id="140"/>
      <w:r>
        <w:rPr>
          <w:rtl w:val="true"/>
        </w:rPr>
        <w:t>الف</w:t>
      </w:r>
      <w:r>
        <w:rPr>
          <w:rtl w:val="true"/>
        </w:rPr>
        <w:t xml:space="preserve">) </w:t>
      </w:r>
      <w:r>
        <w:rPr>
          <w:rtl w:val="true"/>
        </w:rPr>
        <w:t>در عرصه اعتقادي</w:t>
      </w:r>
      <w:bookmarkEnd w:id="141"/>
    </w:p>
    <w:p>
      <w:pPr>
        <w:pStyle w:val="Heading6"/>
        <w:numPr>
          <w:ilvl w:val="5"/>
          <w:numId w:val="1"/>
        </w:numPr>
        <w:rPr/>
      </w:pPr>
      <w:bookmarkStart w:id="142" w:name="__RefHeading___Toc2647127_3650668749"/>
      <w:bookmarkStart w:id="143" w:name="_Toc52"/>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بي‌گمان حضرت مهدي عليه السلام به‌پا مي‌خيزد تا بيش از آن‌كه چگونگي زندگي مادي مردم را بر پاية عدالت سامان دهد، باورهاي آنان را رشد داده، كمال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قسط و عدل اقتصادي در جاي خود بسيار بايسته و نقش‌آفرين است، اما آنچه قيام و انقلاب جهاني آن حضرت را از ديگر انقلاب‌ها متمايز و ممتاز مي‌سازد، دگرگوني‌هاي اعتقادي و باور انسان‌ها است، كه در پرتو تلاش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او و همة يارانش پديد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دگرگوني‌هايي كه سبب مي‌شود تا نگاه مردم در فصل پاياني زندگي به‌طور فراگير و گسترده به اهداف آفرينش انسان دوخته شده، راه‌هاي كمال و نيك‌بختي را يكي پس از ديگري سپري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شكل نخواهد گرفت مگر به دگرگوني اساسي در فرهنگ جامعة انساني؛ كه آن نيز شكل نخواهد گرفت مگر با فراهم‌شدن زمينه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بايسته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از آمادگي در عرصة باورها در اينجا، بيشتر آمادگي در عرصة فرهنگ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عرصة فرهنگ ديني به آن توجه مي‌شود، به‌طور عمده،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پيروي خالص از خداوند و ولي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مي‌آيند؛ زيرا شناخت خداوند و امام زمان عجل الله فرجه‌ و باور به آنان، بايد در رفتار ديده شود و تبلور حقيقي آن در فرمان‌برداري خالص و فراگير از آن نورهاي پاك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همسوكردن رفتارها، نيت‌ها و جهت‌گيري‌ها، بر پاية خواست رهبر الهي، از مهمّ‌ترين ويژگي‌هاي رهروان راستين است و اين به خوبي در زمينه‌سازان ظهور و ياران امام مهدي 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گرامي اسلام صلي الله عليه و آله وسلم در اين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طوُبي لِمَنْ اَدرَكَ قائِمَ اَهلِ بَيْتي وَ هُوَ مُقتَدٍ بِهِ قَبْلَ قِيامِهِ يَتَولّي وَليَّهُ وَيَتَبرَّأُ مِنْ عَدُوِّهِ وَيَتَوَلي الاَئِمَّةَ الهادِيَةَ مِنْ قَبْلِهِ اوُلئِك رُفَقائي وَ ذَوُو وُدّي وَ مَوَدَّتي وَاَكْرَمُ اُمَّتي عَلَي؛</w:t>
      </w:r>
      <w:r>
        <w:rPr>
          <w:rStyle w:val="FootnoteAnchor"/>
          <w:rtl w:val="true"/>
        </w:rPr>
        <w:footnoteReference w:id="145"/>
      </w:r>
      <w:r>
        <w:rPr>
          <w:rFonts w:ascii="IRNazanin" w:hAnsi="IRNazanin" w:eastAsia="IRNazanin"/>
          <w:color w:val="111111"/>
          <w:sz w:val="28"/>
          <w:sz w:val="28"/>
          <w:szCs w:val="28"/>
          <w:rtl w:val="true"/>
          <w:lang w:bidi="fa-IR"/>
        </w:rPr>
        <w:t>خوشا به حال كسي كه، قائم اهل بيت مرا درك كند؛ حال آنكه پيش از قيام او نيز پيرو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او دوست و با دشمن او دشمن و با رهبران و پيشوايان هدايت‌گر پيش از او نيز دوست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همنشين و دوستان من و گرامي‌ترينِ امت من، در نزد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آمادگي روحي و رواني بالايي به دست نياورند، هرگز نمي‌توانند يار و ياور خوبي براي آن حضرت باشند؛ چرا كه با كمترين فشاري كه بر آنان وارد مي‌شود، عرصه را رها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براي حضرت مهدي عجل الله فرجه‌ ياراني هست كه توان بالاي روحي و رواني دارند تا بتوانند بر دشمنان چيره و پيروز شوند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بارة كارهاي فرهنگي كه مي‌تواند زمينه‌هاي لازم را براي آن انقلاب بزرگ فراهم نمايد، از روايات، چنين استفاده مي‌شود</w:t>
      </w:r>
      <w:r>
        <w:rPr>
          <w:rFonts w:eastAsia="IRNazanin" w:cs="IRNazanin"/>
          <w:color w:val="111111"/>
          <w:sz w:val="28"/>
          <w:szCs w:val="28"/>
          <w:rtl w:val="true"/>
          <w:lang w:bidi="fa-IR"/>
        </w:rPr>
        <w:t>:</w:t>
      </w:r>
      <w:bookmarkStart w:id="144" w:name="pg1814_18962"/>
    </w:p>
    <w:p>
      <w:pPr>
        <w:pStyle w:val="Heading6"/>
        <w:numPr>
          <w:ilvl w:val="5"/>
          <w:numId w:val="1"/>
        </w:numPr>
        <w:rPr/>
      </w:pPr>
      <w:bookmarkStart w:id="145" w:name="__RefHeading___Toc2647129_3650668749"/>
      <w:bookmarkStart w:id="146" w:name="_Toc53"/>
      <w:bookmarkEnd w:id="144"/>
      <w:bookmarkEnd w:id="145"/>
      <w:r>
        <w:rPr/>
        <w:t>1</w:t>
      </w:r>
      <w:r>
        <w:rPr>
          <w:rtl w:val="true"/>
        </w:rPr>
        <w:t xml:space="preserve">. </w:t>
      </w:r>
      <w:r>
        <w:rPr>
          <w:rtl w:val="true"/>
        </w:rPr>
        <w:t>شناخت امام زمان</w:t>
      </w:r>
      <w:bookmarkEnd w:id="146"/>
    </w:p>
    <w:p>
      <w:pPr>
        <w:pStyle w:val="BookText"/>
        <w:rPr/>
      </w:pPr>
      <w:r>
        <w:rPr>
          <w:rFonts w:ascii="IRNazanin" w:hAnsi="IRNazanin" w:eastAsia="IRNazanin"/>
          <w:color w:val="111111"/>
          <w:sz w:val="28"/>
          <w:sz w:val="28"/>
          <w:szCs w:val="28"/>
          <w:rtl w:val="true"/>
          <w:lang w:bidi="fa-IR"/>
        </w:rPr>
        <w:t>از بايسته‌هايي كه در هر زمان ـ به ويژه در عصر غيبت ـ براي پيروان آموزه‌هاي اسلامي بدان سفارش شده، به‌دست‌آوردن شناخت و آگاهي امام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فضيل بن يسار، در كنار سفارش به شناخت امام، پي‌آمد اين امر مهم را در اين دانسته كه دير و زود شدن اين امر، آسيبي به او نخواهد رساند</w:t>
      </w:r>
      <w:r>
        <w:rPr>
          <w:rFonts w:eastAsia="IRNazanin" w:cs="IRNazanin"/>
          <w:color w:val="111111"/>
          <w:sz w:val="28"/>
          <w:szCs w:val="28"/>
          <w:rtl w:val="true"/>
          <w:lang w:bidi="fa-IR"/>
        </w:rPr>
        <w:t>...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اما اين‌كه چگونه مي‌توان به اين شناخت رسيد؟ به نظر مي‌رسد هر حقيقتي ـ خواه وجود عيني خارجي داشته باشد يا از امور عقلي باشد ـ از راه شناخت مناسب خود، مانند حس و تجربه و فطرت و عقل و خواب و وحي شناختني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اين ديدگاه به اين معنا نيست كه بگوييم همه چيزها و حقيقت‌ها، از اين راه شناخته شده‌اند؛ بلكه مقصود، اين است كه شناخت هر يك از چيزها و حقايق، از يك يا بيشتر از اين راه‌ها امكان دارد؛ براي مثال از راه وحي، هر چيزي كه خداوند شناساندن آن را به وحي اراده فرموده باشد، شناخته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 بن موسي الرضا عليه السلام در روايتي ارزشمند با بيان ويژگي‌هاي امام، راه را براي شناخت به ما نشان داده است؛ آنجا كه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امانتدار خداوند ميان آفريده‌هايش، و حجّت او بر بندگانش، و جانشين او در سرزمين‌هايش، و دعوت‌كننده به سوي خدا و دفاع‌كننده از حقوق واجب او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پاك‌شده از گناه و بر‌كنار گشته از عيب‌ها است كه همه دانش، به او اختصاص دارد و به بردباري شناخته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نظام‌دهنده به دين و باعث سربلندي مسلمانان و خشم منافقان و از ميان رفتنِ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يگانة روزگار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در جايگاه، به منزلت او نزديك نمي‌شود و هيچ دانشمندي با او برابري نمي‌كند و براي او جايگزين پيدا نمي‌شود و شبيه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فضيلت‌ها، ويژة او است، بدون آن‌كه آن‌ها را خواسته باشد؛ بلكه اين، امتيازي است از طرف فضل‌كننده بسيار بخشنده، براي امام</w:t>
      </w:r>
      <w:r>
        <w:rPr>
          <w:rFonts w:eastAsia="IRNazanin" w:cs="IRNazanin"/>
          <w:color w:val="111111"/>
          <w:sz w:val="28"/>
          <w:szCs w:val="28"/>
          <w:rtl w:val="true"/>
          <w:lang w:bidi="fa-IR"/>
        </w:rPr>
        <w:t>... .</w:t>
      </w:r>
      <w:r>
        <w:rPr>
          <w:rStyle w:val="FootnoteAnchor"/>
          <w:rtl w:val="true"/>
        </w:rPr>
        <w:footnoteReference w:id="147"/>
      </w:r>
      <w:bookmarkStart w:id="147" w:name="pg1814_18964"/>
    </w:p>
    <w:p>
      <w:pPr>
        <w:pStyle w:val="Heading6"/>
        <w:numPr>
          <w:ilvl w:val="5"/>
          <w:numId w:val="1"/>
        </w:numPr>
        <w:rPr/>
      </w:pPr>
      <w:bookmarkStart w:id="148" w:name="__RefHeading___Toc2647131_3650668749"/>
      <w:bookmarkStart w:id="149" w:name="_Toc54"/>
      <w:bookmarkEnd w:id="147"/>
      <w:bookmarkEnd w:id="148"/>
      <w:r>
        <w:rPr/>
        <w:t>2</w:t>
      </w:r>
      <w:r>
        <w:rPr>
          <w:rtl w:val="true"/>
        </w:rPr>
        <w:t xml:space="preserve">. </w:t>
      </w:r>
      <w:r>
        <w:rPr>
          <w:rtl w:val="true"/>
        </w:rPr>
        <w:t>پايداري در محبت اهل بيت عليهم السلام</w:t>
      </w:r>
      <w:bookmarkEnd w:id="149"/>
    </w:p>
    <w:p>
      <w:pPr>
        <w:pStyle w:val="BookText"/>
        <w:rPr/>
      </w:pPr>
      <w:r>
        <w:rPr>
          <w:rFonts w:ascii="IRNazanin" w:hAnsi="IRNazanin" w:eastAsia="IRNazanin"/>
          <w:color w:val="111111"/>
          <w:sz w:val="28"/>
          <w:sz w:val="28"/>
          <w:szCs w:val="28"/>
          <w:rtl w:val="true"/>
          <w:lang w:bidi="fa-IR"/>
        </w:rPr>
        <w:t>يكي از وظايف مهم مؤمنان در هر عصر و زمان، دوستي با اهل بيت پيامبر صلي الله عليه و آله در جايگاه دوستان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غيبتِ واپسين پيشواي معصوم، به سبب پنهان‌زيستي امام، ممكن است عواملي انسان را از اين وظيفة مهم دور سازد؛ از اين رو در روايات، سفارش شده است كه بر دوستي با همة پيشوايان معصوم عليهم السلام پايدار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نكنيم اين دوستي، افزون بر اينكه دستور پروردگار بزرگ است،</w:t>
      </w:r>
      <w:r>
        <w:rPr>
          <w:rStyle w:val="FootnoteAnchor"/>
          <w:rtl w:val="true"/>
        </w:rPr>
        <w:footnoteReference w:id="148"/>
      </w:r>
      <w:r>
        <w:rPr>
          <w:rFonts w:ascii="IRNazanin" w:hAnsi="IRNazanin" w:eastAsia="IRNazanin"/>
          <w:color w:val="111111"/>
          <w:sz w:val="28"/>
          <w:sz w:val="28"/>
          <w:szCs w:val="28"/>
          <w:rtl w:val="true"/>
          <w:lang w:bidi="fa-IR"/>
        </w:rPr>
        <w:t>در گفتار رسول اكرم صلي الله عليه و آله، آن‌گاه كه سخن از واپسين جانشين خود به ميان مي‌آورد و در نهايت احترام، از بزرگ‌ترين واژگان محبت يعني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بابي و امي؛</w:t>
      </w:r>
      <w:r>
        <w:rPr>
          <w:rStyle w:val="FootnoteAnchor"/>
          <w:rtl w:val="true"/>
        </w:rPr>
        <w:footnoteReference w:id="149"/>
      </w:r>
      <w:r>
        <w:rPr>
          <w:rFonts w:ascii="IRNazanin" w:hAnsi="IRNazanin" w:eastAsia="IRNazanin"/>
          <w:color w:val="111111"/>
          <w:sz w:val="28"/>
          <w:sz w:val="28"/>
          <w:szCs w:val="28"/>
          <w:rtl w:val="true"/>
          <w:lang w:bidi="fa-IR"/>
        </w:rPr>
        <w:t>پدر و مادرم فداي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مي‌كرد،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آن‌گاه كه نگاه تيزبين علي بن ابيطالب عليه السلام عصرها و قرن‌ها را در مي‌نوردد، زمان واپسين امام را مي‌بيند و با واژگاني مانند رسول اكرم صلي الله عليه و آله اردات خود را نشان مي‌دهد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 آنگاه كه از امام صادق عليه السلام مي‌پرسند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قائم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لَوْ أَدْرَكْتُهُ لَخَدَمْتُهُ أَيامَ حَياتِي؛</w:t>
      </w:r>
      <w:r>
        <w:rPr>
          <w:rStyle w:val="FootnoteAnchor"/>
          <w:rtl w:val="true"/>
        </w:rPr>
        <w:footnoteReference w:id="151"/>
      </w:r>
      <w:r>
        <w:rPr>
          <w:rFonts w:ascii="IRNazanin" w:hAnsi="IRNazanin" w:eastAsia="IRNazanin"/>
          <w:color w:val="111111"/>
          <w:sz w:val="28"/>
          <w:sz w:val="28"/>
          <w:szCs w:val="28"/>
          <w:rtl w:val="true"/>
          <w:lang w:bidi="fa-IR"/>
        </w:rPr>
        <w:t>نه؛ اگر او را درك كنم، روزهاي زندگانيم را خدمتگذار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جايي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لَوْ أَدْرَكْتُ ذَلِكَ لَأَبْقَيتُ نَفْسِي لِصَاحِبِ هَذَا الْأَمْرِ؛</w:t>
      </w:r>
      <w:r>
        <w:rPr>
          <w:rStyle w:val="FootnoteAnchor"/>
          <w:rtl w:val="true"/>
        </w:rPr>
        <w:footnoteReference w:id="152"/>
      </w:r>
      <w:r>
        <w:rPr>
          <w:rFonts w:ascii="IRNazanin" w:hAnsi="IRNazanin" w:eastAsia="IRNazanin"/>
          <w:color w:val="111111"/>
          <w:sz w:val="28"/>
          <w:sz w:val="28"/>
          <w:szCs w:val="28"/>
          <w:rtl w:val="true"/>
          <w:lang w:bidi="fa-IR"/>
        </w:rPr>
        <w:t>به درستي كه اگر من آن روز را درك مي‌كردم، جانم را براي صاحب اين امر نگه مي‌داشتم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روايت‌هاي يادشده و مانند آن، جاي ترديدي نيست كه محبّت اهل بيت عليهم السلام ـ به ويژه واپسين حجت الهي ـ در دوران غيبت و به‌ويژه آستانة ظهور، كاري بس مهم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اساسي در زمينه‌سازي فرهنگي براي ظهور خواهد داشت</w:t>
      </w:r>
      <w:r>
        <w:rPr>
          <w:rFonts w:eastAsia="IRNazanin" w:cs="IRNazanin"/>
          <w:color w:val="111111"/>
          <w:sz w:val="28"/>
          <w:szCs w:val="28"/>
          <w:rtl w:val="true"/>
          <w:lang w:bidi="fa-IR"/>
        </w:rPr>
        <w:t>.</w:t>
      </w:r>
      <w:bookmarkStart w:id="150" w:name="pg1814_18966"/>
    </w:p>
    <w:p>
      <w:pPr>
        <w:pStyle w:val="Heading6"/>
        <w:numPr>
          <w:ilvl w:val="5"/>
          <w:numId w:val="1"/>
        </w:numPr>
        <w:rPr/>
      </w:pPr>
      <w:bookmarkStart w:id="151" w:name="__RefHeading___Toc2647133_3650668749"/>
      <w:bookmarkStart w:id="152" w:name="_Toc55"/>
      <w:bookmarkEnd w:id="150"/>
      <w:bookmarkEnd w:id="151"/>
      <w:r>
        <w:rPr/>
        <w:t>3</w:t>
      </w:r>
      <w:r>
        <w:rPr>
          <w:rtl w:val="true"/>
        </w:rPr>
        <w:t xml:space="preserve">. </w:t>
      </w:r>
      <w:r>
        <w:rPr>
          <w:rtl w:val="true"/>
        </w:rPr>
        <w:t>پيروي از امامان پيشين عليهم السلام</w:t>
      </w:r>
      <w:bookmarkEnd w:id="15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همة امامان عليهم السلام نور يگانه‌اي هستند، دستور‌ها و فرموده‌هاي ايشان نيز يك هدف را دنبال مي‌كند؛ بنابر‌اين، پيروي از هر كدام، پيروي از همة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زماني كه يكي از آن‌ها در دسترس نيست، دستور‌هاي ديگران چراغ راه هدايت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رفتار به دستورات آنها زمينه‌هاي فرهنگي براي درك ظهور را فراهم مي‌كند</w:t>
      </w:r>
      <w:r>
        <w:rPr>
          <w:rFonts w:eastAsia="IRNazanin" w:cs="IRNazanin"/>
          <w:color w:val="111111"/>
          <w:sz w:val="28"/>
          <w:szCs w:val="28"/>
          <w:rtl w:val="true"/>
          <w:lang w:bidi="fa-IR"/>
        </w:rPr>
        <w:t>.</w:t>
      </w:r>
      <w:bookmarkStart w:id="153" w:name="pg1814_18968"/>
    </w:p>
    <w:p>
      <w:pPr>
        <w:pStyle w:val="Heading6"/>
        <w:numPr>
          <w:ilvl w:val="5"/>
          <w:numId w:val="1"/>
        </w:numPr>
        <w:rPr/>
      </w:pPr>
      <w:bookmarkStart w:id="154" w:name="__RefHeading___Toc2647135_3650668749"/>
      <w:bookmarkStart w:id="155" w:name="_Toc56"/>
      <w:bookmarkEnd w:id="153"/>
      <w:bookmarkEnd w:id="154"/>
      <w:r>
        <w:rPr/>
        <w:t>4</w:t>
      </w:r>
      <w:r>
        <w:rPr>
          <w:rtl w:val="true"/>
        </w:rPr>
        <w:t xml:space="preserve">. </w:t>
      </w:r>
      <w:r>
        <w:rPr>
          <w:rtl w:val="true"/>
        </w:rPr>
        <w:t>بزرگداشت نام و ياد آن حضرت</w:t>
      </w:r>
      <w:bookmarkEnd w:id="155"/>
    </w:p>
    <w:p>
      <w:pPr>
        <w:pStyle w:val="BookText"/>
        <w:rPr/>
      </w:pPr>
      <w:r>
        <w:rPr>
          <w:rFonts w:ascii="IRNazanin" w:hAnsi="IRNazanin" w:eastAsia="IRNazanin"/>
          <w:color w:val="111111"/>
          <w:sz w:val="28"/>
          <w:sz w:val="28"/>
          <w:szCs w:val="28"/>
          <w:rtl w:val="true"/>
          <w:lang w:bidi="fa-IR"/>
        </w:rPr>
        <w:t>يكي از مسؤوليت‌هاي شيعه دربارة حضرت مهدي عجل الله فرجه در اين دوران بزرگداشت نام و ياد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بزرگداشت، جلوه‌هاي فراواني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برپايي نشست‌هاي دعا و نيايش گرفته تا كارهاي فرهنگي و ترويجي و از برپايي حلقه‌هاي بحث و گفت‌و‌گو گرفته، تا پژوهش‌هاي بنيادين و سودمند، همه و همه مي‌تواند در راستاي بلندي بخشيدن به اين نام بزرگ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نقش مردم به‌طور عام و ياران و ياوران به طور خاص، در زمينه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سازي براي ظهور در عرصة اعتقادي، نقشي كليدي و در جهت خودسازي براي توان‌مندي ياري حضرت مهدي عليه السلام است</w:t>
      </w:r>
      <w:r>
        <w:rPr>
          <w:rFonts w:eastAsia="Amiri" w:cs="Amiri" w:ascii="Amiri" w:hAnsi="Amiri"/>
          <w:color w:val="111111"/>
          <w:sz w:val="28"/>
          <w:szCs w:val="28"/>
          <w:rtl w:val="true"/>
          <w:lang w:bidi="ar-SA"/>
        </w:rPr>
        <w:t>.</w:t>
      </w:r>
      <w:bookmarkStart w:id="156" w:name="pg1814_18970"/>
    </w:p>
    <w:p>
      <w:pPr>
        <w:pStyle w:val="Heading6"/>
        <w:numPr>
          <w:ilvl w:val="5"/>
          <w:numId w:val="1"/>
        </w:numPr>
        <w:rPr/>
      </w:pPr>
      <w:bookmarkStart w:id="157" w:name="__RefHeading___Toc2647137_3650668749"/>
      <w:bookmarkStart w:id="158" w:name="_Toc57"/>
      <w:bookmarkEnd w:id="156"/>
      <w:bookmarkEnd w:id="157"/>
      <w:r>
        <w:rPr>
          <w:rtl w:val="true"/>
        </w:rPr>
        <w:t>ب</w:t>
      </w:r>
      <w:r>
        <w:rPr>
          <w:rtl w:val="true"/>
        </w:rPr>
        <w:t xml:space="preserve">) </w:t>
      </w:r>
      <w:r>
        <w:rPr>
          <w:rtl w:val="true"/>
        </w:rPr>
        <w:t>در عرصه سياسي</w:t>
      </w:r>
      <w:bookmarkEnd w:id="158"/>
    </w:p>
    <w:p>
      <w:pPr>
        <w:pStyle w:val="Heading6"/>
        <w:numPr>
          <w:ilvl w:val="5"/>
          <w:numId w:val="1"/>
        </w:numPr>
        <w:rPr/>
      </w:pPr>
      <w:bookmarkStart w:id="159" w:name="__RefHeading___Toc2647139_3650668749"/>
      <w:bookmarkStart w:id="160" w:name="_Toc58"/>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اگر چه به‌دست‌آوردن آمادگي در عرصة اعتقادي، عرصه‌هاي ديگر را نيز در بر داشته و آن‌ها را نيز به دست مي‌دهد، اما به جهت زمينه‌سازي در اين عرصه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 برپايي حكومت عدل جهاني مي‌بايست زمينه‌هاي سياسي اين اتفاق بزرگ را نيز فراهم نمايند؛ كه به نظر مي‌رسد اين زمينه‌سازي در دو محور تلاش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علمي و عملي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آشناشدن علاقه‌مندان آن حضرت با روش‌هاي سياسي حضرت مهدي عليه السلام در برپايي حكومت جهاني و به بيان ديگر، روش سياسي حضرت در عصر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آشناكردن ديگران با اين انديشة بلند سياسي كه البته بيرون‌آوردن اين انديشة سياسي از بين روايات در دست، كاري شدني، اما سخت است كه تا كنون آن‌گونه كه شايسته است، صورت نپذيرفته است</w:t>
      </w:r>
      <w:r>
        <w:rPr>
          <w:rFonts w:eastAsia="IRNazanin" w:cs="IRNazanin"/>
          <w:color w:val="111111"/>
          <w:sz w:val="28"/>
          <w:szCs w:val="28"/>
          <w:rtl w:val="true"/>
          <w:lang w:bidi="fa-IR"/>
        </w:rPr>
        <w:t>.</w:t>
      </w:r>
      <w:r>
        <w:rPr>
          <w:rStyle w:val="FootnoteAnchor"/>
          <w:rtl w:val="true"/>
        </w:rPr>
        <w:footnoteReference w:id="15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با توجه به جهاني‌بودن حكومت حضرت مهدي عليه السلام، و زمينه‌هاي فراهم‌شده در عرصة بين الملل، امروزه بيش از هر زمان ديگر نيازمند بازشناسي و بازنمايي ابعاد سياسي حكومت جهاني آن حضرت به جهانيان هستيم و اين، خود، مسئوليتي اساسي بر دوش دانشمندان علوم ديني است</w:t>
      </w:r>
      <w:r>
        <w:rPr>
          <w:rFonts w:eastAsia="IRNazanin" w:cs="IRNazanin"/>
          <w:color w:val="111111"/>
          <w:sz w:val="28"/>
          <w:szCs w:val="28"/>
          <w:rtl w:val="true"/>
          <w:lang w:bidi="fa-IR"/>
        </w:rPr>
        <w:t>.</w:t>
      </w:r>
      <w:bookmarkStart w:id="161" w:name="pg1814_18972"/>
    </w:p>
    <w:p>
      <w:pPr>
        <w:pStyle w:val="Heading6"/>
        <w:numPr>
          <w:ilvl w:val="5"/>
          <w:numId w:val="1"/>
        </w:numPr>
        <w:rPr/>
      </w:pPr>
      <w:bookmarkStart w:id="162" w:name="__RefHeading___Toc2647141_3650668749"/>
      <w:bookmarkStart w:id="163" w:name="_Toc59"/>
      <w:bookmarkEnd w:id="161"/>
      <w:bookmarkEnd w:id="162"/>
      <w:r>
        <w:rPr>
          <w:rtl w:val="true"/>
        </w:rPr>
        <w:t>پيوند مستمر با ولايت</w:t>
      </w:r>
      <w:bookmarkEnd w:id="163"/>
    </w:p>
    <w:p>
      <w:pPr>
        <w:pStyle w:val="BookText"/>
        <w:rPr/>
      </w:pPr>
      <w:r>
        <w:rPr>
          <w:rFonts w:ascii="IRNazanin" w:hAnsi="IRNazanin" w:eastAsia="IRNazanin"/>
          <w:color w:val="111111"/>
          <w:sz w:val="28"/>
          <w:sz w:val="28"/>
          <w:szCs w:val="28"/>
          <w:rtl w:val="true"/>
          <w:lang w:bidi="fa-IR"/>
        </w:rPr>
        <w:t>حفظ و تقويت پيوند قلبي با امام عصر عجل الله تعالي فرجه و تجديد دائمي عهد و پيمان، يكي از نشانه‌هاي آمادگي سياسي در ولايت‌پذيري آن حضرت هنگام ظهور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درباره ثابت‌قدمان بر امر ولايت فرموده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زماني بر مردم آيد كه امامشان غيبت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افرادي كه در آن زمان، بر امر ما ثابت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ثوابي كه براي آن‌ها خواهد بود، اين است كه باري تعالي به آن‌ها ندا كرده و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بندگان و اي كنيزان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نهان من ايمان آورديد و غيب مرا تصديق كرديد؛ پس به ثواب نيكوي خود، شما را مژده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بندگان و كنيزان حقيقي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مي‌پذيرم و از شما در مي‌گذرم و براي شما مي‌بخشم و به واسطة شما باران بر بندگانم مي‌بارم و بلا را از آن‌ها بگردانم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نبوديد؛ بر آن‌ها عذاب مي‌فرستادم</w:t>
      </w:r>
      <w:r>
        <w:rPr>
          <w:rFonts w:eastAsia="IRNazanin" w:cs="IRNazanin"/>
          <w:color w:val="111111"/>
          <w:sz w:val="28"/>
          <w:szCs w:val="28"/>
          <w:rtl w:val="true"/>
          <w:lang w:bidi="fa-IR"/>
        </w:rPr>
        <w:t xml:space="preserve">.... </w:t>
      </w:r>
      <w:r>
        <w:rPr>
          <w:rStyle w:val="FootnoteAnchor"/>
          <w:rtl w:val="true"/>
        </w:rPr>
        <w:footnoteReference w:id="155"/>
      </w:r>
      <w:bookmarkStart w:id="164" w:name="pg1814_18974"/>
    </w:p>
    <w:p>
      <w:pPr>
        <w:pStyle w:val="Heading6"/>
        <w:numPr>
          <w:ilvl w:val="5"/>
          <w:numId w:val="1"/>
        </w:numPr>
        <w:rPr/>
      </w:pPr>
      <w:bookmarkStart w:id="165" w:name="__RefHeading___Toc2647143_3650668749"/>
      <w:bookmarkStart w:id="166" w:name="_Toc60"/>
      <w:bookmarkEnd w:id="164"/>
      <w:bookmarkEnd w:id="165"/>
      <w:r>
        <w:rPr>
          <w:rtl w:val="true"/>
        </w:rPr>
        <w:t>ج</w:t>
      </w:r>
      <w:r>
        <w:rPr>
          <w:rtl w:val="true"/>
        </w:rPr>
        <w:t xml:space="preserve">) </w:t>
      </w:r>
      <w:r>
        <w:rPr>
          <w:rtl w:val="true"/>
        </w:rPr>
        <w:t>در عرصة اجتماعي</w:t>
      </w:r>
      <w:bookmarkEnd w:id="166"/>
    </w:p>
    <w:p>
      <w:pPr>
        <w:pStyle w:val="BookText"/>
        <w:rPr/>
      </w:pPr>
      <w:r>
        <w:rPr>
          <w:rFonts w:ascii="IRNazanin" w:hAnsi="IRNazanin" w:eastAsia="IRNazanin"/>
          <w:color w:val="111111"/>
          <w:sz w:val="28"/>
          <w:sz w:val="28"/>
          <w:szCs w:val="28"/>
          <w:rtl w:val="true"/>
          <w:lang w:bidi="fa-IR"/>
        </w:rPr>
        <w:t>پيش از اين ياد شد، انسان‌ها، معمار سرنوشت جامعه و تاريخ‌اند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محور دگرگوني اوضاع اجتماعي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آنان است كه بتوانند جامعة خويش را از وضع بد و نامناسب به خوب و مناسب برسانند و يا بر 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آيات قرآن كريم و بررسي سرگذشت ملت‌ها و امت‌هاي پيشين، به روشني درمي‌يابيم كه سنت الهي چنين بوده كه پديد‌آمدن هر گونه دگرگوني و تحولي براي جامعه‌هاي انساني، به دست و ارادة خود آنان شدني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سرنوشت يك انسان، در گرو چگونگي رفتار و كارهاي او است، سرنوشت يك جامعه نيز بستگي فراواني به كاركرد گروهي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در آيه‌ا‌ي تأكيد كرده سرنوشت هيچ قوم و ملتي را دچار دگرگوني نمي‌كند مگر آنكه آنان آنچه را در خودشان است، تغيير دهند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 در آيه‌اي ديگر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نعمتي را كه به گروه و امتي داده، تغيير نمي‌دهد؛ جز آنكه آنان، خودشان را تغيير دهند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از واژه‌هاي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آيه، به روشني به دست مي‌آيد كه خواست گروهيِ جامعه، بسترهاي گوناگوني را فراهم مي‌سازد كه در دگرگوني سرنوشت آن اجتماع، نقش به‌سزايي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دگرگوني زيرساخت‌هاي ارزشي جامعه، بستر و زمينة مهمي در دگرگوني اوضاع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از درون انديشه و جان انسان‌ها سر برآورده و آن‌گاه ارادة اجتماعي نوين هماهنگ با آن انديشه و آرمان را پديد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حكومت‌ها به مثابه بزرگ‌ترين فرآوردة ارادة اجتماعي، پيرو اين اصل اساسي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ضروري‌ترين كار، پيش از سامان‌يافتن هر نوع حكومتي در جامعه، فراهم‌كردن زمينه‌ها و بسترهاي هماهنگ با آن حكومت، جهت پذيرش مردمي است؛ چرا كه ساختار حكومت مطلوب مردم، در جامعه به گونه‌اي شكل مي‌گيرد كه خرد گروهيِ اجتماع، تحمل پذيرش آن را داشته باشند</w:t>
      </w:r>
      <w:r>
        <w:rPr>
          <w:rFonts w:eastAsia="IRNazanin" w:cs="IRNazanin"/>
          <w:color w:val="111111"/>
          <w:sz w:val="28"/>
          <w:szCs w:val="28"/>
          <w:rtl w:val="true"/>
          <w:lang w:bidi="fa-IR"/>
        </w:rPr>
        <w:t>.</w:t>
      </w:r>
      <w:bookmarkStart w:id="167" w:name="pg1814_18976"/>
    </w:p>
    <w:p>
      <w:pPr>
        <w:pStyle w:val="Heading6"/>
        <w:numPr>
          <w:ilvl w:val="5"/>
          <w:numId w:val="1"/>
        </w:numPr>
        <w:rPr/>
      </w:pPr>
      <w:bookmarkStart w:id="168" w:name="__RefHeading___Toc2647145_3650668749"/>
      <w:bookmarkStart w:id="169" w:name="_Toc61"/>
      <w:bookmarkEnd w:id="167"/>
      <w:bookmarkEnd w:id="168"/>
      <w:r>
        <w:rPr>
          <w:rtl w:val="true"/>
        </w:rPr>
        <w:t>د</w:t>
      </w:r>
      <w:r>
        <w:rPr>
          <w:rtl w:val="true"/>
        </w:rPr>
        <w:t xml:space="preserve">) </w:t>
      </w:r>
      <w:r>
        <w:rPr>
          <w:rtl w:val="true"/>
        </w:rPr>
        <w:t>در عرصة نظامي و انتظامي</w:t>
      </w:r>
      <w:bookmarkEnd w:id="169"/>
    </w:p>
    <w:p>
      <w:pPr>
        <w:pStyle w:val="BookText"/>
        <w:rPr/>
      </w:pPr>
      <w:r>
        <w:rPr>
          <w:rFonts w:ascii="IRNazanin" w:hAnsi="IRNazanin" w:eastAsia="IRNazanin"/>
          <w:color w:val="111111"/>
          <w:sz w:val="28"/>
          <w:sz w:val="28"/>
          <w:szCs w:val="28"/>
          <w:rtl w:val="true"/>
          <w:lang w:bidi="fa-IR"/>
        </w:rPr>
        <w:t>از مهم‌ترين وظايف دوران غيبت به عنوان زمينه‌سازي، آمادگي پيوسته و راستين از جهت توانمندي جسماني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در كتاب‌هاي روايي روايات فراواني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در پي آية شريف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يا أَيُّهَا الَّذينَ آمَنُوا اصْبِرُوا وَ صابِرُوا وَ رابِطُوا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اي كساني كه ايمان آورده‌ايد، شكيبايي كنيد و ايستادگي ورزيد و مرزها را نگهباني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اصْبِرُوا عَلَي أَدَاءِ الْفَرَائِضِ وَ صَابِرُوا عَدُوَّكُمْ وَ رَابِطُوا إِمَامَكُمْ المنتظر؛</w:t>
      </w:r>
      <w:r>
        <w:rPr>
          <w:rStyle w:val="FootnoteAnchor"/>
          <w:rtl w:val="true"/>
        </w:rPr>
        <w:footnoteReference w:id="159"/>
      </w:r>
      <w:r>
        <w:rPr>
          <w:rFonts w:ascii="IRNazanin" w:hAnsi="IRNazanin" w:eastAsia="IRNazanin"/>
          <w:color w:val="111111"/>
          <w:sz w:val="28"/>
          <w:sz w:val="28"/>
          <w:szCs w:val="28"/>
          <w:rtl w:val="true"/>
          <w:lang w:bidi="fa-IR"/>
        </w:rPr>
        <w:t>بر انجام واجبات شكيبايي كنيد و برابر دشمنان، يك ديگر را ياري نماييد و براي ياري پيشواي منتظَر، همواره آمادگي خود را حفظ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پندار برخي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ممكن است بر ايجاد ارتباط و ملاقات با حضرت معنا كنند، اين واژه به معناي آمادگي براي مبارزه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 از سخنان پيشوايان معصومان عليهم السلام به دست مي‌آيد، مرابطه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گروهي از مسلمانان در مرزهاي كشورهاي اسلامي براي دوركردن دشمنان آماده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مؤمنان در هر حال، منتظر فرج معصومان عليهم السلام باشند، و در فرمانبرداري امر آن‌ها و شكيبايي بر طول زمان ظهور و فرج و در آنچه در حال ناپيدايي آن‌ها و امر آن‌ها است، ثابت قدم باشند، و در اين حال، تا اندازة امكان آماده باشند؛ عزم بر ياري ايشان در هنگام ظهور داشته باشند و از نظر ظاهري و جسمي هم در امر آن‌ها ثابت قدم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يك از شما براي ظهور قائم عجل الله تعالي فرجه جنگ‌افزاري فراهم كنيد؛ اگر چه يك تير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همين كه كسي اين نيّت را داشته باشد، حقّ تعالي او را از ياران و ياوران او قرار دهد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به دست‌آوردن توان و قوّت براي رودررويي با تهديدهاي دشمنان، همواره مورد پافشاري آموزه‌هاي ديني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همة صراحت بر اين مهم تأكيد كرده، پيروان خود را به فراهم‌نمودن همة ابزارهاي ممكن در اين راه سفارش مي‌كند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اين آموزه‌ها اگر چه در بارة همه انسان‌ها و همة دوران‌هاست، اما با توجه به حساسيت دوران غيبت و آستانة ظهور، اين آمادگي، اهميت فراواني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نمودهاي زمينه‌سازي توان‌مند، آمادگي جسماني براي حضور در زمان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درباره ويژگي‌هاي ياران امام مهدي عجل الله تعالي فرجه، توان جسماني هركدام از آن‌ها را برابر چهل مرد نيرومند دانسته، قلب‌هاي آن‌ها را بسان پولادي استوار توصيف كرده كه اگر بر كوه‌هاي آهن بگذرند، آن را بَر كَنند و شمشيرهاي خود را در نيام نكنند تا آن‌كه خداي تعالي خشنود گردد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حضرت مهدي عجل الله تعالي فرجه ‌پس از آگاه‌كردن جهانيان و اتمام حجت با آنان، به ناگزير با ستم‌گران و دشمنان، جنگ خونيني كرده و همانند جدّ بزرگوار خود، برخورد تندي با آنان خواهد داشت</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از روايات استقاده مي‌شود كه او در اين رودررويي از ياران خود نيز ياري مي‌خواهد و آنان نيز در نهايت شجاعت در كنار آن حضرت با دشمنان مبارزه خواهند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چنين ياراني، مي‌بايست پيش از ظهور فراهم آيند و اين شدني نيست، مگر با افزايش توان و قدرت جسماني در عصر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همة منتظران به اين امور مهم و پايه‌اي توجه لازم را داشته باشند، بدون ترديد، براي چگونگي درك دوران ظهور نقش مؤثري ايفا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قيام حضرت مهدي عجل الله فرجه مبارزه‌اي است در برابر نيروهاي كفر جهاني و برخلاف پندار برخي، اين پيروزي با سختي‌ها و ناملايمات فراواني آميخته خواهد شد كه بايسته است زمينه‌سازان آن قيام جهاني، به بهترين صورت ممكن خود را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بكر واسطي از بشير نبّال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مي‌گويند كه مهدي عجل الله فرجه اگر قيام كند، كارها به خودي خود براي او برقرار مي‌شود و به اندازه حجامتي خون نمي‌ريزد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وَ الَّذِي نَفْسِي بِيَدِهِ لَوِ اسْتَقَامَتْ لِأَحَدٍ عَفْواً لَاسْتَقَامَتْ لِرَسُولِ اللَّهِ صلي الله عليه و آله حِينَ أُدْمِيَتْ رَبَاعِيَتُهُ وَ شُجَّ فِي وَجْهِهِ كَلَّا وَ الَّذِي نَفْسِي بِيَدِهِ حَتَّي نَمْسَحَ نَحْنُ وَ أَنْتُمُ الْعَرَقَ وَ الْعَلَقَ ثُمَّ مَسَحَ جَبْهَتَهِ؛ِِِ</w:t>
      </w:r>
      <w:r>
        <w:rPr>
          <w:rStyle w:val="FootnoteAnchor"/>
          <w:rtl w:val="true"/>
        </w:rPr>
        <w:footnoteReference w:id="165"/>
      </w:r>
      <w:r>
        <w:rPr>
          <w:rFonts w:ascii="IRNazanin" w:hAnsi="IRNazanin" w:eastAsia="IRNazanin"/>
          <w:color w:val="111111"/>
          <w:sz w:val="28"/>
          <w:sz w:val="28"/>
          <w:szCs w:val="28"/>
          <w:rtl w:val="true"/>
          <w:lang w:bidi="fa-IR"/>
        </w:rPr>
        <w:t>هرگز چنين نيست؛ سوگند به آنكه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كارها به خودي خود، براي كسي برقرار و رو به راه مي‌شد، به طور مسلّم براي رسول خدا درست مي‌شد؛ آن‌گاه كه دندان‌هاي پيشين آن حضرت شكست و صورتش را زخم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هرگز، سوگند به آن‌كه جان من در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ما و شما عرق و خون بسته شده را پاك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پيشاني خود را ـ به عنوان نشانه‌اي از آن حالت ـ پاك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شكي نيست كه دشمنان آن‌گاه كه نابودي خود را در قيام آن حضرت ببينند همة تلاش خود را براي بقاي خود به كار خواهند گرفت و اين گونه نخواهد بود كه به راحتي تسليم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همة منتظران آن دوران نوراني است تا در عرصة نظامي و افزايش توانمندي‌هاي جسماني خود تلاش وافري داشته باشند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نكنيم كه اين ويژگي‌ها، اختصاصي به برخي از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و ياوران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بلكه همه كساني كه در انتظار آن انقلاب بزرگ به سر مي‌برند به نسبت مي‌بايست آمادگي مناسب را به دست آورند</w:t>
      </w:r>
      <w:r>
        <w:rPr>
          <w:rFonts w:eastAsia="IRNazanin" w:cs="IRNazanin"/>
          <w:color w:val="111111"/>
          <w:sz w:val="28"/>
          <w:szCs w:val="28"/>
          <w:rtl w:val="true"/>
          <w:lang w:bidi="fa-IR"/>
        </w:rPr>
        <w:t>.</w:t>
      </w:r>
      <w:bookmarkStart w:id="170" w:name="pg1814_18978"/>
    </w:p>
    <w:p>
      <w:pPr>
        <w:pStyle w:val="Heading5"/>
        <w:numPr>
          <w:ilvl w:val="4"/>
          <w:numId w:val="1"/>
        </w:numPr>
        <w:rPr/>
      </w:pPr>
      <w:bookmarkStart w:id="171" w:name="__RefHeading___Toc2647147_3650668749"/>
      <w:bookmarkStart w:id="172" w:name="_Toc62"/>
      <w:bookmarkEnd w:id="170"/>
      <w:bookmarkEnd w:id="171"/>
      <w:r>
        <w:rPr/>
        <w:t>2</w:t>
      </w:r>
      <w:r>
        <w:rPr>
          <w:rtl w:val="true"/>
        </w:rPr>
        <w:t xml:space="preserve">. </w:t>
      </w:r>
      <w:r>
        <w:rPr>
          <w:rtl w:val="true"/>
        </w:rPr>
        <w:t>زمينه‌سازان خاص</w:t>
      </w:r>
      <w:bookmarkEnd w:id="172"/>
    </w:p>
    <w:p>
      <w:pPr>
        <w:pStyle w:val="BookText"/>
        <w:rPr/>
      </w:pPr>
      <w:r>
        <w:rPr>
          <w:rFonts w:ascii="IRNazanin" w:hAnsi="IRNazanin" w:eastAsia="IRNazanin"/>
          <w:color w:val="111111"/>
          <w:sz w:val="28"/>
          <w:sz w:val="28"/>
          <w:szCs w:val="28"/>
          <w:rtl w:val="true"/>
          <w:lang w:bidi="fa-IR"/>
        </w:rPr>
        <w:t>افزون بر آنچه ياد شد، در برخي از روايات، گروه‌هايي ويژه به عنوان زمينه‌ساز مورد توجه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اين باره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كَأَنِّي بِقَوْمٍ قَدْ خَرَجُوا بِالمَشْرِقِ يَطْلُبُونَ الحَقَّ فَلا يُعْطُوْنَهُ ثُمَّ يَطْلُبُونَ فَلا يُعطَونَهُ فَاِذا رَأَوْا ذَلِكَ وَضَعُوا سُيُوفَهُمْ عَلي عَواتِقِهِمْ فَيُعْطَوْنَ مَا سَأَلُوهُ فَلا يَقْبَلُونَهُ حَتَّي يَقُومُوا وَلا يَدْفَعُونَها اِلاَّ اِلي صاحِبِكُمْ قَتْلاهُمْ شُهَداءٌ اَما اِنِّي لَوْ اَدْرَكْتُ ذَلِكَ لَاِسْتَبْقَيْتُ نَفْسي لِصاحِبِ هَذا الاَمْرِ؛</w:t>
      </w:r>
      <w:r>
        <w:rPr>
          <w:rStyle w:val="FootnoteAnchor"/>
          <w:rtl w:val="true"/>
        </w:rPr>
        <w:footnoteReference w:id="166"/>
      </w:r>
      <w:r>
        <w:rPr>
          <w:rFonts w:ascii="IRNazanin" w:hAnsi="IRNazanin" w:eastAsia="IRNazanin"/>
          <w:color w:val="111111"/>
          <w:sz w:val="28"/>
          <w:sz w:val="28"/>
          <w:szCs w:val="28"/>
          <w:rtl w:val="true"/>
          <w:lang w:bidi="fa-IR"/>
        </w:rPr>
        <w:t>گويي گروهي را مي‌بينم كه از شرق، براي به دست‌آوردن حق به پا مي‌خيزند؛ ولي بدانان نمي‌دهند و باز درخواست مي‌كنند، اما به آنان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چنين مي‌بينند، شمشيرهاي خود را بر دوش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آنچه را مي‌خواهند به آنان مي‌دهند؛ ولي نمي‌پذيرند تا اينكه قيام مي‌كنند و آن را جز به صاحب الامر عليه السلام تسليم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كشتگان آنان شهيدند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آنان را درك كنم، جانم را براي صاحب الامر مي‌گذارم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روايت ـ كه به نظر مي‌رسد نه از نظر سند</w:t>
      </w:r>
      <w:r>
        <w:rPr>
          <w:rStyle w:val="FootnoteAnchor"/>
          <w:rtl w:val="true"/>
        </w:rPr>
        <w:footnoteReference w:id="167"/>
      </w:r>
      <w:r>
        <w:rPr>
          <w:rFonts w:ascii="IRNazanin" w:hAnsi="IRNazanin" w:eastAsia="IRNazanin"/>
          <w:color w:val="111111"/>
          <w:sz w:val="28"/>
          <w:sz w:val="28"/>
          <w:szCs w:val="28"/>
          <w:rtl w:val="true"/>
          <w:lang w:bidi="fa-IR"/>
        </w:rPr>
        <w:t>و نه محتوا، مشكلي ندارد ـ از برپايي قيام‌ها و انقلاب‌هايي در آستانة ظهور حضرت مهدي عجل الله فرجه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اين‌ها، روايات ديگري نيز بر اين نكته پافشاري كرده‌اند كه پيش از ظهور، حكومتي به رهبري يكي از صالحان در ناحيه مشرق برپا مي‌شود و زمينه ظهور را فراهم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حكومت، تا آشكارشدن مهدي عجل الله فرجه و دادن آن به حضرت ايشان، ادامه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مجلسي به نقل علي بن عيسي اربلي در كشف الغمه به نقل از كنجي شافعي روايتي را با يادآوري سند از پيامبر اكرم صلي الله عليه و آله نقل كرده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يَخْرُجُ أُنَاسٌ مِنَ الْمَشْرِقِ فَيُوطِئُونَ لِلْمَهْدِيِّ يَعْنِي سُلْطَانَهُ؛ مردماني از مشرق قيام مي‌كنند پس براي مهدي آماده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سلطنت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كنجي شافعي در اعتبار حديث و اينكه آن را روايت صحيحي مي‌داند كه افرادي معتبري نقل كرده‌اند،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حَسَنٌ صَحِيحٌ رَوَتْهُ الثِّقَاتُ وَ الْأَثْبَاتُ أَخْرَجَهُ الْحَافِظُ أَبُو عَبْدِ اللَّهِ بْنُ مَاجَةَ الْقَزْوِينِيُّ فِي سُنَنِه</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روايت را معتبر دانسته است</w:t>
      </w:r>
      <w:r>
        <w:rPr>
          <w:rFonts w:eastAsia="Amiri" w:cs="Amiri" w:ascii="Amiri" w:hAnsi="Amiri"/>
          <w:color w:val="111111"/>
          <w:sz w:val="28"/>
          <w:szCs w:val="28"/>
          <w:rtl w:val="true"/>
          <w:lang w:bidi="ar-SA"/>
        </w:rPr>
        <w:t>.</w:t>
      </w:r>
      <w:bookmarkStart w:id="173" w:name="pg1814_18980"/>
    </w:p>
    <w:p>
      <w:pPr>
        <w:pStyle w:val="Heading4"/>
        <w:numPr>
          <w:ilvl w:val="3"/>
          <w:numId w:val="1"/>
        </w:numPr>
        <w:rPr/>
      </w:pPr>
      <w:bookmarkStart w:id="174" w:name="__RefHeading___Toc2647149_3650668749"/>
      <w:bookmarkStart w:id="175" w:name="_Toc63"/>
      <w:bookmarkEnd w:id="173"/>
      <w:bookmarkEnd w:id="174"/>
      <w:r>
        <w:rPr>
          <w:rtl w:val="true"/>
        </w:rPr>
        <w:t>دو بررسي كوتاه</w:t>
      </w:r>
      <w:bookmarkEnd w:id="175"/>
    </w:p>
    <w:p>
      <w:pPr>
        <w:pStyle w:val="Heading5"/>
        <w:numPr>
          <w:ilvl w:val="4"/>
          <w:numId w:val="1"/>
        </w:numPr>
        <w:rPr/>
      </w:pPr>
      <w:bookmarkStart w:id="176" w:name="__RefHeading___Toc2647151_3650668749"/>
      <w:bookmarkStart w:id="177" w:name="_Toc64"/>
      <w:bookmarkEnd w:id="176"/>
      <w:r>
        <w:rPr>
          <w:rtl w:val="true"/>
        </w:rPr>
        <w:t xml:space="preserve">يك </w:t>
      </w:r>
      <w:r>
        <w:rPr>
          <w:rtl w:val="true"/>
        </w:rPr>
        <w:t xml:space="preserve">. </w:t>
      </w:r>
      <w:r>
        <w:rPr>
          <w:rtl w:val="true"/>
        </w:rPr>
        <w:t>پرچم‌هاي سياه</w:t>
      </w:r>
      <w:bookmarkEnd w:id="177"/>
    </w:p>
    <w:p>
      <w:pPr>
        <w:pStyle w:val="BookText"/>
        <w:rPr/>
      </w:pPr>
      <w:r>
        <w:rPr>
          <w:rFonts w:ascii="IRNazanin" w:hAnsi="IRNazanin" w:eastAsia="IRNazanin"/>
          <w:color w:val="111111"/>
          <w:sz w:val="28"/>
          <w:sz w:val="28"/>
          <w:szCs w:val="28"/>
          <w:rtl w:val="true"/>
          <w:lang w:bidi="fa-IR"/>
        </w:rPr>
        <w:t>ناگفته نگذرم، در زمينة روايات مربوط به قيام‌هاي زمينه‌ساز، از پرچم‌هاي سياه نام برده شده كه روايات فراواني ـ به‌ويژه در برخي منابع اهل سنت ـ نقل شده است كه البته گمان ساختگي‌بودن بسياري از آنها بسيار قوي مي‌نمايد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اما مهم آن است كه زمينه اين‌گونه جعل‌ها با روايات دردست بين مسلمانان كم و بيش هم‌خواني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روايات مي‌توان به موارد زير اشاره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طوسي با يادآوري سند از امام باقر عليه السلام نقل كرده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تَنْزِلُ الرَّايَاتُ السُّودُ الَّتِي تَخْرُجُ مِنْ خُرَاسَانَ إِلَي الْكُوفَةِ فَإِذَا ظَهَرَ الْمَهْدِيُّ بُعِثَ إِلَيْهِ بِالْبَيْعَةِ؛</w:t>
      </w:r>
      <w:r>
        <w:rPr>
          <w:rStyle w:val="FootnoteAnchor"/>
          <w:rtl w:val="true"/>
        </w:rPr>
        <w:footnoteReference w:id="170"/>
      </w:r>
      <w:r>
        <w:rPr>
          <w:rFonts w:ascii="IRNazanin" w:hAnsi="IRNazanin" w:eastAsia="IRNazanin"/>
          <w:color w:val="111111"/>
          <w:sz w:val="28"/>
          <w:sz w:val="28"/>
          <w:szCs w:val="28"/>
          <w:rtl w:val="true"/>
          <w:lang w:bidi="fa-IR"/>
        </w:rPr>
        <w:t>پرچم‌هاي سياه از خراسان آمده در كوفه فرود مي‌آيند، آنگاه كه مهدي آشكار شد آنها را خواسته با وي بيعت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علامة مجلسي از كتاب كشف الغمه في معرفه الائمه از بخش چهل حديث ابو نعيم اصفهاني نقل كرده كه در آنها به پرچم‌هاي سياه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نخست از پيامبر اكرم صلي الله عليه و آله و سلم نقل كرده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رَأَيْتُمُ الرَّايَاتِ السُّودَ قَدْ أَقْبَلَتْ مِنْ خُرَاسَانَ فَائْتُوهَا وَ لَوْ حَبْواً عَلَي الثَّلْجِ فَإِنَّ فِيهَا خَلِيفَةَ اللَّهِ الْمَهْدِيَّ؛</w:t>
      </w:r>
      <w:r>
        <w:rPr>
          <w:rStyle w:val="FootnoteAnchor"/>
          <w:rtl w:val="true"/>
        </w:rPr>
        <w:footnoteReference w:id="171"/>
      </w:r>
      <w:r>
        <w:rPr>
          <w:rFonts w:ascii="IRNazanin" w:hAnsi="IRNazanin" w:eastAsia="IRNazanin"/>
          <w:color w:val="111111"/>
          <w:sz w:val="28"/>
          <w:sz w:val="28"/>
          <w:szCs w:val="28"/>
          <w:rtl w:val="true"/>
          <w:lang w:bidi="fa-IR"/>
        </w:rPr>
        <w:t>هنگامي كه ديديد پرچم‌هاي سياه از خراسان به سوي شما آمد آن را همراهي كنيد؛ اگر چه با عبور از روي برف‌ها باشد كه همانا در آن خليفه الهي مهدي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روايت پس از آن نيز با همين مضمون نقل شده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اين روايت كه از شهرت فراواني برخوردار است هم از نظر سند و هم از نظر متن، گوناگون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حنبل آن را از ابوقلابه از ثوبان از رسول خدا صلي الله عليه و آله و سلم نقل كرده</w:t>
      </w:r>
      <w:r>
        <w:rPr>
          <w:rStyle w:val="FootnoteAnchor"/>
          <w:rtl w:val="true"/>
        </w:rPr>
        <w:footnoteReference w:id="173"/>
      </w:r>
      <w:r>
        <w:rPr>
          <w:rFonts w:ascii="Amiri" w:hAnsi="Amiri" w:eastAsia="Amiri" w:cs="Amiri"/>
          <w:color w:val="111111"/>
          <w:sz w:val="28"/>
          <w:sz w:val="28"/>
          <w:szCs w:val="28"/>
          <w:rtl w:val="true"/>
          <w:lang w:bidi="ar-SA"/>
        </w:rPr>
        <w:t>اما ابن حماد بدون استناد به رسول خدا صلي الله عليه و آله و سلم آن را از ابوقلابه از ثوبان غلام رسول خدا آورده است</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هر دو صورت ابوقلابه در سند روايت است و گفته شده او مدلس</w:t>
      </w:r>
      <w:r>
        <w:rPr>
          <w:rStyle w:val="FootnoteAnchor"/>
          <w:rtl w:val="true"/>
        </w:rPr>
        <w:footnoteReference w:id="175"/>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بنابراين روايت ضعيف و غير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روايات ديگر همين مضمون نقل شده در حالي كه لقب مهدي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ديده مي‌شود اين مضمون بيش از آنكه در روايات شيعه نقل شده باشد در كتاب‌هاي اهل سنت يادآوري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صرف نظر از ميزان اعتبار اين روايات نزد اهل سنت بررسي‌ها از شمار فراوان اين روايات در منابع ياد شده حكايت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اهل سنت مي‌توان به احمد بن حنبل در مسند، ابن ماجه در سنن،</w:t>
      </w:r>
      <w:r>
        <w:rPr>
          <w:rStyle w:val="FootnoteAnchor"/>
          <w:rtl w:val="true"/>
        </w:rPr>
        <w:footnoteReference w:id="177"/>
      </w:r>
      <w:r>
        <w:rPr>
          <w:rFonts w:ascii="Amiri" w:hAnsi="Amiri" w:eastAsia="Amiri" w:cs="Amiri"/>
          <w:color w:val="111111"/>
          <w:sz w:val="28"/>
          <w:sz w:val="28"/>
          <w:szCs w:val="28"/>
          <w:rtl w:val="true"/>
          <w:lang w:bidi="ar-SA"/>
        </w:rPr>
        <w:t>حاكم نيشابوري در مستدرك،</w:t>
      </w:r>
      <w:r>
        <w:rPr>
          <w:rStyle w:val="FootnoteAnchor"/>
          <w:rtl w:val="true"/>
        </w:rPr>
        <w:footnoteReference w:id="178"/>
      </w:r>
      <w:r>
        <w:rPr>
          <w:rFonts w:ascii="Amiri" w:hAnsi="Amiri" w:eastAsia="Amiri" w:cs="Amiri"/>
          <w:color w:val="111111"/>
          <w:sz w:val="28"/>
          <w:sz w:val="28"/>
          <w:szCs w:val="28"/>
          <w:rtl w:val="true"/>
          <w:lang w:bidi="ar-SA"/>
        </w:rPr>
        <w:t>و متقي هندي در كنز العمال</w:t>
      </w:r>
      <w:r>
        <w:rPr>
          <w:rStyle w:val="FootnoteAnchor"/>
          <w:rtl w:val="true"/>
        </w:rPr>
        <w:footnoteReference w:id="179"/>
      </w:r>
      <w:r>
        <w:rPr>
          <w:rFonts w:ascii="Amiri" w:hAnsi="Amiri" w:eastAsia="Amiri" w:cs="Amiri"/>
          <w:color w:val="111111"/>
          <w:sz w:val="28"/>
          <w:sz w:val="28"/>
          <w:szCs w:val="28"/>
          <w:rtl w:val="true"/>
          <w:lang w:bidi="ar-SA"/>
        </w:rPr>
        <w:t>اشاره كرد كه اين روايات را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نويسندگان بزرگ معاصر به اين نكته كه حديث يادشده ممكن است از روايات ساختگي به دست بني عباس يا از طرفداران ابومسلم خراساني باشد، اشاره كرده، اشكال جدي‌تر را در محتواي آن دانسته و تأكيد بر بطلان آن كرده‌اند با اين بيان كه مهدي از خراسان نمي‌آيد و پرچم‌هاي سياه شعار بني عباس بوده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برخي پژوهشگران معاصر، روايات پرچم‌هاي سياه را از پايه ساختگي دانسته، بر اين باورند كه اخبار مربوط به پرچم‌هاي سياه بسيار آشفته و مطالب در آن بسيار گنگ است؛ آنگاه تصريح مي‌كند كه اين پرچم‌ها ارتباطي به ظهور قائم آل محمد صلي الله عليه و آله و سلم ندارد، بلكه همان پرچم‌هايي است كه حدود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شرق امپراتوري اسلامي برافراشته شد و تا كوفه و سپس تا شام و بيت المقدس پيش رفت و پي‌آمد آن برپايي خلافت عباسيان شد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البته برخي ديگر نيز پس از نقل روايات در اين زمينه اصل روايات را پيش از عباسي‌ها ثابت دانسته، اما جعل وتحريف را بعيد ندانسته،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أحاديث الرايات السود متعددة، ولعل أصلها حديث واحد تعددت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نطمئن إليه بعد تتبعها أن أصل الحديث عن تمهيد قوم من خراسان للمهدي كان موجودا قبل حركة العباسيين، وأنهم استفادوا منه واتخذوا شعار الرايات السود لهذا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سبب ذلك أن طرأ علي رواية الحديث تغييرات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فإن رواية الرواة الذين كانوا مخالفين لبني العباس تكون أوثق وأبعد عن التهمة والشك؛</w:t>
      </w:r>
      <w:r>
        <w:rPr>
          <w:rStyle w:val="FootnoteAnchor"/>
          <w:rtl w:val="true"/>
        </w:rPr>
        <w:footnoteReference w:id="182"/>
      </w:r>
      <w:r>
        <w:rPr>
          <w:rFonts w:ascii="IRNazanin" w:hAnsi="IRNazanin" w:eastAsia="IRNazanin"/>
          <w:color w:val="111111"/>
          <w:sz w:val="28"/>
          <w:sz w:val="28"/>
          <w:szCs w:val="28"/>
          <w:rtl w:val="true"/>
          <w:lang w:bidi="fa-IR"/>
        </w:rPr>
        <w:t>روايات پرچم‌هاي سياه پرشمارند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ممكن است اصل آن يك روايت بوده و نقل‌هاي فراواني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مي‌توان پس از بررسي‌ها به آن اطمينان يافت اينكه اصل روايتي كه ثابت مي‌كند قومي از خراسان براي ياري مهدي قيام مي‌كنند پيش از حركت عباسيين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عباسيون از آن بهره بردند و آن را شعار پرچم‌هاي سياه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دگرگوني‌هايي در روايت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رواياتي كه راوي آن از مخالفان بني عباس باشد معتبرتر است و از ترديد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بين اهل سنت نيز برخي از پژوهشگران معاصر ـ ضمن اينكه شمار روايات صحيح مهدويت را كمتر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دانسته ـ برخي روايات مربوط به پرچم‌هاي سياه را در شمار روايات صحيح دانسته، در اين باره قلم‌فرسايي كرده،</w:t>
      </w:r>
      <w:r>
        <w:rPr>
          <w:rStyle w:val="FootnoteAnchor"/>
          <w:rtl w:val="true"/>
        </w:rPr>
        <w:footnoteReference w:id="183"/>
      </w:r>
      <w:r>
        <w:rPr>
          <w:rFonts w:ascii="Amiri" w:hAnsi="Amiri" w:eastAsia="Amiri" w:cs="Amiri"/>
          <w:color w:val="111111"/>
          <w:sz w:val="28"/>
          <w:sz w:val="28"/>
          <w:szCs w:val="28"/>
          <w:rtl w:val="true"/>
          <w:lang w:bidi="ar-SA"/>
        </w:rPr>
        <w:t>برخي روايات در اين زمينه را معتبر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روايات يادشده، رواياتي ديگر نيز برخي از حركت‌هاي در آستانه ظهور را به عنوان قيام‌هاي زمينه‌ساز و نشانه يادآوري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نويسندگان معاصر شيعه پس از اشاره به برخي روايات يادشده در اين زمينه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برخي، تشكيل دولت شيعي‌مذهب صفويه را ـ كه پس از قرن‌ها استيلاي حاكمان مستبد و متعصب عامي مذهب، روي كار آمد ـ همان دولتي دانسته‌اند كه در روايات از جمله زمينه‌سازان حكومت مهدي عجل الله فرجه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نيز، برخي از نويسندگان با استناد به ويژگي‌هايي كه در روايات آمده، انقلاب اسلامي ايران را ـ كه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 به رهبري امام خميني به پيروزي رسيد ـ همان دولتي دانسته‌اند كه زمينه را براي ظهور و قيام حضرت مهدي عجل الله فرجه آماده مي‌كند كه ان شاء اللّه تا ظهور آن حضرت ادامه مي‌يابد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هر صورت، گرچه قراين فراواني، اين گمان را قوّت مي‌بخشد؛ ولي دليل قطعي در دست نيست كه ثابت كند منظور از حكومت زمينه‌ساز، همين انقلاب اسلامي ايران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نخستين باري نيست كه دانشمندان شيعه، چنين گماني را مطرح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نيز، هرگاه حركت و انقلابي از ناحية شرق ـ به ويژه منطقة خراسان ـ صورت مي‌گرفت، اين گمان تقويت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هيچ يك از آن حركت‌ها به اندازه انقلاب اسلامي، زمينه‌ساز انقلاب مهدي عجل الله فرجه نبوده‌اند؛ بلكه اصلاً مقايسه آن‌ها با انقلاب اسلامي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احتمال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زمينه‌ساز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ايران باشد و تا ظهور حضرت مهدي عجل الله فرجه تداوم يابد، بسيار است</w:t>
      </w:r>
      <w:r>
        <w:rPr>
          <w:rFonts w:eastAsia="IRNazanin" w:cs="IRNazanin"/>
          <w:color w:val="111111"/>
          <w:sz w:val="28"/>
          <w:szCs w:val="28"/>
          <w:rtl w:val="true"/>
          <w:lang w:bidi="fa-IR"/>
        </w:rPr>
        <w:t>.</w:t>
      </w:r>
      <w:r>
        <w:rPr>
          <w:rStyle w:val="FootnoteAnchor"/>
          <w:rtl w:val="true"/>
        </w:rPr>
        <w:footnoteReference w:id="185"/>
      </w:r>
      <w:bookmarkStart w:id="178" w:name="pg1814_18983"/>
    </w:p>
    <w:p>
      <w:pPr>
        <w:pStyle w:val="Heading5"/>
        <w:numPr>
          <w:ilvl w:val="4"/>
          <w:numId w:val="1"/>
        </w:numPr>
        <w:rPr/>
      </w:pPr>
      <w:bookmarkStart w:id="179" w:name="__RefHeading___Toc2647153_3650668749"/>
      <w:bookmarkStart w:id="180" w:name="_Toc65"/>
      <w:bookmarkEnd w:id="178"/>
      <w:bookmarkEnd w:id="179"/>
      <w:r>
        <w:rPr>
          <w:rtl w:val="true"/>
        </w:rPr>
        <w:t xml:space="preserve">دو </w:t>
      </w:r>
      <w:r>
        <w:rPr>
          <w:rtl w:val="true"/>
        </w:rPr>
        <w:t xml:space="preserve">. </w:t>
      </w:r>
      <w:r>
        <w:rPr>
          <w:rtl w:val="true"/>
        </w:rPr>
        <w:t>موَطئون از مشرق</w:t>
      </w:r>
      <w:bookmarkEnd w:id="180"/>
    </w:p>
    <w:p>
      <w:pPr>
        <w:pStyle w:val="BookText"/>
        <w:rPr/>
      </w:pPr>
      <w:r>
        <w:rPr>
          <w:rFonts w:ascii="IRNazanin" w:hAnsi="IRNazanin" w:eastAsia="IRNazanin"/>
          <w:color w:val="111111"/>
          <w:sz w:val="28"/>
          <w:sz w:val="28"/>
          <w:szCs w:val="28"/>
          <w:rtl w:val="true"/>
          <w:lang w:bidi="fa-IR"/>
        </w:rPr>
        <w:t>يكي از رواياتي كه در بحث زمينه‌سازان ويژه، فراوان به آن اشاره مي‌شود روايتي است از پيامبر اكرم صلي الله عليه و آله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يخرج ناس من المشرق فيوطئون للمهدي؛ مردماني از مشرق خروج مي‌كنند، پس براي مهدي فراهم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سلطنت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نخسين بار به قلم محمد بن يزيد 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وي اين‌گونه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حرملة بن يحيى المصري، وإبراهيم بن سعيد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صالح عبد الغفار بن داود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لهيعة عن أبي زرعة عمرو بن جابر الحضرمي، عن عبد الله بن الحرث بن جزء الزبيدي،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ناس 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فيوطئون للمهدى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سلطانه</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روشن است كه دو كلمة پاياني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در دست، پس از ابن ماجه دومين كسي كه روايت را نقل كرده، 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روايت را اين‌گونه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أحمد بن رشدين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سفيان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بن لهيعة عن أبي زرعة عمرو بن جابر عن عبد الله بن الحارث بن جزء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قوم من قبل المشرق فيوطئون للمهدي سلطانه؛</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آنگاه در ادامه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يروى هذا الحديث عن عبد الله بن الحارث إلا بهذا الاسناد تفرد به بن لهيعة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بن يحيي مقدسي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كساني است كه به نقل اين روايت پرداخته 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پس از وي هيتمي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الزوايد، در كنار نقل روايت، سند آن را فاقد اعتبار دانسته،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الأوسط و فيه عمرو بن جابر و هو كذاب</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و اين يكي از اظهار نظرها در بارة اعتبار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وي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را در تاريخ خود نقل و همان موضع هيتمي را گرفته، روايت را بي‌اعتبار دانسته است</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نويسندگان معاصر اهل سنت پس از نقل روايت و اشاره به همة منابعي كه آن را نقل كرده‌اند پس از بررسي رجال حديث به صراحت آن را ضعيف دانسته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ضعيف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الحضرمي متروك</w:t>
      </w:r>
      <w:r>
        <w:rPr>
          <w:rFonts w:eastAsia="IRNazanin" w:cs="IRNazanin"/>
          <w:color w:val="111111"/>
          <w:sz w:val="28"/>
          <w:szCs w:val="28"/>
          <w:rtl w:val="true"/>
          <w:lang w:bidi="fa-IR"/>
        </w:rPr>
        <w:t xml:space="preserve">. </w:t>
      </w:r>
      <w:r>
        <w:rPr>
          <w:rStyle w:val="FootnoteAnchor"/>
          <w:rtl w:val="true"/>
        </w:rPr>
        <w:footnoteReference w:id="191"/>
      </w:r>
      <w:bookmarkStart w:id="181" w:name="pg1814_18985"/>
    </w:p>
    <w:p>
      <w:pPr>
        <w:pStyle w:val="Heading4"/>
        <w:numPr>
          <w:ilvl w:val="3"/>
          <w:numId w:val="1"/>
        </w:numPr>
        <w:rPr/>
      </w:pPr>
      <w:bookmarkStart w:id="182" w:name="__RefHeading___Toc2647155_3650668749"/>
      <w:bookmarkStart w:id="183" w:name="_Toc66"/>
      <w:bookmarkEnd w:id="181"/>
      <w:bookmarkEnd w:id="182"/>
      <w:r>
        <w:rPr>
          <w:rtl w:val="true"/>
        </w:rPr>
        <w:t>نكته‌ها</w:t>
      </w:r>
      <w:bookmarkEnd w:id="183"/>
    </w:p>
    <w:p>
      <w:pPr>
        <w:pStyle w:val="BookText"/>
        <w:rPr/>
      </w:pPr>
      <w:r>
        <w:rPr>
          <w:rFonts w:ascii="Amiri" w:hAnsi="Amiri" w:eastAsia="Amiri" w:cs="Amiri"/>
          <w:color w:val="111111"/>
          <w:sz w:val="28"/>
          <w:sz w:val="28"/>
          <w:szCs w:val="28"/>
          <w:rtl w:val="true"/>
          <w:lang w:bidi="ar-SA"/>
        </w:rPr>
        <w:t>صرف نظر از اينكه روايت يادشده از نظر اهل سنت معتبر باشد يا خير، نكاتي قابل تأمل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روايت و حتي مضمون آن به صورت يادشده در سخن هيچ‌يك از معصومان عليهم السلام اشاره نشده است؛ نه فقط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فيوطئون للمهدي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فيوطئون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روايات براي زمينه‌سازان نيامده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روايت براي نخستين بار از طريق كتاب كشف الغمه</w:t>
      </w:r>
      <w:r>
        <w:rPr>
          <w:rStyle w:val="FootnoteAnchor"/>
          <w:rtl w:val="true"/>
        </w:rPr>
        <w:footnoteReference w:id="192"/>
      </w:r>
      <w:r>
        <w:rPr>
          <w:rFonts w:ascii="Amiri" w:hAnsi="Amiri" w:eastAsia="Amiri" w:cs="Amiri"/>
          <w:color w:val="111111"/>
          <w:sz w:val="28"/>
          <w:sz w:val="28"/>
          <w:szCs w:val="28"/>
          <w:rtl w:val="true"/>
          <w:lang w:bidi="ar-SA"/>
        </w:rPr>
        <w:t>مرحوم اربلي از كتاب كفاية الطالب في مناقب علي بن ابي طالب، اثر محمد بن يوسف بن محمد كنجي 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به منابع روايي شيعه راه يافته و مرحوم علامه مجلسي</w:t>
      </w:r>
      <w:r>
        <w:rPr>
          <w:rStyle w:val="FootnoteAnchor"/>
          <w:rtl w:val="true"/>
        </w:rPr>
        <w:footnoteReference w:id="194"/>
      </w:r>
      <w:r>
        <w:rPr>
          <w:rFonts w:ascii="IRNazanin" w:hAnsi="IRNazanin" w:eastAsia="IRNazanin"/>
          <w:color w:val="111111"/>
          <w:sz w:val="28"/>
          <w:sz w:val="28"/>
          <w:szCs w:val="28"/>
          <w:rtl w:val="true"/>
          <w:lang w:bidi="fa-IR"/>
        </w:rPr>
        <w:t>نيز از اين كتاب روايت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وي به طور عموم از اين دو منبع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دو نكتة ياد شده لزومي بر اصرار استفاده از اين روايت در بحث‌هاي شيعي به نظر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براي بررسي محتواي مورد نظر اگر چنانچه روايت معتبر در منابع شيعه باشد، نياز به بهره‌مندي از اين گونه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بسياري از اهل سنت داراي اعتبار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وجهي ندارد</w:t>
      </w:r>
      <w:r>
        <w:rPr>
          <w:rFonts w:eastAsia="IRNazanin" w:cs="IRNazanin"/>
          <w:color w:val="111111"/>
          <w:sz w:val="28"/>
          <w:szCs w:val="28"/>
          <w:rtl w:val="true"/>
          <w:lang w:bidi="fa-IR"/>
        </w:rPr>
        <w:t>.</w:t>
      </w:r>
      <w:bookmarkStart w:id="184" w:name="pg1814_18986"/>
    </w:p>
    <w:p>
      <w:pPr>
        <w:pStyle w:val="Heading4"/>
        <w:numPr>
          <w:ilvl w:val="3"/>
          <w:numId w:val="1"/>
        </w:numPr>
        <w:rPr/>
      </w:pPr>
      <w:bookmarkStart w:id="185" w:name="__RefHeading___Toc2647157_3650668749"/>
      <w:bookmarkStart w:id="186" w:name="_Toc67"/>
      <w:bookmarkEnd w:id="184"/>
      <w:bookmarkEnd w:id="185"/>
      <w:r>
        <w:rPr>
          <w:rtl w:val="true"/>
        </w:rPr>
        <w:t>قيام و برپايي حكومت در عصر غيبت</w:t>
      </w:r>
      <w:bookmarkEnd w:id="186"/>
    </w:p>
    <w:p>
      <w:pPr>
        <w:pStyle w:val="Heading5"/>
        <w:numPr>
          <w:ilvl w:val="4"/>
          <w:numId w:val="1"/>
        </w:numPr>
        <w:rPr/>
      </w:pPr>
      <w:bookmarkStart w:id="187" w:name="__RefHeading___Toc2647159_3650668749"/>
      <w:bookmarkStart w:id="188" w:name="_Toc68"/>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يكي از موضوعاتي كه در مباحث مهدويت، همواره در بارة آن بحث و مناقشه بوده و هست، بحث قيام و برپايي حكومت در دوران غيبت و پيش از نهضت جهاني حضرت مهدي عجل الله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با استناد به پاره‌اي روايات، پنداشته‌اند هرگونه شورش بر فرمانروايان ستم‌گر، پيش از ظهور امام زمان عليه السلام ناروا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هرگونه نداي عدالت‌خواهانه‌اي، مخالفت ورزيده و آن را طاغوت مي‌نامند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بر اين پندارند روايات، به پرهيز از هرگونه قيام پيش از ظهور حضرت مهدي عجل الله فرجه سفارش كرده، از برپايي حكومت و هرگونه قيام مسلحانه پيش از ظهور جلوگيري مي‌كند و نيز پافشاري كرده اين‌گونه قيام‌ها، پاياني جز شكست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گروهي ديگر با استناد به برخي آيات قرآن و روايات معصومان عليهم السلام، برپايي قيام و حكومت اسلامي را در دوران غيبت در صورت امكان، امري روا و بلكه واجب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بررسي كوتاه برخي روايات در بارة قيام‌هاي پيش از ظهور مي‌پردازيم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جلوگيري از حركت‌هاي اصلاح‌گرايانه در دوران انتظار، روايات گوناگوني نقل شده كه مي‌توان آنها را به چند گروه تقسيم كرد</w:t>
      </w:r>
      <w:r>
        <w:rPr>
          <w:rFonts w:eastAsia="IRNazanin" w:cs="IRNazanin"/>
          <w:color w:val="111111"/>
          <w:sz w:val="28"/>
          <w:szCs w:val="28"/>
          <w:rtl w:val="true"/>
          <w:lang w:bidi="fa-IR"/>
        </w:rPr>
        <w:t>:</w:t>
      </w:r>
      <w:r>
        <w:rPr>
          <w:rStyle w:val="FootnoteAnchor"/>
          <w:rtl w:val="true"/>
        </w:rPr>
        <w:footnoteReference w:id="195"/>
      </w:r>
      <w:bookmarkStart w:id="189" w:name="pg1814_18988"/>
    </w:p>
    <w:p>
      <w:pPr>
        <w:pStyle w:val="Heading5"/>
        <w:numPr>
          <w:ilvl w:val="4"/>
          <w:numId w:val="1"/>
        </w:numPr>
        <w:rPr/>
      </w:pPr>
      <w:bookmarkStart w:id="190" w:name="__RefHeading___Toc2647161_3650668749"/>
      <w:bookmarkStart w:id="191" w:name="_Toc69"/>
      <w:bookmarkEnd w:id="189"/>
      <w:bookmarkEnd w:id="190"/>
      <w:r>
        <w:rPr/>
        <w:t>1</w:t>
      </w:r>
      <w:r>
        <w:rPr>
          <w:rtl w:val="true"/>
        </w:rPr>
        <w:t xml:space="preserve">. </w:t>
      </w:r>
      <w:r>
        <w:rPr>
          <w:rtl w:val="true"/>
        </w:rPr>
        <w:t>طاغوت‌بودن پرچم‌داران قيام‌</w:t>
      </w:r>
      <w:bookmarkEnd w:id="191"/>
    </w:p>
    <w:p>
      <w:pPr>
        <w:pStyle w:val="BookText"/>
        <w:rPr/>
      </w:pPr>
      <w:r>
        <w:rPr>
          <w:rFonts w:ascii="IRNazanin" w:hAnsi="IRNazanin" w:eastAsia="IRNazanin"/>
          <w:color w:val="111111"/>
          <w:sz w:val="28"/>
          <w:sz w:val="28"/>
          <w:szCs w:val="28"/>
          <w:rtl w:val="true"/>
          <w:lang w:bidi="fa-IR"/>
        </w:rPr>
        <w:t>برخي از اين روايات، به‌طور عام، هرگونه شورش و برافراشتن هر پرچمي را پيش از قيام حضرت حجّت عجل ‌الله‌ فرجه، ردّ كرده و پرچم‌دار آن را طاغوت و يا مشرك دانسته است</w:t>
      </w:r>
      <w:r>
        <w:rPr>
          <w:rFonts w:eastAsia="IRNazanin" w:cs="IRNazanin"/>
          <w:color w:val="111111"/>
          <w:sz w:val="28"/>
          <w:szCs w:val="28"/>
          <w:rtl w:val="true"/>
          <w:lang w:bidi="fa-IR"/>
        </w:rPr>
        <w:t>.</w:t>
      </w:r>
      <w:r>
        <w:rPr>
          <w:rStyle w:val="FootnoteAnchor"/>
          <w:rtl w:val="true"/>
        </w:rPr>
        <w:footnoteReference w:id="196"/>
      </w:r>
      <w:r>
        <w:rPr>
          <w:rFonts w:ascii="Amiri" w:hAnsi="Amiri" w:eastAsia="Amiri" w:cs="Amiri"/>
          <w:color w:val="111111"/>
          <w:sz w:val="28"/>
          <w:sz w:val="28"/>
          <w:szCs w:val="28"/>
          <w:rtl w:val="true"/>
          <w:lang w:bidi="ar-SA"/>
        </w:rPr>
        <w:t>دو روايت در اين بحث در دست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كليني با ذكر سند از ابو بصير نقل كرده است كه 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رايَةٍ تُرْفَعُ قَبْلَ قِيامِ القائِمِ فَصاحِبُها طاغُوتٌ يُعْبَدُ مِنْ دُونِ اللّهِ عَزَّوَجَلَّ؛</w:t>
      </w:r>
      <w:r>
        <w:rPr>
          <w:rStyle w:val="FootnoteAnchor"/>
          <w:rtl w:val="true"/>
        </w:rPr>
        <w:footnoteReference w:id="197"/>
      </w:r>
      <w:r>
        <w:rPr>
          <w:rFonts w:ascii="IRNazanin" w:hAnsi="IRNazanin" w:eastAsia="IRNazanin"/>
          <w:color w:val="111111"/>
          <w:sz w:val="28"/>
          <w:sz w:val="28"/>
          <w:szCs w:val="28"/>
          <w:rtl w:val="true"/>
          <w:lang w:bidi="fa-IR"/>
        </w:rPr>
        <w:t>هر پرچمي پيش از قيام قائم بر افراشته شود، پرچم‌دار آن طاغوتي است كه در برابر خدا پرستش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علاّمه مجلسي، اين روايت را موثَّق دانسته،</w:t>
      </w:r>
      <w:r>
        <w:rPr>
          <w:rStyle w:val="FootnoteAnchor"/>
          <w:rtl w:val="true"/>
        </w:rPr>
        <w:footnoteReference w:id="198"/>
      </w:r>
      <w:r>
        <w:rPr>
          <w:rFonts w:ascii="IRNazanin" w:hAnsi="IRNazanin" w:eastAsia="IRNazanin"/>
          <w:color w:val="111111"/>
          <w:sz w:val="28"/>
          <w:sz w:val="28"/>
          <w:szCs w:val="28"/>
          <w:rtl w:val="true"/>
          <w:lang w:bidi="fa-IR"/>
        </w:rPr>
        <w:t xml:space="preserve">ولي سند آن، خالي از اشكال نيست؛ زيرا در اين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برخي وي را توثيق و گروهي او را تضعيف كرده‌اند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اما دربارة محتواي روايت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يُعْبَدُ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حديث بيان‌گر آن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برافراشته‌شده پيش از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پرچمي است كه در برابر خداوند بزرگ و رسول و امام عليهم السلام برافراشته شود و برافرازنده آن در برابر حكومت خدا، حكومتي برپا كند و در پي آن باشد كه به خواسته‌هاي خود،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نمي‌توان شخص شايسته‌اي را كه براي حاكميت دين، به پا خاسته و اقدام كرده است؛ طاغوت خواند؛ زيرا چنين پرچمي، نه فقط در برابر پرچم قائم عجل الله فرجه برافراشته نشده، كه در راه و سوي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روايتي كه ابن ابي زينب در كتاب الغيبة به نقل از مالك بن اعين جهني از امام باقر عليه السلام با مضمون روايت نخست و با سه سند متفاوت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أعين جهني نقل كرده كه امام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رايَةٍ تُرْفَعُ قَبْلَ راية القائِمِ صاحِبُها طاغُوتٌ؛</w:t>
      </w:r>
      <w:r>
        <w:rPr>
          <w:rStyle w:val="FootnoteAnchor"/>
          <w:rtl w:val="true"/>
        </w:rPr>
        <w:footnoteReference w:id="200"/>
      </w:r>
      <w:r>
        <w:rPr>
          <w:rFonts w:ascii="IRNazanin" w:hAnsi="IRNazanin" w:eastAsia="IRNazanin"/>
          <w:color w:val="111111"/>
          <w:sz w:val="28"/>
          <w:sz w:val="28"/>
          <w:szCs w:val="28"/>
          <w:rtl w:val="true"/>
          <w:lang w:bidi="fa-IR"/>
        </w:rPr>
        <w:t>هر پرچمي پيش از به‌پاخاستن قائم بر افراشته شود، صاحب آن طاغوت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ابي‌حمزه بطائني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واقفيه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دانش رجال، او را توثيق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كتاب خلاصه، وي را به شدّت تضعيف كرده است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او از وكلاي شناخته‌شده و مورد اعتماد امام كاظم عليه السلام بود كه پس از زنداني‌شدن آن حضرت، دارايي فراواني از شيعه به دست او و ديگر وكلا رسيد؛ اما آنان پس از شهادت امام هفتم، طمع ورزيدند و آن حضرت را واپسين حجت خدا و همان مهدي موعود عجل الله فرجه معرفي كرده و امامت فرزندش حضرت رضا عليه السلام را منكر شدند تا اموال را به چنگ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آيت الله خوئي پس از نقل سخن موافقان و مخالفان، نتيجه مي‌گيرد كه نمي‌توان به وثاقت او حكم كرد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بنابراين، به سبب ضعف سند، نمي‌توان به اين روايت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فرض چشم‌پوشي از ضعف سند روايت، همچنان آنچه در بارة محتواي روايت پيشين گفته شد در اين روايت نيز بحث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أعين جهني نقل كرده كه امام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رايَةٍ تُرْفَعُ قَبْلَ قِيامِ القائِمِ صاحِبُها طاغُوتٌ؛</w:t>
      </w:r>
      <w:r>
        <w:rPr>
          <w:rStyle w:val="FootnoteAnchor"/>
          <w:rtl w:val="true"/>
        </w:rPr>
        <w:footnoteReference w:id="203"/>
      </w:r>
      <w:r>
        <w:rPr>
          <w:rFonts w:ascii="IRNazanin" w:hAnsi="IRNazanin" w:eastAsia="IRNazanin"/>
          <w:color w:val="111111"/>
          <w:sz w:val="28"/>
          <w:sz w:val="28"/>
          <w:szCs w:val="28"/>
          <w:rtl w:val="true"/>
          <w:lang w:bidi="fa-IR"/>
        </w:rPr>
        <w:t>هر پرچمي پيش از به‌پاخاستن قائم بر افراشته شود، صاحب آن طاغوت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سند اين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حسان 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نجاشي وي را راوي از ضعفا</w:t>
      </w:r>
      <w:r>
        <w:rPr>
          <w:rStyle w:val="FootnoteAnchor"/>
          <w:rtl w:val="true"/>
        </w:rPr>
        <w:footnoteReference w:id="204"/>
      </w:r>
      <w:r>
        <w:rPr>
          <w:rFonts w:ascii="Amiri" w:hAnsi="Amiri" w:eastAsia="Amiri" w:cs="Amiri"/>
          <w:color w:val="111111"/>
          <w:sz w:val="28"/>
          <w:sz w:val="28"/>
          <w:szCs w:val="28"/>
          <w:rtl w:val="true"/>
          <w:lang w:bidi="ar-SA"/>
        </w:rPr>
        <w:t xml:space="preserve">دانسته و ابن داود از وي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كرده‌است</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 xml:space="preserve">با توجه به تضعيف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اين دو نفر، به اين روايت نيز اعتماد نمي‌شود؛ اگرچه مرحوم خويي پس از نقل سخن نجاشي و ابن غضائري، وي را بنابر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ثقه دانسته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بن أحمد بندنيجي از عبيد الله بن موسي علوي از علي بن إبراهيم بن هاشم از پدرش از عبد الله بن مغيره از عبد الله بن مسكان از مالك بن أعين جهني نقل كرده كه امام باقر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رايَةٍ تُرْفَعُ او قال تخرج قَبْلَ قِيامِ القائِمِ صاحِبُها طاغُوتٌ؛</w:t>
      </w:r>
      <w:r>
        <w:rPr>
          <w:rStyle w:val="FootnoteAnchor"/>
          <w:rtl w:val="true"/>
        </w:rPr>
        <w:footnoteReference w:id="207"/>
      </w:r>
      <w:r>
        <w:rPr>
          <w:rFonts w:ascii="IRNazanin" w:hAnsi="IRNazanin" w:eastAsia="IRNazanin"/>
          <w:color w:val="111111"/>
          <w:sz w:val="28"/>
          <w:sz w:val="28"/>
          <w:szCs w:val="28"/>
          <w:rtl w:val="true"/>
          <w:lang w:bidi="fa-IR"/>
        </w:rPr>
        <w:t>هر پرچمي پيش از به‌پاخاستن قائم بر افراشته شود، صاحب آن طاغوت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أحمد بندنيجي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در كتاب‌هاي رجالي شيخ طوسي و شيخ نجاشي مطرح نشده و از سوي آنان چيزي در بارة او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پژوهشگران، او را همان ابوالحسن علي بن احمد بن نصر بندنيجي دانسته‌اند كه نعماني از او به نقل روايت پرداخته است</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در اين صورت، اين شخص، همان كسي خواهد بود كه ابن غضائري درباره‌اش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رمله ساكن بود، ضعيف و ساقط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توجه نمي‌شود</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حتي اگر ابن غضائري را در بيان ويژگي‌ها و احوال راويان، دچار تندروي بدانيم و سخن او را در بارة علي بن احمد بندنيجي نپذيريم، در بارة او توثيقي نداريم تا با اعتماد بر آن، روايات وي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نقل نيز قابل اعتماد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پژوهشگران در بررسي دلالت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گونه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حق؛ يعني، فراخواندن مردم براي به‌پاداشتن حق و بازگردانيدن زمام كارهاي حكومت به دست اهل بيت عليهم السلام كه چنين دعوتي مورد تأييد امامان معصوم عليهم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باطل؛ يعني، فراخواندن مردم براي مطرح‌كردن خود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بخش دوم در برابر بخش نخست است؛ يعني دعوت، در عرض و مقابلِ دعوتِ اهل بيت عليهم السلام باشد، نه در طول و مسير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قيام‌هايي كه بر مبناي دفاع از حريم اهل بيت عليهم السلام و دعوت مردم به سوي آنان، صورت گرفته است، به‌طور كلّي، از دايره مصاديق اين روايت، خارج‌اند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احتمال را مطرح كرده است كه ممكن است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در بطلان تمام قيام‌هاي پيش از قيام قائم عجل الله فرجه، ظهور دارد؛ يعني، ملاك بطلان، اين نيست كه دعوت براي خود و در عرض نهضت امامان معصوم عليهم السلام صورت بگيرد؛ بلكه ملاك، پيشي گرفتن آن، بر قيام حضرت مهدي عجل الله فرجه است؛ خواه دعوتِ حق باشد و يا دعوتِ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پاسخ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اوّلا، به احتمال قوي، اين روايت، ناظر به بعضي از قيام‌هاي آن زمان است و به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قضيه خارجيه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نه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ناظر به تمام قيام‌ها نيست و ملاك حق و باطل بودن، همان دعوت به راه راست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روايات بسياري از امامان معصوم عليهم السلام وارد شده است كه برخي از قيام‌هايي را كه بعدها و پيش از ظهور امام زمان اتّفاق مي‌افتد، كاملا تأييد كرده و مردم را براي پيوستن به آنان تشويق نموده‌اند؛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راية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روايت را قضيه خارجيه ندانيم، با اين روايات، در تعارض خواهد بود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البته با توجه به عنواني كه مرحوم نعماني به باب اين روايات داده؛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روي فيمن ادعي الامامة و من زعم أنه إمام و ليس بإمام و أن كل راية ترفع قبل قيام القائم فصاحبها طاغوت</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جايگاه نخستين نقل‌كننده اين روايات، چنين فهميده كه مقصود از صاحب پرچم، كسي است كه خود را به عنوان امام و يا قائم معرفي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زمرة مدعيان دروغين، بر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آنچه دربارة سند روايات گفته شد، اگر با استناد به اين روايات، هرگونه قيام و نهضتي را محكوم و غير مشروع بدانيم، اين‌گونه برداشت، با آيات و روايت‌هاي جهاد، امر به معروف و نهي از منكر و نيز با سيرة پيامبر صلي الله عليه و آله وسلم و ائمه معصومين عليهم السلام تعارض دارد و در مقام تعارض، بايد از اين روايات صرف نظر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خميني رضوان الله عليه، معمار بزرگ انقلاب اسلامي در برابر كساني كه با تمسّك به روايت‌هاي يادشده به بهانه‌جويي مي‌پردازند،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احاديث، هيچ مربوط به تشكيل حكومت خدايي عادلانه ـ كه هر خردمند لازم مي‌داند ـ نيست؛ بلكه در روايت اول،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آنكه راجع به خبرهاي ظهور ولي عصر عجل الله‌ فرجه باشد و مربوط به علامات ظهور باشد و بخواهد بگويد علم‌هايي كه به عنوان امامت قبل از قيام قائم بر پا مي‌شود، باطل است ـ چنان‌چه در ضمن همين روايات، علامت‌هاي ظهور هم يادآوري شده است ـ و احتمال ديگر آنكه از قبيل پيشگويي باشد؛ از اين حكومت‌هايي كه در جهان تشكيل مي‌شود تا زمان ظهور كه هيچ‌كدام به وظيفه خود عمل نمي‌كنند و همين‌طور هم تا كنون بوده</w:t>
      </w:r>
      <w:r>
        <w:rPr>
          <w:rFonts w:eastAsia="IRNazanin" w:cs="IRNazanin"/>
          <w:color w:val="111111"/>
          <w:sz w:val="28"/>
          <w:szCs w:val="28"/>
          <w:rtl w:val="true"/>
          <w:lang w:bidi="fa-IR"/>
        </w:rPr>
        <w:t>...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وي در جاي ديگر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هر كس عَلَم بلند كند با عَلَم مهدي،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بلند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است</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به بياني روشن‌تر با ابلهانه خواندن ادعاي مخالفان برپايي حكومت در عصر غيبت، آنان را افرادي غافل و فريب‌خورده سياسي و آن ادعا را مخالف نص آيات الهي دانسته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 كنيم دويست تا روايت هم در اين باب داشتند، همه را به ديوار مي‌زديم، براي اين‌كه خلاف آيات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روايتي بيايد كه نهي از منكر را بگويد نبايد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به ديوار زد، اين‌گونه روايت قابل عمل نيست و اين نفهم‌ها نمي‌دانند چه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حكومتي باشد، حكومت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عالم پر از ظلم است، ما اگر بتوانيم جلو ظلم را بگيريم بايد بگيريم، تكليفمان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اسلام و قرآن است كه تكليفمان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برويم همه كار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فراهم كنيم كار را، فراهم كردن اسباب اين است كه كار را نزديك بكنيم، كار را همچو بكنيم كه مهيا بشود عالم براي آمدن حضرت</w:t>
      </w:r>
      <w:r>
        <w:rPr>
          <w:rFonts w:eastAsia="IRNazanin" w:cs="IRNazanin"/>
          <w:color w:val="111111"/>
          <w:sz w:val="28"/>
          <w:szCs w:val="28"/>
          <w:rtl w:val="true"/>
          <w:lang w:bidi="fa-IR"/>
        </w:rPr>
        <w:t>».</w:t>
      </w:r>
      <w:r>
        <w:rPr>
          <w:rStyle w:val="FootnoteAnchor"/>
          <w:rtl w:val="true"/>
        </w:rPr>
        <w:footnoteReference w:id="214"/>
      </w:r>
      <w:bookmarkStart w:id="192" w:name="pg1814_18991"/>
    </w:p>
    <w:p>
      <w:pPr>
        <w:pStyle w:val="Heading5"/>
        <w:numPr>
          <w:ilvl w:val="4"/>
          <w:numId w:val="1"/>
        </w:numPr>
        <w:rPr/>
      </w:pPr>
      <w:bookmarkStart w:id="193" w:name="__RefHeading___Toc2647163_3650668749"/>
      <w:bookmarkStart w:id="194" w:name="_Toc70"/>
      <w:bookmarkEnd w:id="192"/>
      <w:bookmarkEnd w:id="193"/>
      <w:r>
        <w:rPr/>
        <w:t>2</w:t>
      </w:r>
      <w:r>
        <w:rPr>
          <w:rtl w:val="true"/>
        </w:rPr>
        <w:t xml:space="preserve">. </w:t>
      </w:r>
      <w:r>
        <w:rPr>
          <w:rtl w:val="true"/>
        </w:rPr>
        <w:t>شكست قيام‌هاي پيش از ظهور</w:t>
      </w:r>
      <w:bookmarkEnd w:id="194"/>
    </w:p>
    <w:p>
      <w:pPr>
        <w:pStyle w:val="BookText"/>
        <w:rPr/>
      </w:pPr>
      <w:r>
        <w:rPr>
          <w:rFonts w:ascii="IRNazanin" w:hAnsi="IRNazanin" w:eastAsia="IRNazanin"/>
          <w:color w:val="111111"/>
          <w:sz w:val="28"/>
          <w:sz w:val="28"/>
          <w:szCs w:val="28"/>
          <w:rtl w:val="true"/>
          <w:lang w:bidi="fa-IR"/>
        </w:rPr>
        <w:t>رواياتي كه بيانگر ناكامي و شكست قيام‌هاي پيش از قيام حضرت مهدي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رواياتي كه در اين‌باره نقل مي‌شود،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كليني از علي بن ابراهيم از پدرش از حمّاد بن عيسي از ربعي… نقل كرده كه امام سجاد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لايَخْرُجُ واحِدٌ مِنَّا قَبْلَ خُرُوجِ القائِمِ عجل الله فرجه‌ اِلاّ كانَ مَثَلُهُ مَثَلَ فَرْخٍ طارَ مِنْ وَكْرِهِ قَبْلَ اَنْ يَسْتَوِي جَناحاهُ فَاَخَذَهُ الصِّبْيانُ فَعَبَثُوا بِهِ؛</w:t>
      </w:r>
      <w:r>
        <w:rPr>
          <w:rStyle w:val="FootnoteAnchor"/>
          <w:rtl w:val="true"/>
        </w:rPr>
        <w:footnoteReference w:id="215"/>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ما پيش از قيام قائم خروج نمي‌كند؛ مگر اينكه مَثَل او، مانند جوجه‌اي است كه پيش از محكم‌شدن بال‌هايش، از آشيانه پرواز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كودكان او را گرفته و با او به بازي مي‌پردازند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نتيجه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براي برپايي حكومت اسلامي، نه فقط بي‌نتيجه است كه گرفتاري و ناراحتي اهل بيت را نيز در پي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از برپايي حكومت اسلامي، پيش از قيام حضرت مهدي عجل الله فرجه چشم 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اشكالات اين است كه اين روايت، مرسل است و در سند آن، شخصي به نام ربعي بن عبدالله بن الجارود قرار دارد كه هر چند ثقه است؛ اما از آنجايي كه از اصحاب امام صادق و امام كاظم عليهما السلام است از نظر طبقه و سال، نمي‌تواند بدون واسطه، از امام زين العابدين عليه السلام روايت نقل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روايت را نعماني با اندكي تفاوت، از امام باقر عليه السلام با سند ديگري اين‌چنين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مَنْ خَرَجَ مِنَّا أَهْلَ الْبَيْتِ قَبْلَ قِيَامِ الْقَائِمِ مَثَلُ فَرْخٍ طَارَ وَ فوَقَعَ من وكره فَتَلَاعَبَتْ بِهِ الصِّبْيَانُ؛</w:t>
      </w:r>
      <w:r>
        <w:rPr>
          <w:rStyle w:val="FootnoteAnchor"/>
          <w:rtl w:val="true"/>
        </w:rPr>
        <w:footnoteReference w:id="216"/>
      </w:r>
      <w:r>
        <w:rPr>
          <w:rFonts w:ascii="IRNazanin" w:hAnsi="IRNazanin" w:eastAsia="IRNazanin"/>
          <w:color w:val="111111"/>
          <w:sz w:val="28"/>
          <w:sz w:val="28"/>
          <w:szCs w:val="28"/>
          <w:rtl w:val="true"/>
          <w:lang w:bidi="fa-IR"/>
        </w:rPr>
        <w:t xml:space="preserve">مَثَلِ خروج قائم ما خاندان، مانند خروج رسول خدا صلي الله عليه و آله است و مثل آن كس كه از ما خاندان قبل از قيام قائم به پا خيزد، بسان جوجه‌اي است كه پرواز كند و از آشيانه خود فرو افتد و كودكان با آن به بازي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دستخوش بازيچه كودكان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نيز به سبب مجهول</w:t>
      </w:r>
      <w:r>
        <w:rPr>
          <w:rStyle w:val="FootnoteAnchor"/>
          <w:rtl w:val="true"/>
        </w:rPr>
        <w:footnoteReference w:id="217"/>
      </w:r>
      <w:r>
        <w:rPr>
          <w:rFonts w:ascii="Amiri" w:hAnsi="Amiri" w:eastAsia="Amiri" w:cs="Amiri"/>
          <w:color w:val="111111"/>
          <w:sz w:val="28"/>
          <w:sz w:val="28"/>
          <w:szCs w:val="28"/>
          <w:rtl w:val="true"/>
          <w:lang w:bidi="ar-SA"/>
        </w:rPr>
        <w:t>و يا مهمل‌</w:t>
      </w:r>
      <w:r>
        <w:rPr>
          <w:rStyle w:val="FootnoteAnchor"/>
          <w:rtl w:val="true"/>
        </w:rPr>
        <w:footnoteReference w:id="218"/>
      </w:r>
      <w:r>
        <w:rPr>
          <w:rFonts w:ascii="IRNazanin" w:hAnsi="IRNazanin" w:eastAsia="IRNazanin"/>
          <w:color w:val="111111"/>
          <w:sz w:val="28"/>
          <w:sz w:val="28"/>
          <w:szCs w:val="28"/>
          <w:rtl w:val="true"/>
          <w:lang w:bidi="fa-IR"/>
        </w:rPr>
        <w:t>بودن احمد بن علي جعفي و محمّد بن مثنّي حضرمي و عثمان بن زيد جهني در آن، پذيرفتني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اينكه جعفر بن محمّد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تصريح نجاشي، ضعيف الحديث و فاسد المذهب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افزون بر اشكال در سند كه به آن اشاره شد؛ استناد به اين روايت و مانند آن از جهاتي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در صدد اين نيست كه اصل جواز قيام را ردّ كند؛ بلكه قيام در جايگاه قائم آل محمد را نفي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بگوييم اين روايت، نفي جواز مي‌كند، پس قيام زيد بن علي و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 نيز محكوم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بدون ترديد، اين قيام‌ها هرگز در جايگاه قائم آل محمد آن‌گونه كه در صريح روايات در بارة حضرت مهدي عليه السلام نقل شده، نبوده است و مورد تأييد ائمه عليهم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بارة قيام زيد شهيد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تَقُولُوا خَرَجَ زَيْدٌ فَإِنَّ زَيْداً كَانَ عَالِماً وَ كَانَ صَدُوقاً وَ لَمْ يَدْعُكُمْ إِلَي نَفْسِهِ إِنَّمَا دَعَاكُمْ إِلَي الرِّضَا مِنْ آلِ مُحَمَّدٍ عليهم السلام وَ لَوْ ظَهَرَ لَوَفَي بِمَا دَعَاكُمْ إِلَيْهِ إِنَّمَا خَرَجَ إِلَي سُلْطَانٍ مُجْتَمِعٍ لِيَنْقُضَه؛</w:t>
      </w:r>
      <w:r>
        <w:rPr>
          <w:rStyle w:val="FootnoteAnchor"/>
          <w:rtl w:val="true"/>
        </w:rPr>
        <w:footnoteReference w:id="220"/>
      </w:r>
      <w:r>
        <w:rPr>
          <w:rFonts w:ascii="IRNazanin" w:hAnsi="IRNazanin" w:eastAsia="IRNazanin"/>
          <w:color w:val="111111"/>
          <w:sz w:val="28"/>
          <w:sz w:val="28"/>
          <w:szCs w:val="28"/>
          <w:rtl w:val="true"/>
          <w:lang w:bidi="fa-IR"/>
        </w:rPr>
        <w:t>نگوييد زيد خروج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مردي عالم و راست‌گو بود و شما را به سوي خود فرانخواند؛ بلكه به سوي آل محمد عليهم السلام و خشنودي آنان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اگر پيروز مي‌شد، به وعدة خود وفا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سلطنت و حكومتي قيام كرد كه محكم و يك‌پارچه بود و مي‌خواست اركان آن را متلاشي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هم از جهت سند</w:t>
      </w:r>
      <w:r>
        <w:rPr>
          <w:rStyle w:val="FootnoteAnchor"/>
          <w:rtl w:val="true"/>
        </w:rPr>
        <w:footnoteReference w:id="221"/>
      </w:r>
      <w:r>
        <w:rPr>
          <w:rFonts w:ascii="Amiri" w:hAnsi="Amiri" w:eastAsia="Amiri" w:cs="Amiri"/>
          <w:color w:val="111111"/>
          <w:sz w:val="28"/>
          <w:sz w:val="28"/>
          <w:szCs w:val="28"/>
          <w:rtl w:val="true"/>
          <w:lang w:bidi="ar-SA"/>
        </w:rPr>
        <w:t>و هم از جهت محتوا بدون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پيروزنشدن قيام، دليل بر نفي تكليف به قيام نيست؛ براي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صفين، شايع شد كه معاويه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باعث شادي مردم شد؛ اما حضرت علي عليه السلام در برابر شادي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خدايي كه جان من در دست قدرت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هلاك نمي‌شود تا مردم با او هماهنگ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پس چرا با او مي‌جنگيد؟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اَلْتَمِسُ العُذْرَ بَيني وَ بَيْنَ اللَّهِ؛</w:t>
      </w:r>
      <w:r>
        <w:rPr>
          <w:rStyle w:val="FootnoteAnchor"/>
          <w:rtl w:val="true"/>
        </w:rPr>
        <w:footnoteReference w:id="222"/>
      </w:r>
      <w:r>
        <w:rPr>
          <w:rFonts w:ascii="Amiri" w:hAnsi="Amiri" w:eastAsia="Amiri" w:cs="Amiri"/>
          <w:color w:val="111111"/>
          <w:sz w:val="28"/>
          <w:sz w:val="28"/>
          <w:szCs w:val="28"/>
          <w:rtl w:val="true"/>
          <w:lang w:bidi="ar-SA"/>
        </w:rPr>
        <w:t>مي‌خواهم بين خود و خدايم عذر داشته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و مانند آن بيان‌گر اين معناست كه انسان مسلمان، بايد به تكليف خود عمل كند و نبايد انتظار داشته باشد به‌طور حتم به نتيجه مطلوب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امامان معصوم عليهم السلام باشند؛ زيرا شيعيان از آنان، انتظار خروج مسلحانه را داشتند و ايشان با توجّه به شرايط حاكم بر آن زمان، مي‌خواستند با اخبار غيبي، آنان را قانع كنند كه هركس از ما، پيش از قيام قائم، خروج كند، به سبب نبود امكانات لازم، پيروز نمي‌شود و مصلحت اقتضا مي‌كند كه خروج مسلحانه نكند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اگر در صدد نهي از قيام و مبارزه با بي‌داد و تباهي باشد، با آيات جهاد و امر به معروف و نهي از منكر و نيز با سيرة پيشوايان معصوم عليهم السلام ناسازگار خواهد بود؛ از اين رو، بايد به دور افكنده شود</w:t>
      </w:r>
      <w:r>
        <w:rPr>
          <w:rFonts w:eastAsia="IRNazanin" w:cs="IRNazanin"/>
          <w:color w:val="111111"/>
          <w:sz w:val="28"/>
          <w:szCs w:val="28"/>
          <w:rtl w:val="true"/>
          <w:lang w:bidi="fa-IR"/>
        </w:rPr>
        <w:t>.</w:t>
      </w:r>
      <w:bookmarkStart w:id="195" w:name="pg1814_18993"/>
    </w:p>
    <w:p>
      <w:pPr>
        <w:pStyle w:val="Heading5"/>
        <w:numPr>
          <w:ilvl w:val="4"/>
          <w:numId w:val="1"/>
        </w:numPr>
        <w:rPr/>
      </w:pPr>
      <w:bookmarkStart w:id="196" w:name="__RefHeading___Toc2647165_3650668749"/>
      <w:bookmarkStart w:id="197" w:name="_Toc71"/>
      <w:bookmarkEnd w:id="195"/>
      <w:bookmarkEnd w:id="196"/>
      <w:r>
        <w:rPr/>
        <w:t>3</w:t>
      </w:r>
      <w:r>
        <w:rPr>
          <w:rtl w:val="true"/>
        </w:rPr>
        <w:t xml:space="preserve">. </w:t>
      </w:r>
      <w:r>
        <w:rPr>
          <w:rtl w:val="true"/>
        </w:rPr>
        <w:t>سكوت و خانه‌نشيني</w:t>
      </w:r>
      <w:bookmarkEnd w:id="197"/>
    </w:p>
    <w:p>
      <w:pPr>
        <w:pStyle w:val="BookText"/>
        <w:rPr/>
      </w:pPr>
      <w:r>
        <w:rPr>
          <w:rFonts w:ascii="IRNazanin" w:hAnsi="IRNazanin" w:eastAsia="IRNazanin"/>
          <w:color w:val="111111"/>
          <w:sz w:val="28"/>
          <w:sz w:val="28"/>
          <w:szCs w:val="28"/>
          <w:rtl w:val="true"/>
          <w:lang w:bidi="fa-IR"/>
        </w:rPr>
        <w:t>رواياتي كه براي مشروع‌نبودن تلاش در راه برپايي حكومت اسلامي در دوره غيبت، بدان‌ها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مردم را به سكوت و سكون فرا مي‌خواند و از همراهي در هر قيام و مبارزه‌اي، پيش از پديدآمدن نشانه‌هاي ظهور باز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يزيد جعفي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وَ لَا تُحَرِّكْ يَداً وَ لَا رِجْلًا حَتَّي تَرَي عَلَامَاتٍ أَذْكُرُهَا لَكَ وَ مَا أَرَاكَ تُدْرِكُهَا اخْتِلَافُ بَنِي فُلَانٍ وَ مُنَادٍ يُنَادِي مِنَ السَّمَاءِ وَ يَجِيئُكُمُ الصَّوْتُ مِنْ نَاحِيَةِ دِمَشْقَ؛</w:t>
      </w:r>
      <w:r>
        <w:rPr>
          <w:rStyle w:val="FootnoteAnchor"/>
          <w:rtl w:val="true"/>
        </w:rPr>
        <w:footnoteReference w:id="223"/>
      </w:r>
      <w:r>
        <w:rPr>
          <w:rFonts w:ascii="IRNazanin" w:hAnsi="IRNazanin" w:eastAsia="IRNazanin"/>
          <w:color w:val="111111"/>
          <w:sz w:val="28"/>
          <w:sz w:val="28"/>
          <w:szCs w:val="28"/>
          <w:rtl w:val="true"/>
          <w:lang w:bidi="fa-IR"/>
        </w:rPr>
        <w:t xml:space="preserve">بر زمين بنشين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خانه‌نشين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و پا نجنبان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فعّاليتي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نشانه‌هايي را كه برايت ياد مي كنم، ببيني و بدان‌ها 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آن‌ها اختلاف بني عبّاس است و من در تو نمي بينم كه آن را دريابي، ولي پس از من، آن را از من روايت كن و آواز دهنده‌اي از آسمان ندا كند و شما را آوازي از جانب دمشق به گوش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به سدير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سَديرُ اِلْزَمْ بَيْتَكَ وكُنْ حِلْساً مِن اَحْلاسِهِ وَاسْكُنْ ما سَكَنَ اللَّيْلُ وَالنَّهارُ فَاِذا بَلَغَكَ اَنَّ السُّفْيانِي قَدْ خَرَجَ فَارْحَلْ اِلَيْنا وَلَوْ عَلي رِجْلِكَ؛</w:t>
      </w:r>
      <w:r>
        <w:rPr>
          <w:rStyle w:val="FootnoteAnchor"/>
          <w:rtl w:val="true"/>
        </w:rPr>
        <w:footnoteReference w:id="224"/>
      </w:r>
      <w:r>
        <w:rPr>
          <w:rFonts w:ascii="IRNazanin" w:hAnsi="IRNazanin" w:eastAsia="IRNazanin"/>
          <w:color w:val="111111"/>
          <w:sz w:val="28"/>
          <w:sz w:val="28"/>
          <w:szCs w:val="28"/>
          <w:rtl w:val="true"/>
          <w:lang w:bidi="fa-IR"/>
        </w:rPr>
        <w:t>‌اي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بنشين و به زندگي بچسب وآرامش داشته باش تا آن هنگام كه شب و روز آرام هستند؛ اما هنگامي كه خبر رسيد سفياني خروج كرده، به سوي ما بيا، اگرچه با پاي پياده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مقتضاي اين روايات، منحصر به جابر و سدير نيست؛ بلكه بر همه واجب است تا خروج سفياني ، قيام قائم عجل الله فرجه و… سكوت كرده و از قيام و خروج خودداري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ديدگاه بايد گفت تعميم حكم به همه افراد، در همه زمان‌ها، متوقف است بر اينكه ما علم داشته باشيم به اينكه شخص يا زمينة خاصّي، مورد نظر امام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مرحوم مجلسي، اين روايت را از نظر سند، حَسَن يا موثق دانسته است،</w:t>
      </w:r>
      <w:r>
        <w:rPr>
          <w:rStyle w:val="FootnoteAnchor"/>
          <w:rtl w:val="true"/>
        </w:rPr>
        <w:footnoteReference w:id="225"/>
      </w:r>
      <w:r>
        <w:rPr>
          <w:rFonts w:ascii="IRNazanin" w:hAnsi="IRNazanin" w:eastAsia="IRNazanin"/>
          <w:color w:val="111111"/>
          <w:sz w:val="28"/>
          <w:sz w:val="28"/>
          <w:szCs w:val="28"/>
          <w:rtl w:val="true"/>
          <w:lang w:bidi="fa-IR"/>
        </w:rPr>
        <w:t>اما برخي از اساتيد معاصر، اين‌گونه روايات را از ساخته و پرداخته‌هاي بني‌اميّه و بني‌عبّاس دانسته‌اند كه با انگيزة بازداشتن علويان از قيام و شورش بر ضدّ فرمانروايان دست به ساختن اين روايات زده‌اند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البته اين سخن را به عنوان احتمال مي‌توان پذيرفت؛ زيرا برساختن احاديث از سوي فرمانروايان ـ به‌ويژه امويان ـ تعمد وامري عادي و رايج بوده؛ اما ادعاي قطع و يقين مشكل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سند روايت به نظر مي‌رسد وجه صدور روايات به‌طور صرف از باب رعايت شرايط زمانه و عدم آمادگي زمينة قيام در آن زمان و سوء استفاده بني عباس بوده است</w:t>
      </w:r>
      <w:r>
        <w:rPr>
          <w:rFonts w:eastAsia="IRNazanin" w:cs="IRNazanin"/>
          <w:color w:val="111111"/>
          <w:sz w:val="28"/>
          <w:szCs w:val="28"/>
          <w:rtl w:val="true"/>
          <w:lang w:bidi="fa-IR"/>
        </w:rPr>
        <w:t>.</w:t>
      </w:r>
      <w:bookmarkStart w:id="198" w:name="pg1814_18995"/>
    </w:p>
    <w:p>
      <w:pPr>
        <w:pStyle w:val="Heading5"/>
        <w:numPr>
          <w:ilvl w:val="4"/>
          <w:numId w:val="1"/>
        </w:numPr>
        <w:rPr/>
      </w:pPr>
      <w:bookmarkStart w:id="199" w:name="__RefHeading___Toc2647167_3650668749"/>
      <w:bookmarkStart w:id="200" w:name="_Toc72"/>
      <w:bookmarkEnd w:id="198"/>
      <w:bookmarkEnd w:id="199"/>
      <w:r>
        <w:rPr/>
        <w:t>4</w:t>
      </w:r>
      <w:r>
        <w:rPr>
          <w:rtl w:val="true"/>
        </w:rPr>
        <w:t xml:space="preserve">. </w:t>
      </w:r>
      <w:r>
        <w:rPr>
          <w:rtl w:val="true"/>
        </w:rPr>
        <w:t>سرزنش شتاب براي نابودي دشمنان</w:t>
      </w:r>
      <w:bookmarkEnd w:id="200"/>
    </w:p>
    <w:p>
      <w:pPr>
        <w:pStyle w:val="BookText"/>
        <w:rPr/>
      </w:pPr>
      <w:r>
        <w:rPr>
          <w:rFonts w:ascii="IRNazanin" w:hAnsi="IRNazanin" w:eastAsia="IRNazanin"/>
          <w:color w:val="111111"/>
          <w:sz w:val="28"/>
          <w:sz w:val="28"/>
          <w:szCs w:val="28"/>
          <w:rtl w:val="true"/>
          <w:lang w:bidi="fa-IR"/>
        </w:rPr>
        <w:t>براي اثبات روا‌نبودن برپايي حكومت اسلامي در دوره غيبت و زمينه‌سازي براي ظهور، گاهي رواياتي استناد مي‌شود كه به شكيبايي فراخوانده و از شتاب، دور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پيش از فرا رسيدن گاه فرج و نابودي ملك ستم‌گر، نبايد خود را به زحمت بيندازد و به دنبال برقراري حكومت 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وسلم به امام علي عليه السلام تأكيد فرمود كه 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بركندن كوه‌هاي بزرگ آسان‌تر است از برچيدن پادشاهي‌اي كه زمانش به سر نرسيده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امام علي عليه السلام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الْزَمُوا الْأَرْضَ وَ اصْبِرُوا عَلَي الْبَلَاءِ وَ لَا تُحَرِّكُوا بِأَيْدِيكُمْ وَ سُيُوفِكُمْ فِي هَوَي أَلْسِنَتِكُمْ وَ لَا تَسْتَعْجِلُوا بِمَا لَمْ يَعْجَلِ اللَّهُ لَكُمْ فَإِنَّهُ مَنْ مَاتَ مِنْكُمْ عَلَي فِرَاشِهِ وَ هُوَ عَلَي مَعْرِفَةِ حَقِّ رَبِّهِ وَ حَقِّ رَسُولِهِ وَ أَهْلِ بَيْتِهِ مَاتَ شَهِيداً وَ وَقَعَ أَجْرُهُ عَلَي اللَّهِ وَ اسْتَوْجَبَ ثَوَابَ مَا نَوَي مِنْ صَالِحِ عَمَلِهِ وَ قَامَتِ النِّيَّةُ مَقَامَ إِصْلَاتِهِ بِسَيْفِهِ فَإِنَّ لِكُلِّ شَيْ‌ءٍ مُدَّةً وَ أَجَلًا؛</w:t>
      </w:r>
      <w:r>
        <w:rPr>
          <w:rStyle w:val="FootnoteAnchor"/>
          <w:rtl w:val="true"/>
        </w:rPr>
        <w:footnoteReference w:id="228"/>
      </w:r>
      <w:r>
        <w:rPr>
          <w:rFonts w:ascii="IRNazanin" w:hAnsi="IRNazanin" w:eastAsia="IRNazanin"/>
          <w:color w:val="111111"/>
          <w:sz w:val="28"/>
          <w:sz w:val="28"/>
          <w:szCs w:val="28"/>
          <w:rtl w:val="true"/>
          <w:lang w:bidi="fa-IR"/>
        </w:rPr>
        <w:t>به زمين بچسبيد و بر بلاها شكيبا باشيد؛ دست‌ها و شمشيرهايتان را در جهت خواست‌هاي زبانتان به حركت در نياوريد و نسبت به آنچه خداوند براي شما در آن شتاب قرار نداده، عجله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از شما در رختخواب بميرد، اما نسبت به خدا و رسول و اهل بيت او، شناخت و معرفت داشته باشد، شهيد از دنيا رفته و اجر او با خداست و آنچه را از اعمال نيك نيّت داشته، پاداشش را خواهد برد و همان نيّت خير او در رديف به كار گرفتن شمشير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براي هر چيز مدّت و سرآمدي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دلالتي بر مدّعاي انديشة نفي مشروعيّت حكومت ندارد؛ زيرا در بيشتر اين‌گونه احاديث، شتاب پيش‌ازموعد و قيام در مواردي كه شرايط زمان فراهم نيست، نهي كرده است، اما اگر زمينه‌هاي قيام و برپايي حكومت فراهم باشد، آيا باز هم مبارزه و قيام، همان حكم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در اين مورد ساكت است و در صدد بيان چنين حكمي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سخن امام علي عليه السلام نيز در ارتباط با مورد خاصّ و شرايط ويژه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طرفي رواياتي نقل‌شده كه در آن بسياري از قيام‌هاي علويان و غير آن تأييد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قيام‌هايي صورت گرفته كه شيعيان و دانشمندان شناخته شده در آن شركت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اين‌دسته از احاديث، روايات پيشين را توضيح داده و تفسير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الشيعه به نقل از محمدبن ادريس،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در محضر امام صادق عليه السلام سخن از قيام به ميان آورد و از خروج كساني كه از اهل بيت قيام مي‌كنند،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اَزالُ اَنَا وَ شِيعَتي بِخَيْرٍ مَا خَرَجَ الخارِجي مِنْ آلِ مُحَمَّدٍ وَ لَوَدِدْتُ اَنَّ الخَارِجِي مِنْ آلِ مُحَمَّدٍ خَرَجَ وَ عَلَي نَفَقَةُ عِيالِهِ؛</w:t>
      </w:r>
      <w:r>
        <w:rPr>
          <w:rStyle w:val="FootnoteAnchor"/>
          <w:rtl w:val="true"/>
        </w:rPr>
        <w:footnoteReference w:id="229"/>
      </w:r>
      <w:r>
        <w:rPr>
          <w:rFonts w:ascii="IRNazanin" w:hAnsi="IRNazanin" w:eastAsia="IRNazanin"/>
          <w:color w:val="111111"/>
          <w:sz w:val="28"/>
          <w:sz w:val="28"/>
          <w:szCs w:val="28"/>
          <w:rtl w:val="true"/>
          <w:lang w:bidi="fa-IR"/>
        </w:rPr>
        <w:t>پيوسته من و شيعيانم بر خير هستيم تا هنگامي كه قيام كننده‌اي از آل محمد عليهم السلام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دارم كه شخصي از آل محمد عليهم السلام قيام كند و من مخارج خانواده او را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درخور توجه اينكه شيخ حر عاملي، اين روايت را در همان بابي از كتاب خود آورده كه روايات منع از قيام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تأييد برخي از قيام‌ها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قيام زيد، قيام حسين بن علي شهيد فخ و قيام توابين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دليلي بر تأويل روايات نهي‌كنندة از برپايي قيام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بنابراين، بر فرض درست‌بودن اسناد برخي از احاديث، هيچ يك از آن‌ها نمي‌تواند مشروعيّت قيام و حكومت در دوران غيبت و زمينه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سازي ظهور را به چالش بكشد؛ بلكه اين‌گونه روايات، قيام‌هايي را ممنوع و محكوم به بطلان مي‌داند كه داراي شرايط لازم نيست و يا جهت اهداف فاسد و هواها و هوس‌ها انجام مي‌شود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اينكه با روايات ديگر در تعارض است و در اين هنگام ساقط مي‌شوند و مي‌بايست به عمومات رجوع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قيامي با شرايط بيان شده در شرع، زير نظر حاكم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پذيرد و اهداف آن نيز بر اساس شريعت شكل گرفته باشد، زمينه‌‌ساز قيام حضرت مهدي عجل الله فرجه خواهد بود و نه فقط از آن نهي نخواهد شد؛ بلكه در برخي از موارد، تلاش براي برپايي آن، واجب خواهد بود</w:t>
      </w:r>
      <w:r>
        <w:rPr>
          <w:rFonts w:eastAsia="IRNazanin" w:cs="IRNazanin"/>
          <w:color w:val="111111"/>
          <w:sz w:val="28"/>
          <w:szCs w:val="28"/>
          <w:rtl w:val="true"/>
          <w:lang w:bidi="fa-IR"/>
        </w:rPr>
        <w:t>.</w:t>
      </w:r>
      <w:bookmarkStart w:id="201" w:name="pg1814_18997"/>
    </w:p>
    <w:p>
      <w:pPr>
        <w:pStyle w:val="Heading4"/>
        <w:numPr>
          <w:ilvl w:val="3"/>
          <w:numId w:val="1"/>
        </w:numPr>
        <w:rPr/>
      </w:pPr>
      <w:bookmarkStart w:id="202" w:name="__RefHeading___Toc2647169_3650668749"/>
      <w:bookmarkStart w:id="203" w:name="_Toc73"/>
      <w:bookmarkEnd w:id="201"/>
      <w:bookmarkEnd w:id="202"/>
      <w:r>
        <w:rPr>
          <w:rtl w:val="true"/>
        </w:rPr>
        <w:t>بررسي و نتيجه گيري</w:t>
      </w:r>
      <w:bookmarkEnd w:id="203"/>
    </w:p>
    <w:p>
      <w:pPr>
        <w:pStyle w:val="BookText"/>
        <w:rPr/>
      </w:pPr>
      <w:r>
        <w:rPr>
          <w:rFonts w:ascii="IRNazanin" w:hAnsi="IRNazanin" w:eastAsia="IRNazanin"/>
          <w:color w:val="111111"/>
          <w:sz w:val="28"/>
          <w:sz w:val="28"/>
          <w:szCs w:val="28"/>
          <w:rtl w:val="true"/>
          <w:lang w:bidi="fa-IR"/>
        </w:rPr>
        <w:t>بر خلاف باور برخي ـ كه پديدة ظهور امام عصر عجل الله فرجه و برپايي دولت حق وي را فقط وابسته به اراده و خواست پروردگار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دانند و مي‌پندارند مردم هيچ نقشي در ظهور ندارند ـ ظهور امام مهدي عليه السلام با نوع خواست و تمايل جمعيِ انسان‌ها پيوستگي مستقيم و پيوندي ناگسستني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بي‌ترديد تحقق ظهور به ارادة الهي وابسته است، اما خواست حكيمانه پروردگار بزرگ به نوع روي‌كرد مردم و خواست همگاني و فراهم‌شدن زمينه‌هاي ظهور،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توجه به اين خواست و مصلحت كلي بشر، سرنوشت آنان را تدبير مي‌كند و حتميت 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مهدي موعود عليه السلام به عنوان بزرگترين پديدة طبيعي مربوط به همين انسان‌ها و جامعه جهاني، به نوع رفتار جامعه بشري وابسته است، به همين سبب انتظار فرارسيدن آن، از روي‌كردها و كاركردهاي كلي و تلاش‌هاي زمينه‌ساز پيروان آن حضرت عليه السلام براي از بين‌بردن موانع،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چنين پديده‌اي به سبب‌ها و مقدمه‌هاي عادي مانند زمينه‌هاي مساعد، همراهان نيرومند و ياران ويژه نياز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شكل‌گيري انقلاب جهاني مهدي موعود عجل الله فرجه بر پاية اين نظريه، پيش از هر چيز به اراده توده‌هاي بزرگ انساني وابسته است و حضرت مهدي عجل الله فرجه در اين كار بزرگ به آمادگي جهاني و نيز ياران ويژه،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حضرت در آغاز قيام، با موانع فراوان و مقاومت دشمنان، روبه‌رو مي‌شود، اما بر اثر زمينه‌هاي موجود و رشد افكار عمومي، موانع به سرعت رفع خواهد شد و بشرِ خسته از ستم و تشنه عدالت، ديدن آرمان‌هاي فطري خود در سيماي حكومت حضرت مهدي عجل الله فرجه، به پيشواز طرح نظام عدل جهاني،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برپايي هر انقلابي با اسباب عادي به مقدمه‌ها و زمينه‌هاي فرهنگي، سياسي و اجتماعي نياز دارد، از اين‌رو هرگز نمي‌توان گفت انقلاب حضرت مهدي عليه السلام با توجه به عمق و گستردگي آن، در سطح جهان، بدون آمادگي افكار عمومي، براي پذيرش اين تحول بزرگ برپا 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خواستار ظهور حضرت مهدي عجل الله فرجه و دگرگوني در جهانيم، رخداد ظهور نيز در انتظار كارهاي پيشين ما و زمينه‌سازي‌هاي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جهان از ستم، نابرابري، تباهي، ناامني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شده‌اند و صلح، امنيت، عدالت و رشد و تعالي را مي‌خواهند، زمينه‌هاي پذيرش اين تحول بنيادي را در خود بايد پديد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مهدي عجل الله فرجه تا هنگامي كه آهنگ عدالت‌خواهي فضاي عمومي جامعه را پر نكند، هم‌چنان در پرده غيبت در انتظار 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پاسخي است از طرف خداوند به نياز جامعة جهاني براي برپايي حكومت عدل و قسط و نه تحميل بر آنها</w:t>
      </w:r>
      <w:r>
        <w:rPr>
          <w:rFonts w:eastAsia="IRNazanin" w:cs="IRNazanin"/>
          <w:color w:val="111111"/>
          <w:sz w:val="28"/>
          <w:szCs w:val="28"/>
          <w:rtl w:val="true"/>
          <w:lang w:bidi="fa-IR"/>
        </w:rPr>
        <w:t>.</w:t>
      </w:r>
      <w:bookmarkStart w:id="204" w:name="pg1814_18999"/>
    </w:p>
    <w:p>
      <w:pPr>
        <w:pStyle w:val="Heading3"/>
        <w:numPr>
          <w:ilvl w:val="2"/>
          <w:numId w:val="1"/>
        </w:numPr>
        <w:rPr/>
      </w:pPr>
      <w:bookmarkStart w:id="205" w:name="__RefHeading___Toc2647171_3650668749"/>
      <w:bookmarkStart w:id="206" w:name="_Toc74"/>
      <w:bookmarkEnd w:id="204"/>
      <w:bookmarkEnd w:id="205"/>
      <w:r>
        <w:rPr>
          <w:rtl w:val="true"/>
        </w:rPr>
        <w:t>فصل دوم</w:t>
      </w:r>
      <w:r>
        <w:rPr>
          <w:rtl w:val="true"/>
        </w:rPr>
        <w:t xml:space="preserve">: </w:t>
      </w:r>
      <w:r>
        <w:rPr>
          <w:rtl w:val="true"/>
        </w:rPr>
        <w:t>نقش مردم در قيام و پيروزي حضرت مهدي عجل الله فرجه</w:t>
      </w:r>
      <w:bookmarkEnd w:id="206"/>
    </w:p>
    <w:p>
      <w:pPr>
        <w:pStyle w:val="Heading4"/>
        <w:numPr>
          <w:ilvl w:val="3"/>
          <w:numId w:val="1"/>
        </w:numPr>
        <w:rPr/>
      </w:pPr>
      <w:bookmarkStart w:id="207" w:name="__RefHeading___Toc2647173_3650668749"/>
      <w:bookmarkStart w:id="208" w:name="_Toc75"/>
      <w:bookmarkEnd w:id="207"/>
      <w:r>
        <w:rPr>
          <w:rtl w:val="true"/>
        </w:rPr>
        <w:t>مقدمه</w:t>
      </w:r>
      <w:bookmarkEnd w:id="208"/>
    </w:p>
    <w:p>
      <w:pPr>
        <w:pStyle w:val="BookText"/>
        <w:rPr/>
      </w:pPr>
      <w:r>
        <w:rPr>
          <w:rFonts w:ascii="IRNazanin" w:hAnsi="IRNazanin" w:eastAsia="IRNazanin"/>
          <w:color w:val="111111"/>
          <w:sz w:val="28"/>
          <w:sz w:val="28"/>
          <w:szCs w:val="28"/>
          <w:rtl w:val="true"/>
          <w:lang w:bidi="fa-IR"/>
        </w:rPr>
        <w:t>انقلاب‌هاي اجتماعي دگرگون‌ساز و تحول‌آفرين هر چه بزرگ‌تر، موافقان و مخالفان آن افزون‌ترند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نهضت‌هاي يكتاپرستانه، باشكوه‌ترين حركت‌هاي تاريخ هستند كه جريان‌هاي همسو و مخالف فراواني را در پي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جهاني مهدي موعود ـ در مقايسه با همة انقلاب‌هاي رهايي‌بخش پيش از خود ـ در همة سويه‌هاي ممكن، داراي برجستگي و ويژگي‌هاي خاص است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آرمان‌هاي بلند شرك‌ستيزي و عدالت‌گستريِ بي‌مرز و جهان‌شمول آن، هم شور و اشتياق در دل مردمان فرودست خواهد آفريد و هم دشمنانِ ستيزه‌جوي با يگانه‌پرستي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خواهي را بر خواهد انگيخت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واپسين نجات‌بخش ستم‌ديدگان، بخش بزرگي از جامعة انساني را همراه خواهد داشت كه گروهي از آن‌ها وي را تا پاي جان همراهي خواهند كرد و از هيچ كوششي فروگذار نخواهند بود؛ ياران و ياوراني يك‌دل و با صفا كه در روايات از آنان به نيكي و بزرگي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دوم كه همانا بيشترين جمعيت از جامعة انساني زمان را به خود اختصاص مي‌دهند، تودة مردم هستند؛ كه با پذيرش موعود منجي همسويي خود را نشان داده، البته در شرايط مناسب او را ياري خواهند كرد</w:t>
      </w:r>
      <w:r>
        <w:rPr>
          <w:rFonts w:eastAsia="IRNazanin" w:cs="IRNazanin"/>
          <w:color w:val="111111"/>
          <w:sz w:val="28"/>
          <w:szCs w:val="28"/>
          <w:rtl w:val="true"/>
          <w:lang w:bidi="fa-IR"/>
        </w:rPr>
        <w:t>.</w:t>
      </w:r>
      <w:bookmarkStart w:id="209" w:name="pg1814_19001"/>
    </w:p>
    <w:p>
      <w:pPr>
        <w:pStyle w:val="Heading4"/>
        <w:numPr>
          <w:ilvl w:val="3"/>
          <w:numId w:val="1"/>
        </w:numPr>
        <w:rPr/>
      </w:pPr>
      <w:bookmarkStart w:id="210" w:name="__RefHeading___Toc2647175_3650668749"/>
      <w:bookmarkStart w:id="211" w:name="_Toc76"/>
      <w:bookmarkEnd w:id="209"/>
      <w:bookmarkEnd w:id="210"/>
      <w:r>
        <w:rPr/>
        <w:t>1</w:t>
      </w:r>
      <w:r>
        <w:rPr>
          <w:rtl w:val="true"/>
        </w:rPr>
        <w:t xml:space="preserve">. </w:t>
      </w:r>
      <w:r>
        <w:rPr>
          <w:rtl w:val="true"/>
        </w:rPr>
        <w:t xml:space="preserve">ياران و ياوران </w:t>
      </w:r>
      <w:r>
        <w:rPr>
          <w:rtl w:val="true"/>
        </w:rPr>
        <w:t>(</w:t>
      </w:r>
      <w:r>
        <w:rPr>
          <w:rtl w:val="true"/>
        </w:rPr>
        <w:t>برخي مردم</w:t>
      </w:r>
      <w:r>
        <w:rPr>
          <w:rtl w:val="true"/>
        </w:rPr>
        <w:t>)</w:t>
      </w:r>
      <w:bookmarkEnd w:id="211"/>
    </w:p>
    <w:p>
      <w:pPr>
        <w:pStyle w:val="Heading5"/>
        <w:numPr>
          <w:ilvl w:val="4"/>
          <w:numId w:val="1"/>
        </w:numPr>
        <w:rPr/>
      </w:pPr>
      <w:bookmarkStart w:id="212" w:name="__RefHeading___Toc2647177_3650668749"/>
      <w:bookmarkStart w:id="213" w:name="_Toc77"/>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هـر رهبري پـيـرواني دارد كه هم از راهبري او ره مي‌پويند و هم در راهنمايي، او را در رسيدن به اهدافش ياري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برخي آيات به اين ياري،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كه مؤمنان را به ياري خود، كه همانا ياري دين و پيامبران اوست، فرا خوانده است و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يا أَيهَا الَّذِينَ آَمَنُوا كونوا أَنصَارَ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اي كساني كه ايمان آورده‌ايد، ياران خدا باشيد، همان‌گونه كه عيسي بن مريم به حواريون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ياران من در راه خدا چه كساني‌اند؟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ياران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طايفه‌اي از بني‌اسرائيل ايمان آوردند و طايفه‌اي كفر ورزيدند، و كساني را كه گرويده بودند، بر دشمنانشان ياري كرديم تا چيره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گرامي صلي الله عليه و آله با همراهي مهاجران و انصار، پيام‌آوري شكوهمندش را به انجام رساند</w:t>
      </w:r>
      <w:r>
        <w:rPr>
          <w:rStyle w:val="FootnoteAnchor"/>
          <w:rtl w:val="true"/>
        </w:rPr>
        <w:footnoteReference w:id="233"/>
      </w:r>
      <w:r>
        <w:rPr>
          <w:rFonts w:ascii="IRNazanin" w:hAnsi="IRNazanin" w:eastAsia="IRNazanin"/>
          <w:color w:val="111111"/>
          <w:sz w:val="28"/>
          <w:sz w:val="28"/>
          <w:szCs w:val="28"/>
          <w:rtl w:val="true"/>
          <w:lang w:bidi="fa-IR"/>
        </w:rPr>
        <w:t xml:space="preserve">و امير مؤمنان علي عليه السلام با تلاش‌هاي خستگي‌ناپذير يارانش حماسه‌هاي شكوهمندي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مهدي عليه السلام نيز با همراهي انسان‌هاي نمونه و خودساخته، عدالت را در زمين گسترش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يكي از عوامل مهم پيروزي آن حضرت هنگام قيام جهاني، برخي مردم هستند كه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مناسبي از فرمانبرداران و ياوران آگاه و كارآمد براي كمك‌رساني به رهبري و برپايي و ادارة هستة مركزي حكومت، از شرايط اين انقلاب جهاني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گسترة انقلاب مهدوي، اين گروه بايد انسان‌هاي توانمندي باشند كه رهبر انقلاب را در رسيدن به هدف ياري كنند؛ آنان كه در بلنداي پرهيزگاري به سر مي‌برند و براي دفاع فراگير و همه‌جانبه از برنامه‌هاي آن حضرت، آمادگي كامل دارند؛ چرا كه بناي خداوند بر آن است كه ـ به جز مواردي كه خود شايسته مي‌داند ـ امور در مسير طبيعي جريان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سنت‌هاي خداوند است كه همواره مردم را در ياري رهبران و پيامبران خود همراه و هماهنگ كند؛ از اين رو پيام‌آوران بزرگ پروردگار عليهم السلام در رساندن پيام خويش به مردم، از ياراني ياري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به نمونه‌هاي فراواني از اين ياري‌گري اشاره شده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يكي از مانع‌هاي پايه‌اي در برپايي عدالت در جامعه ـ كه همواره دغدغة مصلحان اجتماعي بوده ـ نبود دست‌ياران و كارگزاران دادگر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مانع، بسياري از حركت‌هاي داد‌خواهانه را با شكست روبرو و بسياري از حكومت‌هايي كه در پي گسترش عدالت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را نافرجام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 آن اينكه عموم پيشوايان معصوم عليهم السلام، به‌ناگزير دست به كاري اساسي و جدّي براي برپايي حكومت نزدند و سبب آن نبود ياران كافي براي همراهي ايشان در اين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امير مؤمنان علي عليه السلام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شرايط تلخ و طاقت‌فرسا را به جان خريد؛</w:t>
      </w:r>
      <w:r>
        <w:rPr>
          <w:rStyle w:val="FootnoteAnchor"/>
          <w:rtl w:val="true"/>
        </w:rPr>
        <w:footnoteReference w:id="235"/>
      </w:r>
      <w:r>
        <w:rPr>
          <w:rFonts w:ascii="IRNazanin" w:hAnsi="IRNazanin" w:eastAsia="IRNazanin"/>
          <w:color w:val="111111"/>
          <w:sz w:val="28"/>
          <w:sz w:val="28"/>
          <w:szCs w:val="28"/>
          <w:rtl w:val="true"/>
          <w:lang w:bidi="fa-IR"/>
        </w:rPr>
        <w:t>چه اينكه پيش از اين پيامبر صلي الله عليه و آله وسلم به آن حضرت براي اين دوران سفارش كرده بود، اگر ياراني گرد او نيامدند، هيچ كاري نكند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امام مجتبي عليه السلام ناگزير تن به كنارآمدن با حكومت داد؛</w:t>
      </w:r>
      <w:r>
        <w:rPr>
          <w:rStyle w:val="FootnoteAnchor"/>
          <w:rtl w:val="true"/>
        </w:rPr>
        <w:footnoteReference w:id="237"/>
      </w:r>
      <w:r>
        <w:rPr>
          <w:rFonts w:ascii="IRNazanin" w:hAnsi="IRNazanin" w:eastAsia="IRNazanin"/>
          <w:color w:val="111111"/>
          <w:sz w:val="28"/>
          <w:sz w:val="28"/>
          <w:szCs w:val="28"/>
          <w:rtl w:val="true"/>
          <w:lang w:bidi="fa-IR"/>
        </w:rPr>
        <w:t>امام حسين عليه السلام مظلومانه در سخت‌ترين شرايط به شهادت رسيد؛ امام سجاد و امامان پس از وي</w:t>
      </w:r>
      <w:r>
        <w:rPr>
          <w:rStyle w:val="FootnoteAnchor"/>
          <w:rtl w:val="true"/>
        </w:rPr>
        <w:footnoteReference w:id="238"/>
      </w:r>
      <w:r>
        <w:rPr>
          <w:rFonts w:ascii="IRNazanin" w:hAnsi="IRNazanin" w:eastAsia="IRNazanin"/>
          <w:color w:val="111111"/>
          <w:sz w:val="28"/>
          <w:sz w:val="28"/>
          <w:szCs w:val="28"/>
          <w:rtl w:val="true"/>
          <w:lang w:bidi="fa-IR"/>
        </w:rPr>
        <w:t>تا امام عسكري عليهم السلام، همگي از حق حاكميت خود بر جامعه دور ماندند و بدين سبب هرگز براي بازپس‌گيري خلافت ظاهري و به عهده‌گرفتن حكومت و راهنمايي جامعه، برپا نخاستند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دوران فقط به دو مرحله مي‌توان اشاره كرد كه با گردآمدن گروهي اندك‌شمار از ياران، پيشوايان معصوم عليهم السلام دست به كاري محدود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دوران پنج‌سالة حكومت امير مؤمنان علي عليه السلام و ديگر قيام جاودانة و تاريخي امام حسين عليه السلام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منظور از ياران، همانا شيعيان راستين و گام‌استوار است كه در حمايت از امامان معصوم عليهم السلام و اهداف ايشان، از هيچ تلاشي فروگذار نبودند و اين‌گونه ياران بس اندك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داستان معروف سهل بن حسن خراساني نقل شده است</w:t>
      </w:r>
      <w:r>
        <w:rPr>
          <w:rStyle w:val="FootnoteAnchor"/>
          <w:rtl w:val="true"/>
        </w:rPr>
        <w:footnoteReference w:id="239"/>
      </w:r>
      <w:r>
        <w:rPr>
          <w:rFonts w:ascii="IRNazanin" w:hAnsi="IRNazanin" w:eastAsia="IRNazanin"/>
          <w:color w:val="111111"/>
          <w:sz w:val="28"/>
          <w:sz w:val="28"/>
          <w:szCs w:val="28"/>
          <w:rtl w:val="true"/>
          <w:lang w:bidi="fa-IR"/>
        </w:rPr>
        <w:t>كه در آن حضرت ياران راستين خود را انسان‌هايي پاك‌باخته در برابر امر ولايي امام معرفي مي‌كند و نه هر كس كه ادعاي ياري مي‌كند</w:t>
      </w:r>
      <w:r>
        <w:rPr>
          <w:rFonts w:eastAsia="IRNazanin" w:cs="IRNazanin"/>
          <w:color w:val="111111"/>
          <w:sz w:val="28"/>
          <w:szCs w:val="28"/>
          <w:rtl w:val="true"/>
          <w:lang w:bidi="fa-IR"/>
        </w:rPr>
        <w:t>.</w:t>
      </w:r>
      <w:bookmarkStart w:id="214" w:name="pg1814_19003"/>
    </w:p>
    <w:p>
      <w:pPr>
        <w:pStyle w:val="Heading5"/>
        <w:numPr>
          <w:ilvl w:val="4"/>
          <w:numId w:val="1"/>
        </w:numPr>
        <w:rPr/>
      </w:pPr>
      <w:bookmarkStart w:id="215" w:name="__RefHeading___Toc2647179_3650668749"/>
      <w:bookmarkStart w:id="216" w:name="_Toc78"/>
      <w:bookmarkEnd w:id="214"/>
      <w:bookmarkEnd w:id="215"/>
      <w:r>
        <w:rPr/>
        <w:t>1</w:t>
      </w:r>
      <w:r>
        <w:rPr>
          <w:rtl w:val="true"/>
        </w:rPr>
        <w:t>ـ</w:t>
      </w:r>
      <w:r>
        <w:rPr/>
        <w:t>1</w:t>
      </w:r>
      <w:r>
        <w:rPr>
          <w:rtl w:val="true"/>
        </w:rPr>
        <w:t xml:space="preserve">. </w:t>
      </w:r>
      <w:r>
        <w:rPr>
          <w:rtl w:val="true"/>
        </w:rPr>
        <w:t>ياران خاص</w:t>
      </w:r>
      <w:bookmarkEnd w:id="216"/>
    </w:p>
    <w:p>
      <w:pPr>
        <w:pStyle w:val="Heading6"/>
        <w:numPr>
          <w:ilvl w:val="5"/>
          <w:numId w:val="1"/>
        </w:numPr>
        <w:rPr/>
      </w:pPr>
      <w:bookmarkStart w:id="217" w:name="__RefHeading___Toc2647181_3650668749"/>
      <w:bookmarkStart w:id="218" w:name="_Toc79"/>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در حكومت جهاني حضرت مهدي عجل الله فرجه، همچون همة حركت‌هاي اصلاح‌گرانه، بهره‌مندي از ياران ويژه، امري ناگزير خواهد بود؛ چرا كه خداوند اراده فرموده آن قيام جهاني را به‌طور عمده در مسير طبيعي و سبب‌ها و علت‌هاي عادي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ياران و ياوران در روايات با ويژگي‌هايي شناخته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معصومان عليهم السلام بيش از هر تعبيري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القائم</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از آنان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عنوان‌هايي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المهدي</w:t>
      </w:r>
      <w:r>
        <w:rPr>
          <w:rFonts w:eastAsia="IRNazanin" w:cs="IRNazanin"/>
          <w:color w:val="111111"/>
          <w:sz w:val="28"/>
          <w:szCs w:val="28"/>
          <w:rtl w:val="true"/>
          <w:lang w:bidi="fa-IR"/>
        </w:rPr>
        <w:t>"</w:t>
      </w:r>
      <w:r>
        <w:rPr>
          <w:rStyle w:val="FootnoteAnchor"/>
          <w:rtl w:val="true"/>
        </w:rPr>
        <w:footnoteReference w:id="2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 المهدي</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انصاره</w:t>
      </w:r>
      <w:r>
        <w:rPr>
          <w:rFonts w:eastAsia="IRNazanin" w:cs="IRNazanin"/>
          <w:color w:val="111111"/>
          <w:sz w:val="28"/>
          <w:szCs w:val="28"/>
          <w:rtl w:val="true"/>
          <w:lang w:bidi="fa-IR"/>
        </w:rPr>
        <w:t>"</w:t>
      </w:r>
      <w:r>
        <w:rPr>
          <w:rStyle w:val="FootnoteAnchor"/>
          <w:rtl w:val="true"/>
        </w:rPr>
        <w:footnoteReference w:id="243"/>
      </w:r>
      <w:r>
        <w:rPr>
          <w:rFonts w:ascii="Amiri" w:hAnsi="Amiri" w:eastAsia="Amiri" w:cs="Amiri"/>
          <w:color w:val="111111"/>
          <w:sz w:val="28"/>
          <w:sz w:val="28"/>
          <w:szCs w:val="28"/>
          <w:rtl w:val="true"/>
          <w:lang w:bidi="ar-SA"/>
        </w:rPr>
        <w:t>نيز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برخي به شمار آنها كه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ويژه و يا بيش از ده‌هزار نفر ياوران هستند اشاره كرده</w:t>
      </w:r>
      <w:r>
        <w:rPr>
          <w:rStyle w:val="FootnoteAnchor"/>
          <w:rtl w:val="true"/>
        </w:rPr>
        <w:footnoteReference w:id="244"/>
      </w:r>
      <w:r>
        <w:rPr>
          <w:rFonts w:ascii="IRNazanin" w:hAnsi="IRNazanin" w:eastAsia="IRNazanin"/>
          <w:color w:val="111111"/>
          <w:sz w:val="28"/>
          <w:sz w:val="28"/>
          <w:szCs w:val="28"/>
          <w:rtl w:val="true"/>
          <w:lang w:bidi="fa-IR"/>
        </w:rPr>
        <w:t>و خروج حضرت را به آن وابسته دانسته است</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كه خداوند همة آن‌ها را بدون آگاهي پيشين در كنار موعود عليه السلام گرد خواهد آورد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شمار ياران سيصد و سيزده نفر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 مفضل بن عمر</w:t>
      </w:r>
      <w:r>
        <w:rPr>
          <w:rStyle w:val="FootnoteAnchor"/>
          <w:rtl w:val="true"/>
        </w:rPr>
        <w:footnoteReference w:id="247"/>
      </w:r>
      <w:r>
        <w:rPr>
          <w:rFonts w:ascii="Amiri" w:hAnsi="Amiri" w:eastAsia="Amiri" w:cs="Amiri"/>
          <w:color w:val="111111"/>
          <w:sz w:val="28"/>
          <w:sz w:val="28"/>
          <w:szCs w:val="28"/>
          <w:rtl w:val="true"/>
          <w:lang w:bidi="ar-SA"/>
        </w:rPr>
        <w:t>از امام صادق عليه السلام نقل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أَنْظُرُ إِلَي الْقَائِمِ عَلَي مِنْبَرِ الْكُوفَةِ وَ حَوْلَهُ أَصْحَابُهُ ثَلَاثُمِائَةٍ وَ ثَلَاثَةَ عَشَرَ رَجُلًا عِدَّةُ أَهْلِ بَدْرٍ وَ هُمْ أَصْحَابُ الْأَلْوِيَة؛</w:t>
      </w:r>
      <w:r>
        <w:rPr>
          <w:rStyle w:val="FootnoteAnchor"/>
          <w:rtl w:val="true"/>
        </w:rPr>
        <w:footnoteReference w:id="248"/>
      </w:r>
      <w:r>
        <w:rPr>
          <w:rFonts w:ascii="IRNazanin" w:hAnsi="IRNazanin" w:eastAsia="IRNazanin"/>
          <w:color w:val="111111"/>
          <w:sz w:val="28"/>
          <w:sz w:val="28"/>
          <w:szCs w:val="28"/>
          <w:rtl w:val="true"/>
          <w:lang w:bidi="fa-IR"/>
        </w:rPr>
        <w:t>گويا مي‌نگرم قائم را بر منبر كوفه و سيصد و سيزده نفر يارانش كه پيرامونش گرد آمده‌اند به شمار اهل بدر و آنها پرچم‌داران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و مضمون آن را نعماني در الغيبه،</w:t>
      </w:r>
      <w:r>
        <w:rPr>
          <w:rStyle w:val="FootnoteAnchor"/>
          <w:rtl w:val="true"/>
        </w:rPr>
        <w:footnoteReference w:id="249"/>
      </w:r>
      <w:r>
        <w:rPr>
          <w:rFonts w:ascii="Amiri" w:hAnsi="Amiri" w:eastAsia="Amiri" w:cs="Amiri"/>
          <w:color w:val="111111"/>
          <w:sz w:val="28"/>
          <w:sz w:val="28"/>
          <w:szCs w:val="28"/>
          <w:rtl w:val="true"/>
          <w:lang w:bidi="ar-SA"/>
        </w:rPr>
        <w:t>شيخ صدوق در كمال الدين</w:t>
      </w:r>
      <w:r>
        <w:rPr>
          <w:rStyle w:val="FootnoteAnchor"/>
          <w:rtl w:val="true"/>
        </w:rPr>
        <w:footnoteReference w:id="250"/>
      </w:r>
      <w:r>
        <w:rPr>
          <w:rFonts w:ascii="Amiri" w:hAnsi="Amiri" w:eastAsia="Amiri" w:cs="Amiri"/>
          <w:color w:val="111111"/>
          <w:sz w:val="28"/>
          <w:sz w:val="28"/>
          <w:szCs w:val="28"/>
          <w:rtl w:val="true"/>
          <w:lang w:bidi="ar-SA"/>
        </w:rPr>
        <w:t>و شيخ طوسي در الغيبه</w:t>
      </w:r>
      <w:r>
        <w:rPr>
          <w:rStyle w:val="FootnoteAnchor"/>
          <w:rtl w:val="true"/>
        </w:rPr>
        <w:footnoteReference w:id="251"/>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برخي روايات نيز ياوران آن حضرت ده هزار نفر ياد شده و تا آنان گرد نيايند قيام صورت نمي‌گيرد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ابي بصير از امام صادق عليه السلام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يَخْرُجُ الْقَائِمُ مِنْ مَكَّةَ حَتَّي تَكْمُلَ الْحَلْقَةُ قُلْتُ وَ كَمِ الْحَلْقَةُ قَالَ عَشَرَةُ آلَاف؛ تا حلقه كامل نگردد، قائم خروج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شدن حلقه به چند نفراست؟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w:t>
      </w:r>
      <w:r>
        <w:rPr>
          <w:rStyle w:val="FootnoteAnchor"/>
          <w:rtl w:val="true"/>
        </w:rPr>
        <w:footnoteReference w:id="252"/>
      </w:r>
      <w:r>
        <w:rPr>
          <w:rFonts w:ascii="IRNazanin" w:hAnsi="IRNazanin" w:eastAsia="IRNazanin"/>
          <w:color w:val="111111"/>
          <w:sz w:val="28"/>
          <w:sz w:val="28"/>
          <w:szCs w:val="28"/>
          <w:rtl w:val="true"/>
          <w:lang w:bidi="fa-IR"/>
        </w:rPr>
        <w:t>ده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اندك فرماندهان و وزيران امامند كه در آغاز هسته‌هاي اصلي نيروها را بر عهده دارند و پس از پيروزي براي ارشاد و دادرسي و كارگزاري به سرزمين‌هاي دور و نزديك فرستاده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مضمون را افزون بر نعماني، عياشي،</w:t>
      </w:r>
      <w:r>
        <w:rPr>
          <w:rStyle w:val="FootnoteAnchor"/>
          <w:rtl w:val="true"/>
        </w:rPr>
        <w:footnoteReference w:id="253"/>
      </w:r>
      <w:r>
        <w:rPr>
          <w:rFonts w:ascii="Amiri" w:hAnsi="Amiri" w:eastAsia="Amiri" w:cs="Amiri"/>
          <w:color w:val="111111"/>
          <w:sz w:val="28"/>
          <w:sz w:val="28"/>
          <w:szCs w:val="28"/>
          <w:rtl w:val="true"/>
          <w:lang w:bidi="ar-SA"/>
        </w:rPr>
        <w:t>شيخ صدوق،</w:t>
      </w:r>
      <w:r>
        <w:rPr>
          <w:rStyle w:val="FootnoteAnchor"/>
          <w:rtl w:val="true"/>
        </w:rPr>
        <w:footnoteReference w:id="254"/>
      </w:r>
      <w:r>
        <w:rPr>
          <w:rFonts w:ascii="Amiri" w:hAnsi="Amiri" w:eastAsia="Amiri" w:cs="Amiri"/>
          <w:color w:val="111111"/>
          <w:sz w:val="28"/>
          <w:sz w:val="28"/>
          <w:szCs w:val="28"/>
          <w:rtl w:val="true"/>
          <w:lang w:bidi="ar-SA"/>
        </w:rPr>
        <w:t>و شيخ مفيد</w:t>
      </w:r>
      <w:r>
        <w:rPr>
          <w:rStyle w:val="FootnoteAnchor"/>
          <w:rtl w:val="true"/>
        </w:rPr>
        <w:footnoteReference w:id="255"/>
      </w:r>
      <w:r>
        <w:rPr>
          <w:rFonts w:ascii="Amiri" w:hAnsi="Amiri" w:eastAsia="Amiri" w:cs="Amiri"/>
          <w:color w:val="111111"/>
          <w:sz w:val="28"/>
          <w:sz w:val="28"/>
          <w:szCs w:val="28"/>
          <w:rtl w:val="true"/>
          <w:lang w:bidi="ar-SA"/>
        </w:rPr>
        <w:t>نيز در كتاب‌هاي خود نقل كرده‌اند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نگذرم كه ياري، ـ با توجه به آنچه در برخي روايات نقل شده ـ فقط همراهي حضرت براي كارزار با دشمنان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 روايتي زيبا حقيقت اين ياري را در نامه‌اي به عثمان پسر حنيف انصاري اين‌گونه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أَعِينُونِي بِوَرَعٍ وَ اجْتِهَادٍ وَ عِفَّةٍ وَ سَدَاد؛</w:t>
      </w:r>
      <w:r>
        <w:rPr>
          <w:rStyle w:val="FootnoteAnchor"/>
          <w:rtl w:val="true"/>
        </w:rPr>
        <w:footnoteReference w:id="256"/>
      </w:r>
      <w:r>
        <w:rPr>
          <w:rFonts w:ascii="IRNazanin" w:hAnsi="IRNazanin" w:eastAsia="IRNazanin"/>
          <w:color w:val="111111"/>
          <w:sz w:val="28"/>
          <w:sz w:val="28"/>
          <w:szCs w:val="28"/>
          <w:rtl w:val="true"/>
          <w:lang w:bidi="fa-IR"/>
        </w:rPr>
        <w:t>ليكن مرا يارى كنيد به پارسايى وـ در پارسايى ـ كوشيدن و پاكدامنى و درستى ورزيدن</w:t>
      </w:r>
      <w:r>
        <w:rPr>
          <w:rFonts w:eastAsia="IRNazanin" w:cs="IRNazanin"/>
          <w:color w:val="111111"/>
          <w:sz w:val="28"/>
          <w:szCs w:val="28"/>
          <w:rtl w:val="true"/>
          <w:lang w:bidi="fa-IR"/>
        </w:rPr>
        <w:t>.</w:t>
      </w:r>
      <w:bookmarkStart w:id="219" w:name="pg1814_19005"/>
    </w:p>
    <w:p>
      <w:pPr>
        <w:pStyle w:val="Heading6"/>
        <w:numPr>
          <w:ilvl w:val="5"/>
          <w:numId w:val="1"/>
        </w:numPr>
        <w:rPr/>
      </w:pPr>
      <w:bookmarkStart w:id="220" w:name="__RefHeading___Toc2647183_3650668749"/>
      <w:bookmarkStart w:id="221" w:name="_Toc80"/>
      <w:bookmarkEnd w:id="219"/>
      <w:bookmarkEnd w:id="220"/>
      <w:r>
        <w:rPr>
          <w:rtl w:val="true"/>
        </w:rPr>
        <w:t>زنان و ياري حضرت مهدي عليه السلام</w:t>
      </w:r>
      <w:bookmarkEnd w:id="221"/>
    </w:p>
    <w:p>
      <w:pPr>
        <w:pStyle w:val="BookText"/>
        <w:rPr/>
      </w:pPr>
      <w:r>
        <w:rPr>
          <w:rFonts w:ascii="IRNazanin" w:hAnsi="IRNazanin" w:eastAsia="IRNazanin"/>
          <w:color w:val="111111"/>
          <w:sz w:val="28"/>
          <w:sz w:val="28"/>
          <w:szCs w:val="28"/>
          <w:rtl w:val="true"/>
          <w:lang w:bidi="fa-IR"/>
        </w:rPr>
        <w:t>بي‌گمان در فراهم‌كردن هستة اصلي آن پيكار بزرگ و جهاد مقدس، زنان نيز نقش به‌سزايي دارند و بر پاية بيان برخي روايات، پنجاه زن، از ياران ويژة امام و همراه ياران خاص در آن قيام جهاني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اين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ثَلَاثُمِائَةٍ وَ بِضْعَةَ عَشَرَ رَجُلًا فِيهِمْ خَمْسُونَ امْرَأَةً يَجْتَمِعُونَ بِمَكَّةَ عَلَي غَيْرِ مِيعَادٍ قَزَعاً كَقَزَعِ الْخَرِيفِ يَتْبَعُ بَعْضُهُمْ بَعْضاً… ؛</w:t>
      </w:r>
      <w:r>
        <w:rPr>
          <w:rStyle w:val="FootnoteAnchor"/>
          <w:rtl w:val="true"/>
        </w:rPr>
        <w:footnoteReference w:id="257"/>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كه پنجاه زن نيز در ميان آنهاست، مانند قطعه‌هاي ابر در فصل پاييز، در غير موسم حج در مكه معظمه گرد مي‌آيند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موضوع، دو نكته را روشن مي‌سازند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پافشاري‌هاي فراوان آموزه‌هاي وحياني ـ به‌ويژه در دين مقدس اسلام ـ زنان در طول تاريخ، از حقوق خويش محروم بوده و شخصيت آنان تحقير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آن انقلاب بزرگ و جهاني حضرت مهدي عليه السلام، شخصيت حقيقي خويش را باز مي‌يابند و به عنوان كارگزاران اصلي آن تحوّل عظيم، در جامعة جهاني شركت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اهميت ويژه‌اي دارد كه ارزش واقعي و پاية قدرت و توانمندي نوع زن و ارزشيابي استعدادهاي او را مشخص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اگر در جهاد و رويارويي مستقيم همراهي نكنند، در ديگر مسئوليت‌ها و سازندگي‌ها، مي‌توانند همكاري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همچنيــن در گــسترش فــرهنگ اسلامي و آموزش معارف الهي مي‌توانند كــارآمد باشند و نقش بــرجسته‌اي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پشت جبهه و مسائل اجتماعي و تربيتي نيز مي‌توانند نقش سازنده‌اي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ارجمندي جايگاه زن و رشد و تكامل قابل توجّه او را روشن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تربيتي اين موضوع مهم، در جامعة منتظر، مي‌تواند خــودآگاهي زنــان و بازشناسي تــوان رشــد و بازيــابي شخصيت آنان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شركت در آن انقلاب جهاني، زنان از هم اكنون بايد با معيارهاي دقيق اسلامي و اخلاقي، شخصيت خود را بسازند و در بعد علم و عمل تكامل يابند و بدانند كه هم اكنون و در آينده، مسئوليت‌هاي بزرگي بر عهده دارند و در آينده كارهاي مهمي را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بايستي از هم اكنون به شناخت دقيق و درست اسلام بپردازند و در تربيت خويش بكوشند، تا پيش از ظهور، در جرگة زنان منتظر قرار گيرند، و پس از آن شايستگي شركت در آن حركت بزرگ و كمك رساندن به داعي حق را داشته باشند</w:t>
      </w:r>
      <w:r>
        <w:rPr>
          <w:rFonts w:eastAsia="IRNazanin" w:cs="IRNazanin"/>
          <w:color w:val="111111"/>
          <w:sz w:val="28"/>
          <w:szCs w:val="28"/>
          <w:rtl w:val="true"/>
          <w:lang w:bidi="fa-IR"/>
        </w:rPr>
        <w:t>.</w:t>
      </w:r>
      <w:r>
        <w:rPr>
          <w:rStyle w:val="FootnoteAnchor"/>
          <w:rtl w:val="true"/>
        </w:rPr>
        <w:footnoteReference w:id="258"/>
      </w:r>
      <w:bookmarkStart w:id="222" w:name="pg1814_19007"/>
    </w:p>
    <w:p>
      <w:pPr>
        <w:pStyle w:val="Heading6"/>
        <w:numPr>
          <w:ilvl w:val="5"/>
          <w:numId w:val="1"/>
        </w:numPr>
        <w:rPr/>
      </w:pPr>
      <w:bookmarkStart w:id="223" w:name="__RefHeading___Toc2647185_3650668749"/>
      <w:bookmarkStart w:id="224" w:name="_Toc81"/>
      <w:bookmarkEnd w:id="222"/>
      <w:bookmarkEnd w:id="223"/>
      <w:r>
        <w:rPr>
          <w:rtl w:val="true"/>
        </w:rPr>
        <w:t>گونه‌هاي ياران خاص در روايات</w:t>
      </w:r>
      <w:bookmarkEnd w:id="224"/>
    </w:p>
    <w:p>
      <w:pPr>
        <w:pStyle w:val="Heading6"/>
        <w:numPr>
          <w:ilvl w:val="5"/>
          <w:numId w:val="1"/>
        </w:numPr>
        <w:rPr/>
      </w:pPr>
      <w:bookmarkStart w:id="225" w:name="__RefHeading___Toc2647187_3650668749"/>
      <w:bookmarkStart w:id="226" w:name="_Toc82"/>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ياران امام مهدي عليه السلام از صنف، نژاد و سرزمين خاصي نيستند؛ بلكه از گروه‌ها و نژادهاي گوناگون و از سرتاسر گيتي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به ياري آن حضرت مي‌شتابند از مناطق گوناگون و كران تا كران اين كرة خاكي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عليه السلام از پدران بزرگوار خود از پيامبر صلي الله عليه و آله وسلم سخن مفصلي در بارة ياران حضرت مهدي عليه السلام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مُسَوَّمَةٌ يَجْمَعُ اللَّهُ عَزَّ وَ جَلَّ لَهُ مِنْ أَقَاصِي الْبِلَادِ عَلَي عَدَدِ أَهْلِ بَدْرٍ ثَلَاثَمِائَةٍ وَ ثَلَاثَةَ عَشَرَ رَجُلًا… ؛</w:t>
      </w:r>
      <w:r>
        <w:rPr>
          <w:rStyle w:val="FootnoteAnchor"/>
          <w:rtl w:val="true"/>
        </w:rPr>
        <w:footnoteReference w:id="259"/>
      </w:r>
      <w:r>
        <w:rPr>
          <w:rFonts w:ascii="IRNazanin" w:hAnsi="IRNazanin" w:eastAsia="IRNazanin"/>
          <w:color w:val="111111"/>
          <w:sz w:val="28"/>
          <w:sz w:val="28"/>
          <w:szCs w:val="28"/>
          <w:rtl w:val="true"/>
          <w:lang w:bidi="fa-IR"/>
        </w:rPr>
        <w:t xml:space="preserve">و مرداني شناخته‌شده و نامدار، خداي تعالي براي او از اقصي نقاط شهرها و روستاها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شمار ياران بدر گرد مي‌آورد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برخي از روايات به گروه‌هاي خاصي نيز اشاره شده است كه از اين قرارند</w:t>
      </w:r>
      <w:r>
        <w:rPr>
          <w:rFonts w:eastAsia="IRNazanin" w:cs="IRNazanin"/>
          <w:color w:val="111111"/>
          <w:sz w:val="28"/>
          <w:szCs w:val="28"/>
          <w:rtl w:val="true"/>
          <w:lang w:bidi="fa-IR"/>
        </w:rPr>
        <w:t>:</w:t>
      </w:r>
      <w:bookmarkStart w:id="227" w:name="pg1814_19009"/>
    </w:p>
    <w:p>
      <w:pPr>
        <w:pStyle w:val="Heading6"/>
        <w:numPr>
          <w:ilvl w:val="5"/>
          <w:numId w:val="1"/>
        </w:numPr>
        <w:rPr/>
      </w:pPr>
      <w:bookmarkStart w:id="228" w:name="__RefHeading___Toc2647189_3650668749"/>
      <w:bookmarkStart w:id="229" w:name="_Toc83"/>
      <w:bookmarkEnd w:id="227"/>
      <w:bookmarkEnd w:id="228"/>
      <w:r>
        <w:rPr>
          <w:rtl w:val="true"/>
        </w:rPr>
        <w:t>الف</w:t>
      </w:r>
      <w:r>
        <w:rPr>
          <w:rtl w:val="true"/>
        </w:rPr>
        <w:t xml:space="preserve">) </w:t>
      </w:r>
      <w:r>
        <w:rPr>
          <w:rtl w:val="true"/>
        </w:rPr>
        <w:t>أبدال</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گروهي از شايستگان و ويژگان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هيچ‌گاه زمين از آنان تهي نباشد و جهان بديشان برپا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يكي از آنان بميرد، خداوند بزرگ انسان ديگري را به جاي او برانگيــزد،</w:t>
      </w:r>
      <w:r>
        <w:rPr>
          <w:rStyle w:val="FootnoteAnchor"/>
          <w:rtl w:val="true"/>
        </w:rPr>
        <w:footnoteReference w:id="260"/>
      </w:r>
      <w:r>
        <w:rPr>
          <w:rFonts w:ascii="IRNazanin" w:hAnsi="IRNazanin" w:eastAsia="IRNazanin"/>
          <w:color w:val="111111"/>
          <w:sz w:val="28"/>
          <w:sz w:val="28"/>
          <w:szCs w:val="28"/>
          <w:rtl w:val="true"/>
          <w:lang w:bidi="fa-IR"/>
        </w:rPr>
        <w:t>تا آن شمار ـ كه به گفته‌اي هفت و به گفته‌اي هفتاد است ـ همواره كامل بماند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برخي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گروهي‌اند كه خداوند به دست آنها دين را بر پا نگه مي‌دارد و روزي را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از ايشان در شام و سي نفر در ساير سرزمين‌ها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يكي از دنيا برود، كس ديگري همانند او به جاي او قرار مي‌گيرد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يُبَايِعُ الْقَائِمَ بَيْنَ الرُّكْنِ وَ الْمَقَامِ ثَلَاثُمِائَةٍ وَ نَيِّفٌ عِدَّةُ أَهْلِ بَدْرٍ فِيهِمُ النُّجَبَاءُ مِنْ أَهْلِ مِصْرَ وَ الْأَبْدَالُ مِنْ أَهْلِ الشَّامِ وَ الْأَخْيَارُ مِنْ أَهْلِ الْعِرَاق؛</w:t>
      </w:r>
      <w:r>
        <w:rPr>
          <w:rStyle w:val="FootnoteAnchor"/>
          <w:rtl w:val="true"/>
        </w:rPr>
        <w:footnoteReference w:id="263"/>
      </w:r>
      <w:r>
        <w:rPr>
          <w:rFonts w:ascii="IRNazanin" w:hAnsi="IRNazanin" w:eastAsia="IRNazanin"/>
          <w:color w:val="111111"/>
          <w:sz w:val="28"/>
          <w:sz w:val="28"/>
          <w:szCs w:val="28"/>
          <w:rtl w:val="true"/>
          <w:lang w:bidi="fa-IR"/>
        </w:rPr>
        <w:t>سيصد و چند نفر به شمار اهل جنگ بدر با قائم بين ركن و مقام بيعت مي‌كنند كه در بين آنان نجبا از اهل مصر و ابدال از اهل شام و اخيار از اهل عراق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براين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گــروهي از ياران حضرت مهدي عليه السلام در سرزمين شام هستند كه هنگام ظهور، خود را به مكه رسانده با ايشان بيعت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بارة ويژگي اين افراد پيامبر اعظم صلي الله عليه و آله وسلم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رُهْبانٌ بِاللَّيْلِ لُيُوثٌ بِالنَّهارِ كانَ قُلُوبُهُم زُبُرَ الحَدِيدِ فَيُبايِعُونَهُ بَيْنَ الرُّكْنِ وَالْمَقامِ… ؛</w:t>
      </w:r>
      <w:r>
        <w:rPr>
          <w:rStyle w:val="FootnoteAnchor"/>
          <w:rtl w:val="true"/>
        </w:rPr>
        <w:footnoteReference w:id="264"/>
      </w:r>
      <w:r>
        <w:rPr>
          <w:rFonts w:ascii="IRNazanin" w:hAnsi="IRNazanin" w:eastAsia="IRNazanin"/>
          <w:color w:val="111111"/>
          <w:sz w:val="28"/>
          <w:sz w:val="28"/>
          <w:szCs w:val="28"/>
          <w:rtl w:val="true"/>
          <w:lang w:bidi="fa-IR"/>
        </w:rPr>
        <w:t>آنان راهبان شب و شيران روز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دل‌هايشان چون فولاد سخت است؛ ميان ركن و مقام،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مي‌كنند</w:t>
      </w:r>
      <w:r>
        <w:rPr>
          <w:rFonts w:eastAsia="IRNazanin" w:cs="IRNazanin"/>
          <w:color w:val="111111"/>
          <w:sz w:val="28"/>
          <w:szCs w:val="28"/>
          <w:rtl w:val="true"/>
          <w:lang w:bidi="fa-IR"/>
        </w:rPr>
        <w:t>.</w:t>
      </w:r>
      <w:bookmarkStart w:id="230" w:name="pg1814_19011"/>
    </w:p>
    <w:p>
      <w:pPr>
        <w:pStyle w:val="Heading6"/>
        <w:numPr>
          <w:ilvl w:val="5"/>
          <w:numId w:val="1"/>
        </w:numPr>
        <w:rPr/>
      </w:pPr>
      <w:bookmarkStart w:id="231" w:name="__RefHeading___Toc2647191_3650668749"/>
      <w:bookmarkStart w:id="232" w:name="_Toc84"/>
      <w:bookmarkEnd w:id="230"/>
      <w:bookmarkEnd w:id="231"/>
      <w:r>
        <w:rPr>
          <w:rtl w:val="true"/>
        </w:rPr>
        <w:t>ب</w:t>
      </w:r>
      <w:r>
        <w:rPr>
          <w:rtl w:val="true"/>
        </w:rPr>
        <w:t xml:space="preserve">) </w:t>
      </w:r>
      <w:r>
        <w:rPr>
          <w:rtl w:val="true"/>
        </w:rPr>
        <w:t>اخيار</w:t>
      </w:r>
      <w:bookmarkEnd w:id="23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معناي نيكان، برگزيدگان، نيكوتران</w:t>
      </w:r>
      <w:r>
        <w:rPr>
          <w:rStyle w:val="FootnoteAnchor"/>
          <w:rtl w:val="true"/>
        </w:rPr>
        <w:footnoteReference w:id="265"/>
      </w:r>
      <w:r>
        <w:rPr>
          <w:rFonts w:ascii="IRNazanin" w:hAnsi="IRNazanin" w:eastAsia="IRNazanin"/>
          <w:color w:val="111111"/>
          <w:sz w:val="28"/>
          <w:sz w:val="28"/>
          <w:szCs w:val="28"/>
          <w:rtl w:val="true"/>
          <w:lang w:bidi="fa-IR"/>
        </w:rPr>
        <w:t>و انسان‌هاي نيك‌رفتار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از امام باقر عليه السلام نقل شد، آنان گروهي از ياران ويژه حضرت مهدي عليه السلام و از جمله</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هستند كه از عراق به آن حضرت مي‌پيوندند و بين ركن و مقام با ايشان بيعت مي‌كنند</w:t>
      </w:r>
      <w:r>
        <w:rPr>
          <w:rFonts w:eastAsia="IRNazanin" w:cs="IRNazanin"/>
          <w:color w:val="111111"/>
          <w:sz w:val="28"/>
          <w:szCs w:val="28"/>
          <w:rtl w:val="true"/>
          <w:lang w:bidi="fa-IR"/>
        </w:rPr>
        <w:t>.</w:t>
      </w:r>
      <w:bookmarkStart w:id="233" w:name="pg1814_19012"/>
    </w:p>
    <w:p>
      <w:pPr>
        <w:pStyle w:val="Heading6"/>
        <w:numPr>
          <w:ilvl w:val="5"/>
          <w:numId w:val="1"/>
        </w:numPr>
        <w:rPr/>
      </w:pPr>
      <w:bookmarkStart w:id="234" w:name="__RefHeading___Toc2647193_3650668749"/>
      <w:bookmarkStart w:id="235" w:name="_Toc85"/>
      <w:bookmarkEnd w:id="233"/>
      <w:bookmarkEnd w:id="234"/>
      <w:r>
        <w:rPr>
          <w:rtl w:val="true"/>
        </w:rPr>
        <w:t>ج</w:t>
      </w:r>
      <w:r>
        <w:rPr>
          <w:rtl w:val="true"/>
        </w:rPr>
        <w:t xml:space="preserve">) </w:t>
      </w:r>
      <w:r>
        <w:rPr>
          <w:rtl w:val="true"/>
        </w:rPr>
        <w:t>عصائب</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گروهي بين ده تا چهل نفراست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زاهدان و وارستگانند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بر پاية برخي روايات، آنان ياران حضرت مهدي عليه السلام از عراق هستند،</w:t>
      </w:r>
      <w:r>
        <w:rPr>
          <w:rStyle w:val="FootnoteAnchor"/>
          <w:rtl w:val="true"/>
        </w:rPr>
        <w:footnoteReference w:id="267"/>
      </w:r>
      <w:r>
        <w:rPr>
          <w:rFonts w:ascii="IRNazanin" w:hAnsi="IRNazanin" w:eastAsia="IRNazanin"/>
          <w:color w:val="111111"/>
          <w:sz w:val="28"/>
          <w:sz w:val="28"/>
          <w:szCs w:val="28"/>
          <w:rtl w:val="true"/>
          <w:lang w:bidi="fa-IR"/>
        </w:rPr>
        <w:t>كه هنگام ظهور، خود را به مكه مي‌رسانند و با او بيعت مي‌كنند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پيامبر صلي الله عليه و آله وسلم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وَعَصائِبُ العِراقِ…؛</w:t>
      </w:r>
      <w:r>
        <w:rPr>
          <w:rStyle w:val="FootnoteAnchor"/>
          <w:rtl w:val="true"/>
        </w:rPr>
        <w:footnoteReference w:id="269"/>
      </w:r>
      <w:r>
        <w:rPr>
          <w:rFonts w:ascii="IRNazanin" w:hAnsi="IRNazanin" w:eastAsia="IRNazanin"/>
          <w:color w:val="111111"/>
          <w:sz w:val="28"/>
          <w:sz w:val="28"/>
          <w:szCs w:val="28"/>
          <w:rtl w:val="true"/>
          <w:lang w:bidi="fa-IR"/>
        </w:rPr>
        <w:t>و گروه‌هايي از عراق بيرون مي‌آيند…</w:t>
      </w:r>
      <w:r>
        <w:rPr>
          <w:rFonts w:eastAsia="IRNazanin" w:cs="IRNazanin"/>
          <w:color w:val="111111"/>
          <w:sz w:val="28"/>
          <w:szCs w:val="28"/>
          <w:rtl w:val="true"/>
          <w:lang w:bidi="fa-IR"/>
        </w:rPr>
        <w:t>.</w:t>
      </w:r>
      <w:bookmarkStart w:id="236" w:name="pg1814_19014"/>
    </w:p>
    <w:p>
      <w:pPr>
        <w:pStyle w:val="Heading6"/>
        <w:numPr>
          <w:ilvl w:val="5"/>
          <w:numId w:val="1"/>
        </w:numPr>
        <w:rPr/>
      </w:pPr>
      <w:bookmarkStart w:id="237" w:name="__RefHeading___Toc2647195_3650668749"/>
      <w:bookmarkStart w:id="238" w:name="_Toc86"/>
      <w:bookmarkEnd w:id="236"/>
      <w:bookmarkEnd w:id="237"/>
      <w:r>
        <w:rPr>
          <w:rtl w:val="true"/>
        </w:rPr>
        <w:t>د</w:t>
      </w:r>
      <w:r>
        <w:rPr>
          <w:rtl w:val="true"/>
        </w:rPr>
        <w:t xml:space="preserve">) </w:t>
      </w:r>
      <w:r>
        <w:rPr>
          <w:rtl w:val="true"/>
        </w:rPr>
        <w:t>نجبا</w:t>
      </w:r>
      <w:bookmarkEnd w:id="238"/>
    </w:p>
    <w:p>
      <w:pPr>
        <w:pStyle w:val="BookText"/>
        <w:rPr/>
      </w:pPr>
      <w:r>
        <w:rPr>
          <w:rFonts w:ascii="IRNazanin" w:hAnsi="IRNazanin" w:eastAsia="IRNazanin"/>
          <w:color w:val="111111"/>
          <w:sz w:val="28"/>
          <w:sz w:val="28"/>
          <w:szCs w:val="28"/>
          <w:rtl w:val="true"/>
          <w:lang w:bidi="fa-IR"/>
        </w:rPr>
        <w:t>در روايت پيش‌گفته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فَيَخْرُجُ النُّجَباءُ مِنْ مِصْرَ…؛</w:t>
      </w:r>
      <w:r>
        <w:rPr>
          <w:rStyle w:val="FootnoteAnchor"/>
          <w:rtl w:val="true"/>
        </w:rPr>
        <w:footnoteReference w:id="270"/>
      </w:r>
      <w:r>
        <w:rPr>
          <w:rFonts w:ascii="Amiri" w:hAnsi="Amiri" w:eastAsia="Amiri" w:cs="Amiri"/>
          <w:color w:val="111111"/>
          <w:sz w:val="28"/>
          <w:sz w:val="28"/>
          <w:szCs w:val="28"/>
          <w:rtl w:val="true"/>
          <w:lang w:bidi="ar-SA"/>
        </w:rPr>
        <w:t>نجبا از مصر بيرون مي‌آيند…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 نيز در روايتي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يُبايِعُ القائِمَ بَينَ الرُّكنِ وَالمَقامِ ثَلاثمائة وَنَيِّف عِدَة اَهْلِ بَدْر فِيهِم النُّجَباءُ مِنْ اَهْلِ مِصْر… ؛</w:t>
      </w:r>
      <w:r>
        <w:rPr>
          <w:rStyle w:val="FootnoteAnchor"/>
          <w:rtl w:val="true"/>
        </w:rPr>
        <w:footnoteReference w:id="271"/>
      </w:r>
      <w:r>
        <w:rPr>
          <w:rFonts w:ascii="IRNazanin" w:hAnsi="IRNazanin" w:eastAsia="IRNazanin"/>
          <w:color w:val="111111"/>
          <w:sz w:val="28"/>
          <w:sz w:val="28"/>
          <w:szCs w:val="28"/>
          <w:rtl w:val="true"/>
          <w:lang w:bidi="fa-IR"/>
        </w:rPr>
        <w:t>سيصد و چند تن، به شمار اهل بدر، بين ركن و مقام با قائم بيعت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آنان نجبا، از اهل مصر …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گروه‌هاي يادشده برخي روايات نيز به سرزمين‌هايي اشاره كرده كه بخشي از ياران حضرت از آنجا به او مي‌پيوندند؛ از جملة آنها مي‌توان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طالقان، چه منطقه‌اي بين مرو و بلخ باشد و يا شهــري ميــان قــزوين و ابهر،</w:t>
      </w:r>
      <w:r>
        <w:rPr>
          <w:rStyle w:val="FootnoteAnchor"/>
          <w:rtl w:val="true"/>
        </w:rPr>
        <w:footnoteReference w:id="272"/>
      </w:r>
      <w:r>
        <w:rPr>
          <w:rFonts w:ascii="IRNazanin" w:hAnsi="IRNazanin" w:eastAsia="IRNazanin"/>
          <w:color w:val="111111"/>
          <w:sz w:val="28"/>
          <w:sz w:val="28"/>
          <w:szCs w:val="28"/>
          <w:rtl w:val="true"/>
          <w:lang w:bidi="fa-IR"/>
        </w:rPr>
        <w:t>خاستگــاه بــرخي از يــاران حضرت مهدي عليه السلام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منابع اهل سنّت از حضرت علي عليه السلام نقل شده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داراي گنج‌هايي در آنجا است كه نه از طلا است و نه از نقره؛ امّا در آن خطه، مرداني هستند كه خدا را آن‌گونه شناخته‌اند كه شايستة معرفت است و آنان، ياران مهدي عليه السلام در آخِرالزمان مي‌باشند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همين روايت به صورت مفصل به نقل از امام صادق عليه السلام نيز نقل شده است</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برخي، طالقان را منطقه ويژه‌اي دانسته‌اند؛ ولي گروهي نيز آن را به منطقه بسيار وسيعي همانند ايران معنا كرده‌اند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از روايت ذكر شده در منابع اهل سنّت، استفاده مي‌شود كه آنان اصحاب و ياران ويژه آن حضرت هستند ـ زيرا در روايت، نوع آنان مشخص شده است ـ امّا در روايت بحارالانوار افزون بر بيان چگونگي و كيفيت، سخن از كمّيت و لشكر و درفش‌هاي پيروزمند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رواياتي هم به كساني اشاره شده كه شماري از آنان به ياري مهدي موعود عليه السلام بر نخواهند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صادق عليه السلام روايت كرده به همراه قائم عليه السلام از عرب شمار ناچيزي خواهد بود؛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عرب كساني كه اين امر را توصيف مي‌كنند، فراوانند،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ناگزيرند از اينكه مورد آزمايش و پاكسازي و جداسازي و غربال‌شدن قرار گيرند و در آينده نزديك، مردم بسياري از غربال بيرون مي‌ريزند</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امروز شاهد آزمايش‌هاي بزرگي از آنان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ياري مردم عرب و مسلمان ستم‌ديدة غزه گرفته تا مردم مظلوم يمن و… همه و همه آزمون‌هايي است كه در دوران ما براي مسلمانان عرب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آزمايش‌هاي ديگر در آينده چگونه باشد؟</w:t>
      </w:r>
      <w:bookmarkStart w:id="239" w:name="pg1814_19017"/>
    </w:p>
    <w:p>
      <w:pPr>
        <w:pStyle w:val="Heading6"/>
        <w:numPr>
          <w:ilvl w:val="5"/>
          <w:numId w:val="1"/>
        </w:numPr>
        <w:rPr/>
      </w:pPr>
      <w:bookmarkStart w:id="240" w:name="__RefHeading___Toc2647197_3650668749"/>
      <w:bookmarkStart w:id="241" w:name="_Toc87"/>
      <w:bookmarkEnd w:id="239"/>
      <w:bookmarkEnd w:id="240"/>
      <w:r>
        <w:rPr>
          <w:rtl w:val="true"/>
        </w:rPr>
        <w:t>ويژگي هاي ياران</w:t>
      </w:r>
      <w:bookmarkEnd w:id="24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بارة ويژگي‌هاي ياران خاص حضرت مهدي عليه السلام، نكات فراواني در روايات ذكر شده كه در يك تقسيم‌بندي مي‌توان به ويژگي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جسماني و روحي تقسيم كرد</w:t>
      </w:r>
      <w:r>
        <w:rPr>
          <w:rFonts w:eastAsia="IRNazanin" w:cs="IRNazanin"/>
          <w:color w:val="111111"/>
          <w:sz w:val="28"/>
          <w:szCs w:val="28"/>
          <w:rtl w:val="true"/>
          <w:lang w:bidi="fa-IR"/>
        </w:rPr>
        <w:t>.</w:t>
      </w:r>
      <w:bookmarkStart w:id="242" w:name="pg1814_19018"/>
    </w:p>
    <w:p>
      <w:pPr>
        <w:pStyle w:val="Heading6"/>
        <w:numPr>
          <w:ilvl w:val="5"/>
          <w:numId w:val="1"/>
        </w:numPr>
        <w:rPr/>
      </w:pPr>
      <w:bookmarkStart w:id="243" w:name="__RefHeading___Toc2647199_3650668749"/>
      <w:bookmarkStart w:id="244" w:name="_Toc88"/>
      <w:bookmarkEnd w:id="242"/>
      <w:bookmarkEnd w:id="243"/>
      <w:r>
        <w:rPr>
          <w:rtl w:val="true"/>
        </w:rPr>
        <w:t>ويژگي</w:t>
      </w:r>
      <w:r>
        <w:rPr>
          <w:rtl w:val="true"/>
        </w:rPr>
        <w:t>¬</w:t>
      </w:r>
      <w:r>
        <w:rPr>
          <w:rtl w:val="true"/>
        </w:rPr>
        <w:t>هاي روحي و معنوي</w:t>
      </w:r>
      <w:bookmarkEnd w:id="244"/>
    </w:p>
    <w:p>
      <w:pPr>
        <w:pStyle w:val="Heading6"/>
        <w:numPr>
          <w:ilvl w:val="5"/>
          <w:numId w:val="1"/>
        </w:numPr>
        <w:rPr/>
      </w:pPr>
      <w:bookmarkStart w:id="245" w:name="__RefHeading___Toc2647201_3650668749"/>
      <w:bookmarkStart w:id="246" w:name="_Toc89"/>
      <w:bookmarkEnd w:id="245"/>
      <w:r>
        <w:rPr>
          <w:rtl w:val="true"/>
        </w:rPr>
        <w:t>اشاره</w:t>
      </w:r>
      <w:bookmarkEnd w:id="24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7"/>
      </w:r>
      <w:bookmarkStart w:id="247" w:name="pg1814_19020"/>
    </w:p>
    <w:p>
      <w:pPr>
        <w:pStyle w:val="Heading6"/>
        <w:numPr>
          <w:ilvl w:val="5"/>
          <w:numId w:val="1"/>
        </w:numPr>
        <w:rPr/>
      </w:pPr>
      <w:bookmarkStart w:id="248" w:name="__RefHeading___Toc2647203_3650668749"/>
      <w:bookmarkStart w:id="249" w:name="_Toc90"/>
      <w:bookmarkEnd w:id="247"/>
      <w:bookmarkEnd w:id="248"/>
      <w:r>
        <w:rPr/>
        <w:t>1</w:t>
      </w:r>
      <w:r>
        <w:rPr>
          <w:rtl w:val="true"/>
        </w:rPr>
        <w:t xml:space="preserve">. </w:t>
      </w:r>
      <w:r>
        <w:rPr>
          <w:rtl w:val="true"/>
        </w:rPr>
        <w:t>يگانه</w:t>
      </w:r>
      <w:r>
        <w:rPr>
          <w:rtl w:val="true"/>
        </w:rPr>
        <w:t>¬</w:t>
      </w:r>
      <w:r>
        <w:rPr>
          <w:rtl w:val="true"/>
        </w:rPr>
        <w:t>پرستي</w:t>
      </w:r>
      <w:bookmarkEnd w:id="24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به يگانگي خداوند و يكتا‌پرستي، سرلوحة باورهاي ياران حضرت مهدي عليه السلام ـ به عنوان مؤمنان راستين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باره، آن‌ها را مرداني دانسته كه گويا دل‌هايشان پاره‌هاي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ترديد در ذات مقدس خداي خاطرشان را نمي‌آلايد… همانند چراغ‌هاي فروزانند؛ گويا دل‌هايشان نورباران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ناخشنودي پروردگارشان هراس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شهادت در راه خداوند دعا مي‌كنند و آرزومند كشته‌شدن در راه خدايند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و اميرمؤمنان علي عليه السلام ياران حضرت مهدي عليه السلام را گنج‌هايي آكنده از شناخت پروردگار دانسته، از آنان به نيكي ياد كرده است</w:t>
      </w:r>
      <w:r>
        <w:rPr>
          <w:rFonts w:eastAsia="IRNazanin" w:cs="IRNazanin"/>
          <w:color w:val="111111"/>
          <w:sz w:val="28"/>
          <w:szCs w:val="28"/>
          <w:rtl w:val="true"/>
          <w:lang w:bidi="fa-IR"/>
        </w:rPr>
        <w:t>.</w:t>
      </w:r>
      <w:r>
        <w:rPr>
          <w:rStyle w:val="FootnoteAnchor"/>
          <w:rtl w:val="true"/>
        </w:rPr>
        <w:footnoteReference w:id="279"/>
      </w:r>
      <w:bookmarkStart w:id="250" w:name="pg1814_19022"/>
    </w:p>
    <w:p>
      <w:pPr>
        <w:pStyle w:val="Heading6"/>
        <w:numPr>
          <w:ilvl w:val="5"/>
          <w:numId w:val="1"/>
        </w:numPr>
        <w:rPr/>
      </w:pPr>
      <w:bookmarkStart w:id="251" w:name="__RefHeading___Toc2647205_3650668749"/>
      <w:bookmarkStart w:id="252" w:name="_Toc91"/>
      <w:bookmarkEnd w:id="250"/>
      <w:bookmarkEnd w:id="251"/>
      <w:r>
        <w:rPr/>
        <w:t>2</w:t>
      </w:r>
      <w:r>
        <w:rPr>
          <w:rtl w:val="true"/>
        </w:rPr>
        <w:t xml:space="preserve">. </w:t>
      </w:r>
      <w:r>
        <w:rPr>
          <w:rtl w:val="true"/>
        </w:rPr>
        <w:t>بصيرت</w:t>
      </w:r>
      <w:bookmarkEnd w:id="252"/>
    </w:p>
    <w:p>
      <w:pPr>
        <w:pStyle w:val="BookText"/>
        <w:rPr/>
      </w:pPr>
      <w:r>
        <w:rPr>
          <w:rFonts w:ascii="IRNazanin" w:hAnsi="IRNazanin" w:eastAsia="IRNazanin"/>
          <w:color w:val="111111"/>
          <w:sz w:val="28"/>
          <w:sz w:val="28"/>
          <w:szCs w:val="28"/>
          <w:rtl w:val="true"/>
          <w:lang w:bidi="fa-IR"/>
        </w:rPr>
        <w:t>شناخت هدف، چراغ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راه را بر رونده روشن و آسان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دوراهي‌ها او را از سرگرداني رهايي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حضرت مهدي عليه السلام در بصيرت، آگاهي و خردمندي سرآمدند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فتنه‌هايي كه زيركان در آن فرو مي‌مانند، آگاهانه و هوشيارانه راه پويند و حق را از باطل باز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امام علي عليه السلام در ويژگي‌هايشان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نزديك است امروز، به فردايي كه سپيده آن خواهد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وقت است كه هر وعده نهاده در آيد، و آنچه را نمي‌شناسيد نزديك است ـ از پرده ـ برآيد، هر كه از ما ـ اهل بيت ـ بدان رسد، با چراغي روشن در آن راه رود، و بر جاي پاي صالحان گام نهد تا بند ـ از گردن‌ها ـ بگشايد، و از بندگي آزاد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ـ گمراهان ـ را پراكنده گرداند، و پريشاني ـ مؤمنان ـ را به جمعيّت كشاند، و نهان از مردمان ـ كار راند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شناس به نشان او راه نبرد، هر چند پياپي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فتنه مردمي ذهن خود را چنان تيز كنند، كه آهنگر تيغ را زدايد، و ديده‌هاشان به تفسير قرآن كه شنوند روشن شود ـ چنانكه بايد ـ بام و شام جام‌هاي حكمت نوشند ـ و در تكميل نفس بكوشند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بر آنان دراز شد، تا خواري را به نهايت رسانند، و خود را مستوجب بلاي زمانه گردانند، و چون پايان مدّت نزديك گرديد و گروهي آسايش خود را در پيوستن به فتنه ديد، آنان دست به پيكارشان گشادند، و با شكيبايي كه كردند، بر خدا منّت ننهادند، و جان باختن در راه حق را بزرگ نشماردند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قضاي آمده با پايان مدّت بلا ساز وار شد، شمشيرها در راه حقّ آختند، و بصيرتي را ـ كه در كار دين داشتند ـ آشكار ساختند</w:t>
      </w:r>
      <w:r>
        <w:rPr>
          <w:rFonts w:eastAsia="IRNazanin" w:cs="IRNazanin"/>
          <w:color w:val="111111"/>
          <w:sz w:val="28"/>
          <w:szCs w:val="28"/>
          <w:rtl w:val="true"/>
          <w:lang w:bidi="fa-IR"/>
        </w:rPr>
        <w:t>.</w:t>
      </w:r>
      <w:r>
        <w:rPr>
          <w:rStyle w:val="FootnoteAnchor"/>
          <w:rtl w:val="true"/>
        </w:rPr>
        <w:footnoteReference w:id="280"/>
      </w:r>
      <w:bookmarkStart w:id="253" w:name="pg1814_19024"/>
    </w:p>
    <w:p>
      <w:pPr>
        <w:pStyle w:val="Heading6"/>
        <w:numPr>
          <w:ilvl w:val="5"/>
          <w:numId w:val="1"/>
        </w:numPr>
        <w:rPr/>
      </w:pPr>
      <w:bookmarkStart w:id="254" w:name="__RefHeading___Toc2647207_3650668749"/>
      <w:bookmarkStart w:id="255" w:name="_Toc92"/>
      <w:bookmarkEnd w:id="253"/>
      <w:bookmarkEnd w:id="254"/>
      <w:r>
        <w:rPr/>
        <w:t>3</w:t>
      </w:r>
      <w:r>
        <w:rPr>
          <w:rtl w:val="true"/>
        </w:rPr>
        <w:t xml:space="preserve">. </w:t>
      </w:r>
      <w:r>
        <w:rPr>
          <w:rtl w:val="true"/>
        </w:rPr>
        <w:t>شجاعت</w:t>
      </w:r>
      <w:bookmarkEnd w:id="25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ياران و ياوران حضرت مهدي عليه السلام مرداني سترگ و جنگ‌آوراني دلير در ميدان‌هاي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دل‌هاشان بسان پولاد كه از دشمن هيچ هراسي به دل راه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ژرف به اهداف والاي آن قيام جهاني، همة هستي‌اشان را فراگرفته و عشق به بقية الله الاعظم عليه السلام به بازوانشان نيرو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باقر عليه السلام در وصفشان ‌آن‌گونه كه گويي آنها را مي‌بيند آنها را سيصد و اندي مرد بر بلنداي نجف كوفه ايستاده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دل‌هايي چون پولاد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سو تا مسافت يك ماه راه ترس بر دل‌هاي دشمنان سايه مي‌افكند</w:t>
      </w:r>
      <w:r>
        <w:rPr>
          <w:rFonts w:eastAsia="IRNazanin" w:cs="IRNazanin"/>
          <w:color w:val="111111"/>
          <w:sz w:val="28"/>
          <w:szCs w:val="28"/>
          <w:rtl w:val="true"/>
          <w:lang w:bidi="fa-IR"/>
        </w:rPr>
        <w:t>.</w:t>
      </w:r>
      <w:r>
        <w:rPr>
          <w:rStyle w:val="FootnoteAnchor"/>
          <w:rtl w:val="true"/>
        </w:rPr>
        <w:footnoteReference w:id="281"/>
      </w:r>
      <w:bookmarkStart w:id="256" w:name="pg1814_19026"/>
    </w:p>
    <w:p>
      <w:pPr>
        <w:pStyle w:val="Heading6"/>
        <w:numPr>
          <w:ilvl w:val="5"/>
          <w:numId w:val="1"/>
        </w:numPr>
        <w:rPr/>
      </w:pPr>
      <w:bookmarkStart w:id="257" w:name="__RefHeading___Toc2647209_3650668749"/>
      <w:bookmarkStart w:id="258" w:name="_Toc93"/>
      <w:bookmarkEnd w:id="256"/>
      <w:bookmarkEnd w:id="257"/>
      <w:r>
        <w:rPr/>
        <w:t>4</w:t>
      </w:r>
      <w:r>
        <w:rPr>
          <w:rtl w:val="true"/>
        </w:rPr>
        <w:t xml:space="preserve">. </w:t>
      </w:r>
      <w:r>
        <w:rPr>
          <w:rtl w:val="true"/>
        </w:rPr>
        <w:t>ولايت‌مداري</w:t>
      </w:r>
      <w:bookmarkEnd w:id="258"/>
    </w:p>
    <w:p>
      <w:pPr>
        <w:pStyle w:val="BookText"/>
        <w:rPr/>
      </w:pPr>
      <w:r>
        <w:rPr>
          <w:rFonts w:ascii="IRNazanin" w:hAnsi="IRNazanin" w:eastAsia="IRNazanin"/>
          <w:color w:val="111111"/>
          <w:sz w:val="28"/>
          <w:sz w:val="28"/>
          <w:szCs w:val="28"/>
          <w:rtl w:val="true"/>
          <w:lang w:bidi="fa-IR"/>
        </w:rPr>
        <w:t>ياران امام به شايستگي از او فرمان مي‌برند و به خوبي گوش‌به‌فرمان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دستورهاي وي بريكديگر پيشي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پيامبر صلي الله عليه و آله و سلم در پيروي از او تلاش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و كوشايند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عبد الله بن عجلان گويد در محضر امام صادق عليه السلام سخن از خروج قائم عليه السلام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از آن آگاه مي‌شويم؟ حضرت در پاسخ به چگونگي آگاه‌شدن ياران مهدي عليه السلام از زمان ظهور اشاره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كه صبح از خواب برمي‌خيزد به زير بالش سرش نامه‌اي مي‌يابد كه بر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طاعتي نيكو</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فضيل بن يسار از امام صادق عليه السلام نقل كرده كه آن حضرت در وصف ياران حضرت، آن‌ها را سواراني بر اسب‌هاي خود چونان عقاب توصيف كرده، كه براي بركت‌جويي دست بر زين مركب امام مي‌سايند و در گرد امام در چرخشند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دل او را در جنگ‌ها در پناه مي‌گيرند و آنچه بخواهد، فراهم ‌كنند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ابوبصير نيز ضمن آنكه خرسندي آن امام را در بارة شيعيان قائم عليه السلام روايت كرده است، از آن حضرت نقل كرده كه مهم‌ترين ويژگي آن‌ها منتظربودن در عصر غيبت و فرمان‌بردار بودنشان در عصر ظهور است</w:t>
      </w:r>
      <w:r>
        <w:rPr>
          <w:rFonts w:eastAsia="IRNazanin" w:cs="IRNazanin"/>
          <w:color w:val="111111"/>
          <w:sz w:val="28"/>
          <w:szCs w:val="28"/>
          <w:rtl w:val="true"/>
          <w:lang w:bidi="fa-IR"/>
        </w:rPr>
        <w:t>.</w:t>
      </w:r>
      <w:r>
        <w:rPr>
          <w:rStyle w:val="FootnoteAnchor"/>
          <w:rtl w:val="true"/>
        </w:rPr>
        <w:footnoteReference w:id="28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العظيم حسني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هادي عليه السلام وارد شدم و در نظر داشتم تا در بارة قائم از آن حضرت بپرسم كه همان مهدي است يا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سخن آغاز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 القاسم قائم ما همان مهديّ است؛ كسي كه بايد در غيبتش او را انتظار كشند و در ظهورش او را فرمان برند</w:t>
      </w:r>
      <w:r>
        <w:rPr>
          <w:rFonts w:eastAsia="IRNazanin" w:cs="IRNazanin"/>
          <w:color w:val="111111"/>
          <w:sz w:val="28"/>
          <w:szCs w:val="28"/>
          <w:rtl w:val="true"/>
          <w:lang w:bidi="fa-IR"/>
        </w:rPr>
        <w:t>.</w:t>
      </w:r>
      <w:r>
        <w:rPr>
          <w:rStyle w:val="FootnoteAnchor"/>
          <w:rtl w:val="true"/>
        </w:rPr>
        <w:footnoteReference w:id="286"/>
      </w:r>
      <w:bookmarkStart w:id="259" w:name="pg1814_19028"/>
    </w:p>
    <w:p>
      <w:pPr>
        <w:pStyle w:val="Heading6"/>
        <w:numPr>
          <w:ilvl w:val="5"/>
          <w:numId w:val="1"/>
        </w:numPr>
        <w:rPr/>
      </w:pPr>
      <w:bookmarkStart w:id="260" w:name="__RefHeading___Toc2647211_3650668749"/>
      <w:bookmarkStart w:id="261" w:name="_Toc94"/>
      <w:bookmarkEnd w:id="259"/>
      <w:bookmarkEnd w:id="260"/>
      <w:r>
        <w:rPr/>
        <w:t>5</w:t>
      </w:r>
      <w:r>
        <w:rPr>
          <w:rtl w:val="true"/>
        </w:rPr>
        <w:t xml:space="preserve">. </w:t>
      </w:r>
      <w:r>
        <w:rPr>
          <w:rtl w:val="true"/>
        </w:rPr>
        <w:t>از خودگذشتگي</w:t>
      </w:r>
      <w:bookmarkEnd w:id="261"/>
    </w:p>
    <w:p>
      <w:pPr>
        <w:pStyle w:val="BookText"/>
        <w:rPr/>
      </w:pPr>
      <w:r>
        <w:rPr>
          <w:rFonts w:ascii="IRNazanin" w:hAnsi="IRNazanin" w:eastAsia="IRNazanin"/>
          <w:color w:val="111111"/>
          <w:sz w:val="28"/>
          <w:sz w:val="28"/>
          <w:szCs w:val="28"/>
          <w:rtl w:val="true"/>
          <w:lang w:bidi="fa-IR"/>
        </w:rPr>
        <w:t>از ويژگي‌هاي برجستة همراهان مهدي موعود عليه السلام ازخودگذشتگي و برتري‌دادن ديگران بر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پيروزي پيامبر اسلام صلي الله عليه و آله وسلم و همه قيام‌هاي اصلاح‌گرانه تاريخ اسلام، در گرو ياران ايثارگر و فداكار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عجلي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يارانمان در كوفه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دهي از تو فرمان‌برداري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از آن‌ها سراغ جيب برادرش مي‌رود تا حاجتش برگيرد؟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بِدِمَائِهِمْ أَبْخَلُ؛ پس آنان در نثار خون خويش بخيل‌ترند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النَّاسَ فِي هُدْنَةٍ نُنَاكِحُهُمْ وَ نُوَارِثُهُمْ حَتَّى إِذَا قَامَ الْقَائِمُ جَاءَتِ الْمُزَايَلَةُ وَ أَتَى الرَّجُلُ إِلَى كِيسِ أَخِيهِ فَيَأْخُذُ حَاجَتَهُ فَلَا يَمْنَعُهُ؛</w:t>
      </w:r>
      <w:r>
        <w:rPr>
          <w:rStyle w:val="FootnoteAnchor"/>
          <w:rtl w:val="true"/>
        </w:rPr>
        <w:footnoteReference w:id="287"/>
      </w:r>
      <w:r>
        <w:rPr>
          <w:rFonts w:ascii="IRNazanin" w:hAnsi="IRNazanin" w:eastAsia="IRNazanin"/>
          <w:color w:val="111111"/>
          <w:sz w:val="28"/>
          <w:sz w:val="28"/>
          <w:szCs w:val="28"/>
          <w:rtl w:val="true"/>
          <w:lang w:bidi="fa-IR"/>
        </w:rPr>
        <w:t>مردم در صلح‌اند، با آنان ازدواج كرده و از ايشان ارث بريم تا آنكه قائم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رفاقت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سراغ مال برادر رفته حاجت خود برگيرد و كس او را منع نكند</w:t>
      </w:r>
      <w:r>
        <w:rPr>
          <w:rFonts w:eastAsia="IRNazanin" w:cs="IRNazanin"/>
          <w:color w:val="111111"/>
          <w:sz w:val="28"/>
          <w:szCs w:val="28"/>
          <w:rtl w:val="true"/>
          <w:lang w:bidi="fa-IR"/>
        </w:rPr>
        <w:t>.</w:t>
      </w:r>
      <w:bookmarkStart w:id="262" w:name="pg1814_19029"/>
    </w:p>
    <w:p>
      <w:pPr>
        <w:pStyle w:val="Heading6"/>
        <w:numPr>
          <w:ilvl w:val="5"/>
          <w:numId w:val="1"/>
        </w:numPr>
        <w:rPr/>
      </w:pPr>
      <w:bookmarkStart w:id="263" w:name="__RefHeading___Toc2647213_3650668749"/>
      <w:bookmarkStart w:id="264" w:name="_Toc95"/>
      <w:bookmarkEnd w:id="262"/>
      <w:bookmarkEnd w:id="263"/>
      <w:r>
        <w:rPr/>
        <w:t>6</w:t>
      </w:r>
      <w:r>
        <w:rPr>
          <w:rtl w:val="true"/>
        </w:rPr>
        <w:t xml:space="preserve">. </w:t>
      </w:r>
      <w:r>
        <w:rPr>
          <w:rtl w:val="true"/>
        </w:rPr>
        <w:t>ساده</w:t>
      </w:r>
      <w:r>
        <w:rPr>
          <w:rtl w:val="true"/>
        </w:rPr>
        <w:t>¬</w:t>
      </w:r>
      <w:r>
        <w:rPr>
          <w:rtl w:val="true"/>
        </w:rPr>
        <w:t>زيستي</w:t>
      </w:r>
      <w:bookmarkEnd w:id="264"/>
    </w:p>
    <w:p>
      <w:pPr>
        <w:pStyle w:val="BookText"/>
        <w:rPr/>
      </w:pPr>
      <w:r>
        <w:rPr>
          <w:rFonts w:ascii="IRNazanin" w:hAnsi="IRNazanin" w:eastAsia="IRNazanin"/>
          <w:color w:val="111111"/>
          <w:sz w:val="28"/>
          <w:sz w:val="28"/>
          <w:szCs w:val="28"/>
          <w:rtl w:val="true"/>
          <w:lang w:bidi="fa-IR"/>
        </w:rPr>
        <w:t>زهد و ساده‌زيستي زيور انسان‌هاي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ـ در پاسخ پافشاري دوستان براي قيام و شتاب در خروج قائم عليه السلام ـ در وصف اين ساده‌زيستي و تلاش ياران حضرت مهدي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تَسْتَعْجِلُونَ بِخُرُوجِ الْقَائِمِ فَوَ اللَّهِ مَا لِبَاسُهُ إِلَّا الْغَلِيظُ وَ لَا طَعَامُهُ إِلَّا الْجَشِب؛</w:t>
      </w:r>
      <w:r>
        <w:rPr>
          <w:rStyle w:val="FootnoteAnchor"/>
          <w:rtl w:val="true"/>
        </w:rPr>
        <w:footnoteReference w:id="288"/>
      </w:r>
      <w:r>
        <w:rPr>
          <w:rFonts w:ascii="IRNazanin" w:hAnsi="IRNazanin" w:eastAsia="IRNazanin"/>
          <w:color w:val="111111"/>
          <w:sz w:val="28"/>
          <w:sz w:val="28"/>
          <w:szCs w:val="28"/>
          <w:rtl w:val="true"/>
          <w:lang w:bidi="fa-IR"/>
        </w:rPr>
        <w:t>چرا در خروج قائم شتاب مي‌ورزيد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لباسش درشت و غذايش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ستم‌ديدگان جهان آزادي خود را در دست آن پاك‌بازان ديده و از سراسر گيتي به ياري‌اشان مي‌شتابند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درستي گفتار و شعارشان را در كردارشان مي‌جويند و در پي ديدن نشانه‌هاي پاكي و راست‌گفتاري به درگاهش سر مي‌سپارند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برپاية روايات بود، اما از برخي آيات نيز ـ به بيان روايات ـ مي‌توان ويژگي‌هاي ياران حضرت را به دست آورد؛ مانند آنچه از امام صادق عليه السلام نقل شده كه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يَاأَيهَُّا الَّذِينَ ءَامَنُواْ مَن يَرْتَدَّ مِنكُمْ عَن دِينِهِ فَسَوْفَ يَأْتىِ اللَّهُ بِقَوْمٍ يحُِبهُُّمْ وَ يحُِبُّونَهُ أَذِلَّةٍ عَلىَ الْمُؤْمِنِينَ أَعِزَّةٍ عَلىَ الْكَافِرِينَ يجَُاهِدُونَ فىِ سَبِيلِ اللَّهِ وَ لَا يخََافُونَ لَوْمَةَ لَائمٍ ذَالِكَ فَضْلُ اللَّهِ يُؤْتِيهِ مَن يَشَاءُ وَ اللَّهُ وَاسِعٌ عَلِيم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 xml:space="preserve">اي كساني كه ايمان آورده‌ايد، هر كس از شما از دين خود برگردد، به زودي خدا گروهي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مي‌آورد كه آنان را دوست مي‌دارد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كافران سرفرازند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مي‌كنند و از سرزنش هيچ ملامتگري نمي‌ترسند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كه بخواهد مي‌دهد، و خدا گشايشگر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 در وصف ياران حضرت مهدي عليه السلام دانسته 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فِي الْقَائِمِ عَلَيْهِ السَّلَامُ وَ أَصْحَابِهِ؛</w:t>
      </w:r>
      <w:r>
        <w:rPr>
          <w:rStyle w:val="FootnoteAnchor"/>
          <w:rtl w:val="true"/>
        </w:rPr>
        <w:footnoteReference w:id="290"/>
      </w:r>
      <w:r>
        <w:rPr>
          <w:rFonts w:ascii="Amiri" w:hAnsi="Amiri" w:eastAsia="Amiri" w:cs="Amiri"/>
          <w:color w:val="111111"/>
          <w:sz w:val="28"/>
          <w:sz w:val="28"/>
          <w:szCs w:val="28"/>
          <w:rtl w:val="true"/>
          <w:lang w:bidi="ar-SA"/>
        </w:rPr>
        <w:t>در بارة قائم و ياران او 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مهم‌ترين ويژگي‌ها از نگاه اين آيه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دوستان خداوندند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دوستانند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مؤمنان فروتنند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كافران سرافرازند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مجاهدان در راه خدايند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نترس از ملامت ملامت‌گرانند</w:t>
      </w:r>
      <w:r>
        <w:rPr>
          <w:rFonts w:eastAsia="IRNazanin" w:cs="IRNazanin"/>
          <w:color w:val="111111"/>
          <w:sz w:val="28"/>
          <w:szCs w:val="28"/>
          <w:rtl w:val="true"/>
          <w:lang w:bidi="fa-IR"/>
        </w:rPr>
        <w:t>.</w:t>
      </w:r>
      <w:bookmarkStart w:id="265" w:name="pg1814_19031"/>
    </w:p>
    <w:p>
      <w:pPr>
        <w:pStyle w:val="Heading6"/>
        <w:numPr>
          <w:ilvl w:val="5"/>
          <w:numId w:val="1"/>
        </w:numPr>
        <w:rPr/>
      </w:pPr>
      <w:bookmarkStart w:id="266" w:name="__RefHeading___Toc2647215_3650668749"/>
      <w:bookmarkStart w:id="267" w:name="_Toc96"/>
      <w:bookmarkEnd w:id="265"/>
      <w:bookmarkEnd w:id="266"/>
      <w:r>
        <w:rPr>
          <w:rtl w:val="true"/>
        </w:rPr>
        <w:t>ويژگي</w:t>
      </w:r>
      <w:r>
        <w:rPr>
          <w:rtl w:val="true"/>
        </w:rPr>
        <w:t>¬</w:t>
      </w:r>
      <w:r>
        <w:rPr>
          <w:rtl w:val="true"/>
        </w:rPr>
        <w:t>هاي جسمي و ظاهري</w:t>
      </w:r>
      <w:bookmarkEnd w:id="267"/>
    </w:p>
    <w:p>
      <w:pPr>
        <w:pStyle w:val="Heading6"/>
        <w:numPr>
          <w:ilvl w:val="5"/>
          <w:numId w:val="1"/>
        </w:numPr>
        <w:rPr/>
      </w:pPr>
      <w:bookmarkStart w:id="268" w:name="__RefHeading___Toc2647217_3650668749"/>
      <w:bookmarkStart w:id="269" w:name="_Toc97"/>
      <w:bookmarkEnd w:id="268"/>
      <w:r>
        <w:rPr/>
        <w:t>1</w:t>
      </w:r>
      <w:r>
        <w:rPr>
          <w:rtl w:val="true"/>
        </w:rPr>
        <w:t xml:space="preserve">. </w:t>
      </w:r>
      <w:r>
        <w:rPr>
          <w:rtl w:val="true"/>
        </w:rPr>
        <w:t>جوان بودن</w:t>
      </w:r>
      <w:bookmarkEnd w:id="269"/>
    </w:p>
    <w:p>
      <w:pPr>
        <w:pStyle w:val="BookText"/>
        <w:rPr/>
      </w:pPr>
      <w:r>
        <w:rPr>
          <w:rFonts w:ascii="IRNazanin" w:hAnsi="IRNazanin" w:eastAsia="IRNazanin"/>
          <w:color w:val="111111"/>
          <w:sz w:val="28"/>
          <w:sz w:val="28"/>
          <w:szCs w:val="28"/>
          <w:rtl w:val="true"/>
          <w:lang w:bidi="fa-IR"/>
        </w:rPr>
        <w:t>در برپايي قيام جهاني منجي موعود، نه فقط خود حضرت مهدي عليه السلام در هيئت مردي جوان‌سال، ظهور خواهد كرد كه بيشتر ياران ويژة او در سن جواني بوده و بزرگ‌سالان بين آنان كم‌شمارند</w:t>
      </w:r>
      <w:r>
        <w:rPr>
          <w:rFonts w:eastAsia="IRNazanin" w:cs="IRNazanin"/>
          <w:color w:val="111111"/>
          <w:sz w:val="28"/>
          <w:szCs w:val="28"/>
          <w:rtl w:val="true"/>
          <w:lang w:bidi="fa-IR"/>
        </w:rPr>
        <w:t>.</w:t>
      </w:r>
      <w:r>
        <w:rPr>
          <w:rStyle w:val="FootnoteAnchor"/>
          <w:rtl w:val="true"/>
        </w:rPr>
        <w:footnoteReference w:id="29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جوان‌بودن به روشني نوع نقش آن‌ها را در اين انقلاب جهاني بيان مي‌نمايد كه بخشي از نقش آنان پيوند با جوان‌بودن آن‌ها دارد و آن ياري حضرت در كارهاي سخت اوست</w:t>
      </w:r>
      <w:r>
        <w:rPr>
          <w:rFonts w:eastAsia="IRNazanin" w:cs="IRNazanin"/>
          <w:color w:val="111111"/>
          <w:sz w:val="28"/>
          <w:szCs w:val="28"/>
          <w:rtl w:val="true"/>
          <w:lang w:bidi="fa-IR"/>
        </w:rPr>
        <w:t>.</w:t>
      </w:r>
      <w:bookmarkStart w:id="270" w:name="pg1814_19033"/>
    </w:p>
    <w:p>
      <w:pPr>
        <w:pStyle w:val="Heading6"/>
        <w:numPr>
          <w:ilvl w:val="5"/>
          <w:numId w:val="1"/>
        </w:numPr>
        <w:rPr/>
      </w:pPr>
      <w:bookmarkStart w:id="271" w:name="__RefHeading___Toc2647219_3650668749"/>
      <w:bookmarkStart w:id="272" w:name="_Toc98"/>
      <w:bookmarkEnd w:id="270"/>
      <w:bookmarkEnd w:id="271"/>
      <w:r>
        <w:rPr/>
        <w:t>2</w:t>
      </w:r>
      <w:r>
        <w:rPr>
          <w:rtl w:val="true"/>
        </w:rPr>
        <w:t xml:space="preserve">. </w:t>
      </w:r>
      <w:r>
        <w:rPr>
          <w:rtl w:val="true"/>
        </w:rPr>
        <w:t>شمار محدود</w:t>
      </w:r>
      <w:bookmarkEnd w:id="27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سختي دين‌داري در دوران غيبت و به‌ويژه در آستانة ظهور، كساني كه شايستگي همراهي با آن حجت الهي را پيدا مي‌كنند و به بالاترين درجة ايمان مي‌رسند، بسيار محدود خواهند بود؛ ازاين‌رو در شماري از روايات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ياران خاص حضرت مهدي عليه السلام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است</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اين شمار نيز مانند بسياري از عددهاي ديگر، ممكن است داراي رمز و رازهايي باشد كه بر ما پنهان و پوشيده است</w:t>
      </w:r>
      <w:r>
        <w:rPr>
          <w:rFonts w:eastAsia="IRNazanin" w:cs="IRNazanin"/>
          <w:color w:val="111111"/>
          <w:sz w:val="28"/>
          <w:szCs w:val="28"/>
          <w:rtl w:val="true"/>
          <w:lang w:bidi="fa-IR"/>
        </w:rPr>
        <w:t>.</w:t>
      </w:r>
      <w:bookmarkStart w:id="273" w:name="pg1814_19035"/>
    </w:p>
    <w:p>
      <w:pPr>
        <w:pStyle w:val="Heading6"/>
        <w:numPr>
          <w:ilvl w:val="5"/>
          <w:numId w:val="1"/>
        </w:numPr>
        <w:rPr/>
      </w:pPr>
      <w:bookmarkStart w:id="274" w:name="__RefHeading___Toc2647221_3650668749"/>
      <w:bookmarkStart w:id="275" w:name="_Toc99"/>
      <w:bookmarkEnd w:id="273"/>
      <w:bookmarkEnd w:id="274"/>
      <w:r>
        <w:rPr/>
        <w:t>3</w:t>
      </w:r>
      <w:r>
        <w:rPr>
          <w:rtl w:val="true"/>
        </w:rPr>
        <w:t xml:space="preserve">. </w:t>
      </w:r>
      <w:r>
        <w:rPr>
          <w:rtl w:val="true"/>
        </w:rPr>
        <w:t>توانمندي</w:t>
      </w:r>
      <w:bookmarkEnd w:id="275"/>
    </w:p>
    <w:p>
      <w:pPr>
        <w:pStyle w:val="BookText"/>
        <w:rPr/>
      </w:pPr>
      <w:r>
        <w:rPr>
          <w:rFonts w:ascii="IRNazanin" w:hAnsi="IRNazanin" w:eastAsia="IRNazanin"/>
          <w:color w:val="111111"/>
          <w:sz w:val="28"/>
          <w:sz w:val="28"/>
          <w:szCs w:val="28"/>
          <w:rtl w:val="true"/>
          <w:lang w:bidi="fa-IR"/>
        </w:rPr>
        <w:t>ياري حضرت مهدي عليه السلام در آن قيام جهاني، افزون بر قدرت روحي و معنوي، نيازمند توان جسماني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بن اعين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عليه السلام از جا برخاستم و تكيه بر دستم زده،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 آن داشتم كه تا نيرويي در تن دارم، حكومت حقه شما و پيروزيتان را درك كنم؟ امام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راستي اگر اين جريان بشود، بر مردي از شما نيروي چهل مرد داده شود و دل‌هاي شما چون پاره‌هاي آهن گردد؛ اگر با آن‌ها به كوه‌ها زنند آن‌ها را از جاي بركنند، و شما در آن زمان حاكمان روي زمين و خزينه‌داران آن مي‌باشيد</w:t>
      </w:r>
      <w:r>
        <w:rPr>
          <w:rFonts w:eastAsia="IRNazanin" w:cs="IRNazanin"/>
          <w:color w:val="111111"/>
          <w:sz w:val="28"/>
          <w:szCs w:val="28"/>
          <w:rtl w:val="true"/>
          <w:lang w:bidi="fa-IR"/>
        </w:rPr>
        <w:t>.</w:t>
      </w:r>
      <w:r>
        <w:rPr>
          <w:rStyle w:val="FootnoteAnchor"/>
          <w:rtl w:val="true"/>
        </w:rPr>
        <w:footnoteReference w:id="293"/>
      </w:r>
      <w:bookmarkStart w:id="276" w:name="pg1814_19037"/>
    </w:p>
    <w:p>
      <w:pPr>
        <w:pStyle w:val="Heading6"/>
        <w:numPr>
          <w:ilvl w:val="5"/>
          <w:numId w:val="1"/>
        </w:numPr>
        <w:rPr/>
      </w:pPr>
      <w:bookmarkStart w:id="277" w:name="__RefHeading___Toc2647223_3650668749"/>
      <w:bookmarkStart w:id="278" w:name="_Toc100"/>
      <w:bookmarkEnd w:id="276"/>
      <w:bookmarkEnd w:id="277"/>
      <w:r>
        <w:rPr/>
        <w:t>4</w:t>
      </w:r>
      <w:r>
        <w:rPr>
          <w:rtl w:val="true"/>
        </w:rPr>
        <w:t xml:space="preserve">. </w:t>
      </w:r>
      <w:r>
        <w:rPr>
          <w:rtl w:val="true"/>
        </w:rPr>
        <w:t>كارگزاري</w:t>
      </w:r>
      <w:bookmarkEnd w:id="278"/>
    </w:p>
    <w:p>
      <w:pPr>
        <w:pStyle w:val="BookText"/>
        <w:rPr/>
      </w:pPr>
      <w:r>
        <w:rPr>
          <w:rFonts w:ascii="IRNazanin" w:hAnsi="IRNazanin" w:eastAsia="IRNazanin"/>
          <w:color w:val="111111"/>
          <w:sz w:val="28"/>
          <w:sz w:val="28"/>
          <w:szCs w:val="28"/>
          <w:rtl w:val="true"/>
          <w:lang w:bidi="fa-IR"/>
        </w:rPr>
        <w:t>قيام جهاني حضرت مهدي عليه السلام براي برپايي عدل و قسط در همة گيتي است و ياران او در مبارزه با ستم‌گران، آن حضرت را براي اين مهم ياري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در مبارزه با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بودند، در دوران حكومت از كارگزاران و حاكمان وي بر مناطق گوناگون جهان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صادق عليه السلام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كَأَنِّي أَنْظُرُ إِلَي الْقَائِمِ عَلَي مِنْبَرِ الْكُوفَةِ وَ حَوْلَهُ أَصْحَابُهُ ثَلَاثُمِائَةٍ وَ ثَلَاثَةَ عَشَرَ رَجُلًا عِدَّةَ أَهْلِ بَدْرٍ وَ هُمْ أَصْحَابُ الْأَلْوِيَةِ وَ هُمْ حُكَّامُ اللَّهِ فِي أَرْضِهِ عَلَي خَلْقِهِ؛</w:t>
      </w:r>
      <w:r>
        <w:rPr>
          <w:rStyle w:val="FootnoteAnchor"/>
          <w:rtl w:val="true"/>
        </w:rPr>
        <w:footnoteReference w:id="294"/>
      </w:r>
      <w:r>
        <w:rPr>
          <w:rFonts w:ascii="IRNazanin" w:hAnsi="IRNazanin" w:eastAsia="IRNazanin"/>
          <w:color w:val="111111"/>
          <w:sz w:val="28"/>
          <w:sz w:val="28"/>
          <w:szCs w:val="28"/>
          <w:rtl w:val="true"/>
          <w:lang w:bidi="fa-IR"/>
        </w:rPr>
        <w:t xml:space="preserve">گويا به قائم عليه السلام مي نگرم كه بر منبر كوفه است و اصحابش ـ كه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به شمار اصحاب جنگ بدرند ـ در اطراف او هستند و آنان پرچمداران و حاكمان خداي تعالي بر خلقش در زمين مي‌باشند…</w:t>
      </w:r>
      <w:r>
        <w:rPr>
          <w:rFonts w:eastAsia="IRNazanin" w:cs="IRNazanin"/>
          <w:color w:val="111111"/>
          <w:sz w:val="28"/>
          <w:szCs w:val="28"/>
          <w:rtl w:val="true"/>
          <w:lang w:bidi="fa-IR"/>
        </w:rPr>
        <w:t>.</w:t>
      </w:r>
      <w:bookmarkStart w:id="279" w:name="pg1814_19039"/>
    </w:p>
    <w:p>
      <w:pPr>
        <w:pStyle w:val="Heading5"/>
        <w:numPr>
          <w:ilvl w:val="4"/>
          <w:numId w:val="1"/>
        </w:numPr>
        <w:rPr/>
      </w:pPr>
      <w:bookmarkStart w:id="280" w:name="__RefHeading___Toc2647225_3650668749"/>
      <w:bookmarkStart w:id="281" w:name="_Toc101"/>
      <w:bookmarkEnd w:id="279"/>
      <w:bookmarkEnd w:id="280"/>
      <w:r>
        <w:rPr/>
        <w:t>2-2</w:t>
      </w:r>
      <w:r>
        <w:rPr>
          <w:rtl w:val="true"/>
        </w:rPr>
        <w:t xml:space="preserve"> . </w:t>
      </w:r>
      <w:r>
        <w:rPr>
          <w:rtl w:val="true"/>
        </w:rPr>
        <w:t>ياوران</w:t>
      </w:r>
      <w:bookmarkEnd w:id="281"/>
    </w:p>
    <w:p>
      <w:pPr>
        <w:pStyle w:val="BookText"/>
        <w:rPr/>
      </w:pPr>
      <w:r>
        <w:rPr>
          <w:rFonts w:ascii="IRNazanin" w:hAnsi="IRNazanin" w:eastAsia="IRNazanin"/>
          <w:color w:val="111111"/>
          <w:sz w:val="28"/>
          <w:sz w:val="28"/>
          <w:szCs w:val="28"/>
          <w:rtl w:val="true"/>
          <w:lang w:bidi="fa-IR"/>
        </w:rPr>
        <w:t>پس از گردآمدن ياران ويژة حضرت در آغاز ظهور، نوبت به ياوران آن حضرت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بي‌درنگ در مكه گردآيند، آمادة ياري او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ياوران آن حضرت نخست افزون بر ده هزار خواهد شد؛ كه امام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يَخْرُجُ إِلَّا فِي أُولِي قُوَّةٍ وَ مَا يَكُونُ أُولُو الْقُوَّةِ أَقَلَّ مِنْ عَشَرَةِ آلَافٍ؛</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نمي‌كند، مگر همراه ياران نيرومند و رشيد، و اين ياران كمتر از ده‌هزار نفر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اينجا بايد يادآور شد اين‌كه بخشي از ياران، همان شيعيان واقعي آن حضرتند كه در دوران غيبت به شايستگي به وظايف خود عمل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ابو بصير از امام صادق عليه السلام روايت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در تفسير اين قول خداي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خُرُوجَ الْقَائِمِ الْمُنْتَظَرِ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طُوبَي لِشِيعَةِ قَائِمِنَا الْمُنْتَظِرِينَ لِظُهُورِهِ فِي غَيْبَتِهِ وَ الْمُطِيعِينَ لَهُ فِي ظُهُورِهِ أُولَئِكَ أَوْلِيَاءُ اللَّهِ الَّذِينَ لا خَوْفٌ عَلَيْهِمْ وَ لا هُمْ يَحْزَنُون؛</w:t>
      </w:r>
      <w:r>
        <w:rPr>
          <w:rStyle w:val="FootnoteAnchor"/>
          <w:rtl w:val="true"/>
        </w:rPr>
        <w:footnoteReference w:id="297"/>
      </w:r>
      <w:r>
        <w:rPr>
          <w:rFonts w:ascii="IRNazanin" w:hAnsi="IRNazanin" w:eastAsia="IRNazanin"/>
          <w:color w:val="111111"/>
          <w:sz w:val="28"/>
          <w:sz w:val="28"/>
          <w:szCs w:val="28"/>
          <w:rtl w:val="true"/>
          <w:lang w:bidi="fa-IR"/>
        </w:rPr>
        <w:t xml:space="preserve">يعني خروج قائم منتظر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شيعيان قائم ما، كساني كه در غيبتش منتظر ظهور او هستند و در حال ظهورش نيز فرمانبردار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اولياي خدا هستند كه نه ترسي بر آن‌هاست و نه اندوهگين مي شوند</w:t>
      </w:r>
      <w:r>
        <w:rPr>
          <w:rFonts w:eastAsia="IRNazanin" w:cs="IRNazanin"/>
          <w:color w:val="111111"/>
          <w:sz w:val="28"/>
          <w:szCs w:val="28"/>
          <w:rtl w:val="true"/>
          <w:lang w:bidi="fa-IR"/>
        </w:rPr>
        <w:t>.</w:t>
      </w:r>
      <w:bookmarkStart w:id="282" w:name="pg1814_19041"/>
    </w:p>
    <w:p>
      <w:pPr>
        <w:pStyle w:val="Heading4"/>
        <w:numPr>
          <w:ilvl w:val="3"/>
          <w:numId w:val="1"/>
        </w:numPr>
        <w:rPr/>
      </w:pPr>
      <w:bookmarkStart w:id="283" w:name="__RefHeading___Toc2647227_3650668749"/>
      <w:bookmarkStart w:id="284" w:name="_Toc102"/>
      <w:bookmarkEnd w:id="282"/>
      <w:bookmarkEnd w:id="283"/>
      <w:r>
        <w:rPr/>
        <w:t>2</w:t>
      </w:r>
      <w:r>
        <w:rPr>
          <w:rtl w:val="true"/>
        </w:rPr>
        <w:t xml:space="preserve">. </w:t>
      </w:r>
      <w:r>
        <w:rPr>
          <w:rtl w:val="true"/>
        </w:rPr>
        <w:t>تودة مردم</w:t>
      </w:r>
      <w:bookmarkEnd w:id="284"/>
    </w:p>
    <w:p>
      <w:pPr>
        <w:pStyle w:val="BookText"/>
        <w:rPr/>
      </w:pPr>
      <w:r>
        <w:rPr>
          <w:rFonts w:ascii="IRNazanin" w:hAnsi="IRNazanin" w:eastAsia="IRNazanin"/>
          <w:color w:val="111111"/>
          <w:sz w:val="28"/>
          <w:sz w:val="28"/>
          <w:szCs w:val="28"/>
          <w:rtl w:val="true"/>
          <w:lang w:bidi="fa-IR"/>
        </w:rPr>
        <w:t>بي‌گمان، جامعة جهاني به دنبال يك عطش مقدس و فراهم‌بودن زمينه‌هاي مناسب اجتماعي در جهت پشتيباني از حكومت موعود ـ كه از شرايط آغاز آن انقلاب بزرگ است ـ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آنجايي كه قيام جهاني حضرت مهدي عجل الله فرجه براي به‌سامان‌كردن نابساماني‌هاي همة مردم گيتي است، بايد با احساس نياز و پذيرش فراگير آنان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آن‌گاه كه بيشتر جامعه جهاني به منجي احساس نياز نكنند، حضرت ظهور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مردم جهان، پس از چشيدن تلخي‌ها و تجربة نابساماني‌ها و بي‌عدالتي‌ها و درك نارسايي‌ها و سستي‌هاي قوانين بشري براي برپايي عدالت اجتماعي، و يافتن اين حقيقت كه فقط در ساية تلاش انساني الهي است كه همة نابساماني‌ها برطرف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منجي موعود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به تعبير ديگر، تا در مردم جهان درخواستي نباشد، عرضة هر نوع برنامة اصلاحي، مفيد و مؤثّر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 عليه السلام اين حقيقت را به برخي از مردم سرافكنده و پشيمان از جهالت خود ـ كه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خانه‌نشيني، به خانه وي هجوم مي‌برند و از وي مي‌خواهند تا زمام امور را به دست گيرد ـ اين‌گونه بيان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الَّذِي فَلَقَ الْحَبَّةَ وَ بَرَأَ النَّسَمَةَ لَوْ لَا حُضُورُ الْحَاضِرِ وَ قِيَامُ الْحُجَّةِ بِوُجُودِ النَّاصِرِ وَ مَا أَخَذَ اللَّهُ عَلَي الْعُلَمَاءِ أَلَّا يُقَارُّوا عَلَي كِظَّةِ ظَالِمٍ وَ لَا سَغَبِ مَظْلُومٍ لَأَلْقَيْتُ حَبْلَهَا عَلَي غَارِبِهَا وَ لَسَقَيْتُ آخِرَهَا بِكَأْسِ أَوَّلِهَا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خدايي كه دانه را شكافت و انسان را آفريد، اگر نه اين بود كه جمعيت بسياري گِرداگِردم را گرفته و به ياري‌ام قيام كرده‌اند و ازاين‌رو حجت تمام شده است و اگر نبود عهد و مسئوليتي كه خداوند از علما و دانشمندان هر جامعه گرفته كه در برابر شكم‌خوارگي ستمگران و گرسنگي ستمديدگان سكوت نكنند؛ من مهار شتر خلافت را رها مي‌ساختم و از آن صرف نظر مي‌نمودم و انجام آن را با جام آغازش سيراب 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مي‌رساند كه حضرت آن‌گاه حاضر شد به دنبال خلافت رود و آن را بپذيرد كه مردم دور او را گرفتند و حضرت را ياري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نيز به روشني گواه است هرگاه ياران مورد نياز و پذيرش مردمان، براي پيشوايان معصوم عليهم السلام فراهم مي‌شد، از هيچ‌گونه تلاشي براي برپايي عدالت فروگذار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پرسش پيش مي‌آيد كه اين عطش و خواست جهاني چگونه و كي پديد مي‌آيد؟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بستگي به پرورش و آموزش بر پاية آموزه‌هاي ديني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رستاخيز فكري كه از طرف انديشمندان با ايمان و آگاهان جامعه پديد مي‌آيد، ياران و ياوران آن حضرت فراهم شده و جامعة جهاني در درون خود به موعود منجي احساس نياز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ارمغاني است از طرف خداوند براي حيات دوبارة انسان و انسانيت</w:t>
      </w:r>
      <w:r>
        <w:rPr>
          <w:rFonts w:eastAsia="IRNazanin" w:cs="IRNazanin"/>
          <w:color w:val="111111"/>
          <w:sz w:val="28"/>
          <w:szCs w:val="28"/>
          <w:rtl w:val="true"/>
          <w:lang w:bidi="fa-IR"/>
        </w:rPr>
        <w:t>.</w:t>
      </w:r>
      <w:bookmarkStart w:id="285" w:name="pg1814_19043"/>
    </w:p>
    <w:p>
      <w:pPr>
        <w:pStyle w:val="Heading4"/>
        <w:numPr>
          <w:ilvl w:val="3"/>
          <w:numId w:val="1"/>
        </w:numPr>
        <w:rPr/>
      </w:pPr>
      <w:bookmarkStart w:id="286" w:name="__RefHeading___Toc2647229_3650668749"/>
      <w:bookmarkStart w:id="287" w:name="_Toc103"/>
      <w:bookmarkEnd w:id="285"/>
      <w:bookmarkEnd w:id="286"/>
      <w:r>
        <w:rPr>
          <w:rtl w:val="true"/>
        </w:rPr>
        <w:t>دشمنان قيام</w:t>
      </w:r>
      <w:bookmarkEnd w:id="287"/>
    </w:p>
    <w:p>
      <w:pPr>
        <w:pStyle w:val="Heading5"/>
        <w:numPr>
          <w:ilvl w:val="4"/>
          <w:numId w:val="1"/>
        </w:numPr>
        <w:rPr/>
      </w:pPr>
      <w:bookmarkStart w:id="288" w:name="__RefHeading___Toc2647231_3650668749"/>
      <w:bookmarkStart w:id="289" w:name="_Toc104"/>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از آنجايي كه مخالفان و دشمنان نيز بخشي از مردم هستند، در اينجا مناسب است به صورت گذرا، به چگونگي و برخورد آنها با مهدي موعود عليه السلام نيز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گفته شد قيام حضرت مهدي عليه السلام به عنوان واپسين و بزرگ‌ترين انقلاب در برابر اهل باطل براي برپايي حاكميت عدل و قسط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از ابليس گرفته تا همة پيروان او، تلاش مي‌كنند تا فروغ تابندة حق را خاموش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مهدي عليه السلام همة جريان‌هاي باطل را پايان داده و طومار زندگي آنان را در هم مي‌پيچد تا همة انسان‌ها، بر پاية آموزه‌هاي ديني، زندگي آرام و مطمئني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وعدة خداوند است و وعدة الهي تخلف ناپذير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درباره دشمنان حضرت مهدي عليه السلام در موضوعاتي قابل بررسي است</w:t>
      </w:r>
      <w:r>
        <w:rPr>
          <w:rFonts w:eastAsia="Amiri" w:cs="Amiri" w:ascii="Amiri" w:hAnsi="Amiri"/>
          <w:color w:val="111111"/>
          <w:sz w:val="28"/>
          <w:szCs w:val="28"/>
          <w:rtl w:val="true"/>
          <w:lang w:bidi="ar-SA"/>
        </w:rPr>
        <w:t>:</w:t>
      </w:r>
      <w:bookmarkStart w:id="290" w:name="pg1814_19045"/>
    </w:p>
    <w:p>
      <w:pPr>
        <w:pStyle w:val="Heading5"/>
        <w:numPr>
          <w:ilvl w:val="4"/>
          <w:numId w:val="1"/>
        </w:numPr>
        <w:rPr/>
      </w:pPr>
      <w:bookmarkStart w:id="291" w:name="__RefHeading___Toc2647233_3650668749"/>
      <w:bookmarkStart w:id="292" w:name="_Toc105"/>
      <w:bookmarkEnd w:id="290"/>
      <w:bookmarkEnd w:id="291"/>
      <w:r>
        <w:rPr>
          <w:rtl w:val="true"/>
        </w:rPr>
        <w:t>يك</w:t>
      </w:r>
      <w:r>
        <w:rPr>
          <w:rtl w:val="true"/>
        </w:rPr>
        <w:t xml:space="preserve">. </w:t>
      </w:r>
      <w:r>
        <w:rPr>
          <w:rtl w:val="true"/>
        </w:rPr>
        <w:t>فراگيرترين نبرد حق و باطل</w:t>
      </w:r>
      <w:bookmarkEnd w:id="292"/>
    </w:p>
    <w:p>
      <w:pPr>
        <w:pStyle w:val="BookText"/>
        <w:rPr/>
      </w:pPr>
      <w:r>
        <w:rPr>
          <w:rFonts w:ascii="IRNazanin" w:hAnsi="IRNazanin" w:eastAsia="IRNazanin"/>
          <w:color w:val="111111"/>
          <w:sz w:val="28"/>
          <w:sz w:val="28"/>
          <w:szCs w:val="28"/>
          <w:rtl w:val="true"/>
          <w:lang w:bidi="fa-IR"/>
        </w:rPr>
        <w:t>انسان در زندگي اجتماعيِ خود، همواره گواه صحنة درگيري بين دو نيروي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صف‌بندي براي رسيدن به آرمان‌ها و اهداف خود است؛ يعني برخي به طرفداري و فرمان‌برداري از حقّ و گروهي به دنباله‌روي از باطل مي‌پردازند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پندار برخي كه پايان اين كارزار را تاريك و نابودي مي‌دانند، آموزه‌هاي وحياني گوياي آنند كه اين درگيري همچنان پيش مي‌رود تا آن‌گاه كه از باطل جاي پايي بر زمين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جهان به گونة يك جامعه خداخواسته در آيد و پايان اين مبارزه اعلام گردد، لشگر حقّ پيروز و حاكميت باطل برچيده مي‌شود و بشريت به دوران تازه‌اي از تاريخ خود وارد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پايه، در برخي روايات، عبارت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جاءَ الْحَقُّ وَ زَهَقَ الْباطِلُ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قيام حضرت مهدي عليه السلام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نويدي است در زمينة پيروزي حقّ بر باطل و ايمان بر كفر؛ كه نمونه كامل آن، ظهور حكومت حقّ و عدالت در همة كرة زمين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مهدي عليه السلام رهبري گروه حقّ و حزب خدا را در دست مي‌گيرد و با همة توان به جنگ نهايي با جبهة كفر و باطل و سربازان شيطان مي‌پردازد و در تحقّق وعده‌هاي حتمي الهي، پيروز مي‌شود و تاريخ به شكوهمند‌ترين فرجام خود مي‌رسد</w:t>
      </w:r>
      <w:r>
        <w:rPr>
          <w:rFonts w:eastAsia="IRNazanin" w:cs="IRNazanin"/>
          <w:color w:val="111111"/>
          <w:sz w:val="28"/>
          <w:szCs w:val="28"/>
          <w:rtl w:val="true"/>
          <w:lang w:bidi="fa-IR"/>
        </w:rPr>
        <w:t>.</w:t>
      </w:r>
      <w:bookmarkStart w:id="293" w:name="pg1814_19047"/>
    </w:p>
    <w:p>
      <w:pPr>
        <w:pStyle w:val="Heading5"/>
        <w:numPr>
          <w:ilvl w:val="4"/>
          <w:numId w:val="1"/>
        </w:numPr>
        <w:rPr/>
      </w:pPr>
      <w:bookmarkStart w:id="294" w:name="__RefHeading___Toc2647235_3650668749"/>
      <w:bookmarkStart w:id="295" w:name="_Toc106"/>
      <w:bookmarkEnd w:id="293"/>
      <w:bookmarkEnd w:id="294"/>
      <w:r>
        <w:rPr>
          <w:rtl w:val="true"/>
        </w:rPr>
        <w:t>دو</w:t>
      </w:r>
      <w:r>
        <w:rPr>
          <w:rtl w:val="true"/>
        </w:rPr>
        <w:t xml:space="preserve">. </w:t>
      </w:r>
      <w:r>
        <w:rPr>
          <w:rtl w:val="true"/>
        </w:rPr>
        <w:t>گونه شناسي دشمنان</w:t>
      </w:r>
      <w:bookmarkEnd w:id="295"/>
    </w:p>
    <w:p>
      <w:pPr>
        <w:pStyle w:val="Heading6"/>
        <w:numPr>
          <w:ilvl w:val="5"/>
          <w:numId w:val="1"/>
        </w:numPr>
        <w:rPr/>
      </w:pPr>
      <w:bookmarkStart w:id="296" w:name="__RefHeading___Toc2647237_3650668749"/>
      <w:bookmarkStart w:id="297" w:name="_Toc107"/>
      <w:bookmarkEnd w:id="296"/>
      <w:r>
        <w:rPr>
          <w:rtl w:val="true"/>
        </w:rPr>
        <w:t>اشاره</w:t>
      </w:r>
      <w:bookmarkEnd w:id="29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بي‌گمان در اين آوردگاه بزرگ، شيطان‌ها و پيروان آنها، گرد هم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واپسين تلاش‌هاي خود را براي رودررويي با حق به كار نگيرند، از پاي نمي‌نشينند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روايات به روشني برخي از گونه‌هاي دشمنان حضرت را در هنگام قيام معرفي مي‌كند؛ البته در پاره‌اي موارد ممكن است اين گروه‌ها، شامل بخشي از گروه ديگر نيز بشوند، اما از آنجا كه در روايات اشاره شده است اين‌گونه عنوان‌بندي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تقسم‌بندي كلي دشمنان به دو گروه تقسيم مي‌شوند</w:t>
      </w:r>
      <w:r>
        <w:rPr>
          <w:rFonts w:eastAsia="IRNazanin" w:cs="IRNazanin"/>
          <w:color w:val="111111"/>
          <w:sz w:val="28"/>
          <w:szCs w:val="28"/>
          <w:rtl w:val="true"/>
          <w:lang w:bidi="fa-IR"/>
        </w:rPr>
        <w:t>:</w:t>
      </w:r>
      <w:bookmarkStart w:id="298" w:name="pg1814_19049"/>
    </w:p>
    <w:p>
      <w:pPr>
        <w:pStyle w:val="Heading6"/>
        <w:numPr>
          <w:ilvl w:val="5"/>
          <w:numId w:val="1"/>
        </w:numPr>
        <w:rPr/>
      </w:pPr>
      <w:bookmarkStart w:id="299" w:name="__RefHeading___Toc2647239_3650668749"/>
      <w:bookmarkStart w:id="300" w:name="_Toc108"/>
      <w:bookmarkEnd w:id="298"/>
      <w:bookmarkEnd w:id="299"/>
      <w:r>
        <w:rPr/>
        <w:t>1</w:t>
      </w:r>
      <w:r>
        <w:rPr>
          <w:rtl w:val="true"/>
        </w:rPr>
        <w:t xml:space="preserve">. </w:t>
      </w:r>
      <w:r>
        <w:rPr>
          <w:rtl w:val="true"/>
        </w:rPr>
        <w:t>غير مسلمانان</w:t>
      </w:r>
      <w:bookmarkEnd w:id="300"/>
    </w:p>
    <w:p>
      <w:pPr>
        <w:pStyle w:val="Heading6"/>
        <w:numPr>
          <w:ilvl w:val="5"/>
          <w:numId w:val="1"/>
        </w:numPr>
        <w:rPr/>
      </w:pPr>
      <w:bookmarkStart w:id="301" w:name="__RefHeading___Toc2647241_3650668749"/>
      <w:bookmarkStart w:id="302" w:name="_Toc109"/>
      <w:bookmarkEnd w:id="301"/>
      <w:r>
        <w:rPr>
          <w:rtl w:val="true"/>
        </w:rPr>
        <w:t>اشاره</w:t>
      </w:r>
      <w:bookmarkEnd w:id="30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كافران و مشركان</w:t>
      </w:r>
    </w:p>
    <w:p>
      <w:pPr>
        <w:pStyle w:val="BookText"/>
        <w:rPr/>
      </w:pPr>
      <w:r>
        <w:rPr>
          <w:rFonts w:ascii="IRNazanin" w:hAnsi="IRNazanin" w:eastAsia="IRNazanin"/>
          <w:color w:val="111111"/>
          <w:sz w:val="28"/>
          <w:sz w:val="28"/>
          <w:szCs w:val="28"/>
          <w:rtl w:val="true"/>
          <w:lang w:bidi="fa-IR"/>
        </w:rPr>
        <w:t>نخستين گروهي كه در برابر حضرت مهدي عليه السلام صف‌آرايي مي‌كنند، مشركان و كفارند؛ آنان كه مي‌پندارند سركردة مردم جهانند و نهضت آزادي‌بخش امام مهدي عليه السلام را مانع منافع نارواي خود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جلوگيري از پيروي مردم جهان از ايشان و حاكميت شايستگان، با سپاهيان امام درگير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باره آيه شريفه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هُوَ الَّذِي أَرْسَلَ رَسُولَهُ بِالْهُدي وَ دِينِ الْحَقِّ لِيُظْهِرَهُ عَلَي الدِّينِ كُلِّهِ وَ لَوْ كَرِهَ الْمُشْرِكُونَ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Style w:val="FootnoteAnchor"/>
          <w:rtl w:val="true"/>
        </w:rPr>
        <w:footnoteReference w:id="299"/>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 الْقَائِمُ لَمْ يَبْقَ مُشْرِكٌ بِاللَّهِ الْعَظِيمِ وَ لَا كَافِرٌ إِلَّا كَرِهَ خُرُوجَه؛</w:t>
      </w:r>
      <w:r>
        <w:rPr>
          <w:rStyle w:val="FootnoteAnchor"/>
          <w:rtl w:val="true"/>
        </w:rPr>
        <w:footnoteReference w:id="300"/>
      </w:r>
      <w:r>
        <w:rPr>
          <w:rFonts w:ascii="IRNazanin" w:hAnsi="IRNazanin" w:eastAsia="IRNazanin"/>
          <w:color w:val="111111"/>
          <w:sz w:val="28"/>
          <w:sz w:val="28"/>
          <w:szCs w:val="28"/>
          <w:rtl w:val="true"/>
          <w:lang w:bidi="fa-IR"/>
        </w:rPr>
        <w:t>آن‌گاه كه قائم برپاخيزد، هيچ مشرك به خداوند بلند مرتبه و هيچ كافري نخواهد بود، مگر اينكه از قيام او ناخشنود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پيِ اين ناخرسندي، به دشمني و جنگ با آن حضرت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شيوة برخورد حضرت مهدي عليه السلام با آنان ـ كه همان شيوه پيامبر، پس از پند و موعظه است ـ به شديد‌ترين صورت ممكن خواهد بود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مُحَمَّدٌ رَسُولُ اللَّهِ وَ الَّذينَ مَعَهُ أَشِدَّاءُ عَلَي الْكُفَّارِ رُحَماءُ بَيْنَهُمْ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 xml:space="preserve">محمّد صلي الله عليه و آله پيامبر خداست و كساني كه با اويند، بر كافران، سختگير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همديگر مهربانند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شايد به جهت شرايطي كه خداوند فراهم مي‌سازد، بسيار سخت‌تر و دردناك‌تر باشد</w:t>
      </w:r>
      <w:r>
        <w:rPr>
          <w:rFonts w:eastAsia="Amiri" w:cs="Amiri" w:ascii="Amiri" w:hAnsi="Amiri"/>
          <w:color w:val="111111"/>
          <w:sz w:val="28"/>
          <w:szCs w:val="28"/>
          <w:rtl w:val="true"/>
          <w:lang w:bidi="ar-SA"/>
        </w:rPr>
        <w:t>.</w:t>
      </w:r>
      <w:bookmarkStart w:id="303" w:name="pg1814_19051"/>
    </w:p>
    <w:p>
      <w:pPr>
        <w:pStyle w:val="Heading6"/>
        <w:numPr>
          <w:ilvl w:val="5"/>
          <w:numId w:val="1"/>
        </w:numPr>
        <w:rPr/>
      </w:pPr>
      <w:bookmarkStart w:id="304" w:name="__RefHeading___Toc2647243_3650668749"/>
      <w:bookmarkStart w:id="305" w:name="_Toc110"/>
      <w:bookmarkEnd w:id="303"/>
      <w:bookmarkEnd w:id="304"/>
      <w:r>
        <w:rPr/>
        <w:t>1-2</w:t>
      </w:r>
      <w:r>
        <w:rPr>
          <w:rtl w:val="true"/>
        </w:rPr>
        <w:t xml:space="preserve">. </w:t>
      </w:r>
      <w:r>
        <w:rPr>
          <w:rtl w:val="true"/>
        </w:rPr>
        <w:t>يهوديان و مسيحي‌ها</w:t>
      </w:r>
      <w:bookmarkEnd w:id="305"/>
    </w:p>
    <w:p>
      <w:pPr>
        <w:pStyle w:val="BookText"/>
        <w:rPr/>
      </w:pPr>
      <w:r>
        <w:rPr>
          <w:rFonts w:ascii="IRNazanin" w:hAnsi="IRNazanin" w:eastAsia="IRNazanin"/>
          <w:color w:val="111111"/>
          <w:sz w:val="28"/>
          <w:sz w:val="28"/>
          <w:szCs w:val="28"/>
          <w:rtl w:val="true"/>
          <w:lang w:bidi="fa-IR"/>
        </w:rPr>
        <w:t>خداوند بزرگ در برخي آيات قرآن، از يهود به دشمن‌ترين گروه براي مؤمنان ياد كرده است؛</w:t>
      </w:r>
      <w:r>
        <w:rPr>
          <w:rStyle w:val="FootnoteAnchor"/>
          <w:rtl w:val="true"/>
        </w:rPr>
        <w:footnoteReference w:id="302"/>
      </w:r>
      <w:r>
        <w:rPr>
          <w:rFonts w:ascii="IRNazanin" w:hAnsi="IRNazanin" w:eastAsia="IRNazanin"/>
          <w:color w:val="111111"/>
          <w:sz w:val="28"/>
          <w:sz w:val="28"/>
          <w:szCs w:val="28"/>
          <w:rtl w:val="true"/>
          <w:lang w:bidi="fa-IR"/>
        </w:rPr>
        <w:t>از اين رو به راحتي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انقلاب جهاني اين گروه از هيچ تلاشي براي سركوب ياران حق فروگذاري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برخي روايات نيز، بيشترين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يهود دانسته شده و دشمني دجال نيز با حضرت مهدي عليه السلام بسيار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أَتْبَاعِهِ الْيَهُودُ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و بيشتر پيروان او يهود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آنجايي كه امام مهدي عليه السلام در قيام جهاني خود، جز به برپايي دستورات الهي دست نمي‌زند، از اين رو همة دشمنان از جمله نصارا نيز، در برابر او دشمني مي‌كنند</w:t>
      </w:r>
      <w:r>
        <w:rPr>
          <w:rFonts w:eastAsia="IRNazanin" w:cs="IRNazanin"/>
          <w:color w:val="111111"/>
          <w:sz w:val="28"/>
          <w:szCs w:val="28"/>
          <w:rtl w:val="true"/>
          <w:lang w:bidi="fa-IR"/>
        </w:rPr>
        <w:t>.</w:t>
      </w:r>
      <w:bookmarkStart w:id="306" w:name="pg1814_19053"/>
    </w:p>
    <w:p>
      <w:pPr>
        <w:pStyle w:val="Heading6"/>
        <w:numPr>
          <w:ilvl w:val="5"/>
          <w:numId w:val="1"/>
        </w:numPr>
        <w:rPr/>
      </w:pPr>
      <w:bookmarkStart w:id="307" w:name="__RefHeading___Toc2647245_3650668749"/>
      <w:bookmarkStart w:id="308" w:name="_Toc111"/>
      <w:bookmarkEnd w:id="306"/>
      <w:bookmarkEnd w:id="307"/>
      <w:r>
        <w:rPr/>
        <w:t>2</w:t>
      </w:r>
      <w:r>
        <w:rPr>
          <w:rtl w:val="true"/>
        </w:rPr>
        <w:t xml:space="preserve">. </w:t>
      </w:r>
      <w:r>
        <w:rPr>
          <w:rtl w:val="true"/>
        </w:rPr>
        <w:t>برخي مسلمانان</w:t>
      </w:r>
      <w:bookmarkEnd w:id="308"/>
    </w:p>
    <w:p>
      <w:pPr>
        <w:pStyle w:val="Heading6"/>
        <w:numPr>
          <w:ilvl w:val="5"/>
          <w:numId w:val="1"/>
        </w:numPr>
        <w:rPr/>
      </w:pPr>
      <w:bookmarkStart w:id="309" w:name="__RefHeading___Toc2647247_3650668749"/>
      <w:bookmarkStart w:id="310" w:name="_Toc112"/>
      <w:bookmarkEnd w:id="309"/>
      <w:r>
        <w:rPr>
          <w:rtl w:val="true"/>
        </w:rPr>
        <w:t>اشاره</w:t>
      </w:r>
      <w:bookmarkEnd w:id="31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گروه كساني به دشمني با حضرت بر مي‌خيزند كه آشكارا به آموزه‌هاي اسلامي باور دارند، اما به سبب برخي امور، هنگام ظهور از پيروي آن حضرت سر باز مي‌زنند و در گروه دشمنان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برخي از اين افراد و يا گروه‌ها اشاره مي‌شود</w:t>
      </w:r>
      <w:r>
        <w:rPr>
          <w:rFonts w:eastAsia="IRNazanin" w:cs="IRNazanin"/>
          <w:color w:val="111111"/>
          <w:sz w:val="28"/>
          <w:szCs w:val="28"/>
          <w:rtl w:val="true"/>
          <w:lang w:bidi="fa-IR"/>
        </w:rPr>
        <w:t>:</w:t>
      </w:r>
      <w:bookmarkStart w:id="311" w:name="pg1814_19054"/>
    </w:p>
    <w:p>
      <w:pPr>
        <w:pStyle w:val="Heading6"/>
        <w:numPr>
          <w:ilvl w:val="5"/>
          <w:numId w:val="1"/>
        </w:numPr>
        <w:rPr/>
      </w:pPr>
      <w:bookmarkStart w:id="312" w:name="__RefHeading___Toc2647249_3650668749"/>
      <w:bookmarkStart w:id="313" w:name="_Toc113"/>
      <w:bookmarkEnd w:id="311"/>
      <w:bookmarkEnd w:id="312"/>
      <w:r>
        <w:rPr/>
        <w:t>2-1</w:t>
      </w:r>
      <w:r>
        <w:rPr>
          <w:rtl w:val="true"/>
        </w:rPr>
        <w:t xml:space="preserve">. </w:t>
      </w:r>
      <w:r>
        <w:rPr>
          <w:rtl w:val="true"/>
        </w:rPr>
        <w:t>منافقان</w:t>
      </w:r>
      <w:bookmarkEnd w:id="313"/>
    </w:p>
    <w:p>
      <w:pPr>
        <w:pStyle w:val="BookText"/>
        <w:rPr/>
      </w:pPr>
      <w:r>
        <w:rPr>
          <w:rFonts w:ascii="IRNazanin" w:hAnsi="IRNazanin" w:eastAsia="IRNazanin"/>
          <w:color w:val="111111"/>
          <w:sz w:val="28"/>
          <w:sz w:val="28"/>
          <w:szCs w:val="28"/>
          <w:rtl w:val="true"/>
          <w:lang w:bidi="fa-IR"/>
        </w:rPr>
        <w:t>بررسي‌ها، نشان مي‌دهد به جز كافران، مشركان، يهود و نصارا گروه‌هاي ديگري نيز برابر حضرت مي‌ايستند كه در بين آنان كساني كه پيش‌تر ادعاي همراهي با امام را داشتند،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انسان‌هاي دورويي هستند كه به پندار خود، بهره‌هايشان را در ظهور او مي‌جستند و اينك بر خلاف اين پندار، قيام آن حضرت را بر پاية عدل و قسط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تاريخ كساني كه حكومت امام علي عليه السلام را براي رسيدن به دنيا مي‌خواستند، چون عدالت آن حضرت را ديدند از مدار ولايت او بيرون رفته و در صف دشمنان آن حضرت وارد شدند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حكومت حضرت مهدي عليه السلام ، اين‌گونه افراد در صدد نفوذ در حكومت و جامعه اسلامي بر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درهم شكستن مقاومت مخالفان، پيروزمندانه وارد كوفه مي‌شود و منافقان را در رديف ساير فرقه‌هاي منحرف نافرمان، از بين مي‌برد</w:t>
      </w:r>
      <w:r>
        <w:rPr>
          <w:rFonts w:eastAsia="IRNazanin" w:cs="IRNazanin"/>
          <w:color w:val="111111"/>
          <w:sz w:val="28"/>
          <w:szCs w:val="28"/>
          <w:rtl w:val="true"/>
          <w:lang w:bidi="fa-IR"/>
        </w:rPr>
        <w:t>.</w:t>
      </w:r>
      <w:bookmarkStart w:id="314" w:name="pg1814_19056"/>
    </w:p>
    <w:p>
      <w:pPr>
        <w:pStyle w:val="Heading6"/>
        <w:numPr>
          <w:ilvl w:val="5"/>
          <w:numId w:val="1"/>
        </w:numPr>
        <w:rPr/>
      </w:pPr>
      <w:bookmarkStart w:id="315" w:name="__RefHeading___Toc2647251_3650668749"/>
      <w:bookmarkStart w:id="316" w:name="_Toc114"/>
      <w:bookmarkEnd w:id="314"/>
      <w:bookmarkEnd w:id="315"/>
      <w:r>
        <w:rPr/>
        <w:t>2</w:t>
      </w:r>
      <w:r>
        <w:rPr>
          <w:rtl w:val="true"/>
        </w:rPr>
        <w:t xml:space="preserve">- </w:t>
      </w:r>
      <w:r>
        <w:rPr/>
        <w:t>2</w:t>
      </w:r>
      <w:r>
        <w:rPr>
          <w:rtl w:val="true"/>
        </w:rPr>
        <w:t xml:space="preserve">. </w:t>
      </w:r>
      <w:r>
        <w:rPr>
          <w:rtl w:val="true"/>
        </w:rPr>
        <w:t>رفاه طلبان</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رفاه‌طلبي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در خود‌پرستي دارد و خودخواهي، زمينة همه تباهي‌ها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لذت‌طلبي حالتي را در انسان فراهم مي‌كند كه همه چارچوب‌هاي اعتقادي و اخلاقي او را دگرگون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رفاه‌طلب، دين را به گونه‌اي تفسير مي‌كند كه با لذت‌هاي او هماهنگي داشته باشد؛ او بيشتر در پيِ آن دسته از احكامي است كه دنياي او در خطر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جهاني امام زمان عليه السلام، با پشت سرگذاشتن سختي‌هاي فراوان به پيروزي مي‌رسد؛ در نبرد فرودستان با فرادستان، چكاچك شمشيرها، ايمان‌ها را به آزمايش در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راستين پيشاپيش خود را براي بلاها آماده مي‌سازند؛ اما راحت‌طلبان با دستاويزقراردادن مذهب، در پس توجيه جايگاه و پايگاه خويش هستند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بي‌ترديد حضرت مهدي عليه السلام ايشان را بر نمي‌تابد و اگر به راه نيايند آنان را از سر راه بر مي‌دارد</w:t>
      </w:r>
      <w:r>
        <w:rPr>
          <w:rFonts w:eastAsia="IRNazanin" w:cs="IRNazanin"/>
          <w:color w:val="111111"/>
          <w:sz w:val="28"/>
          <w:szCs w:val="28"/>
          <w:rtl w:val="true"/>
          <w:lang w:bidi="fa-IR"/>
        </w:rPr>
        <w:t>.</w:t>
      </w:r>
      <w:bookmarkStart w:id="317" w:name="pg1814_19058"/>
    </w:p>
    <w:p>
      <w:pPr>
        <w:pStyle w:val="Heading6"/>
        <w:numPr>
          <w:ilvl w:val="5"/>
          <w:numId w:val="1"/>
        </w:numPr>
        <w:rPr/>
      </w:pPr>
      <w:bookmarkStart w:id="318" w:name="__RefHeading___Toc2647253_3650668749"/>
      <w:bookmarkStart w:id="319" w:name="_Toc115"/>
      <w:bookmarkEnd w:id="317"/>
      <w:bookmarkEnd w:id="318"/>
      <w:r>
        <w:rPr/>
        <w:t>2-3</w:t>
      </w:r>
      <w:r>
        <w:rPr>
          <w:rtl w:val="true"/>
        </w:rPr>
        <w:t xml:space="preserve"> . </w:t>
      </w:r>
      <w:r>
        <w:rPr>
          <w:rtl w:val="true"/>
        </w:rPr>
        <w:t>بهانه‌جويان</w:t>
      </w:r>
      <w:bookmarkEnd w:id="319"/>
    </w:p>
    <w:p>
      <w:pPr>
        <w:pStyle w:val="BookText"/>
        <w:rPr/>
      </w:pPr>
      <w:r>
        <w:rPr>
          <w:rFonts w:ascii="IRNazanin" w:hAnsi="IRNazanin" w:eastAsia="IRNazanin"/>
          <w:color w:val="111111"/>
          <w:sz w:val="28"/>
          <w:sz w:val="28"/>
          <w:szCs w:val="28"/>
          <w:rtl w:val="true"/>
          <w:lang w:bidi="fa-IR"/>
        </w:rPr>
        <w:t>از سال‌هاي نخست تاريخ اسلام، همواره بهانه‌جويان از مهم‌ترين كساني هستند كه جلوي گسترش دين را مي‌گيرند، كساني‌كه از واقعيت‌هاي عيني دور بوده، به سبب خودمحوري از زير بار مسئوليت‌ها شانه خالي مي‌كنند و البته در بين آنها كساني هستند كه تلاش مي‌كنند اين رفتار خود را بر پاية آموزه‌هاي ديني توجيه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خودمحوري و محدود بودن دركشان نسبت به دين، سبب مي‌شود در بحران‌ها و زمان‌هاي حساس، تكليف خود را نشناسند و آن‌گونه كه شايسته است، از پيامبر و امامان عليهم السلام و ولايت، پيروي نكنند و گاهي نيز به رويارويي با آنان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ظهور حضرت مهدي عليه السلام، نه فقط واگرايي در انديشه‌ها و رفتار اجتماعي، از بين نمي‌رود كه به گونه هايي نو، جلوه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حمزه از امام صادق عليه السلام روايت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يَلْقَي فِي حَرْبِهِ مَا لَمْ يَلْقَ رَسُولُ اللَّهِ صلي الله عليه و آله إِنَّ رَسُولَ اللَّهِ صلي الله عليه و آله أَتَاهُمْ وَ هُمْ يَعْبُدُونَ حِجَارَةً مَنْقُورَةً وَ خُشُباً مَنْحُوتَةً وَ إِنَّ الْقَائِمَ يَخْرُجُونَ عَلَيْهِ فَيَتَأَوَّلُونَ عَلَيْهِ كِتَابَ اللَّهِ وَ يُقَاتِلُونَهُ عَلَيْهِ؛</w:t>
      </w:r>
      <w:r>
        <w:rPr>
          <w:rStyle w:val="FootnoteAnchor"/>
          <w:rtl w:val="true"/>
        </w:rPr>
        <w:footnoteReference w:id="304"/>
      </w:r>
      <w:r>
        <w:rPr>
          <w:rFonts w:ascii="IRNazanin" w:hAnsi="IRNazanin" w:eastAsia="IRNazanin"/>
          <w:color w:val="111111"/>
          <w:sz w:val="28"/>
          <w:sz w:val="28"/>
          <w:szCs w:val="28"/>
          <w:rtl w:val="true"/>
          <w:lang w:bidi="fa-IR"/>
        </w:rPr>
        <w:t>قائم عليه السلام در پيكار خود با چنان چيزي روبه‌رو خواهد شد كه رسول خدا صلي الله عليه و آله با آن مواجه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صلي الله عليه و آله در حالي به سوي مردم مي آمد كه آنان بت‌هاي سنگي و چوب‌هاي تراشيده را مي‌پرستيدند؛ اما قائم چنان است كه بر او خروج مي كنند و كتاب خدا را بر او تأويل مي كنند و به استناد همان تأويل با او مي‌جنگند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بن يسار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قَائِمَنَا إِذَا قَامَ اسْتَقْبَلَ مِنْ جَهْلِ النَّاسِ أَشَدَّ مِمَّا اسْتَقْبَلَهُ رَسُولُ اللَّهِ مِنْ جُهَّالِ الْجَاهِلِيَّةِ؛ قائم ما چون قيام كند، مردم از روي جهل با او برخورد مي‌كنند؛ شديدتر از آنچه رسول خدا با آن از سوي نادانان جاهليّت روبه‌رو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ممكن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صلي الله عليه و آله أَتَي النَّاسَ وَ هُمْ يَعْبُدُونَ الْحِجَارَةَ وَ الصُّخُورَ وَ الْعِيدَانَ وَ الْخُشُبَ الْمَنْحُوتَةَ وَ إِنَّ قَائِمَنَا إِذَا قَامَ أَتَي النَّاسَ وَ كُلُّهُمْ يَتَأَوَّلُ عَلَيْهِ كِتَابَ اللَّهِ يَحْتَجُّ عَلَيْهِ بِهِ ثُمَّ قَالَ أَمَا وَ اللَّهِ لَيَدْخُلَنَّ عَلَيْهِمْ عَدْلُهُ جَوْفَ بُيُوتِهِمْ كَمَا يَدْخُلُ الْحَرُّ وَ الْقُرُّ؛</w:t>
      </w:r>
      <w:r>
        <w:rPr>
          <w:rStyle w:val="FootnoteAnchor"/>
          <w:rtl w:val="true"/>
        </w:rPr>
        <w:footnoteReference w:id="305"/>
      </w:r>
      <w:r>
        <w:rPr>
          <w:rFonts w:ascii="IRNazanin" w:hAnsi="IRNazanin" w:eastAsia="IRNazanin"/>
          <w:color w:val="111111"/>
          <w:sz w:val="28"/>
          <w:sz w:val="28"/>
          <w:szCs w:val="28"/>
          <w:rtl w:val="true"/>
          <w:lang w:bidi="fa-IR"/>
        </w:rPr>
        <w:t>همانا رسول خدا درحالي به سوي مردم آمد كه آنان سنگ و كلوخ و چوب‌هاي تراشيده و مجسّمه‌هاي چوبين را مي‌پرستيدند؛ قائم ما چون قيام كند در حالي به سوي مردم مي‌آيد كه جملگي كتاب خدا را بر او تأويل مي‌كنند و بر او بدان احتجاج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دادگستري او بدان گونه كه گرما و سرما نفوذ مي‌كند، درون خانه‌هاي آنان راه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امام، در مرحلة دعوت، به تبيين اهداف و علل اقدامات خود مي‌پردازد و ابهامي براي مردم باقي نمي‌گذارد، تا تمام حق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حق آشكار شد، اگر دشمنان از آن سر باز زدند، حضرت اقدام نظامي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گرامي اسلام صلي الله عليه و آله همة سركشان كه از دستورات قائم آل محمد سرپيچي كنند را به هلاكت و نابودي بشارت داده است كه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تَبِعَهُ نَجَا وَ مَنْ تَخَلَّفَ عَنْهُ هَلَك؛</w:t>
      </w:r>
      <w:r>
        <w:rPr>
          <w:rStyle w:val="FootnoteAnchor"/>
          <w:rtl w:val="true"/>
        </w:rPr>
        <w:footnoteReference w:id="306"/>
      </w:r>
      <w:r>
        <w:rPr>
          <w:rFonts w:ascii="IRNazanin" w:hAnsi="IRNazanin" w:eastAsia="IRNazanin"/>
          <w:color w:val="111111"/>
          <w:sz w:val="28"/>
          <w:sz w:val="28"/>
          <w:szCs w:val="28"/>
          <w:rtl w:val="true"/>
          <w:lang w:bidi="fa-IR"/>
        </w:rPr>
        <w:t>هر كس از او پيروي كند، نجات مي‌يابد و هر كس سرپيچي كند، نابود مي‌شود</w:t>
      </w:r>
      <w:r>
        <w:rPr>
          <w:rFonts w:eastAsia="IRNazanin" w:cs="IRNazanin"/>
          <w:color w:val="111111"/>
          <w:sz w:val="28"/>
          <w:szCs w:val="28"/>
          <w:rtl w:val="true"/>
          <w:lang w:bidi="fa-IR"/>
        </w:rPr>
        <w:t>.</w:t>
      </w:r>
      <w:bookmarkStart w:id="320" w:name="pg1814_19060"/>
    </w:p>
    <w:p>
      <w:pPr>
        <w:pStyle w:val="Heading4"/>
        <w:numPr>
          <w:ilvl w:val="3"/>
          <w:numId w:val="1"/>
        </w:numPr>
        <w:rPr/>
      </w:pPr>
      <w:bookmarkStart w:id="321" w:name="__RefHeading___Toc2647255_3650668749"/>
      <w:bookmarkStart w:id="322" w:name="_Toc116"/>
      <w:bookmarkEnd w:id="320"/>
      <w:bookmarkEnd w:id="321"/>
      <w:r>
        <w:rPr>
          <w:rtl w:val="true"/>
        </w:rPr>
        <w:t>امدادهاي الهي و تلاش مردم</w:t>
      </w:r>
      <w:bookmarkEnd w:id="322"/>
    </w:p>
    <w:p>
      <w:pPr>
        <w:pStyle w:val="Heading5"/>
        <w:numPr>
          <w:ilvl w:val="4"/>
          <w:numId w:val="1"/>
        </w:numPr>
        <w:rPr/>
      </w:pPr>
      <w:bookmarkStart w:id="323" w:name="__RefHeading___Toc2647257_3650668749"/>
      <w:bookmarkStart w:id="324" w:name="_Toc117"/>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اگــر چه پاية اين قيــام بزرگ، بر روال طبيعي و روش‌هاي معمول نظام آفرينش زندگي انسان است؛ اما به تناسب بزرگي و گستردگي آن در همة كرة زمين، و نيز سازوكار دشمنان با امكانات بسيار و پيشرفته، در برابر آن، خداوند برخي از نيروهاي پنهان و ويژة خود را در اختيار او قرار خواهد داد تا در كنار حضور مردم، زمينه‌هاي پيروزي آنها، هر چه بهتر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ياري‌رساني خداوند با عنوان امدادهاي غيبي ياد شده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از آيات قرآن به دست مي‌آيد كه خداوند، در مقابلة حق با باطل، جانب جريان حق را نگه مي‌دارد و از آن دفاع مي‌كند و اين دفاع، گاهي از طريق نيروهاي پنهان و امدادهاي غيبي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بزرگ‌ترين و وسيع‌ترين رويارويي حق با باطل و انقلابي كه در راستاي اهداف پيامبران رخ مي‌دهد، اين سنت الهي بيش از پيش جلوه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آنجايي كه واپسين ذخيرة الهي و موعود منجي، راه ناتمام همة پيامبران و اولياي الهي را به پايان مي‌رساند، خداوند امدادهاي غيبي‌اي را كه در اختيار آنان قرار داده بود؛ براي حضرت مهدي عليه السلام نيز فراهم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در اين باره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قائِمُ اَهْلِ بَيْتي… يُؤيَّدُ بِنَصرِ اللّهِ… ؛</w:t>
      </w:r>
      <w:r>
        <w:rPr>
          <w:rStyle w:val="FootnoteAnchor"/>
          <w:rtl w:val="true"/>
        </w:rPr>
        <w:footnoteReference w:id="308"/>
      </w:r>
      <w:r>
        <w:rPr>
          <w:rFonts w:ascii="Amiri" w:hAnsi="Amiri" w:eastAsia="Amiri" w:cs="Amiri"/>
          <w:color w:val="111111"/>
          <w:sz w:val="28"/>
          <w:sz w:val="28"/>
          <w:szCs w:val="28"/>
          <w:rtl w:val="true"/>
          <w:lang w:bidi="ar-SA"/>
        </w:rPr>
        <w:t>قائم اهل بيت من، به ياري خداوند تأييد مي‌شود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برخي از اين امدادها از اين قرارند</w:t>
      </w:r>
      <w:r>
        <w:rPr>
          <w:rFonts w:eastAsia="Amiri" w:cs="Amiri" w:ascii="Amiri" w:hAnsi="Amiri"/>
          <w:color w:val="111111"/>
          <w:sz w:val="28"/>
          <w:szCs w:val="28"/>
          <w:rtl w:val="true"/>
          <w:lang w:bidi="ar-SA"/>
        </w:rPr>
        <w:t>:</w:t>
      </w:r>
      <w:bookmarkStart w:id="325" w:name="pg1814_19062"/>
    </w:p>
    <w:p>
      <w:pPr>
        <w:pStyle w:val="Heading5"/>
        <w:numPr>
          <w:ilvl w:val="4"/>
          <w:numId w:val="1"/>
        </w:numPr>
        <w:rPr/>
      </w:pPr>
      <w:bookmarkStart w:id="326" w:name="__RefHeading___Toc2647259_3650668749"/>
      <w:bookmarkStart w:id="327" w:name="_Toc118"/>
      <w:bookmarkEnd w:id="325"/>
      <w:bookmarkEnd w:id="326"/>
      <w:r>
        <w:rPr/>
        <w:t>1</w:t>
      </w:r>
      <w:r>
        <w:rPr>
          <w:rtl w:val="true"/>
        </w:rPr>
        <w:t xml:space="preserve">. </w:t>
      </w:r>
      <w:r>
        <w:rPr>
          <w:rtl w:val="true"/>
        </w:rPr>
        <w:t>فرشتگان</w:t>
      </w:r>
      <w:bookmarkEnd w:id="327"/>
    </w:p>
    <w:p>
      <w:pPr>
        <w:pStyle w:val="BookText"/>
        <w:rPr/>
      </w:pPr>
      <w:r>
        <w:rPr>
          <w:rFonts w:ascii="IRNazanin" w:hAnsi="IRNazanin" w:eastAsia="IRNazanin"/>
          <w:color w:val="111111"/>
          <w:sz w:val="28"/>
          <w:sz w:val="28"/>
          <w:szCs w:val="28"/>
          <w:rtl w:val="true"/>
          <w:lang w:bidi="fa-IR"/>
        </w:rPr>
        <w:t xml:space="preserve">از نيروهاي غيبي كه به ياري واپسين حجت خداوند و ياران او مي‌آيند،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گرامي اسلام صلي الله عليه و آله در روايتي، به نقل از خداوند در شب معراج چنين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لَأَنْصُرَنَّهُ بِجُنْدِي وَ لَأَمُدَّنَّهُ بِمَلَائِكَتِي حَتَّي يُعْلِنَ دَعْوَتِي‌… ؛</w:t>
      </w:r>
      <w:r>
        <w:rPr>
          <w:rStyle w:val="FootnoteAnchor"/>
          <w:rtl w:val="true"/>
        </w:rPr>
        <w:footnoteReference w:id="309"/>
      </w:r>
      <w:r>
        <w:rPr>
          <w:rFonts w:ascii="IRNazanin" w:hAnsi="IRNazanin" w:eastAsia="IRNazanin"/>
          <w:color w:val="111111"/>
          <w:sz w:val="28"/>
          <w:sz w:val="28"/>
          <w:szCs w:val="28"/>
          <w:rtl w:val="true"/>
          <w:lang w:bidi="fa-IR"/>
        </w:rPr>
        <w:t xml:space="preserve">و با لشكريان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ياري مي كنم و با فرشتگانم به او مدد مي رسانم، تا آنكه دعوتم را آشكار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عياشي از امام باقر عليه السلام نقل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الَّذِينَ نَصَرُوا مُحَمَّداً صلي الله عليه و آله يَوْمَ بَدْرٍ فِي الْأَرْضِ مَا صَعِدُوا بَعْدُ وَ لَا يَصْعَدُونَ حَتَّي يَنْصُرُوا صَاحِبَ هَذَا الْأَمْرِ وَ هُمْ خَمْسَةُ آلَافٍ؛</w:t>
      </w:r>
      <w:r>
        <w:rPr>
          <w:rStyle w:val="FootnoteAnchor"/>
          <w:rtl w:val="true"/>
        </w:rPr>
        <w:footnoteReference w:id="310"/>
      </w:r>
      <w:r>
        <w:rPr>
          <w:rFonts w:ascii="IRNazanin" w:hAnsi="IRNazanin" w:eastAsia="IRNazanin"/>
          <w:color w:val="111111"/>
          <w:sz w:val="28"/>
          <w:sz w:val="28"/>
          <w:szCs w:val="28"/>
          <w:rtl w:val="true"/>
          <w:lang w:bidi="fa-IR"/>
        </w:rPr>
        <w:t>فرشتگاني كه در جنگ بدر رسول خدا را در زمين ياري كردند، از آن پس به آسمان نرفتند و پس از اين نيز نخواهند رفت تا آنكه ياري كنند صاحب اين امر را و آنان پنج هزار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كثير روايت كرده است امام صادق عليه السلام در باره اين آيه كه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أَتي أَمْرُ اللَّهِ فَلَا تَسْتَعْجِلُوهُ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أَمْرُنَا أَمْرُ اللَّهِ لَا يُسْتَعْجَلُ بِهِ يُؤَيِّدُهُ ثَلَاثَةُ أَجْنَادٍ الْمَلَائِكَةُ وَ الْمُؤْمِنُونَ وَ الرُّعْب؛</w:t>
      </w:r>
      <w:r>
        <w:rPr>
          <w:rStyle w:val="FootnoteAnchor"/>
          <w:rtl w:val="true"/>
        </w:rPr>
        <w:footnoteReference w:id="312"/>
      </w:r>
      <w:r>
        <w:rPr>
          <w:rFonts w:ascii="IRNazanin" w:hAnsi="IRNazanin" w:eastAsia="IRNazanin"/>
          <w:color w:val="111111"/>
          <w:sz w:val="28"/>
          <w:sz w:val="28"/>
          <w:szCs w:val="28"/>
          <w:rtl w:val="true"/>
          <w:lang w:bidi="fa-IR"/>
        </w:rPr>
        <w:t xml:space="preserve">آن امر ما است، خداي عزّ و جلّ امر فرموده كه در بارة آن شتاب نشود تا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 فرمايد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مؤمنان و هراس</w:t>
      </w:r>
      <w:r>
        <w:rPr>
          <w:rFonts w:eastAsia="IRNazanin" w:cs="IRNazanin"/>
          <w:color w:val="111111"/>
          <w:sz w:val="28"/>
          <w:szCs w:val="28"/>
          <w:rtl w:val="true"/>
          <w:lang w:bidi="fa-IR"/>
        </w:rPr>
        <w:t>.</w:t>
      </w:r>
      <w:bookmarkStart w:id="328" w:name="pg1814_19064"/>
    </w:p>
    <w:p>
      <w:pPr>
        <w:pStyle w:val="Heading5"/>
        <w:numPr>
          <w:ilvl w:val="4"/>
          <w:numId w:val="1"/>
        </w:numPr>
        <w:rPr/>
      </w:pPr>
      <w:bookmarkStart w:id="329" w:name="__RefHeading___Toc2647261_3650668749"/>
      <w:bookmarkStart w:id="330" w:name="_Toc119"/>
      <w:bookmarkEnd w:id="328"/>
      <w:bookmarkEnd w:id="329"/>
      <w:r>
        <w:rPr/>
        <w:t>2</w:t>
      </w:r>
      <w:r>
        <w:rPr>
          <w:rtl w:val="true"/>
        </w:rPr>
        <w:t xml:space="preserve">. </w:t>
      </w:r>
      <w:r>
        <w:rPr>
          <w:rtl w:val="true"/>
        </w:rPr>
        <w:t>انداختن ترس در دل دشمنان</w:t>
      </w:r>
      <w:bookmarkEnd w:id="330"/>
    </w:p>
    <w:p>
      <w:pPr>
        <w:pStyle w:val="BookText"/>
        <w:rPr/>
      </w:pPr>
      <w:r>
        <w:rPr>
          <w:rFonts w:ascii="IRNazanin" w:hAnsi="IRNazanin" w:eastAsia="IRNazanin"/>
          <w:color w:val="111111"/>
          <w:sz w:val="28"/>
          <w:sz w:val="28"/>
          <w:szCs w:val="28"/>
          <w:rtl w:val="true"/>
          <w:lang w:bidi="fa-IR"/>
        </w:rPr>
        <w:t>پروردگار بزرگ، در برپايي قيام جهاني حضرت مهدي عليه السلام، ترس و دلهره را بر دل كافران، مشركان و ستمگران حق‌ستيز افكنده، توان تصميم‌گيري و دشمني را از آنان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رواياتي گفته شده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بِالرُّعْبِ وَ مُؤَيَّدٌ 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هنگام ظهور، هراس از وي، در دل قدرتمندان مي‌افتد و نيروهاي غيبي و ناديدني، به كمك او و يارانش مي‌شتابند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منافاتي با لزوم حضور مردم در صحنه ندارد و مردم بايد آن حضرت را تا رسيدن به اهداف متعالي‌اش ياري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مهدي را سه سپاه ياري مي‌كنند و در پيروزي او شركت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 از فرشتگان، سپاهي از مؤمنان و سپاهي از رعب و وحشت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محمد بن مسلم ثقفي از امام باقر عليه السلام نقل مي‌كند كه فرمود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اَلْقائِمُ مِنَّا مَنْصُورٌ بِالرُّعْبِ؛</w:t>
      </w:r>
      <w:r>
        <w:rPr>
          <w:rStyle w:val="FootnoteAnchor"/>
          <w:rtl w:val="true"/>
        </w:rPr>
        <w:footnoteReference w:id="314"/>
      </w:r>
      <w:r>
        <w:rPr>
          <w:rFonts w:ascii="Amiri" w:hAnsi="Amiri" w:eastAsia="Amiri" w:cs="Amiri"/>
          <w:color w:val="111111"/>
          <w:sz w:val="28"/>
          <w:sz w:val="28"/>
          <w:szCs w:val="28"/>
          <w:rtl w:val="true"/>
          <w:lang w:bidi="ar-SA"/>
        </w:rPr>
        <w:t xml:space="preserve">قائم ما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در دل دشمنان، ياري شده است</w:t>
      </w:r>
      <w:r>
        <w:rPr>
          <w:rFonts w:eastAsia="Amiri" w:cs="Amiri" w:ascii="Amiri" w:hAnsi="Amiri"/>
          <w:color w:val="111111"/>
          <w:sz w:val="28"/>
          <w:szCs w:val="28"/>
          <w:rtl w:val="true"/>
          <w:lang w:bidi="ar-SA"/>
        </w:rPr>
        <w:t>.</w:t>
      </w:r>
      <w:bookmarkStart w:id="331" w:name="pg1814_19066"/>
    </w:p>
    <w:p>
      <w:pPr>
        <w:pStyle w:val="Heading5"/>
        <w:numPr>
          <w:ilvl w:val="4"/>
          <w:numId w:val="1"/>
        </w:numPr>
        <w:rPr/>
      </w:pPr>
      <w:bookmarkStart w:id="332" w:name="__RefHeading___Toc2647263_3650668749"/>
      <w:bookmarkStart w:id="333" w:name="_Toc120"/>
      <w:bookmarkEnd w:id="331"/>
      <w:bookmarkEnd w:id="332"/>
      <w:r>
        <w:rPr/>
        <w:t>3</w:t>
      </w:r>
      <w:r>
        <w:rPr>
          <w:rtl w:val="true"/>
        </w:rPr>
        <w:t xml:space="preserve">. </w:t>
      </w:r>
      <w:r>
        <w:rPr>
          <w:rtl w:val="true"/>
        </w:rPr>
        <w:t>نيروهاي طبيعت</w:t>
      </w:r>
      <w:bookmarkEnd w:id="333"/>
    </w:p>
    <w:p>
      <w:pPr>
        <w:pStyle w:val="BookText"/>
        <w:rPr/>
      </w:pPr>
      <w:r>
        <w:rPr>
          <w:rFonts w:ascii="IRNazanin" w:hAnsi="IRNazanin" w:eastAsia="IRNazanin"/>
          <w:color w:val="111111"/>
          <w:sz w:val="28"/>
          <w:sz w:val="28"/>
          <w:szCs w:val="28"/>
          <w:rtl w:val="true"/>
          <w:lang w:bidi="fa-IR"/>
        </w:rPr>
        <w:t>برخي از امدادهاي غيبي خداوند، تسخير نيروها و امكانات طبيعي است كه خداوند پيامبران خود را به آن مجهز كرده است؛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طوفان‌ها، ابرها و… كه در قرآن از آنها ياد شده است</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در رواياتي، عوامل طبيعي، از جملة امدادهاي غيبي براي ياري واپسين حجّت الهي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گرامي اسلام صلي الله عليه و آله در حديث معراج به نقل از خداوند چنين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وَلَاُسَخِّرَنَّ لَهُ الرِّياحَ وَلأُذَلِلَنَّ لَهُ الرِّقابَ الصِّعاب…؛ … و باد را مسخَّر او مي‌كنم و گردنكشان سخت را، رام او مي‌سازم…</w:t>
      </w:r>
      <w:r>
        <w:rPr>
          <w:rFonts w:eastAsia="IRNazanin" w:cs="IRNazanin"/>
          <w:color w:val="111111"/>
          <w:sz w:val="28"/>
          <w:szCs w:val="28"/>
          <w:rtl w:val="true"/>
          <w:lang w:bidi="fa-IR"/>
        </w:rPr>
        <w:t>.</w:t>
      </w:r>
      <w:r>
        <w:rPr>
          <w:rStyle w:val="FootnoteAnchor"/>
          <w:rtl w:val="true"/>
        </w:rPr>
        <w:footnoteReference w:id="31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حضرت مهدي عليه السلام، افزون بر بهره‌مندي از ياران و اصحاب، به دليل عظمت قيام جهاني خود، به اذن و ارادة الهي، از امدادهاي غيبي نيز استفاده مي‌كند</w:t>
      </w:r>
      <w:r>
        <w:rPr>
          <w:rFonts w:eastAsia="Amiri" w:cs="Amiri" w:ascii="Amiri" w:hAnsi="Amiri"/>
          <w:color w:val="111111"/>
          <w:sz w:val="28"/>
          <w:szCs w:val="28"/>
          <w:rtl w:val="true"/>
          <w:lang w:bidi="ar-SA"/>
        </w:rPr>
        <w:t>.</w:t>
      </w:r>
      <w:bookmarkStart w:id="334" w:name="pg1814_19068"/>
    </w:p>
    <w:p>
      <w:pPr>
        <w:pStyle w:val="Heading4"/>
        <w:numPr>
          <w:ilvl w:val="3"/>
          <w:numId w:val="1"/>
        </w:numPr>
        <w:rPr/>
      </w:pPr>
      <w:bookmarkStart w:id="335" w:name="__RefHeading___Toc2647265_3650668749"/>
      <w:bookmarkStart w:id="336" w:name="_Toc121"/>
      <w:bookmarkEnd w:id="334"/>
      <w:bookmarkEnd w:id="335"/>
      <w:r>
        <w:rPr>
          <w:rtl w:val="true"/>
        </w:rPr>
        <w:t>برخي امدادهاي ديگر</w:t>
      </w:r>
      <w:bookmarkEnd w:id="336"/>
    </w:p>
    <w:p>
      <w:pPr>
        <w:pStyle w:val="Heading5"/>
        <w:numPr>
          <w:ilvl w:val="4"/>
          <w:numId w:val="1"/>
        </w:numPr>
        <w:rPr/>
      </w:pPr>
      <w:bookmarkStart w:id="337" w:name="__RefHeading___Toc2647267_3650668749"/>
      <w:bookmarkStart w:id="338" w:name="_Toc122"/>
      <w:bookmarkEnd w:id="337"/>
      <w:r>
        <w:rPr>
          <w:rtl w:val="true"/>
        </w:rPr>
        <w:t>اشاره</w:t>
      </w:r>
      <w:bookmarkEnd w:id="33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امدادهاي ياد شده، برخي امور ديگر نيز در روايات اشاره شده كه مي‌تواند در شمار امدادهاي الهي باشد</w:t>
      </w:r>
      <w:r>
        <w:rPr>
          <w:rFonts w:eastAsia="IRNazanin" w:cs="IRNazanin"/>
          <w:color w:val="111111"/>
          <w:sz w:val="28"/>
          <w:szCs w:val="28"/>
          <w:rtl w:val="true"/>
          <w:lang w:bidi="fa-IR"/>
        </w:rPr>
        <w:t>:</w:t>
      </w:r>
      <w:bookmarkStart w:id="339" w:name="pg1814_19070"/>
    </w:p>
    <w:p>
      <w:pPr>
        <w:pStyle w:val="Heading5"/>
        <w:numPr>
          <w:ilvl w:val="4"/>
          <w:numId w:val="1"/>
        </w:numPr>
        <w:rPr/>
      </w:pPr>
      <w:bookmarkStart w:id="340" w:name="__RefHeading___Toc2647269_3650668749"/>
      <w:bookmarkStart w:id="341" w:name="_Toc123"/>
      <w:bookmarkEnd w:id="339"/>
      <w:bookmarkEnd w:id="340"/>
      <w:r>
        <w:rPr>
          <w:rtl w:val="true"/>
        </w:rPr>
        <w:t>الف</w:t>
      </w:r>
      <w:r>
        <w:rPr>
          <w:rtl w:val="true"/>
        </w:rPr>
        <w:t xml:space="preserve">) </w:t>
      </w:r>
      <w:r>
        <w:rPr>
          <w:rtl w:val="true"/>
        </w:rPr>
        <w:t>طِي الاَرْض</w:t>
      </w:r>
      <w:bookmarkEnd w:id="341"/>
    </w:p>
    <w:p>
      <w:pPr>
        <w:pStyle w:val="BookText"/>
        <w:rPr/>
      </w:pPr>
      <w:r>
        <w:rPr>
          <w:rFonts w:ascii="Amiri" w:hAnsi="Amiri" w:eastAsia="Amiri" w:cs="Amiri"/>
          <w:color w:val="111111"/>
          <w:sz w:val="28"/>
          <w:sz w:val="28"/>
          <w:szCs w:val="28"/>
          <w:rtl w:val="true"/>
          <w:lang w:bidi="ar-SA"/>
        </w:rPr>
        <w:t>يكي از امدادهاي الهي در عصر ظهور آن است كه زمين، براي آن حضرت و يارانش در هم نورديده شود</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در رواياتي چند از چگونگي طي مسافت آن حضرت و يارانش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امام‌رضا عليه السلام مي‌فرمايد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تُطْوَي لَهُ الْأَرْضُ وَ يَذِلُّ لَهُ كُلُّ صَعْبٍ؛</w:t>
      </w:r>
      <w:r>
        <w:rPr>
          <w:rStyle w:val="FootnoteAnchor"/>
          <w:rtl w:val="true"/>
        </w:rPr>
        <w:footnoteReference w:id="318"/>
      </w:r>
      <w:r>
        <w:rPr>
          <w:rFonts w:ascii="Amiri" w:hAnsi="Amiri" w:eastAsia="Amiri" w:cs="Amiri"/>
          <w:color w:val="111111"/>
          <w:sz w:val="28"/>
          <w:sz w:val="28"/>
          <w:szCs w:val="28"/>
          <w:rtl w:val="true"/>
          <w:lang w:bidi="ar-SA"/>
        </w:rPr>
        <w:t>او، كسي است كه زمين برايش درنورديده مي‌شود</w:t>
      </w:r>
      <w:r>
        <w:rPr>
          <w:rFonts w:eastAsia="Amiri" w:cs="Amiri" w:ascii="Amiri" w:hAnsi="Amiri"/>
          <w:color w:val="111111"/>
          <w:sz w:val="28"/>
          <w:szCs w:val="28"/>
          <w:rtl w:val="true"/>
          <w:lang w:bidi="ar-SA"/>
        </w:rPr>
        <w:t>.</w:t>
      </w:r>
      <w:bookmarkStart w:id="342" w:name="pg1814_19072"/>
    </w:p>
    <w:p>
      <w:pPr>
        <w:pStyle w:val="Heading5"/>
        <w:numPr>
          <w:ilvl w:val="4"/>
          <w:numId w:val="1"/>
        </w:numPr>
        <w:rPr/>
      </w:pPr>
      <w:bookmarkStart w:id="343" w:name="__RefHeading___Toc2647271_3650668749"/>
      <w:bookmarkStart w:id="344" w:name="_Toc124"/>
      <w:bookmarkEnd w:id="342"/>
      <w:bookmarkEnd w:id="343"/>
      <w:r>
        <w:rPr>
          <w:rtl w:val="true"/>
        </w:rPr>
        <w:t>ب</w:t>
      </w:r>
      <w:r>
        <w:rPr>
          <w:rtl w:val="true"/>
        </w:rPr>
        <w:t xml:space="preserve">) </w:t>
      </w:r>
      <w:r>
        <w:rPr>
          <w:rtl w:val="true"/>
        </w:rPr>
        <w:t>ميراث‌هاي پيامبران عليهم السلام</w:t>
      </w:r>
      <w:bookmarkEnd w:id="344"/>
    </w:p>
    <w:p>
      <w:pPr>
        <w:pStyle w:val="BookText"/>
        <w:rPr/>
      </w:pPr>
      <w:r>
        <w:rPr>
          <w:rFonts w:ascii="IRNazanin" w:hAnsi="IRNazanin" w:eastAsia="IRNazanin"/>
          <w:color w:val="111111"/>
          <w:sz w:val="28"/>
          <w:sz w:val="28"/>
          <w:szCs w:val="28"/>
          <w:rtl w:val="true"/>
          <w:lang w:bidi="fa-IR"/>
        </w:rPr>
        <w:t>از روايات به دست مي‌آيد افزون بر امدادهاي يادشده، حضرت مهدي عليه السلام هنگــام ظهور، بــرخي ميراث‌هاي پيامبران گذشته را نيز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وُلْدِي، تَكُونُ لَهُ غَيبَةٌ وَ حَيرَةٌ تَضِلُّ فِيها الاُمَمُ، يأتِي بِذَخِيرَةِ الاَنبِياءِ فَيمْلاُها عَدْلاً وَقِسْطاً كَما مُلِئَتْ جَوْراً وَظُلْماً؛</w:t>
      </w:r>
      <w:r>
        <w:rPr>
          <w:rStyle w:val="FootnoteAnchor"/>
          <w:rtl w:val="true"/>
        </w:rPr>
        <w:footnoteReference w:id="319"/>
      </w:r>
      <w:r>
        <w:rPr>
          <w:rFonts w:ascii="IRNazanin" w:hAnsi="IRNazanin" w:eastAsia="IRNazanin"/>
          <w:color w:val="111111"/>
          <w:sz w:val="28"/>
          <w:sz w:val="28"/>
          <w:szCs w:val="28"/>
          <w:rtl w:val="true"/>
          <w:lang w:bidi="fa-IR"/>
        </w:rPr>
        <w:t>مهدي از فرزندان من است، براي او غيبت و حيرتي خواهد بود كه مردم در آن گمراه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ذخيره پيامبران را مي‌آورد و زمين را پر از عدل و داد مي‌كند؛ همان‌گونه كه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چگونگي بهره‌مندي آن حضرت از اين ابزار، سخن روشني در دست نيست؛ اما با توجه به نقش حضرت مهدي عليه السلام، كه همانا ادامة فعاليت همة انبيا و اوليا است، اين ميراث‌ها، در كنار نشانه‌هاي برحق‌بودن آن حضرت، ابزاري خواهد بود براي دعوت پيروان همة اديان به حق و حقيقت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اين ميراث‌ها،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پيامبر گرامي اسلام 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r>
        <w:rPr>
          <w:rStyle w:val="FootnoteAnchor"/>
          <w:rtl w:val="true"/>
        </w:rPr>
        <w:footnoteReference w:id="3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عصاي حضرت موسي عليه السلام </w:t>
      </w:r>
      <w:r>
        <w:rPr>
          <w:rStyle w:val="FootnoteAnchor"/>
          <w:rtl w:val="true"/>
        </w:rPr>
        <w:footnoteReference w:id="3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طشتي كه وي در آن قرباني مي‌كرد</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انگشتري حضرت سليمان عليه السلام</w:t>
      </w:r>
      <w:r>
        <w:rPr>
          <w:rFonts w:eastAsia="IRNazanin" w:cs="IRNazanin"/>
          <w:color w:val="111111"/>
          <w:sz w:val="28"/>
          <w:szCs w:val="28"/>
          <w:rtl w:val="true"/>
          <w:lang w:bidi="fa-IR"/>
        </w:rPr>
        <w:t>».</w:t>
      </w:r>
      <w:r>
        <w:rPr>
          <w:rStyle w:val="FootnoteAnchor"/>
          <w:rtl w:val="true"/>
        </w:rPr>
        <w:footnoteReference w:id="328"/>
      </w:r>
      <w:bookmarkStart w:id="345" w:name="pg1814_19074"/>
    </w:p>
    <w:p>
      <w:pPr>
        <w:pStyle w:val="Heading4"/>
        <w:numPr>
          <w:ilvl w:val="3"/>
          <w:numId w:val="1"/>
        </w:numPr>
        <w:rPr/>
      </w:pPr>
      <w:bookmarkStart w:id="346" w:name="__RefHeading___Toc2647273_3650668749"/>
      <w:bookmarkStart w:id="347" w:name="_Toc125"/>
      <w:bookmarkEnd w:id="345"/>
      <w:bookmarkEnd w:id="346"/>
      <w:r>
        <w:rPr>
          <w:rtl w:val="true"/>
        </w:rPr>
        <w:t>نتيجه گيري</w:t>
      </w:r>
      <w:bookmarkEnd w:id="347"/>
    </w:p>
    <w:p>
      <w:pPr>
        <w:pStyle w:val="BookText"/>
        <w:rPr/>
      </w:pPr>
      <w:r>
        <w:rPr>
          <w:rFonts w:ascii="IRNazanin" w:hAnsi="IRNazanin" w:eastAsia="IRNazanin"/>
          <w:color w:val="111111"/>
          <w:sz w:val="28"/>
          <w:sz w:val="28"/>
          <w:szCs w:val="28"/>
          <w:rtl w:val="true"/>
          <w:lang w:bidi="fa-IR"/>
        </w:rPr>
        <w:t>نتيجه اينكه مردم اعم از ياران، ياوران و عموم مردم دنيا ـ مگر دشمنان ـ همگي در پيروزي امام مهدي عليه السلام به نسبت داراي نقش و جايگاه مهمي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خاص و ياوران، در نزديك‌ترين موضع به آن امام همام تا پاي جان مي‌ايستند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جهت احساس نياز به موعود منجي به گونه‌هاي مناسب او را ياري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نخست، مردم كه همانا افرادي هستند كه پيشتر خود را آمادة ياري موعود كرده‌اند مهم‌ترين نقششان همراهي حضرت مهدي عليه السلام براي رسيدن به پيروزي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در روايات به دو دسته تقسيم مي‌شوند با عنوان ياران ويژه كه سيصد و سيزده نفر و در جايگاه ويژه‌اي قرار دارند و ياوران كه داراي جمعيت بيشتري هستند معرفي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گروه نخست را به گونه‌هاي مختلفي معرفي كرده است كه ابدال، اخيار، عصائب و نجباء از اين گروه شمرده شده‌اند كه ويژگي‌هاي آنها گوياي كمال آنها در ايمان به خداوند و باور به امامت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عموم مردم در اين مرحله مي‌توان همراهي حضرت و پذيرش آن حضرت را بيان كرد كه ايشان پس از گذر از مرحلة آستانة ظهور كه زندگي سراسر ظلم و بيداد و فساد است مهدي موعود را يگانه دارو براي التيام دردهاي خود مي‌بينند؛ از اين رو نه فقط در برابر او موضع‌گيري نمي‌كنند، بلكه زمينه‌هاي ممكن را براي پيروزي او بر دشمنان فراهم مي‌كنند</w:t>
      </w:r>
      <w:r>
        <w:rPr>
          <w:rFonts w:eastAsia="IRNazanin" w:cs="IRNazanin"/>
          <w:color w:val="111111"/>
          <w:sz w:val="28"/>
          <w:szCs w:val="28"/>
          <w:rtl w:val="true"/>
          <w:lang w:bidi="fa-IR"/>
        </w:rPr>
        <w:t>.</w:t>
      </w:r>
      <w:bookmarkStart w:id="348" w:name="pg1814_19076"/>
    </w:p>
    <w:p>
      <w:pPr>
        <w:pStyle w:val="Heading3"/>
        <w:numPr>
          <w:ilvl w:val="2"/>
          <w:numId w:val="1"/>
        </w:numPr>
        <w:rPr/>
      </w:pPr>
      <w:bookmarkStart w:id="349" w:name="__RefHeading___Toc2647275_3650668749"/>
      <w:bookmarkStart w:id="350" w:name="_Toc126"/>
      <w:bookmarkEnd w:id="348"/>
      <w:bookmarkEnd w:id="349"/>
      <w:r>
        <w:rPr>
          <w:rtl w:val="true"/>
        </w:rPr>
        <w:t>فصل سوم</w:t>
      </w:r>
      <w:r>
        <w:rPr>
          <w:rtl w:val="true"/>
        </w:rPr>
        <w:t xml:space="preserve">: </w:t>
      </w:r>
      <w:r>
        <w:rPr>
          <w:rtl w:val="true"/>
        </w:rPr>
        <w:t>نقش و جايگاه مردم در حكومت جهاني حضرت مهدي عجل الله فرجه</w:t>
      </w:r>
      <w:bookmarkEnd w:id="350"/>
    </w:p>
    <w:p>
      <w:pPr>
        <w:pStyle w:val="Heading4"/>
        <w:numPr>
          <w:ilvl w:val="3"/>
          <w:numId w:val="1"/>
        </w:numPr>
        <w:rPr/>
      </w:pPr>
      <w:bookmarkStart w:id="351" w:name="__RefHeading___Toc2647277_3650668749"/>
      <w:bookmarkStart w:id="352" w:name="_Toc127"/>
      <w:bookmarkEnd w:id="351"/>
      <w:r>
        <w:rPr>
          <w:rtl w:val="true"/>
        </w:rPr>
        <w:t>مقدمه</w:t>
      </w:r>
      <w:bookmarkEnd w:id="352"/>
    </w:p>
    <w:p>
      <w:pPr>
        <w:pStyle w:val="BookText"/>
        <w:rPr/>
      </w:pPr>
      <w:r>
        <w:rPr>
          <w:rFonts w:ascii="IRNazanin" w:hAnsi="IRNazanin" w:eastAsia="IRNazanin"/>
          <w:color w:val="111111"/>
          <w:sz w:val="28"/>
          <w:sz w:val="28"/>
          <w:szCs w:val="28"/>
          <w:rtl w:val="true"/>
          <w:lang w:bidi="fa-IR"/>
        </w:rPr>
        <w:t>مردم، در انديشة سياسي اسلام، سومين پاية بنيادين حكومتند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بر خلاف حكومت‌هاي خودكامه، مردم در حكومت اسلامي از تكيه‌گاه‌هاي اصلي اقتدار سياسي، به شمار مي‌آيند، سهمي چشم‌گير در اين ميدان بر دوش دارند و در كارهاي برجستة سياسي نظر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سهم مردم را مي‌توان در سويه‌هاي گوناگون حكومت نماياند كه مهمترين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و فرمان‌برداري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پشتيباني و حمايت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بررسي اين نقش‌ها به چيستي حكومت حضرت مهدي عليه السلام</w:t>
      </w:r>
    </w:p>
    <w:p>
      <w:pPr>
        <w:pStyle w:val="BookText"/>
        <w:rPr/>
      </w:pPr>
      <w:r>
        <w:rPr>
          <w:rFonts w:ascii="Amiri" w:hAnsi="Amiri" w:eastAsia="Amiri" w:cs="Amiri"/>
          <w:color w:val="111111"/>
          <w:sz w:val="28"/>
          <w:sz w:val="28"/>
          <w:szCs w:val="28"/>
          <w:rtl w:val="true"/>
          <w:lang w:bidi="ar-SA"/>
        </w:rPr>
        <w:t>اشاره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حكومت نويد‌داده‌شدة حضرت مهدي عليه السلام، خاور و باختر گيتي را فرا مي‌گيرد و سرزميني نمي‌ماند، مگر اين‌كه گلبانگ يگانه‌پرستي و گواهي به پيامبر اسلام صلي الله عليه و آله، از آن بر‌مي‌خيزد و سراسر زمين از عدل و قسط آكنده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سراسر نور، به دست آن آخرين اميد، آرمان بلند برپايي جامعة بزرگ انساني و خانوادة جهاني پديدار مي‌شود و اميد ديرينة همة پيامبران، پيشوايان، شايستگان و انسان‌دوستان برآورده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به نقل از پدرانش از پيامبر اكرم صلي الله عليه و آله و سلم در اين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شب معراج در بخشي از گفتاري طولاني تصريح فرموده كه زمين را به دست واپسين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معصومين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دشمنانش پاك خواهد ساخت و همة گسترة زمين را در فرمانروايي او قرار خواهد داد… </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در دوران رهبري او‌، با پديدآمدن مديريت و حاكميت يگانه براي همة جهانيان، يكي از سبب‌هاي بنيادين رودررويي و جنگ و ستم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و سلم در سخني نوراني، پيشوايان پس از خود را دوازده نفر شناسانده؛ كه نخستين آنان علي عليه السلام و واپسين آنان قائم است؛ همو كه خداوند بر دستانش خاوران و باختران زمين را به زير يك حاكميت خواهد آورد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اين اميد به آمدن‌مصلح جهاني، ريشه در افكار و باورهاي همة اقوام و ملت‌ها دارد و كم و بيش به گونه‌هاي گوناگون همه جا پديدار است؛ اما در باورهاي شيعي به‌گونه‌اي روشن و شفاف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باور، امام منتظَر و نجات‌بخش آخرين، زنده است و روزي به فرمان خداوند آشكار شده و گيتي را پر از عدل و داد خواهد كرد</w:t>
      </w:r>
      <w:r>
        <w:rPr>
          <w:rFonts w:eastAsia="IRNazanin" w:cs="IRNazanin"/>
          <w:color w:val="111111"/>
          <w:sz w:val="28"/>
          <w:szCs w:val="28"/>
          <w:rtl w:val="true"/>
          <w:lang w:bidi="fa-IR"/>
        </w:rPr>
        <w:t>.</w:t>
      </w:r>
      <w:r>
        <w:rPr>
          <w:rStyle w:val="FootnoteAnchor"/>
          <w:rtl w:val="true"/>
        </w:rPr>
        <w:footnoteReference w:id="332"/>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يادآوري اين نكته بايسته است كه با پديد‌آمدن حكومت حضرت امام مهدي موعود عجل الله فرجه، از يك سو مدينة فاضلة مورد نظر شيعه در چارچوب نظام امامت آشكار خواهد شد و از ديگر سوي، از نگاه فلسفة تاريخ شيعي پايان تاريخ سامان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برابر پندار اهل سنّت كه امامت را فقط فرعي فقهي مي‌دانند؛ و آن را در مباحث فقهي بررسي مي‌كنند، امامت نزد شيعه بحثي اعتقادي و كلامي است و گستره و ابعاد گوناگوني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مذهب، ولايت امام داراي دو بُعد تكويني و تشريعي است و در حكومت منحصر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مرتضي مطهري در اين باره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هرگز نبايد چنين اشتباهي را مرتكب شويم كه تا مسئله امامت در شيعه مطرح شد، بگوييم يعني مسئله حكومت، كه در نتيجه مسئله به شكل خيلي ساده‌اي باشد و اين فروعي كه برايش پيدا شده،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تابع آن است كه ما اين مسئله را فقط در سطح حكومت و كوچك گرفتيم و اين اشتباه بزرگي است كه احياناً 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از 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گاهي چنين اشتباهي را مرتكب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مسئله حكومت از فروع و يكي از شاخه‌هاي كوچك مسئله امامت است و اين دو را نبايد با يك‌ديگر خلط كرد</w:t>
      </w:r>
      <w:r>
        <w:rPr>
          <w:rFonts w:eastAsia="IRNazanin" w:cs="IRNazanin"/>
          <w:color w:val="111111"/>
          <w:sz w:val="28"/>
          <w:szCs w:val="28"/>
          <w:rtl w:val="true"/>
          <w:lang w:bidi="fa-IR"/>
        </w:rPr>
        <w:t>.</w:t>
      </w:r>
      <w:r>
        <w:rPr>
          <w:rStyle w:val="FootnoteAnchor"/>
          <w:rtl w:val="true"/>
        </w:rPr>
        <w:footnoteReference w:id="33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پايه، سخن از حكومت حضرت امام مهدي عليه السلام فقط سخن از بعدي از ابعاد امامت آن حضرت است</w:t>
      </w:r>
      <w:r>
        <w:rPr>
          <w:rFonts w:eastAsia="IRNazanin" w:cs="IRNazanin"/>
          <w:color w:val="111111"/>
          <w:sz w:val="28"/>
          <w:szCs w:val="28"/>
          <w:rtl w:val="true"/>
          <w:lang w:bidi="fa-IR"/>
        </w:rPr>
        <w:t>.</w:t>
      </w:r>
      <w:bookmarkStart w:id="353" w:name="pg1814_19078"/>
    </w:p>
    <w:p>
      <w:pPr>
        <w:pStyle w:val="Heading4"/>
        <w:numPr>
          <w:ilvl w:val="3"/>
          <w:numId w:val="1"/>
        </w:numPr>
        <w:rPr/>
      </w:pPr>
      <w:bookmarkStart w:id="354" w:name="__RefHeading___Toc2647279_3650668749"/>
      <w:bookmarkStart w:id="355" w:name="_Toc128"/>
      <w:bookmarkEnd w:id="353"/>
      <w:bookmarkEnd w:id="354"/>
      <w:r>
        <w:rPr>
          <w:rtl w:val="true"/>
        </w:rPr>
        <w:t>ويژگي‌هاي حكومت حضرت مهدي عجل الله فرجه</w:t>
      </w:r>
      <w:bookmarkEnd w:id="355"/>
    </w:p>
    <w:p>
      <w:pPr>
        <w:pStyle w:val="Heading5"/>
        <w:numPr>
          <w:ilvl w:val="4"/>
          <w:numId w:val="1"/>
        </w:numPr>
        <w:rPr/>
      </w:pPr>
      <w:bookmarkStart w:id="356" w:name="__RefHeading___Toc2647281_3650668749"/>
      <w:bookmarkStart w:id="357" w:name="_Toc129"/>
      <w:bookmarkEnd w:id="356"/>
      <w:r>
        <w:rPr>
          <w:rtl w:val="true"/>
        </w:rPr>
        <w:t>اشاره</w:t>
      </w:r>
      <w:bookmarkEnd w:id="35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ويژگي‌هاي حكومت حضرت مهدي عليه السلام به اختصار از اين قرارند</w:t>
      </w:r>
      <w:r>
        <w:rPr>
          <w:rFonts w:eastAsia="IRNazanin" w:cs="IRNazanin"/>
          <w:color w:val="111111"/>
          <w:sz w:val="28"/>
          <w:szCs w:val="28"/>
          <w:rtl w:val="true"/>
          <w:lang w:bidi="fa-IR"/>
        </w:rPr>
        <w:t>:</w:t>
      </w:r>
      <w:bookmarkStart w:id="358" w:name="pg1814_19079"/>
    </w:p>
    <w:p>
      <w:pPr>
        <w:pStyle w:val="Heading5"/>
        <w:numPr>
          <w:ilvl w:val="4"/>
          <w:numId w:val="1"/>
        </w:numPr>
        <w:rPr/>
      </w:pPr>
      <w:bookmarkStart w:id="359" w:name="__RefHeading___Toc2647283_3650668749"/>
      <w:bookmarkStart w:id="360" w:name="_Toc130"/>
      <w:bookmarkEnd w:id="358"/>
      <w:bookmarkEnd w:id="359"/>
      <w:r>
        <w:rPr>
          <w:rtl w:val="true"/>
        </w:rPr>
        <w:t>مشروعيت الهي</w:t>
      </w:r>
      <w:bookmarkEnd w:id="36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حكومت‌داراي رهبري است كه مشروعيت خود را از پروردگار بزرگ گرفته</w:t>
      </w:r>
      <w:r>
        <w:rPr>
          <w:rStyle w:val="FootnoteAnchor"/>
          <w:rtl w:val="true"/>
        </w:rPr>
        <w:footnoteReference w:id="335"/>
      </w:r>
      <w:r>
        <w:rPr>
          <w:rFonts w:ascii="IRNazanin" w:hAnsi="IRNazanin" w:eastAsia="IRNazanin"/>
          <w:color w:val="111111"/>
          <w:sz w:val="28"/>
          <w:sz w:val="28"/>
          <w:szCs w:val="28"/>
          <w:rtl w:val="true"/>
          <w:lang w:bidi="fa-IR"/>
        </w:rPr>
        <w:t>و از هر گونه لغزش و سركشي به دور است</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افزون بر آن اينكه، كساني كه او را در حكومت جهاني ياري خواهند داد، انسان‌هايي هستند برگزيــده و داراي برجستگي‌هاي اخلاقي ويژه، كه اين خود بر بزرگي اين حكومت مي‌افزايد</w:t>
      </w:r>
      <w:r>
        <w:rPr>
          <w:rFonts w:eastAsia="IRNazanin" w:cs="IRNazanin"/>
          <w:color w:val="111111"/>
          <w:sz w:val="28"/>
          <w:szCs w:val="28"/>
          <w:rtl w:val="true"/>
          <w:lang w:bidi="fa-IR"/>
        </w:rPr>
        <w:t>.</w:t>
      </w:r>
      <w:bookmarkStart w:id="361" w:name="pg1814_19081"/>
    </w:p>
    <w:p>
      <w:pPr>
        <w:pStyle w:val="Heading5"/>
        <w:numPr>
          <w:ilvl w:val="4"/>
          <w:numId w:val="1"/>
        </w:numPr>
        <w:rPr/>
      </w:pPr>
      <w:bookmarkStart w:id="362" w:name="__RefHeading___Toc2647285_3650668749"/>
      <w:bookmarkStart w:id="363" w:name="_Toc131"/>
      <w:bookmarkEnd w:id="361"/>
      <w:bookmarkEnd w:id="362"/>
      <w:r>
        <w:rPr>
          <w:rtl w:val="true"/>
        </w:rPr>
        <w:t>قانون‌گزاري الهي</w:t>
      </w:r>
      <w:bookmarkEnd w:id="36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حكومت جهاني حضرت مهدي عليه السلام قــانــون‌گـزار خداوند است، و محور همة قوانين آموزه‌هاي ديني است</w:t>
      </w:r>
      <w:r>
        <w:rPr>
          <w:rFonts w:eastAsia="IRNazanin" w:cs="IRNazanin"/>
          <w:color w:val="111111"/>
          <w:sz w:val="28"/>
          <w:szCs w:val="28"/>
          <w:rtl w:val="true"/>
          <w:lang w:bidi="fa-IR"/>
        </w:rPr>
        <w:t>.</w:t>
      </w:r>
      <w:r>
        <w:rPr>
          <w:rStyle w:val="FootnoteAnchor"/>
          <w:rtl w:val="true"/>
        </w:rPr>
        <w:footnoteReference w:id="337"/>
      </w:r>
      <w:r>
        <w:rPr>
          <w:rFonts w:ascii="Amiri" w:hAnsi="Amiri" w:eastAsia="Amiri" w:cs="Amiri"/>
          <w:color w:val="111111"/>
          <w:sz w:val="28"/>
          <w:sz w:val="28"/>
          <w:szCs w:val="28"/>
          <w:rtl w:val="true"/>
          <w:lang w:bidi="ar-SA"/>
        </w:rPr>
        <w:t>از اين رو در كنار اينكه از خطا و لغزش در امان است به همة نيازهاي مادي و معنوي انسان‌ها توجه خواهد شد</w:t>
      </w:r>
      <w:r>
        <w:rPr>
          <w:rFonts w:eastAsia="Amiri" w:cs="Amiri" w:ascii="Amiri" w:hAnsi="Amiri"/>
          <w:color w:val="111111"/>
          <w:sz w:val="28"/>
          <w:szCs w:val="28"/>
          <w:rtl w:val="true"/>
          <w:lang w:bidi="ar-SA"/>
        </w:rPr>
        <w:t>.</w:t>
      </w:r>
      <w:bookmarkStart w:id="364" w:name="pg1814_19083"/>
    </w:p>
    <w:p>
      <w:pPr>
        <w:pStyle w:val="Heading5"/>
        <w:numPr>
          <w:ilvl w:val="4"/>
          <w:numId w:val="1"/>
        </w:numPr>
        <w:rPr/>
      </w:pPr>
      <w:bookmarkStart w:id="365" w:name="__RefHeading___Toc2647287_3650668749"/>
      <w:bookmarkStart w:id="366" w:name="_Toc132"/>
      <w:bookmarkEnd w:id="364"/>
      <w:bookmarkEnd w:id="365"/>
      <w:r>
        <w:rPr>
          <w:rtl w:val="true"/>
        </w:rPr>
        <w:t>گسترش عمومي دانش</w:t>
      </w:r>
      <w:bookmarkEnd w:id="36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w:t>
      </w:r>
      <w:r>
        <w:rPr>
          <w:rStyle w:val="FootnoteAnchor"/>
          <w:rtl w:val="true"/>
        </w:rPr>
        <w:footnoteReference w:id="338"/>
      </w:r>
      <w:r>
        <w:rPr>
          <w:rFonts w:ascii="IRNazanin" w:hAnsi="IRNazanin" w:eastAsia="IRNazanin"/>
          <w:color w:val="111111"/>
          <w:sz w:val="28"/>
          <w:sz w:val="28"/>
          <w:szCs w:val="28"/>
          <w:rtl w:val="true"/>
          <w:lang w:bidi="fa-IR"/>
        </w:rPr>
        <w:t>در دولت مهدوي در بين همة جامعة بشري گسترش مي‌يابد و هرگز در دست گروهي ويژه نخواهد بود؛ از اين رو همگان از دانشي بس ارجمند برخوردار خواهند شد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البته از اين دانش نيز در راه پيشرفت و رشد جامعة بشري بهره برده خواهد شد، نه در راه فزون‌خواهي و يا ستم به ديگران</w:t>
      </w:r>
      <w:r>
        <w:rPr>
          <w:rFonts w:eastAsia="IRNazanin" w:cs="IRNazanin"/>
          <w:color w:val="111111"/>
          <w:sz w:val="28"/>
          <w:szCs w:val="28"/>
          <w:rtl w:val="true"/>
          <w:lang w:bidi="fa-IR"/>
        </w:rPr>
        <w:t>.</w:t>
      </w:r>
      <w:bookmarkStart w:id="367" w:name="pg1814_19085"/>
    </w:p>
    <w:p>
      <w:pPr>
        <w:pStyle w:val="Heading5"/>
        <w:numPr>
          <w:ilvl w:val="4"/>
          <w:numId w:val="1"/>
        </w:numPr>
        <w:rPr/>
      </w:pPr>
      <w:bookmarkStart w:id="368" w:name="__RefHeading___Toc2647289_3650668749"/>
      <w:bookmarkStart w:id="369" w:name="_Toc133"/>
      <w:bookmarkEnd w:id="367"/>
      <w:bookmarkEnd w:id="368"/>
      <w:r>
        <w:rPr>
          <w:rtl w:val="true"/>
        </w:rPr>
        <w:t>تعميق خردورزي</w:t>
      </w:r>
      <w:bookmarkEnd w:id="36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جهـاني حضرت مهدي عجل الله فرجه بر برترين انديشه‌هاي خردمندانه پايه‌گذاري مي‌شود ؛ چرا كه در آن دولت شايستگان است كه خرد بشري به كامل‌ترين صورت امكان، رشد خواهد كرد</w:t>
      </w:r>
      <w:r>
        <w:rPr>
          <w:rFonts w:eastAsia="IRNazanin" w:cs="IRNazanin"/>
          <w:color w:val="111111"/>
          <w:sz w:val="28"/>
          <w:szCs w:val="28"/>
          <w:rtl w:val="true"/>
          <w:lang w:bidi="fa-IR"/>
        </w:rPr>
        <w:t>.</w:t>
      </w:r>
      <w:r>
        <w:rPr>
          <w:rStyle w:val="FootnoteAnchor"/>
          <w:rtl w:val="true"/>
        </w:rPr>
        <w:footnoteReference w:id="340"/>
      </w:r>
      <w:bookmarkStart w:id="370" w:name="pg1814_19087"/>
    </w:p>
    <w:p>
      <w:pPr>
        <w:pStyle w:val="Heading5"/>
        <w:numPr>
          <w:ilvl w:val="4"/>
          <w:numId w:val="1"/>
        </w:numPr>
        <w:rPr/>
      </w:pPr>
      <w:bookmarkStart w:id="371" w:name="__RefHeading___Toc2647291_3650668749"/>
      <w:bookmarkStart w:id="372" w:name="_Toc134"/>
      <w:bookmarkEnd w:id="370"/>
      <w:bookmarkEnd w:id="371"/>
      <w:r>
        <w:rPr>
          <w:rtl w:val="true"/>
        </w:rPr>
        <w:t>بهره‌مندي از همة منابع</w:t>
      </w:r>
      <w:bookmarkEnd w:id="372"/>
    </w:p>
    <w:p>
      <w:pPr>
        <w:pStyle w:val="Heading6"/>
        <w:numPr>
          <w:ilvl w:val="5"/>
          <w:numId w:val="1"/>
        </w:numPr>
        <w:rPr/>
      </w:pPr>
      <w:bookmarkStart w:id="373" w:name="__RefHeading___Toc2647293_3650668749"/>
      <w:bookmarkStart w:id="374" w:name="_Toc135"/>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حكومت جهاني حضرت مهدي موعود عليه السلام بر پاية بهره‌مندي خردمندانه، آگاهانه و خداپرستانه</w:t>
      </w:r>
      <w:r>
        <w:rPr>
          <w:rStyle w:val="FootnoteAnchor"/>
          <w:rtl w:val="true"/>
        </w:rPr>
        <w:footnoteReference w:id="341"/>
      </w:r>
      <w:r>
        <w:rPr>
          <w:rFonts w:ascii="IRNazanin" w:hAnsi="IRNazanin" w:eastAsia="IRNazanin"/>
          <w:color w:val="111111"/>
          <w:sz w:val="28"/>
          <w:sz w:val="28"/>
          <w:szCs w:val="28"/>
          <w:rtl w:val="true"/>
          <w:lang w:bidi="fa-IR"/>
        </w:rPr>
        <w:t>از همة منابع در دست و ظرفيت‌هاي ممكن در كرة زمين است و اين بدان معنا است كه مردم در كنار بهره‌مندي از همة موهبت‌هاي پروردگار، هرگز گرد فزون‌خواهي و فزون‌خوري نمي‌گردند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حالت بي‌نيازي اي در روح انسان‌ها پديد مي‌آيد كه سبب مي‌شود با در اختيارداشتن موهبت‌هاي فراوان، هرگز بيش از نياز بر نگيرند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اين باره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تَوَاصَلُوا وَ تَبَارُّوا وَ تَرَاحَمُوا فَوَ الَّذِي فَلَقَ الْحَبَّةَ وَ بَرَأَ النَّسَمَةَ لَيَأْتِيَنَّ عَلَيْكُمْ وَقْتٌ لَا يَجِدُ أَحَدُكُمْ لِدِينَارِهِ وَ دِرْهَمِهِ مَوْضِعاً يَعْنِي لَا يَجِدُ عِنْدَ ظُهُورِ الْقَائِمِ عليه السلام مَوْضِعاً يَصْرِفُهُ فِيهِ لِاسْتِغْنَاءِ النَّاسِ جَمِيعاً بِفَضْلِ اللَّهِ وَ فَضْلِ وَلِيِّهِ؛</w:t>
      </w:r>
      <w:r>
        <w:rPr>
          <w:rStyle w:val="FootnoteAnchor"/>
          <w:rtl w:val="true"/>
        </w:rPr>
        <w:footnoteReference w:id="342"/>
      </w:r>
      <w:r>
        <w:rPr>
          <w:rFonts w:ascii="IRNazanin" w:hAnsi="IRNazanin" w:eastAsia="IRNazanin"/>
          <w:color w:val="111111"/>
          <w:sz w:val="28"/>
          <w:sz w:val="28"/>
          <w:szCs w:val="28"/>
          <w:rtl w:val="true"/>
          <w:lang w:bidi="fa-IR"/>
        </w:rPr>
        <w:t>شما را روزي فرا رسد كه هيچ يك از شما جايي براي درهم و دينارش نيابد ـ يعني به هنگام ظهور قائم عليه السلام محلّي كه در آن درهم و دينار خود را صرف كند نيابد ـ به خاطر بي‌نيازي همه مردم كه با فضل خدا و وليّ او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جامعة مهدوي، به سبب فراهم‌شدن همة شرايط ممكن، راه رشد و تعالي به سوي پروردگار بر همگان باز خواهد بود و در كنار اختيارداشتن، عموم انسان‌ها بر ديني توحيدي و باوري يگانه‌پرستان زندگي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پس از آيه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لَهُ أَسْلَمَ مَنْ فِي السَّماواتِ وَ الْأَرْضِ طَوْعاً وَ كَرْهاً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در آسمانها و زمين است خواه و ناخواه سر به فرمان او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الْقَائِمُ عليه السلام لَا يَبْقَي أَرْضٌ إِلَّا نُودِيَ فِيهَا بِشَهَادَةِ أَنْ لَا إِلَهَ إِلَّا اللَّهُ وَ أَنَّ مُحَمَّداً رَسُولُ اللَّهِ؛</w:t>
      </w:r>
      <w:r>
        <w:rPr>
          <w:rStyle w:val="FootnoteAnchor"/>
          <w:rtl w:val="true"/>
        </w:rPr>
        <w:footnoteReference w:id="343"/>
      </w:r>
      <w:r>
        <w:rPr>
          <w:rFonts w:ascii="IRNazanin" w:hAnsi="IRNazanin" w:eastAsia="IRNazanin"/>
          <w:color w:val="111111"/>
          <w:sz w:val="28"/>
          <w:sz w:val="28"/>
          <w:szCs w:val="28"/>
          <w:rtl w:val="true"/>
          <w:lang w:bidi="fa-IR"/>
        </w:rPr>
        <w:t>هنگامي كه قائم ما قيام كرد جايي روي زمين باقي نمي‌ماند، مگر اينكه در آنجا صداي اشهد ان لا اله الا اللَّه و اشهد ان محمدا رسول اللَّه بلند مي‌شود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بين عناصر ياد شده دو عنصر در رابطه نقش مردم داراي اهميت است</w:t>
      </w:r>
      <w:r>
        <w:rPr>
          <w:rFonts w:eastAsia="Amiri" w:cs="Amiri" w:ascii="Amiri" w:hAnsi="Amiri"/>
          <w:color w:val="111111"/>
          <w:sz w:val="28"/>
          <w:szCs w:val="28"/>
          <w:rtl w:val="true"/>
          <w:lang w:bidi="ar-SA"/>
        </w:rPr>
        <w:t>:</w:t>
      </w:r>
      <w:bookmarkStart w:id="375" w:name="pg1814_19089"/>
    </w:p>
    <w:p>
      <w:pPr>
        <w:pStyle w:val="Heading6"/>
        <w:numPr>
          <w:ilvl w:val="5"/>
          <w:numId w:val="1"/>
        </w:numPr>
        <w:rPr/>
      </w:pPr>
      <w:bookmarkStart w:id="376" w:name="__RefHeading___Toc2647295_3650668749"/>
      <w:bookmarkStart w:id="377" w:name="_Toc136"/>
      <w:bookmarkEnd w:id="375"/>
      <w:bookmarkEnd w:id="376"/>
      <w:r>
        <w:rPr/>
        <w:t>1</w:t>
      </w:r>
      <w:r>
        <w:rPr>
          <w:rtl w:val="true"/>
        </w:rPr>
        <w:t xml:space="preserve">. </w:t>
      </w:r>
      <w:r>
        <w:rPr>
          <w:rtl w:val="true"/>
        </w:rPr>
        <w:t>مشروعيّت</w:t>
      </w:r>
      <w:bookmarkEnd w:id="377"/>
    </w:p>
    <w:p>
      <w:pPr>
        <w:pStyle w:val="Heading6"/>
        <w:numPr>
          <w:ilvl w:val="5"/>
          <w:numId w:val="1"/>
        </w:numPr>
        <w:rPr/>
      </w:pPr>
      <w:bookmarkStart w:id="378" w:name="__RefHeading___Toc2647297_3650668749"/>
      <w:bookmarkStart w:id="379" w:name="_Toc137"/>
      <w:bookmarkEnd w:id="378"/>
      <w:r>
        <w:rPr>
          <w:rtl w:val="true"/>
        </w:rPr>
        <w:t>اشاره</w:t>
      </w:r>
      <w:bookmarkEnd w:id="37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ديرينه‌ترين، پايه‌اي‌ترين و مهمترين مباحث فلسفه سياسي و از بنيادي‌ترين و ريشه‌دارترين مسائل مربوط به حكومت و دولت در طول تاريخ زندگي اجتماعي بشر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بيشترين مسائل سياسي، اجتماعي و حكومتي بر اين شالوده بنا نهاده و استوار است و گوناگوني ديدگاه‌هاي انديشه‌وران علوم سياسي نيز از اين موضوع سرچشمه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تقسيم‌بندي حكومت‌ها نيز با اين مسأله پيوند تنگاتنگ و ناگسستني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بررسي‌هاي مربوط به مشروعيت در پاسخ به اين پرسش‌ پايه‌اي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حكومتي مشروع است؟</w:t>
      </w:r>
      <w:bookmarkStart w:id="380" w:name="pg1814_19091"/>
    </w:p>
    <w:p>
      <w:pPr>
        <w:pStyle w:val="Heading6"/>
        <w:numPr>
          <w:ilvl w:val="5"/>
          <w:numId w:val="1"/>
        </w:numPr>
        <w:rPr/>
      </w:pPr>
      <w:bookmarkStart w:id="381" w:name="__RefHeading___Toc2647299_3650668749"/>
      <w:bookmarkStart w:id="382" w:name="_Toc138"/>
      <w:bookmarkEnd w:id="380"/>
      <w:bookmarkEnd w:id="381"/>
      <w:r>
        <w:rPr>
          <w:rtl w:val="true"/>
        </w:rPr>
        <w:t>مفهوم شناسي</w:t>
      </w:r>
      <w:bookmarkEnd w:id="382"/>
    </w:p>
    <w:p>
      <w:pPr>
        <w:pStyle w:val="Heading6"/>
        <w:numPr>
          <w:ilvl w:val="5"/>
          <w:numId w:val="1"/>
        </w:numPr>
        <w:rPr/>
      </w:pPr>
      <w:bookmarkStart w:id="383" w:name="__RefHeading___Toc2647301_3650668749"/>
      <w:bookmarkStart w:id="384" w:name="_Toc139"/>
      <w:bookmarkEnd w:id="383"/>
      <w:r>
        <w:rPr>
          <w:rtl w:val="true"/>
        </w:rPr>
        <w:t>الف</w:t>
      </w:r>
      <w:r>
        <w:rPr>
          <w:rtl w:val="true"/>
        </w:rPr>
        <w:t xml:space="preserve">) </w:t>
      </w:r>
      <w:r>
        <w:rPr>
          <w:rtl w:val="true"/>
        </w:rPr>
        <w:t>از نگاه لغت</w:t>
      </w:r>
      <w:bookmarkEnd w:id="3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صناعي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آنچه هماهنگ شرع باشد، چيزي كه بر پاية شرع روا باشد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اين واژه در عربي،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نوشته‌هاي ديني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 نشان‌دادن و ترسيم راه روشن، اعم از مادّي و معنوي به كار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شرعي يعني آنچه هماهنگ احكام و دستورات خداوند باشد</w:t>
      </w:r>
      <w:r>
        <w:rPr>
          <w:rFonts w:eastAsia="IRNazanin" w:cs="IRNazanin"/>
          <w:color w:val="111111"/>
          <w:sz w:val="28"/>
          <w:szCs w:val="28"/>
          <w:rtl w:val="true"/>
          <w:lang w:bidi="fa-IR"/>
        </w:rPr>
        <w:t>.</w:t>
      </w:r>
      <w:bookmarkStart w:id="385" w:name="pg1814_19093"/>
    </w:p>
    <w:p>
      <w:pPr>
        <w:pStyle w:val="Heading6"/>
        <w:numPr>
          <w:ilvl w:val="5"/>
          <w:numId w:val="1"/>
        </w:numPr>
        <w:rPr/>
      </w:pPr>
      <w:bookmarkStart w:id="386" w:name="__RefHeading___Toc2647303_3650668749"/>
      <w:bookmarkStart w:id="387" w:name="_Toc140"/>
      <w:bookmarkEnd w:id="385"/>
      <w:bookmarkEnd w:id="386"/>
      <w:r>
        <w:rPr>
          <w:rtl w:val="true"/>
        </w:rPr>
        <w:t>ب</w:t>
      </w:r>
      <w:r>
        <w:rPr>
          <w:rtl w:val="true"/>
        </w:rPr>
        <w:t xml:space="preserve">) </w:t>
      </w:r>
      <w:r>
        <w:rPr>
          <w:rtl w:val="true"/>
        </w:rPr>
        <w:t>از نگاه اصطلاح</w:t>
      </w:r>
      <w:bookmarkEnd w:id="387"/>
    </w:p>
    <w:p>
      <w:pPr>
        <w:pStyle w:val="BookText"/>
        <w:rPr/>
      </w:pPr>
      <w:r>
        <w:rPr>
          <w:rFonts w:ascii="IRNazanin" w:hAnsi="IRNazanin" w:eastAsia="IRNazanin"/>
          <w:color w:val="111111"/>
          <w:sz w:val="28"/>
          <w:sz w:val="28"/>
          <w:szCs w:val="28"/>
          <w:rtl w:val="true"/>
          <w:lang w:bidi="fa-IR"/>
        </w:rPr>
        <w:t xml:space="preserve">از نگاه اصطلاحي، از سوي پژوهشگران علوم سياسي تعريف‌هاي گوناگوني براي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 و همة آن‌ها به نوعي به فرمان‌برداري مردم از زمامداران بر مردم باز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حوزة انديشة سياسي،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به گونه‌هاي مختلفي تعريف شده است</w:t>
      </w:r>
      <w:r>
        <w:rPr>
          <w:rFonts w:eastAsia="IRNazanin" w:cs="IRNazanin"/>
          <w:color w:val="111111"/>
          <w:sz w:val="28"/>
          <w:szCs w:val="28"/>
          <w:rtl w:val="true"/>
          <w:lang w:bidi="fa-IR"/>
        </w:rPr>
        <w:t>.</w:t>
      </w:r>
      <w:r>
        <w:rPr>
          <w:rStyle w:val="FootnoteAnchor"/>
          <w:rtl w:val="true"/>
        </w:rPr>
        <w:footnoteReference w:id="346"/>
      </w:r>
      <w:r>
        <w:rPr>
          <w:rFonts w:ascii="Amiri" w:hAnsi="Amiri" w:eastAsia="Amiri" w:cs="Amiri"/>
          <w:color w:val="111111"/>
          <w:sz w:val="28"/>
          <w:sz w:val="28"/>
          <w:szCs w:val="28"/>
          <w:rtl w:val="true"/>
          <w:lang w:bidi="ar-SA"/>
        </w:rPr>
        <w:t>كه توافق بر يك تعريف جامع امري مشكل مي‌نمايد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حكومت اسلامي گرچه بزرگي و وارستگي رهبر، مديران و كارگزاران نمونة ديني، بر اطاعت پذيري، علاقه و خشنودي مردم تأثير روان‌شناختي دارد، ولي اين نكته از حقّانيت حاكم و حكومت به‌طور كامل جدا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ديدگاه سياسي اسلام، اگر حكومت يا حاكمي همة سبب‌هاي خشنودي مردم را فراهم كند، اما بر پاية دستورات شريعت رفتار نكند، مشروعيت ديني پيدا نمي‌كند و در برابر، حكومت و حاكمي كه آموزه‌هاي ديني را رعايت كند و به احكام الهي پاي‌بند باشد، همچنان كه مشروعيت ديني دارد، بايد اسباب خشنودي بيشتر مردم و حقوق طبيعي و شرعي آنان را نيز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دينداران به سبب باور و پاي‌بندي‌اشان به شريعت، مشروعيت و مقبوليت جامعه‌شناسانه را نيز پديد مي‌آورند</w:t>
      </w:r>
      <w:r>
        <w:rPr>
          <w:rFonts w:eastAsia="IRNazanin" w:cs="IRNazanin"/>
          <w:color w:val="111111"/>
          <w:sz w:val="28"/>
          <w:szCs w:val="28"/>
          <w:rtl w:val="true"/>
          <w:lang w:bidi="fa-IR"/>
        </w:rPr>
        <w:t>.</w:t>
      </w:r>
      <w:bookmarkStart w:id="388" w:name="pg1814_19095"/>
    </w:p>
    <w:p>
      <w:pPr>
        <w:pStyle w:val="Heading6"/>
        <w:numPr>
          <w:ilvl w:val="5"/>
          <w:numId w:val="1"/>
        </w:numPr>
        <w:rPr/>
      </w:pPr>
      <w:bookmarkStart w:id="389" w:name="__RefHeading___Toc2647305_3650668749"/>
      <w:bookmarkStart w:id="390" w:name="_Toc141"/>
      <w:bookmarkEnd w:id="388"/>
      <w:bookmarkEnd w:id="389"/>
      <w:r>
        <w:rPr>
          <w:rtl w:val="true"/>
        </w:rPr>
        <w:t>انواع مشروعيت الهي</w:t>
      </w:r>
      <w:bookmarkEnd w:id="390"/>
    </w:p>
    <w:p>
      <w:pPr>
        <w:pStyle w:val="Heading6"/>
        <w:numPr>
          <w:ilvl w:val="5"/>
          <w:numId w:val="1"/>
        </w:numPr>
        <w:rPr/>
      </w:pPr>
      <w:bookmarkStart w:id="391" w:name="__RefHeading___Toc2647307_3650668749"/>
      <w:bookmarkStart w:id="392" w:name="_Toc142"/>
      <w:bookmarkEnd w:id="391"/>
      <w:r>
        <w:rPr>
          <w:rtl w:val="true"/>
        </w:rPr>
        <w:t>اشاره</w:t>
      </w:r>
      <w:bookmarkEnd w:id="39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انديشمندان و صاحب‌نظران اسلامي</w:t>
      </w:r>
      <w:r>
        <w:rPr>
          <w:rStyle w:val="FootnoteAnchor"/>
          <w:rtl w:val="true"/>
        </w:rPr>
        <w:footnoteReference w:id="347"/>
      </w:r>
      <w:r>
        <w:rPr>
          <w:rFonts w:ascii="IRNazanin" w:hAnsi="IRNazanin" w:eastAsia="IRNazanin"/>
          <w:color w:val="111111"/>
          <w:sz w:val="28"/>
          <w:sz w:val="28"/>
          <w:szCs w:val="28"/>
          <w:rtl w:val="true"/>
          <w:lang w:bidi="fa-IR"/>
        </w:rPr>
        <w:t>براي پاسخ به اين پرسش كه چه كسي بايد حكومت كند؟ مي‌گويند كه فقط خدا يا نمايندة او حق حاكميت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از دو جنبه توحيدي و هستي‌شناسي از يك سوي و نيز انسان‌شناختي از سوي ديگر، بررسي مي شود</w:t>
      </w:r>
      <w:r>
        <w:rPr>
          <w:rFonts w:eastAsia="IRNazanin" w:cs="IRNazanin"/>
          <w:color w:val="111111"/>
          <w:sz w:val="28"/>
          <w:szCs w:val="28"/>
          <w:rtl w:val="true"/>
          <w:lang w:bidi="fa-IR"/>
        </w:rPr>
        <w:t>.</w:t>
      </w:r>
      <w:bookmarkStart w:id="393" w:name="pg1814_19096"/>
    </w:p>
    <w:p>
      <w:pPr>
        <w:pStyle w:val="Heading6"/>
        <w:numPr>
          <w:ilvl w:val="5"/>
          <w:numId w:val="1"/>
        </w:numPr>
        <w:rPr/>
      </w:pPr>
      <w:bookmarkStart w:id="394" w:name="__RefHeading___Toc2647309_3650668749"/>
      <w:bookmarkStart w:id="395" w:name="_Toc143"/>
      <w:bookmarkEnd w:id="393"/>
      <w:bookmarkEnd w:id="394"/>
      <w:r>
        <w:rPr>
          <w:rtl w:val="true"/>
        </w:rPr>
        <w:t>الف</w:t>
      </w:r>
      <w:r>
        <w:rPr>
          <w:rtl w:val="true"/>
        </w:rPr>
        <w:t xml:space="preserve">) </w:t>
      </w:r>
      <w:r>
        <w:rPr>
          <w:rtl w:val="true"/>
        </w:rPr>
        <w:t>از جنبة هستي‌شناختي</w:t>
      </w:r>
      <w:bookmarkEnd w:id="395"/>
    </w:p>
    <w:p>
      <w:pPr>
        <w:pStyle w:val="BookText"/>
        <w:rPr/>
      </w:pPr>
      <w:r>
        <w:rPr>
          <w:rFonts w:ascii="IRNazanin" w:hAnsi="IRNazanin" w:eastAsia="IRNazanin"/>
          <w:color w:val="111111"/>
          <w:sz w:val="28"/>
          <w:sz w:val="28"/>
          <w:szCs w:val="28"/>
          <w:rtl w:val="true"/>
          <w:lang w:bidi="fa-IR"/>
        </w:rPr>
        <w:t>براين پايه، نه فقط آفرينندگي ويژه خداوند است، بلكه سرپرستي و ادارة كارهاي جهان نيز از آنِ او است و كس ديگري جز او شايسته چنين جايگاهي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پيامبران و پيشوايان معصوم عليهم السلام به صرف برخورداري از مقام پيامبري و پيشوايي و فضيلت علم، چنين حقي را ندارند كه بتوانند بر مردم حكم حكومتي يا داوري جاري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هرگونه تصرّف و دخالت در نظام هستي و نيز در امور آدميان، نيازمند اجازه خداوند است و هيچ‌كس از پيش خود، حق دخالت در سرنوشت انسان‌ها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ويژه‌بودن اين حق حاكميت و ولايت براي خداوند بزرگ آن است كه او يگانه آفريدگار و يگانه مالك همگان است؛ به همين سبب هرگونه تصرف او در آفريده‌ها در حقيقت ورود در قلمرو ملك و سلطنت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فقط با اجازة خداوند، فردي مي‌تواند برسايرين حكمراني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داشتن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مالك مطلق جهان، حكومت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مي‌يابد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آيات قرآن به روشني مشروعيت انحصاري حاكميت خداوند به دست 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الْحُكْمُ إِلاَّ 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حكم و فرمان تنها از آن خداست و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أَلا لَهُ الْحُكْم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و بدانيد داوري مخصوص اوست و ديگر آيات كه بيان آن‌ها در اين بحث ضرورتي ندارد</w:t>
      </w:r>
      <w:r>
        <w:rPr>
          <w:rFonts w:eastAsia="IRNazanin" w:cs="IRNazanin"/>
          <w:color w:val="111111"/>
          <w:sz w:val="28"/>
          <w:szCs w:val="28"/>
          <w:rtl w:val="true"/>
          <w:lang w:bidi="fa-IR"/>
        </w:rPr>
        <w:t>.</w:t>
      </w:r>
      <w:r>
        <w:rPr>
          <w:rStyle w:val="FootnoteAnchor"/>
          <w:rtl w:val="true"/>
        </w:rPr>
        <w:footnoteReference w:id="350"/>
      </w:r>
      <w:bookmarkStart w:id="396" w:name="pg1814_19098"/>
    </w:p>
    <w:p>
      <w:pPr>
        <w:pStyle w:val="Heading6"/>
        <w:numPr>
          <w:ilvl w:val="5"/>
          <w:numId w:val="1"/>
        </w:numPr>
        <w:rPr/>
      </w:pPr>
      <w:bookmarkStart w:id="397" w:name="__RefHeading___Toc2647311_3650668749"/>
      <w:bookmarkStart w:id="398" w:name="_Toc144"/>
      <w:bookmarkEnd w:id="396"/>
      <w:bookmarkEnd w:id="397"/>
      <w:r>
        <w:rPr>
          <w:rtl w:val="true"/>
        </w:rPr>
        <w:t>ب</w:t>
      </w:r>
      <w:r>
        <w:rPr>
          <w:rtl w:val="true"/>
        </w:rPr>
        <w:t xml:space="preserve">) </w:t>
      </w:r>
      <w:r>
        <w:rPr>
          <w:rtl w:val="true"/>
        </w:rPr>
        <w:t>از جنبه انسان‌شناختي</w:t>
      </w:r>
      <w:bookmarkEnd w:id="398"/>
    </w:p>
    <w:p>
      <w:pPr>
        <w:pStyle w:val="BookText"/>
        <w:rPr/>
      </w:pPr>
      <w:r>
        <w:rPr>
          <w:rFonts w:ascii="IRNazanin" w:hAnsi="IRNazanin" w:eastAsia="IRNazanin"/>
          <w:color w:val="111111"/>
          <w:sz w:val="28"/>
          <w:sz w:val="28"/>
          <w:szCs w:val="28"/>
          <w:rtl w:val="true"/>
          <w:lang w:bidi="fa-IR"/>
        </w:rPr>
        <w:t>هر يك از ما در نهاد خود احساس آزادي، اراده و استقلال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خود را داراي خرد و فهم و صاحب نيروهاي جسمي و روحي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موهبت‌هايي است از طرف پروردگار كه در همة افراد انسان به اندازه‌هاي گوناگون و با تفاوت‌هايي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موهبت‌هاي خداوندي و تفاوت‌هاي طبيعي اما، سبب نمي‌شود كه فردي بر ديگري حق حاكميت و ولايت پيدا كند</w:t>
      </w:r>
      <w:r>
        <w:rPr>
          <w:rFonts w:eastAsia="IRNazanin" w:cs="IRNazanin"/>
          <w:color w:val="111111"/>
          <w:sz w:val="28"/>
          <w:szCs w:val="28"/>
          <w:rtl w:val="true"/>
          <w:lang w:bidi="fa-IR"/>
        </w:rPr>
        <w:t>.</w:t>
      </w:r>
      <w:r>
        <w:rPr>
          <w:rStyle w:val="FootnoteAnchor"/>
          <w:rtl w:val="true"/>
        </w:rPr>
        <w:footnoteReference w:id="351"/>
      </w:r>
      <w:r>
        <w:rPr>
          <w:rFonts w:ascii="Amiri" w:hAnsi="Amiri" w:eastAsia="Amiri" w:cs="Amiri"/>
          <w:color w:val="111111"/>
          <w:sz w:val="28"/>
          <w:sz w:val="28"/>
          <w:szCs w:val="28"/>
          <w:rtl w:val="true"/>
          <w:lang w:bidi="ar-SA"/>
        </w:rPr>
        <w:t>امام علي عليه السلام خطاب به فرزند خود، امام حسن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تَكُنْ عَبْدَ غَيْرِكَ وَ قَدْ جَعَلَكَ اللَّهُ حُرّاً؛</w:t>
      </w:r>
      <w:r>
        <w:rPr>
          <w:rStyle w:val="FootnoteAnchor"/>
          <w:rtl w:val="true"/>
        </w:rPr>
        <w:footnoteReference w:id="352"/>
      </w:r>
      <w:r>
        <w:rPr>
          <w:rFonts w:ascii="IRNazanin" w:hAnsi="IRNazanin" w:eastAsia="IRNazanin"/>
          <w:color w:val="111111"/>
          <w:sz w:val="28"/>
          <w:sz w:val="28"/>
          <w:szCs w:val="28"/>
          <w:rtl w:val="true"/>
          <w:lang w:bidi="fa-IR"/>
        </w:rPr>
        <w:t>اي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ديگران مباش، حال آن‌كه خداوند تو را آزاد قرار داده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 در جهان‌بيني الهي در همة عرصه‌هاي زندگي فردي و گروهي انسان، حضور پروردگار، 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عرصه‌هاي قانون‌گزاري، روش‌ها و شيوه‌هاي اجراي قوانين، آموزش و پرورش، رهبري و حاكميت در جامعه است و همچنين در اين نظريه حكومت به خودي خود اصالت ندارد، بلكه از آن جهت كه بستري است براي برپايي عدالت و رسيدن انسان به رشد و سرانجام نزديكي او به خداوند و رسيدن به نيك‌بختي جاودان</w:t>
      </w:r>
      <w:r>
        <w:rPr>
          <w:rFonts w:eastAsia="IRNazanin" w:cs="IRNazanin"/>
          <w:color w:val="111111"/>
          <w:sz w:val="28"/>
          <w:szCs w:val="28"/>
          <w:rtl w:val="true"/>
          <w:lang w:bidi="fa-IR"/>
        </w:rPr>
        <w:t>.</w:t>
      </w:r>
      <w:bookmarkStart w:id="399" w:name="pg1814_19100"/>
    </w:p>
    <w:p>
      <w:pPr>
        <w:pStyle w:val="Heading6"/>
        <w:numPr>
          <w:ilvl w:val="5"/>
          <w:numId w:val="1"/>
        </w:numPr>
        <w:rPr/>
      </w:pPr>
      <w:bookmarkStart w:id="400" w:name="__RefHeading___Toc2647313_3650668749"/>
      <w:bookmarkStart w:id="401" w:name="_Toc145"/>
      <w:bookmarkEnd w:id="399"/>
      <w:bookmarkEnd w:id="400"/>
      <w:r>
        <w:rPr/>
        <w:t>2</w:t>
      </w:r>
      <w:r>
        <w:rPr>
          <w:rtl w:val="true"/>
        </w:rPr>
        <w:t xml:space="preserve">. </w:t>
      </w:r>
      <w:r>
        <w:rPr>
          <w:rtl w:val="true"/>
        </w:rPr>
        <w:t xml:space="preserve">مقبوليت </w:t>
      </w:r>
      <w:r>
        <w:rPr>
          <w:rtl w:val="true"/>
        </w:rPr>
        <w:t>(</w:t>
      </w:r>
      <w:r>
        <w:rPr>
          <w:rtl w:val="true"/>
        </w:rPr>
        <w:t>پذيرش مردم</w:t>
      </w:r>
      <w:r>
        <w:rPr>
          <w:rtl w:val="true"/>
        </w:rPr>
        <w:t>)</w:t>
      </w:r>
      <w:bookmarkEnd w:id="401"/>
    </w:p>
    <w:p>
      <w:pPr>
        <w:pStyle w:val="Heading6"/>
        <w:numPr>
          <w:ilvl w:val="5"/>
          <w:numId w:val="1"/>
        </w:numPr>
        <w:rPr/>
      </w:pPr>
      <w:bookmarkStart w:id="402" w:name="__RefHeading___Toc2647315_3650668749"/>
      <w:bookmarkStart w:id="403" w:name="_Toc146"/>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در بحث گذشته، روشن شد كه مردم نمي‌توانند به حكومت اسلامي، مشروعيت ببخشند، بلكه حكومت اسلامي از مشروعيت الهي برخوردار است و رأي و نظر مردم در اين زمينه، هيچ اثري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گاه پاسخ به اين پرسش است كه آيا در جريان حكومت اسلامي مردم نقشي دارند؟</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مردم نبايد و نمي‌توانند خاستگاه اعتبار و مشروعيت حكومت اسلامي باشند و به طور اساسي حكومت اسلامي تبلور حاكميت الهي است كه در مشروعيت خويش نيازمند انديشه و رأي انسان نيست، بلكه مشروعيت آن با اصل آن آميخته است، ولي برپايي و آشكارشدن حكومت اسلامي جز با رأي موافق و هم سوي مردم شدني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بحثي با عنوان مقبوليت رخ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پذيرفته شده و پسنديده گرفته شده است</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و از نظر مباحث مربوط به سياست يعني روي‌آوري همگاني و پذيرش مردمي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انديشة سياسي اسلام، مقبوليت و رأي مردم جايگاه ويژه‌اي دارد، اما مشروعيت نمي‌آورد و اگر اسلام چيزي را نهي كرده است، مردم حق ندارند با رأي و گزينش خود آن را 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رأي و ديدگاه مردم تا آنگاه است كه با دين رودررويي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پاية اين مباني، مشروعيت دين محور است و بر مقبوليت مردمي برتري دارد و اگر مقبوليت برود، مشروعيت از بين نمي‌رود، بلكه برپايي آن با چالش بر مي‌خورد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پيامبر اكرم صلي الله عليه و آله و سلم در بارة حقيقت اقبال و توجه مردم به حضرت علي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إِنَّمَا أَنْتَ بِمَنْزِلَةِ الْكَعْبَةِ تُؤْتَى وَ لَا تَأْتِي فَإِنْ أَتَاكَ هَؤُلَاءِ الْقَوْمُ فَسَلَّمُوا لَكَ هَذَا الْأَمْرَ فَاقْبَلْهُ مِنْهُمْ وَ إِنْ لَمْ يَأْتُوكَ فَلَا تَأْتِهِم؛</w:t>
      </w:r>
      <w:r>
        <w:rPr>
          <w:rStyle w:val="FootnoteAnchor"/>
          <w:rtl w:val="true"/>
        </w:rPr>
        <w:footnoteReference w:id="355"/>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منزلة كعبه هستي كه نزد او مي‌روند و او نزد كسي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مردمان نزد تو آمدند و امر حكومت را بر تو عرضه داشتند پس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نزد تو نيامدند تو پيش آنها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و احاديث مانند آن، به روشني‌مي‌رساند آنگاه امام به برپايي حكومت وظيفه دارد، كه مردم به سوي او آيند و زمينة برقراري حكومت او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امام براي برپايي حكومت وظيفه‌اي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علي عليه السلام پس از رحلت پيامبر اكرم صلي الله عليه و آله از حكومت كناره‌گيري كرد، اگر چه هرگز مسلمانان را در برابر مشكلات و سختي‌ها تنها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بي‌گمان حق امام بر مردم اين است كه او را ياري كنند و زمينة حكومت او را فراهم سازند و حق مردم بر امام اين است كه به وسيلة حكومت به كارهاي ديني و دنيوي آنان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سخن‌كوتاه به روشني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برپايي حكومت و رسيدگي به كارهاي جامعه بر ما واجب است كه نخست شما تمايل به حكومت ما داشته باشيد و با حمايت‌هاي خود از ما به حكومت اسلامي تحقق و عينيت بخشيد، و درغير اين صورت ما وظيفه‌اي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و تأثير پذيرفتن مردمي در جامعه اسلامي تا آن‌جا اهميت دارد كه امام علي عليه السلام يكي از عوامل مهم پذيرش خلافت را همين مسأله برمي‌شمارد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الَّذِي فَلَقَ الْحَبَّةَ وَ بَرَأَ النَّسَمَةَ لَوْ لَا حُضُورُ الْحَاضِرِ وَ قِيَامُ الْحُجَّةِ بِوُجُودِ النَّاصِرِ وَ مَا أَخَذَ اللَّهُ عَلَى الْعُلَمَاءِ أَلَّا يُقَارُّوا عَلَى كِظَّةِ ظَالِمٍ وَ لَا سَغَبِ مَظْلُومٍ لَأَلْقَيْتُ حَبْلَهَا عَلَى غَارِبِهَا وَ لَسَقَيْتُ آخِرَهَا بِكَأْسِ أَوَّلِهَا؛</w:t>
      </w:r>
      <w:r>
        <w:rPr>
          <w:rStyle w:val="FootnoteAnchor"/>
          <w:rtl w:val="true"/>
        </w:rPr>
        <w:footnoteReference w:id="356"/>
      </w:r>
      <w:r>
        <w:rPr>
          <w:rFonts w:ascii="IRNazanin" w:hAnsi="IRNazanin" w:eastAsia="IRNazanin"/>
          <w:color w:val="111111"/>
          <w:sz w:val="28"/>
          <w:sz w:val="28"/>
          <w:szCs w:val="28"/>
          <w:rtl w:val="true"/>
          <w:lang w:bidi="fa-IR"/>
        </w:rPr>
        <w:t>به خدايي كه دانه را شكافت و جان را آفريد، اگر اين بيعت كنندگان نبودند، و ياران، حجّت بر من تمام نمي‌نمودند، و خدا علما را نفرموده بود تا ستمكار شكمباره را برنتابند و به ياري گرسنگان ستمديده بشتابند، رشته اين كار را از دست مي‌گذاشتم و پايانش را چون آغازش مي‌انگاشتم و چون گذشته، خود را به كناري مي‌داشتم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اين كه امام معصوم از سوي خداوند به حكومت منصوب شده است، اما اين مردم هستند كه بايد به سوي او روي آورند و با حمايت‌هاي پيوستة خود زمينة برپايي حكومت را فراهم آورند و تا آنگاه كه چنين آمادگي در جامعه پديد نيامده است، امام به برپايي حكومت دست نمي‌زند، بلكه فقط خود را در معرض خلافت و رهبري قرار مي‌دهد و مردم را به سوي خويش مي‌خوانند تا چنين زمينه‌اي در جامعه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پايه با جداكردن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كنار پافشاري بر دستورات و حاكميت الهي و جانشينان او، به نقش مردم در فرايند تصميم‌گيري نيز توجهي ويژه مي‌شود؛ زيرا مقتضاي حكومت ديني، پذيرش مردمي است و مردم در نظام‌هاي ولايي بي‌اختيار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تاريخ اسلام به حادثه‌هاي بسياري برمي‌خوريم كه دليل جدايي اين دو مفهوم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پيمان عقبه نخست و دوم براي پي‌ريزي حكومت در مدينه به دست پيامبر اكرم صلي الله عليه و آله و سلم كه در فراهم‌ساختن خشنودي مردمي نقش اساسي داشت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جريان سقيفه و روي كار آمدن خليفه اول، ـ با پافشاري‌هاي فراوان در سخنان پيامبر خاتم صلي الله عليه و آله و سلم ـ نشان دهنده نقش‌داشتن اراده مردم در شكل‌گيري حكومت اسلامي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حكومت نرسيدن علي عليه السلام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به حكومت نرسيدن هيچ‌يك از معصومان عليهم السلام كه با داشتن مشروعيت الهي، پذيرفته مردم نشدند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شكوفايي دوران حكومت علي عليه السلام به مدت چهار سال و اندي، به سبب پذيرش قاطع مردم</w:t>
      </w:r>
      <w:r>
        <w:rPr>
          <w:rFonts w:eastAsia="IRNazanin" w:cs="IRNazanin"/>
          <w:color w:val="111111"/>
          <w:sz w:val="28"/>
          <w:szCs w:val="28"/>
          <w:rtl w:val="true"/>
          <w:lang w:bidi="fa-IR"/>
        </w:rPr>
        <w:t>.</w:t>
      </w:r>
      <w:bookmarkStart w:id="404" w:name="pg1814_19102"/>
    </w:p>
    <w:p>
      <w:pPr>
        <w:pStyle w:val="Heading6"/>
        <w:numPr>
          <w:ilvl w:val="5"/>
          <w:numId w:val="1"/>
        </w:numPr>
        <w:rPr/>
      </w:pPr>
      <w:bookmarkStart w:id="405" w:name="__RefHeading___Toc2647317_3650668749"/>
      <w:bookmarkStart w:id="406" w:name="_Toc147"/>
      <w:bookmarkEnd w:id="404"/>
      <w:bookmarkEnd w:id="405"/>
      <w:r>
        <w:rPr>
          <w:rtl w:val="true"/>
        </w:rPr>
        <w:t>مشروعيت الهي، مقبوليت مردمي‌</w:t>
      </w:r>
      <w:bookmarkEnd w:id="406"/>
    </w:p>
    <w:p>
      <w:pPr>
        <w:pStyle w:val="BookText"/>
        <w:rPr/>
      </w:pPr>
      <w:r>
        <w:rPr>
          <w:rFonts w:ascii="IRNazanin" w:hAnsi="IRNazanin" w:eastAsia="IRNazanin"/>
          <w:color w:val="111111"/>
          <w:sz w:val="28"/>
          <w:sz w:val="28"/>
          <w:szCs w:val="28"/>
          <w:rtl w:val="true"/>
          <w:lang w:bidi="fa-IR"/>
        </w:rPr>
        <w:t>برپايي حاكميت مهدوي نيز از دو جهت مشروعيت و مقبوليت بررسي‌شدني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روايات معتبري در دست است كه مشروعيت حكومت حضرت مهدي عليه السلام را به خداوند استناد مي‌دهند و حضرتش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مضمون با تعبيرهاي گوناگون در روايات شيعه و اهل سنت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منابع اهل سنت مي‌توان به مسند احمد بن حنبل،</w:t>
      </w:r>
      <w:r>
        <w:rPr>
          <w:rStyle w:val="FootnoteAnchor"/>
          <w:rtl w:val="true"/>
        </w:rPr>
        <w:footnoteReference w:id="359"/>
      </w:r>
      <w:r>
        <w:rPr>
          <w:rFonts w:ascii="Amiri" w:hAnsi="Amiri" w:eastAsia="Amiri" w:cs="Amiri"/>
          <w:color w:val="111111"/>
          <w:sz w:val="28"/>
          <w:sz w:val="28"/>
          <w:szCs w:val="28"/>
          <w:rtl w:val="true"/>
          <w:lang w:bidi="ar-SA"/>
        </w:rPr>
        <w:t>المستدرك حاكم،</w:t>
      </w:r>
      <w:r>
        <w:rPr>
          <w:rStyle w:val="FootnoteAnchor"/>
          <w:rtl w:val="true"/>
        </w:rPr>
        <w:footnoteReference w:id="360"/>
      </w:r>
      <w:r>
        <w:rPr>
          <w:rFonts w:ascii="Amiri" w:hAnsi="Amiri" w:eastAsia="Amiri" w:cs="Amiri"/>
          <w:color w:val="111111"/>
          <w:sz w:val="28"/>
          <w:sz w:val="28"/>
          <w:szCs w:val="28"/>
          <w:rtl w:val="true"/>
          <w:lang w:bidi="ar-SA"/>
        </w:rPr>
        <w:t>البدايه و النهايه ابن كثير،</w:t>
      </w:r>
      <w:r>
        <w:rPr>
          <w:rStyle w:val="FootnoteAnchor"/>
          <w:rtl w:val="true"/>
        </w:rPr>
        <w:footnoteReference w:id="361"/>
      </w:r>
      <w:r>
        <w:rPr>
          <w:rFonts w:ascii="Amiri" w:hAnsi="Amiri" w:eastAsia="Amiri" w:cs="Amiri"/>
          <w:color w:val="111111"/>
          <w:sz w:val="28"/>
          <w:sz w:val="28"/>
          <w:szCs w:val="28"/>
          <w:rtl w:val="true"/>
          <w:lang w:bidi="ar-SA"/>
        </w:rPr>
        <w:t>الدر المنثور سيوطي</w:t>
      </w:r>
      <w:r>
        <w:rPr>
          <w:rStyle w:val="FootnoteAnchor"/>
          <w:rtl w:val="true"/>
        </w:rPr>
        <w:footnoteReference w:id="362"/>
      </w:r>
      <w:r>
        <w:rPr>
          <w:rFonts w:ascii="Amiri" w:hAnsi="Amiri" w:eastAsia="Amiri" w:cs="Amiri"/>
          <w:color w:val="111111"/>
          <w:sz w:val="28"/>
          <w:sz w:val="28"/>
          <w:szCs w:val="28"/>
          <w:rtl w:val="true"/>
          <w:lang w:bidi="ar-SA"/>
        </w:rPr>
        <w:t>و كنز العمال متقي هندي</w:t>
      </w:r>
      <w:r>
        <w:rPr>
          <w:rStyle w:val="FootnoteAnchor"/>
          <w:rtl w:val="true"/>
        </w:rPr>
        <w:footnoteReference w:id="363"/>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منابع روايي شيعي آثاري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الغمه،</w:t>
      </w:r>
      <w:r>
        <w:rPr>
          <w:rStyle w:val="FootnoteAnchor"/>
          <w:rtl w:val="true"/>
        </w:rPr>
        <w:footnoteReference w:id="364"/>
      </w:r>
      <w:r>
        <w:rPr>
          <w:rFonts w:ascii="Amiri" w:hAnsi="Amiri" w:eastAsia="Amiri" w:cs="Amiri"/>
          <w:color w:val="111111"/>
          <w:sz w:val="28"/>
          <w:sz w:val="28"/>
          <w:szCs w:val="28"/>
          <w:rtl w:val="true"/>
          <w:lang w:bidi="ar-SA"/>
        </w:rPr>
        <w:t>كفاية الاثر،</w:t>
      </w:r>
      <w:r>
        <w:rPr>
          <w:rStyle w:val="FootnoteAnchor"/>
          <w:rtl w:val="true"/>
        </w:rPr>
        <w:footnoteReference w:id="365"/>
      </w:r>
      <w:r>
        <w:rPr>
          <w:rFonts w:ascii="IRNazanin" w:hAnsi="IRNazanin" w:eastAsia="IRNazanin"/>
          <w:color w:val="111111"/>
          <w:sz w:val="28"/>
          <w:sz w:val="28"/>
          <w:szCs w:val="28"/>
          <w:rtl w:val="true"/>
          <w:lang w:bidi="fa-IR"/>
        </w:rPr>
        <w:t>و آثار ديگر، رواياتي را با اين مضمون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از پيامبر اكرم صلي الله عليه و آله نقل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تَقُومُ السَّاعَهُ حَتَّي يَقُومَ قَائِمٌ لِلْحَقِ مِنَّا وَ ذَلِكَ حِينَ يَاْذَنُ اللَّهُ عَزَّ وَ جَلَّ لَهُ وَ مَنْ تَبِعَهُ نَجَا وَ مَنْ تَخَلَّفَ عَنْهُ هَلَكَ اللَّهَ اللَّهَ عِبَادَ اللَّهِ فَاْتُوهُ وَ لَوْ عَلَي الثَّلْجِ فَاِنَّهُ خَلِيفَهُ اللَّهِ عَزَّ وَ جَلَّ وَ خَلِيفَتِي؛</w:t>
      </w:r>
      <w:r>
        <w:rPr>
          <w:rStyle w:val="FootnoteAnchor"/>
          <w:rtl w:val="true"/>
        </w:rPr>
        <w:footnoteReference w:id="366"/>
      </w:r>
      <w:r>
        <w:rPr>
          <w:rFonts w:ascii="IRNazanin" w:hAnsi="IRNazanin" w:eastAsia="IRNazanin"/>
          <w:color w:val="111111"/>
          <w:sz w:val="28"/>
          <w:sz w:val="28"/>
          <w:szCs w:val="28"/>
          <w:rtl w:val="true"/>
          <w:lang w:bidi="fa-IR"/>
        </w:rPr>
        <w:t>قيامت بر پا نشود تا قائم بر حقّ ما قيام كند، و آن هنگاميست كه خداوند او را اذن دهد، و هر كس او را متابعت كند نجات يابد، و هر كس از وي روي گرداند هلاك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بياد آوريد، 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او رويد هر چند برروي يخ و برف باشد، زيرا كه او نماينده خداوند و جانشين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روايات، امام خليفه خدا و جانشين پيامبر صلي الله عليه و آله و سلم است و وكيلي نيست كه مردم او را بر گزينند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اينكه آنگاه كه قرار است حكومتي به طور كامل الهي باشد و به احكام و قوانين خداوند در ابعاد گوناگون در جامعة بشري رفتار شود، رهبرش بايد از دو ويژگي اساسي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دانش گسترده و فراگير به شريعت و ديگر عصمت از لغزش و 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ويژگي‌هايي كه انسان‌ها از درك دقيق و فهم آن در ديگران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انتصاب خداوند بايستگي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در روايات است كه راهبر حكومت موعود جهاني دين را به اساسِ نخستين خود كه پيامبر اكرم صلي الله عليه و آله در پي اجراي آن بود دوباره در زندگي انسان‌ها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اين كار بزرگ از دست كسي بر مي‌آيد كه برگزيدة خداوند باشد</w:t>
      </w:r>
      <w:r>
        <w:rPr>
          <w:rFonts w:eastAsia="IRNazanin" w:cs="IRNazanin"/>
          <w:color w:val="111111"/>
          <w:sz w:val="28"/>
          <w:szCs w:val="28"/>
          <w:rtl w:val="true"/>
          <w:lang w:bidi="fa-IR"/>
        </w:rPr>
        <w:t>.</w:t>
      </w:r>
      <w:bookmarkStart w:id="407" w:name="pg1814_19104"/>
    </w:p>
    <w:p>
      <w:pPr>
        <w:pStyle w:val="Heading6"/>
        <w:numPr>
          <w:ilvl w:val="5"/>
          <w:numId w:val="1"/>
        </w:numPr>
        <w:rPr/>
      </w:pPr>
      <w:bookmarkStart w:id="408" w:name="__RefHeading___Toc2647319_3650668749"/>
      <w:bookmarkStart w:id="409" w:name="_Toc148"/>
      <w:bookmarkEnd w:id="407"/>
      <w:bookmarkEnd w:id="408"/>
      <w:r>
        <w:rPr>
          <w:rtl w:val="true"/>
        </w:rPr>
        <w:t>بيعت و رأي‌دادن، تفاوت‌ها و شباهت‌ها</w:t>
      </w:r>
      <w:bookmarkEnd w:id="409"/>
    </w:p>
    <w:p>
      <w:pPr>
        <w:pStyle w:val="BookText"/>
        <w:rPr/>
      </w:pPr>
      <w:r>
        <w:rPr>
          <w:rFonts w:ascii="IRNazanin" w:hAnsi="IRNazanin" w:eastAsia="IRNazanin"/>
          <w:color w:val="111111"/>
          <w:sz w:val="28"/>
          <w:sz w:val="28"/>
          <w:szCs w:val="28"/>
          <w:rtl w:val="true"/>
          <w:lang w:bidi="fa-IR"/>
        </w:rPr>
        <w:t>حال كه تا اندازه‌اي مفهوم مشروعيت و مقبوليت روشن شد، نوبت به اين بحث مي‌رسد كه آيا انتخابات ورأي‌گيري به مفهوم رايج امروزين آن چه نسبتي با بيعت دارد؟ به عبارت ديگر آيا مي‌توان گفت بيعت در گذشته كاركرد انتخابات و رأي‌گيري را داشته است؟</w:t>
      </w:r>
    </w:p>
    <w:p>
      <w:pPr>
        <w:pStyle w:val="BookText"/>
        <w:rPr/>
      </w:pPr>
      <w:r>
        <w:rPr>
          <w:rFonts w:ascii="IRNazanin" w:hAnsi="IRNazanin" w:eastAsia="IRNazanin"/>
          <w:color w:val="111111"/>
          <w:sz w:val="28"/>
          <w:sz w:val="28"/>
          <w:szCs w:val="28"/>
          <w:rtl w:val="true"/>
          <w:lang w:bidi="fa-IR"/>
        </w:rPr>
        <w:t xml:space="preserve">اگرچه در بارة مفهوم رأي‌دادن، سخنان گوناگوني ذكر شده، اما به نظر مي‌رسد همه به يك نكته اساسي اشاره مي‌كنند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فرايندي كه به سبب آن كساني، يك يا چند نامزد را براي انجام‌دادن كاري معين برمي‌گزينند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بيان روشن است كه رأي‌گيري از جهت مفهوم لغوي و اصطلاحي با بيعت به‌طور كامل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يگانه شباهت آنها به يكديگر آن است كه هردو در فرايند شكل‌گيري يك حاكميت 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نتيجة رأي‌گيري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سياسي است در حالي كه بيعت در نگاه پيروان مكتب اهل بيت عليهم السلام فقط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پس از مشروعيتي تثبيت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اينكه رأي‌دادن، صرف انتخاب‌كردن است و نه تسليم و اطاعت‌كردن، در حالي كه در بيعت نوعي دل‌دادگي، سرسپردگي و اطاعت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پيش‌تر بيان شد، روشن است كه شيعه براي حاكميت، دو مقام را بايسته مي‌داند؛ مقامي كه در آن، حق ولايت و 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مي‌شود و ديگر مقامي كه در آن، 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از مسائل بنيادين و پايه‌اي،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دو جايگاه است كه در نتيجه هر يك از اين دو جايگاه نيز، قهرمان و نقش‌آفرين ويژة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حق حاكميت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مقام صورت مي‌گيرد و يگانه سبب تأثيرگذار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حاكميت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 و تصدي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ديگري، شكل مي‌گيرد كه در آن، بيعت مردم نقش داشته و كاركرد سياسي،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رواياتي كه در تفسير آية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ونريد ان نمن علي الذين استضعفوا في الارض</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كه پيشوايان معصوم عليهم السلام را مصداق اين مستضعفان دانسته نيز چنين استفاده مي‌شود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چرا كه مراد از استضعاف اين است كه شخصي يا ايده‌اي در موضع ضعف، قرار گيرد و جامعه به آن اقبال نكرده، آن را تنها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 يا ايده‌اي كه با چنين وضعيتي رو به رو شود از نظر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 فكري و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استضعاف، كشيده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طرف مقابل اقتدار اجتماعي قرار دارد كه مراد از آن، اقبال عمومي و پذيرش اجتماعي است كه نتيجه آن، تقويت موقعيت اجتماعي و حاكميت يافتن آن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حاكميت يك شخص يا يك ايده در جامعه، به اقتدار اجتماعي بستگي دارد و به عبارت بهتر، تحقق و عدم تحقق حاكميت، منوط به اقتدار و عدم اقتدار اجتماعي است و عناصر ديگر، حتي مشروعيت الهي در آن نقشي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بيعت، تأمين‌كننده عنصر اقتدار اجتماعي است</w:t>
      </w:r>
      <w:r>
        <w:rPr>
          <w:rFonts w:eastAsia="IRNazanin" w:cs="IRNazanin"/>
          <w:color w:val="111111"/>
          <w:sz w:val="28"/>
          <w:szCs w:val="28"/>
          <w:rtl w:val="true"/>
          <w:lang w:bidi="fa-IR"/>
        </w:rPr>
        <w:t>.</w:t>
      </w:r>
      <w:bookmarkStart w:id="410" w:name="pg1814_19106"/>
    </w:p>
    <w:p>
      <w:pPr>
        <w:pStyle w:val="Heading6"/>
        <w:numPr>
          <w:ilvl w:val="5"/>
          <w:numId w:val="1"/>
        </w:numPr>
        <w:rPr/>
      </w:pPr>
      <w:bookmarkStart w:id="411" w:name="__RefHeading___Toc2647321_3650668749"/>
      <w:bookmarkStart w:id="412" w:name="_Toc149"/>
      <w:bookmarkEnd w:id="410"/>
      <w:bookmarkEnd w:id="411"/>
      <w:r>
        <w:rPr>
          <w:rtl w:val="true"/>
        </w:rPr>
        <w:t>پذيرش حاكميت، اجابت درخواست مردم‌</w:t>
      </w:r>
      <w:bookmarkEnd w:id="412"/>
    </w:p>
    <w:p>
      <w:pPr>
        <w:pStyle w:val="BookText"/>
        <w:rPr/>
      </w:pPr>
      <w:r>
        <w:rPr>
          <w:rFonts w:ascii="IRNazanin" w:hAnsi="IRNazanin" w:eastAsia="IRNazanin"/>
          <w:color w:val="111111"/>
          <w:sz w:val="28"/>
          <w:sz w:val="28"/>
          <w:szCs w:val="28"/>
          <w:rtl w:val="true"/>
          <w:lang w:bidi="fa-IR"/>
        </w:rPr>
        <w:t>نقش مردم در حكومت آن حضرت، فراهم‌آوردن مقدمات و فراهم‌كردن زمينه براي برپايي حكومت جهاني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مردمي فقط در، درخواست و رأي اكثريت نمايان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بيشتر مردم با امام بيعت مي‌كنند، بلكه زماني فرا خواهد رسيد كه آنان به چنان عطش و شيفتگي مي‌رسند كه اضطرار حكومت جهاني موعود را با همة هستي خود درك مي‌كنند و آن را يگانه سازوكار پديد‌آورندة آرمان‌ها و اهداف عالي انساني مي‌دانند و به آن عشق مي‌ورزند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نظام سياسي نه فقط بر آراي مردمي متكي است و پذيرش مردمي را به هم‌راه دارد، آرمش خاطر مردم را نيز سبب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نظام، بين حكومت امام و مردم فقط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ـ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طوسي از امام باقر عليه السلام روايت كرده كه در بارة ورود حضرت مهدي عليه السلام به كوفه و سخن‌راني براي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اشتياق به آن حضرت آنگونه گريه مي‌كنند كه سخنان مهدي عليه السلام شنيده نمي‌شود و مردم نمي‌فهمند چه مي‌گويد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انساني كه براي رسيدن به سعادت، هر راهي را پيش گرفته و به بن‌بست رسيده، حال اين‌گونه به اشتياق و اضطرار حكومت موعود عليه السلام مي‌رسد و با همة هستي مهياي ياري و جان‌بازي در كنار او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مي‌توان نتيجه گرفت كه كوشش و تلاش فرهنگ سياسي ـ تربيتي اسلام در باب حكومت اين است كه پيروان خود را به گونه‌اي پرورش دهد كه خود از حكومت اسلامي سر نتابند، با خواست و ميل دروني خويش به آنچه از سوي خداوند مشروعيت دارد، بگرايند؛ به گونه‌اي كه خود را از آن و آن را از خود بدانند و در راه آن از هيچ كوششي دريغ نورزند، با حاكم اسلامي بيعت كنند و فرمان او را به گوش جان بشنوند و ولايت او را نسبت به خويش از ولايت خود بر خويش، برتر بدانند؛ همانند آنچه در پيوند بين امت اسلامي و شخص پيامبر صلي الله عليه و آله و سلم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ياران رسول خدا صلي الله عليه و آله مي‌دانستند كه ريشة مشروعيت و اعتبار حكومت اسلامي، وحي الهي و از سوي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با پيامبر خدا صلي الله عليه و آله در پاي‌بندي به اسلام و قوانين زندگي‌بخش آن، به‌ويژه در حوزه سياست و حكومت، با ميل و خواست خويش بيعت كردند</w:t>
      </w:r>
      <w:r>
        <w:rPr>
          <w:rFonts w:eastAsia="IRNazanin" w:cs="IRNazanin"/>
          <w:color w:val="111111"/>
          <w:sz w:val="28"/>
          <w:szCs w:val="28"/>
          <w:rtl w:val="true"/>
          <w:lang w:bidi="fa-IR"/>
        </w:rPr>
        <w:t>.</w:t>
      </w:r>
      <w:bookmarkStart w:id="413" w:name="pg1814_19108"/>
    </w:p>
    <w:p>
      <w:pPr>
        <w:pStyle w:val="Heading6"/>
        <w:numPr>
          <w:ilvl w:val="5"/>
          <w:numId w:val="1"/>
        </w:numPr>
        <w:rPr/>
      </w:pPr>
      <w:bookmarkStart w:id="414" w:name="__RefHeading___Toc2647323_3650668749"/>
      <w:bookmarkStart w:id="415" w:name="_Toc150"/>
      <w:bookmarkEnd w:id="413"/>
      <w:bookmarkEnd w:id="414"/>
      <w:r>
        <w:rPr/>
        <w:t>3</w:t>
      </w:r>
      <w:r>
        <w:rPr>
          <w:rtl w:val="true"/>
        </w:rPr>
        <w:t xml:space="preserve">. </w:t>
      </w:r>
      <w:r>
        <w:rPr>
          <w:rtl w:val="true"/>
        </w:rPr>
        <w:t>مشاركت مردمي</w:t>
      </w:r>
      <w:bookmarkEnd w:id="415"/>
    </w:p>
    <w:p>
      <w:pPr>
        <w:pStyle w:val="Heading6"/>
        <w:numPr>
          <w:ilvl w:val="5"/>
          <w:numId w:val="1"/>
        </w:numPr>
        <w:rPr/>
      </w:pPr>
      <w:bookmarkStart w:id="416" w:name="__RefHeading___Toc2647325_3650668749"/>
      <w:bookmarkStart w:id="417" w:name="_Toc151"/>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با توجه به آنچه گذشت، مي‌توان گفت كه مردم و نهاد حاكميت از يك‌ديگر جدا نبوده، يار و پشتيبان هم هستند، و حاكم و مردم بر يك‌ديگر حقوق متقابلي دارند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برخي از اين حقوق در روايات اشاره شده است</w:t>
      </w:r>
      <w:r>
        <w:rPr>
          <w:rFonts w:eastAsia="Amiri" w:cs="Amiri" w:ascii="Amiri" w:hAnsi="Amiri"/>
          <w:color w:val="111111"/>
          <w:sz w:val="28"/>
          <w:szCs w:val="28"/>
          <w:rtl w:val="true"/>
          <w:lang w:bidi="ar-SA"/>
        </w:rPr>
        <w:t>:</w:t>
      </w:r>
      <w:bookmarkStart w:id="418" w:name="pg1814_19110"/>
    </w:p>
    <w:p>
      <w:pPr>
        <w:pStyle w:val="Heading6"/>
        <w:numPr>
          <w:ilvl w:val="5"/>
          <w:numId w:val="1"/>
        </w:numPr>
        <w:rPr/>
      </w:pPr>
      <w:bookmarkStart w:id="419" w:name="__RefHeading___Toc2647327_3650668749"/>
      <w:bookmarkStart w:id="420" w:name="_Toc152"/>
      <w:bookmarkEnd w:id="418"/>
      <w:bookmarkEnd w:id="419"/>
      <w:r>
        <w:rPr>
          <w:rtl w:val="true"/>
        </w:rPr>
        <w:t>يك</w:t>
      </w:r>
      <w:r>
        <w:rPr>
          <w:rtl w:val="true"/>
        </w:rPr>
        <w:t xml:space="preserve">. </w:t>
      </w:r>
      <w:r>
        <w:rPr>
          <w:rtl w:val="true"/>
        </w:rPr>
        <w:t>حقوق مردم بر امام</w:t>
      </w:r>
      <w:bookmarkEnd w:id="420"/>
    </w:p>
    <w:p>
      <w:pPr>
        <w:pStyle w:val="Heading6"/>
        <w:numPr>
          <w:ilvl w:val="5"/>
          <w:numId w:val="1"/>
        </w:numPr>
        <w:rPr/>
      </w:pPr>
      <w:bookmarkStart w:id="421" w:name="__RefHeading___Toc2647329_3650668749"/>
      <w:bookmarkStart w:id="422" w:name="_Toc153"/>
      <w:bookmarkEnd w:id="421"/>
      <w:r>
        <w:rPr>
          <w:rtl w:val="true"/>
        </w:rPr>
        <w:t>اشاره</w:t>
      </w:r>
      <w:bookmarkEnd w:id="42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عنوان آفريده‌هاي خداوند و پديد‌آورندة جامعه، از دو سويه فردي و گروهي نيازهايي دارند كه بخشي از آن بر عهدة رهبر و پيشواي جامعه است كه از آن به عنوان حقوق مردم بر رهبر و امام جامعه ياد مي‌شود كه برخي از آنها بدين قرارند</w:t>
      </w:r>
      <w:r>
        <w:rPr>
          <w:rFonts w:eastAsia="IRNazanin" w:cs="IRNazanin"/>
          <w:color w:val="111111"/>
          <w:sz w:val="28"/>
          <w:szCs w:val="28"/>
          <w:rtl w:val="true"/>
          <w:lang w:bidi="fa-IR"/>
        </w:rPr>
        <w:t>:</w:t>
      </w:r>
      <w:bookmarkStart w:id="423" w:name="pg1814_19112"/>
    </w:p>
    <w:p>
      <w:pPr>
        <w:pStyle w:val="Heading6"/>
        <w:numPr>
          <w:ilvl w:val="5"/>
          <w:numId w:val="1"/>
        </w:numPr>
        <w:rPr/>
      </w:pPr>
      <w:bookmarkStart w:id="424" w:name="__RefHeading___Toc2647331_3650668749"/>
      <w:bookmarkStart w:id="425" w:name="_Toc154"/>
      <w:bookmarkEnd w:id="423"/>
      <w:bookmarkEnd w:id="424"/>
      <w:r>
        <w:rPr/>
        <w:t>1</w:t>
      </w:r>
      <w:r>
        <w:rPr>
          <w:rtl w:val="true"/>
        </w:rPr>
        <w:t xml:space="preserve">. </w:t>
      </w:r>
      <w:r>
        <w:rPr>
          <w:rtl w:val="true"/>
        </w:rPr>
        <w:t>نيك‌خواهي</w:t>
      </w:r>
      <w:bookmarkEnd w:id="42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بنياد و شالودة حكومت در آموزه‌هاي اسلامي بر نيك‌خواهي براي مردم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برپايي حكومت عدل جهاني به دست موعود منجي در يك گسترة جهاني بر اين امر پافشاري فراوان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پاية اين حكومت بر برپايي دادگري بر كرة زمين است و چه نيك‌خواهي بالاتر از گسترش عدالت در همة زمينه‌ها براي همة انسان‌ها</w:t>
      </w:r>
      <w:r>
        <w:rPr>
          <w:rFonts w:eastAsia="IRNazanin" w:cs="IRNazanin"/>
          <w:color w:val="111111"/>
          <w:sz w:val="28"/>
          <w:szCs w:val="28"/>
          <w:rtl w:val="true"/>
          <w:lang w:bidi="fa-IR"/>
        </w:rPr>
        <w:t>.</w:t>
      </w:r>
      <w:r>
        <w:rPr>
          <w:rStyle w:val="FootnoteAnchor"/>
          <w:rtl w:val="true"/>
        </w:rPr>
        <w:footnoteReference w:id="369"/>
      </w:r>
      <w:bookmarkStart w:id="426" w:name="pg1814_19114"/>
    </w:p>
    <w:p>
      <w:pPr>
        <w:pStyle w:val="Heading6"/>
        <w:numPr>
          <w:ilvl w:val="5"/>
          <w:numId w:val="1"/>
        </w:numPr>
        <w:rPr/>
      </w:pPr>
      <w:bookmarkStart w:id="427" w:name="__RefHeading___Toc2647333_3650668749"/>
      <w:bookmarkStart w:id="428" w:name="_Toc155"/>
      <w:bookmarkEnd w:id="426"/>
      <w:bookmarkEnd w:id="427"/>
      <w:r>
        <w:rPr/>
        <w:t>2</w:t>
      </w:r>
      <w:r>
        <w:rPr>
          <w:rtl w:val="true"/>
        </w:rPr>
        <w:t xml:space="preserve">. </w:t>
      </w:r>
      <w:r>
        <w:rPr>
          <w:rtl w:val="true"/>
        </w:rPr>
        <w:t>رفاه و آسايش</w:t>
      </w:r>
      <w:bookmarkEnd w:id="428"/>
    </w:p>
    <w:p>
      <w:pPr>
        <w:pStyle w:val="BookText"/>
        <w:rPr/>
      </w:pPr>
      <w:r>
        <w:rPr>
          <w:rFonts w:ascii="IRNazanin" w:hAnsi="IRNazanin" w:eastAsia="IRNazanin"/>
          <w:color w:val="111111"/>
          <w:sz w:val="28"/>
          <w:sz w:val="28"/>
          <w:szCs w:val="28"/>
          <w:rtl w:val="true"/>
          <w:lang w:bidi="fa-IR"/>
        </w:rPr>
        <w:t>از ويژگي‌هاي برجستة حكومت جهاني حضرت مهدي عليه السلام فراهم‌ساختن زمينه‌ها براي رفاه عمومي و آسايش براي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رفاهي كه سبب دوري مردم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نه رفاهي كه خود به خود حاصل شود كه در پس تدبير آن حضرت و تلاش فراوان مردم خواهد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حَكَمَ بِالْعَدْلِ وَ ارْتَفَعَ فِي أَيَّامِهِ الْجَوْرُ وَ أَمِنَتْ بِهِ السُّبُلُ وَ أَخْرَجَتِ الْأَرْضُ بَرَكَاتِهَا وَ رَدَّ كُلَّ حَقٍّ إِلَى أَهْلِه؛</w:t>
      </w:r>
      <w:r>
        <w:rPr>
          <w:rStyle w:val="FootnoteAnchor"/>
          <w:rtl w:val="true"/>
        </w:rPr>
        <w:footnoteReference w:id="370"/>
      </w:r>
      <w:r>
        <w:rPr>
          <w:rFonts w:ascii="IRNazanin" w:hAnsi="IRNazanin" w:eastAsia="IRNazanin"/>
          <w:color w:val="111111"/>
          <w:sz w:val="28"/>
          <w:sz w:val="28"/>
          <w:szCs w:val="28"/>
          <w:rtl w:val="true"/>
          <w:lang w:bidi="fa-IR"/>
        </w:rPr>
        <w:t>وقتي كه قائم ما قيام كند، داوري را بر پاية عدالت قرار مي‌دهد و ظلم و جور در دوران او برچيده مي‌شود و جاده ها در پرتو وجودش امن و امان مي‌گردد و زمين بركاتش را خارج مي‌سازد و هر حقي به صاحبش برگردانده مي‌شود</w:t>
      </w:r>
      <w:r>
        <w:rPr>
          <w:rFonts w:eastAsia="IRNazanin" w:cs="IRNazanin"/>
          <w:color w:val="111111"/>
          <w:sz w:val="28"/>
          <w:szCs w:val="28"/>
          <w:rtl w:val="true"/>
          <w:lang w:bidi="fa-IR"/>
        </w:rPr>
        <w:t>.</w:t>
      </w:r>
      <w:bookmarkStart w:id="429" w:name="pg1814_19116"/>
    </w:p>
    <w:p>
      <w:pPr>
        <w:pStyle w:val="Heading6"/>
        <w:numPr>
          <w:ilvl w:val="5"/>
          <w:numId w:val="1"/>
        </w:numPr>
        <w:rPr/>
      </w:pPr>
      <w:bookmarkStart w:id="430" w:name="__RefHeading___Toc2647335_3650668749"/>
      <w:bookmarkStart w:id="431" w:name="_Toc156"/>
      <w:bookmarkEnd w:id="429"/>
      <w:bookmarkEnd w:id="430"/>
      <w:r>
        <w:rPr/>
        <w:t>3</w:t>
      </w:r>
      <w:r>
        <w:rPr>
          <w:rtl w:val="true"/>
        </w:rPr>
        <w:t xml:space="preserve">. </w:t>
      </w:r>
      <w:r>
        <w:rPr>
          <w:rtl w:val="true"/>
        </w:rPr>
        <w:t>آموزش همگاني</w:t>
      </w:r>
      <w:bookmarkEnd w:id="431"/>
    </w:p>
    <w:p>
      <w:pPr>
        <w:pStyle w:val="BookText"/>
        <w:rPr/>
      </w:pPr>
      <w:r>
        <w:rPr>
          <w:rFonts w:ascii="IRNazanin" w:hAnsi="IRNazanin" w:eastAsia="IRNazanin"/>
          <w:color w:val="111111"/>
          <w:sz w:val="28"/>
          <w:sz w:val="28"/>
          <w:szCs w:val="28"/>
          <w:rtl w:val="true"/>
          <w:lang w:bidi="fa-IR"/>
        </w:rPr>
        <w:t>بي‌گمان آموزش در عرصه‌هاي گوناگون زندگي فردي و اجتماعي، نقش مهم و اساسي در رشد و كمال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مهم‌ترين شاخص‌هاي حكومت جهاني حضرت مهدي عليه السلام گسترش علم و دانش بين همة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فراگيرشدن به گونه‌اي كه در برخي از روايات سخن از چندين برابر شدن دانش بشري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روايتي به امام صادق عليه السلام نسبت داده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سَبْعَةٌ وَ عِشْرُونَ جُزْءاً فَجَمِيعُ مَا جَاءَتْ بِهِ الرُّسُلُ جُزْءَانِ فَلَمْ يَعْرِفِ النَّاسُ حَتَّي الْيَوْمِ غَيْرَ الْجُزْءَيْنِ فَإِذَا قَامَ الْقَائِمُ أَخْرَجَ الْخَمْسَةَ وَ الْعِشْرِينَ جُزْءاً فَبَثَّهَا فِي النَّاسِ وَ ضَمَّ إِلَيْهَا الْجُزْءَيْنِ حَتَّي يَبُثَّهَا سَبْعَةً وَ عِشْرِينَ جُزْءاً؛</w:t>
      </w:r>
      <w:r>
        <w:rPr>
          <w:rStyle w:val="FootnoteAnchor"/>
          <w:rtl w:val="true"/>
        </w:rPr>
        <w:footnoteReference w:id="371"/>
      </w:r>
      <w:r>
        <w:rPr>
          <w:rFonts w:ascii="IRNazanin" w:hAnsi="IRNazanin" w:eastAsia="IRNazanin"/>
          <w:color w:val="111111"/>
          <w:sz w:val="28"/>
          <w:sz w:val="28"/>
          <w:szCs w:val="28"/>
          <w:rtl w:val="true"/>
          <w:lang w:bidi="fa-IR"/>
        </w:rPr>
        <w:t xml:space="preserve">علم،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جزء دارد، تمامي آنچه رسولان آورده‌اند دو جزء بوده و مردم تا به امروز بجز اين دو جزء، چيزي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قائم قيام فرمايد،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جزء ديگر علم را خارج ساخته، در بين مردم منتشر مي‌سازد و اين دو جزء را هم بدان مي‌افزايد تا به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جزء مي‌رسد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البته دليلي ندارد كه همة اين توسعة علمي از راه كرامت و خارق العاده باشد كه به طور قطع سهم فراواني از آن به سبب تلاش انسان‌ها در عرصة علم و دانش است</w:t>
      </w:r>
      <w:r>
        <w:rPr>
          <w:rFonts w:eastAsia="Amiri" w:cs="Amiri" w:ascii="Amiri" w:hAnsi="Amiri"/>
          <w:color w:val="111111"/>
          <w:sz w:val="28"/>
          <w:szCs w:val="28"/>
          <w:rtl w:val="true"/>
          <w:lang w:bidi="ar-SA"/>
        </w:rPr>
        <w:t>.</w:t>
      </w:r>
      <w:bookmarkStart w:id="432" w:name="pg1814_19118"/>
    </w:p>
    <w:p>
      <w:pPr>
        <w:pStyle w:val="Heading6"/>
        <w:numPr>
          <w:ilvl w:val="5"/>
          <w:numId w:val="1"/>
        </w:numPr>
        <w:rPr/>
      </w:pPr>
      <w:bookmarkStart w:id="433" w:name="__RefHeading___Toc2647337_3650668749"/>
      <w:bookmarkStart w:id="434" w:name="_Toc157"/>
      <w:bookmarkEnd w:id="432"/>
      <w:bookmarkEnd w:id="433"/>
      <w:r>
        <w:rPr/>
        <w:t>4</w:t>
      </w:r>
      <w:r>
        <w:rPr>
          <w:rtl w:val="true"/>
        </w:rPr>
        <w:t xml:space="preserve">. </w:t>
      </w:r>
      <w:r>
        <w:rPr>
          <w:rtl w:val="true"/>
        </w:rPr>
        <w:t>گسترش خردورزي</w:t>
      </w:r>
      <w:bookmarkEnd w:id="434"/>
    </w:p>
    <w:p>
      <w:pPr>
        <w:pStyle w:val="BookText"/>
        <w:rPr/>
      </w:pPr>
      <w:r>
        <w:rPr>
          <w:rFonts w:ascii="IRNazanin" w:hAnsi="IRNazanin" w:eastAsia="IRNazanin"/>
          <w:color w:val="111111"/>
          <w:sz w:val="28"/>
          <w:sz w:val="28"/>
          <w:szCs w:val="28"/>
          <w:rtl w:val="true"/>
          <w:lang w:bidi="fa-IR"/>
        </w:rPr>
        <w:t>يكي از راه‌هاي رسيدن به كمال انساني رشد عقلاني جوامع انساني است كه حضرت مهدي به عنوان حجت الهي همة زمينه‌ها و ظرفيت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ممكن را در اين راه به كار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وَضَعَ اللَّهُ يَدَهُ عَلَي رُءُوسِ الْعِبَادِ فَجَمَعَ بِهَا عُقُولَهُمْ وَ كَمَلَتْ بِهِ أَحْلَامُهُمْ؛</w:t>
      </w:r>
      <w:r>
        <w:rPr>
          <w:rStyle w:val="FootnoteAnchor"/>
          <w:rtl w:val="true"/>
        </w:rPr>
        <w:footnoteReference w:id="372"/>
      </w:r>
      <w:r>
        <w:rPr>
          <w:rFonts w:ascii="IRNazanin" w:hAnsi="IRNazanin" w:eastAsia="IRNazanin"/>
          <w:color w:val="111111"/>
          <w:sz w:val="28"/>
          <w:sz w:val="28"/>
          <w:szCs w:val="28"/>
          <w:rtl w:val="true"/>
          <w:lang w:bidi="fa-IR"/>
        </w:rPr>
        <w:t xml:space="preserve">چون قائم ما قيام كند خداوند دست رحمتش را بر سر بندگان گذارد، پس خردهايشان را گردآورد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پيروي هوس نكنند و با يك ديگر اختلاف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خردشان كامل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متانت و خود نگهداريشان كامل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واين لطف الهي نيز به سبب شايستگي‌هايي است كه انسان‌ها در خود فراهم كرده‌اند</w:t>
      </w:r>
      <w:r>
        <w:rPr>
          <w:rFonts w:eastAsia="IRNazanin" w:cs="IRNazanin"/>
          <w:color w:val="111111"/>
          <w:sz w:val="28"/>
          <w:szCs w:val="28"/>
          <w:rtl w:val="true"/>
          <w:lang w:bidi="fa-IR"/>
        </w:rPr>
        <w:t>.</w:t>
      </w:r>
      <w:bookmarkStart w:id="435" w:name="pg1814_19120"/>
    </w:p>
    <w:p>
      <w:pPr>
        <w:pStyle w:val="Heading6"/>
        <w:numPr>
          <w:ilvl w:val="5"/>
          <w:numId w:val="1"/>
        </w:numPr>
        <w:rPr/>
      </w:pPr>
      <w:bookmarkStart w:id="436" w:name="__RefHeading___Toc2647339_3650668749"/>
      <w:bookmarkStart w:id="437" w:name="_Toc158"/>
      <w:bookmarkEnd w:id="435"/>
      <w:bookmarkEnd w:id="436"/>
      <w:r>
        <w:rPr/>
        <w:t>5</w:t>
      </w:r>
      <w:r>
        <w:rPr>
          <w:rtl w:val="true"/>
        </w:rPr>
        <w:t xml:space="preserve">. </w:t>
      </w:r>
      <w:r>
        <w:rPr>
          <w:rtl w:val="true"/>
        </w:rPr>
        <w:t>رشد و تربيت</w:t>
      </w:r>
      <w:bookmarkEnd w:id="43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اهداف مهم پيامبران، تربيت الهي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مهدي عليه السلام به عنوان واپسين ذخيرة الهي از همة ظرفيت‌هاي ممكن براي تربيت انسان‌ها بهره مي‌گيرد، تا در واپسين سال‌هاي عمر انسان‌ها بر زمين اين هدف پيامبران الهي را به فرجام رسانده، كامل كند</w:t>
      </w:r>
      <w:r>
        <w:rPr>
          <w:rFonts w:eastAsia="IRNazanin" w:cs="IRNazanin"/>
          <w:color w:val="111111"/>
          <w:sz w:val="28"/>
          <w:szCs w:val="28"/>
          <w:rtl w:val="true"/>
          <w:lang w:bidi="fa-IR"/>
        </w:rPr>
        <w:t>.</w:t>
      </w:r>
      <w:bookmarkStart w:id="438" w:name="pg1814_19122"/>
    </w:p>
    <w:p>
      <w:pPr>
        <w:pStyle w:val="Heading6"/>
        <w:numPr>
          <w:ilvl w:val="5"/>
          <w:numId w:val="1"/>
        </w:numPr>
        <w:rPr/>
      </w:pPr>
      <w:bookmarkStart w:id="439" w:name="__RefHeading___Toc2647341_3650668749"/>
      <w:bookmarkStart w:id="440" w:name="_Toc159"/>
      <w:bookmarkEnd w:id="438"/>
      <w:bookmarkEnd w:id="439"/>
      <w:r>
        <w:rPr>
          <w:rtl w:val="true"/>
        </w:rPr>
        <w:t>دو</w:t>
      </w:r>
      <w:r>
        <w:rPr>
          <w:rtl w:val="true"/>
        </w:rPr>
        <w:t xml:space="preserve">. </w:t>
      </w:r>
      <w:r>
        <w:rPr>
          <w:rtl w:val="true"/>
        </w:rPr>
        <w:t>حقوق امام بر مردم</w:t>
      </w:r>
      <w:bookmarkEnd w:id="440"/>
    </w:p>
    <w:p>
      <w:pPr>
        <w:pStyle w:val="Heading6"/>
        <w:numPr>
          <w:ilvl w:val="5"/>
          <w:numId w:val="1"/>
        </w:numPr>
        <w:rPr/>
      </w:pPr>
      <w:bookmarkStart w:id="441" w:name="__RefHeading___Toc2647343_3650668749"/>
      <w:bookmarkStart w:id="442" w:name="_Toc160"/>
      <w:bookmarkEnd w:id="441"/>
      <w:r>
        <w:rPr/>
        <w:t>1</w:t>
      </w:r>
      <w:r>
        <w:rPr>
          <w:rtl w:val="true"/>
        </w:rPr>
        <w:t xml:space="preserve">. </w:t>
      </w:r>
      <w:r>
        <w:rPr>
          <w:rtl w:val="true"/>
        </w:rPr>
        <w:t>استواري بر بيعت</w:t>
      </w:r>
      <w:bookmarkEnd w:id="44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گفته شد از پايه‌هاي حكومت حضرت مهدي عليه السلام بيعت مردم بر پذيرش و فرمان‌برداري از حاكميت است</w:t>
      </w:r>
      <w:r>
        <w:rPr>
          <w:rFonts w:eastAsia="IRNazanin" w:cs="IRNazanin"/>
          <w:color w:val="111111"/>
          <w:sz w:val="28"/>
          <w:szCs w:val="28"/>
          <w:rtl w:val="true"/>
          <w:lang w:bidi="fa-IR"/>
        </w:rPr>
        <w:t>.</w:t>
      </w:r>
      <w:bookmarkStart w:id="443" w:name="pg1814_19123"/>
    </w:p>
    <w:p>
      <w:pPr>
        <w:pStyle w:val="Heading6"/>
        <w:numPr>
          <w:ilvl w:val="5"/>
          <w:numId w:val="1"/>
        </w:numPr>
        <w:rPr/>
      </w:pPr>
      <w:bookmarkStart w:id="444" w:name="__RefHeading___Toc2647345_3650668749"/>
      <w:bookmarkStart w:id="445" w:name="_Toc161"/>
      <w:bookmarkEnd w:id="443"/>
      <w:bookmarkEnd w:id="444"/>
      <w:r>
        <w:rPr/>
        <w:t>2</w:t>
      </w:r>
      <w:r>
        <w:rPr>
          <w:rtl w:val="true"/>
        </w:rPr>
        <w:t xml:space="preserve">. </w:t>
      </w:r>
      <w:r>
        <w:rPr>
          <w:rtl w:val="true"/>
        </w:rPr>
        <w:t>نيك‌خواهي در امور حكومت</w:t>
      </w:r>
      <w:bookmarkEnd w:id="44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عصر ظهور در امور همگاني و فعاليت‌هاي دولت و زمام‌داران نيك‌خواهند و همواره با هوشياري امور را زير نظر مي‌گيرند و با دل‌سوزي و مصلحت‌انديشي دولت اسلامي و مسؤولان را ياري مي‌دهند، خواه در حضور آن‌ها باشند يا در پنهان‌بودن آن‌ها</w:t>
      </w:r>
      <w:r>
        <w:rPr>
          <w:rFonts w:eastAsia="IRNazanin" w:cs="IRNazanin"/>
          <w:color w:val="111111"/>
          <w:sz w:val="28"/>
          <w:szCs w:val="28"/>
          <w:rtl w:val="true"/>
          <w:lang w:bidi="fa-IR"/>
        </w:rPr>
        <w:t>.</w:t>
      </w:r>
      <w:r>
        <w:rPr>
          <w:rStyle w:val="FootnoteAnchor"/>
          <w:rtl w:val="true"/>
        </w:rPr>
        <w:footnoteReference w:id="373"/>
      </w:r>
      <w:bookmarkStart w:id="446" w:name="pg1814_19125"/>
    </w:p>
    <w:p>
      <w:pPr>
        <w:pStyle w:val="Heading6"/>
        <w:numPr>
          <w:ilvl w:val="5"/>
          <w:numId w:val="1"/>
        </w:numPr>
        <w:rPr/>
      </w:pPr>
      <w:bookmarkStart w:id="447" w:name="__RefHeading___Toc2647347_3650668749"/>
      <w:bookmarkStart w:id="448" w:name="_Toc162"/>
      <w:bookmarkEnd w:id="446"/>
      <w:bookmarkEnd w:id="447"/>
      <w:r>
        <w:rPr/>
        <w:t>3</w:t>
      </w:r>
      <w:r>
        <w:rPr>
          <w:rtl w:val="true"/>
        </w:rPr>
        <w:t xml:space="preserve">. </w:t>
      </w:r>
      <w:r>
        <w:rPr>
          <w:rtl w:val="true"/>
        </w:rPr>
        <w:t>فرمان‌برداري</w:t>
      </w:r>
      <w:bookmarkEnd w:id="448"/>
    </w:p>
    <w:p>
      <w:pPr>
        <w:pStyle w:val="BookText"/>
        <w:rPr/>
      </w:pPr>
      <w:r>
        <w:rPr>
          <w:rFonts w:ascii="IRNazanin" w:hAnsi="IRNazanin" w:eastAsia="IRNazanin"/>
          <w:color w:val="111111"/>
          <w:sz w:val="28"/>
          <w:sz w:val="28"/>
          <w:szCs w:val="28"/>
          <w:rtl w:val="true"/>
          <w:lang w:bidi="fa-IR"/>
        </w:rPr>
        <w:t>دستورات حاكم آنگاه كه از سوي مردم اجرا شود، به هدف رسيده است</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از آنجا كه مردم با پذيرش خود زمينة حكومت را فراهم مي‌كنند در همة امور از حاكم پيروي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ميان ياران حضرت به عنوان نخبگان عصر ظهور و الگوي رفتاري براي عموم مردم در اين فرمانبرداري و پيروي سرآمد روزگاران خويشند</w:t>
      </w:r>
      <w:r>
        <w:rPr>
          <w:rFonts w:eastAsia="IRNazanin" w:cs="IRNazanin"/>
          <w:color w:val="111111"/>
          <w:sz w:val="28"/>
          <w:szCs w:val="28"/>
          <w:rtl w:val="true"/>
          <w:lang w:bidi="fa-IR"/>
        </w:rPr>
        <w:t>.</w:t>
      </w:r>
      <w:r>
        <w:rPr>
          <w:rStyle w:val="FootnoteAnchor"/>
          <w:rtl w:val="true"/>
        </w:rPr>
        <w:footnoteReference w:id="37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كليني در كافي نيز روايات پرشماري را در اين زمينه نقل كرده كه بيان‌گر مهم‌ترين مسأله سياسي در زمينه زمام‌داري و حفظ حقوق عمومي و آزادي‌هاي اساسي است</w:t>
      </w:r>
      <w:r>
        <w:rPr>
          <w:rFonts w:eastAsia="IRNazanin" w:cs="IRNazanin"/>
          <w:color w:val="111111"/>
          <w:sz w:val="28"/>
          <w:szCs w:val="28"/>
          <w:rtl w:val="true"/>
          <w:lang w:bidi="fa-IR"/>
        </w:rPr>
        <w:t>.</w:t>
      </w:r>
      <w:r>
        <w:rPr>
          <w:rStyle w:val="FootnoteAnchor"/>
          <w:rtl w:val="true"/>
        </w:rPr>
        <w:footnoteReference w:id="376"/>
      </w:r>
      <w:bookmarkStart w:id="449" w:name="pg1814_19127"/>
    </w:p>
    <w:p>
      <w:pPr>
        <w:pStyle w:val="Heading5"/>
        <w:numPr>
          <w:ilvl w:val="4"/>
          <w:numId w:val="1"/>
        </w:numPr>
        <w:rPr/>
      </w:pPr>
      <w:bookmarkStart w:id="450" w:name="__RefHeading___Toc2647349_3650668749"/>
      <w:bookmarkStart w:id="451" w:name="_Toc163"/>
      <w:bookmarkEnd w:id="449"/>
      <w:bookmarkEnd w:id="450"/>
      <w:r>
        <w:rPr>
          <w:rtl w:val="true"/>
        </w:rPr>
        <w:t>سازوكار مشاركت مردم در حكومت مهدوي</w:t>
      </w:r>
      <w:bookmarkEnd w:id="451"/>
    </w:p>
    <w:p>
      <w:pPr>
        <w:pStyle w:val="Heading6"/>
        <w:numPr>
          <w:ilvl w:val="5"/>
          <w:numId w:val="1"/>
        </w:numPr>
        <w:rPr/>
      </w:pPr>
      <w:bookmarkStart w:id="452" w:name="__RefHeading___Toc2647351_3650668749"/>
      <w:bookmarkStart w:id="453" w:name="_Toc164"/>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با پافشاري اسلام بر عنصر آزادي و اختيار آدمي، نقش مردم در تشكيل حكومت مهدوي در قالب سازوكار‌هاي ويژه‌اي آشكار مي‌شود كه برجسته‌ترين آنها بيعت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مقبوليت و پذيرش مردمي در حكومت اسلامي در قالب سازوكار بيعت پديد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از مفاهيم شاخص در فرهنگ سياسي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براي گرفتن بيعت و يا آشفتگي به سبب شكستن آن، همواره بخش مهمي از تاريخ سياسي اسلام را رقم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عربي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خريد و فروش و ايجاب و پذيرش بيع و در اصطلاح برهم‌زدن كف دست راست از طرفين معامله به نشانه پايان دادوستد است و نيز به هر عمل و رفتاري اطلاق مي‌شود كه شخص به وسيلة آن فرمانبرداري خود را از شخص ديگر و سرسپردگي در برابر امر و سلطه او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ازاين‌رو است كه هر يك از دو طرف، تعهّدي همچون دو معامله‌گر در برابر ديگري مي‌كنند؛ بيعت‌كننده حاضر مي‌شود تا پاي جان و مال و فرزند در راه فرمانبرداريِ او بايستد و بيعت‌پذير نيز حمايت و دفاع او را بر عهده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در معناي خاص، اصطلاحي سياسي ـ حقوقي است كه توسط تمام يا گروهي از مردم و رهبر سياسي آنها به وجود مي‌آيد و رابطه‌اي اخلاقي، حقوقي و سياسي بين مردم و رهبر سياسي آنهاست كه مفاد آن را تعهد به فرمانبرداري و پيروي مردم از رهبرشان تشكيل مي‌دهد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بيعت، سنّتي بود كه پيش از اسلام، ميان عرب رواج داشت؛ به همين دليل در آغاز اسلام كه طائفة اوس و خزرج هنگام حج از مدينه به مكه آمدند و با پيامبر اسلام صلي الله عليه و آله وسلم در عقبه بيعت كردند، برخورد آن‌ها با مسأله بيعت، برخورد با يك امر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پيغمبر گرامي اسلام صلي الله عليه و آله وسلم در فرصت‌هاي گوناگون، با مسلمانان تجديد بيعت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آيه در بارة بيعت نازل شده است كه دو آيه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فتح،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ششم هجرت در بارة بيعت حديبيه است كه به نام‌هاي بيعت رضوان و بيعت شجره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اول، بيعت با پيامبر صلي الله عليه و آله وسلم را به منزله بيعت با خداوند قرار داده و به اين صورت تاييد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ممتحنه،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بيعت زنان با پيامبر اكرم صلي الله عليه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فتح مكه نازل شد و بيانگر نحوة بيعت زنان با پيامبر اسلام مي‌باشد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بحث‌هاي مربوط به بيعت دامنه‌اي دراز دارد، اما در اينجا به برخي از مباحث كلي آن به اجمال و گذرا اشاره مي‌شود</w:t>
      </w:r>
      <w:r>
        <w:rPr>
          <w:rFonts w:eastAsia="IRNazanin" w:cs="IRNazanin"/>
          <w:color w:val="111111"/>
          <w:sz w:val="28"/>
          <w:szCs w:val="28"/>
          <w:rtl w:val="true"/>
          <w:lang w:bidi="fa-IR"/>
        </w:rPr>
        <w:t>:</w:t>
      </w:r>
      <w:bookmarkStart w:id="454" w:name="pg1814_19129"/>
    </w:p>
    <w:p>
      <w:pPr>
        <w:pStyle w:val="Heading6"/>
        <w:numPr>
          <w:ilvl w:val="5"/>
          <w:numId w:val="1"/>
        </w:numPr>
        <w:rPr/>
      </w:pPr>
      <w:bookmarkStart w:id="455" w:name="__RefHeading___Toc2647353_3650668749"/>
      <w:bookmarkStart w:id="456" w:name="_Toc165"/>
      <w:bookmarkEnd w:id="454"/>
      <w:bookmarkEnd w:id="455"/>
      <w:r>
        <w:rPr>
          <w:rtl w:val="true"/>
        </w:rPr>
        <w:t>پايه‌هاي بيعت</w:t>
      </w:r>
      <w:bookmarkEnd w:id="456"/>
    </w:p>
    <w:p>
      <w:pPr>
        <w:pStyle w:val="BookText"/>
        <w:rPr/>
      </w:pPr>
      <w:r>
        <w:rPr>
          <w:rFonts w:ascii="IRNazanin" w:hAnsi="IRNazanin" w:eastAsia="IRNazanin"/>
          <w:color w:val="111111"/>
          <w:sz w:val="28"/>
          <w:sz w:val="28"/>
          <w:szCs w:val="28"/>
          <w:rtl w:val="true"/>
          <w:lang w:bidi="fa-IR"/>
        </w:rPr>
        <w:t>بيعت داراي سه پاية مهم و نقش‌آفرين است كه نبود هر يك از آن‌ها سبب پديدنيامدن آن مي‌شود، آن سه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كسي كه با او بيعت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آنجايي كه مردم براي بيعت به دو صورت ممكن است وارد بيعت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خود آنها به صورت مستقيم براي بيعت كردن بيايند كه طرف مقابل بيعت‌شونده خواهد بود و گاهي ديگري مانند حاكمي براي حاكم پس از خود بيعت مي‌گيرد كه بهتر است به او بيعت گيرنده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نخست به حقيقت بيعت نزديك‌تر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بيعت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محتواي بيعت كه طرفين بر آن اتفاق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كه بيعت نيز همانند هر نوع رفتار حقوقي ديگر نيازمند موضوع و محتوا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محتوا به طور عموم فرمان‌برداري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فرمان‌برداري در نظام‌هاي مختلف داراي ابعاد و گسترة متفاوتي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در نظام سياسي اسلام ناگزير داراي شرايطي است كه هر يك در جاي خود داراي اهميت و نيازمند بررسي‌هاي گسترده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خشنودي خداوند بودن، هماهنگي با شريعت و رعايت مصالح اسلام و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كه بر پاية مفاد بيعت، با بيعت شونده بيعت مي‌كنند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معمول فراوانند؛ بر خلاف كسي كه با او بيعت مي‌شود كه به گواهي تاريخ همواره يك نفر بوده است</w:t>
      </w:r>
      <w:r>
        <w:rPr>
          <w:rFonts w:eastAsia="IRNazanin" w:cs="IRNazanin"/>
          <w:color w:val="111111"/>
          <w:sz w:val="28"/>
          <w:szCs w:val="28"/>
          <w:rtl w:val="true"/>
          <w:lang w:bidi="fa-IR"/>
        </w:rPr>
        <w:t>.</w:t>
      </w:r>
      <w:bookmarkStart w:id="457" w:name="pg1814_19131"/>
    </w:p>
    <w:p>
      <w:pPr>
        <w:pStyle w:val="Heading6"/>
        <w:numPr>
          <w:ilvl w:val="5"/>
          <w:numId w:val="1"/>
        </w:numPr>
        <w:rPr/>
      </w:pPr>
      <w:bookmarkStart w:id="458" w:name="__RefHeading___Toc2647355_3650668749"/>
      <w:bookmarkStart w:id="459" w:name="_Toc166"/>
      <w:bookmarkEnd w:id="457"/>
      <w:bookmarkEnd w:id="458"/>
      <w:r>
        <w:rPr>
          <w:rtl w:val="true"/>
        </w:rPr>
        <w:t>چگونگي و چيستي بيعت</w:t>
      </w:r>
      <w:bookmarkEnd w:id="459"/>
    </w:p>
    <w:p>
      <w:pPr>
        <w:pStyle w:val="BookText"/>
        <w:rPr/>
      </w:pPr>
      <w:r>
        <w:rPr>
          <w:rFonts w:ascii="IRNazanin" w:hAnsi="IRNazanin" w:eastAsia="IRNazanin"/>
          <w:color w:val="111111"/>
          <w:sz w:val="28"/>
          <w:sz w:val="28"/>
          <w:szCs w:val="28"/>
          <w:rtl w:val="true"/>
          <w:lang w:bidi="fa-IR"/>
        </w:rPr>
        <w:t xml:space="preserve">پديد‌آمدن بيعت و ابراز ارادة دو سوي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بيعت‌شونده و بيعت‌كننده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انجام آن، مي‌تواند به هر كار يا سخني كه به طور عرفي دلالت بر اراده آن‌ها بر اين امر داشته، و ناهمگوني با احكام شريعت نداشته باشد،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است كه شكل انجام آن توسط معصومان عليهم السلام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مختلفي داشته و گاهي با عمل و زماني با سخن و گفتار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انجام آن با زنان به گونه‌اي غير از مردان بوده است، زيرا برخي از شيوه‌هاي بيعت با مردان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مشروع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بيعت با آن‌ها گاهي با گفتار و گاهي با دست‌دادن از روي لباس و زماني نيز با فروبردن دست در آب،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هيچ يك از اين اشكال، موضوعيت ندارد و آن چه مهم است ابراز اراده طرفين به طريقي مفيد و مشروع،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ماهيت سياسي ـ اجتماعي بيعت ناشي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بيعت، قراردادي دو سويه است كه از يك سو بيعت‌كننده كه اعلام فرمان‌برداري و پيروي مي‌كند و از سوي ديگر، بيعت‌پذيرنده كه حمايت و دفاع از بيعت‌كننده را برعهده مي‌گيرد و يك معاهده دو سويه است كه هركدام نسبت به ديگري تعهدي را مي‌پذيرند تا در ميان هم‌ديگر آن تعهد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ماهيت بيعت، يك نوع قرارداد و معاهده ميان بيعت‌كننده از يك‌سو و بيعت‌پذير از سوي ديگر است، و محتواي آن فرمان‌برداري و پيروي و حمايت و دفاع از بيعت‌شونده است و بر طبق شرايطي كه يادآوري مي‌كنند درجات مختلفي دارد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همان گونه كه پيش از اين نيز گفته شد در بارة پيامبر اسلام صلي الله عليه و آله و سلم ‌و امامان معصوم عليهم السلام ـ كه از سوي خدا نصب مي‌شوند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بيعت نيازي نيست؛ يعني فرمان‌برداري پيامبر صلي الله عليه و آله وسلم و امام معصوم عليه السلام منصوب از سوي او، واجب است؛ چه بر كساني كه بيعت كرده‌اند و چه با آنان بيعت نكرده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لازمة مقام نبوّت و امامت، وجوب فرمانبرداري است؛ همان‌گونه كه قرآن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اَيُّها الَّذِينَ آمَنُوا اَطيعُوا اللّهَ وَاَطِيعُوا الرَّسُولَ وَأُولِي الاَمْرِ مِنْكُمْ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 xml:space="preserve">‌اي كساني كه ايمان آورده‌ايد خدا را فرمانبرداري كنيد و پيامبر و اولياي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پرسش پيش مي‌آيد كه اگر چنين است، چرا پيامبر صلي الله عليه و آله از ياران خود يا تازه‌مسلمانان، بيعت گرفت؟</w:t>
      </w:r>
    </w:p>
    <w:p>
      <w:pPr>
        <w:pStyle w:val="BookText"/>
        <w:rPr/>
      </w:pPr>
      <w:r>
        <w:rPr>
          <w:rFonts w:ascii="IRNazanin" w:hAnsi="IRNazanin" w:eastAsia="IRNazanin"/>
          <w:color w:val="111111"/>
          <w:sz w:val="28"/>
          <w:sz w:val="28"/>
          <w:szCs w:val="28"/>
          <w:rtl w:val="true"/>
          <w:lang w:bidi="fa-IR"/>
        </w:rPr>
        <w:t>پاسخ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اين بيعت‌ها يك نوع يادآوري و پافشاري بر وفاداري بوده كه در زمان‌هاي ويژه انجام مي‌شده است؛ به ويژه هنگام بحران‌ها و حوادث كه نيازمند پاي‌بندي به قرارداد است، تا در ساية آن، از بحران و حوادث به خوبي گذر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بيعت با حضرت مهدي عجل الله‌ فرجه‌ نيز چنين خواهد بود كه بيعت، پافشاري بر وفاداري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كارهاي نخست حضرت مهدي عليه السلام هنگام ظهور، بيعت با ياران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بيعت، در مسجد الحرام و بين ركن و مقام صورت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روايات كه در جوامع روايي شيعه و اهل سنت،</w:t>
      </w:r>
      <w:r>
        <w:rPr>
          <w:rStyle w:val="FootnoteAnchor"/>
          <w:rtl w:val="true"/>
        </w:rPr>
        <w:footnoteReference w:id="380"/>
      </w:r>
      <w:r>
        <w:rPr>
          <w:rFonts w:ascii="IRNazanin" w:hAnsi="IRNazanin" w:eastAsia="IRNazanin"/>
          <w:color w:val="111111"/>
          <w:sz w:val="28"/>
          <w:sz w:val="28"/>
          <w:szCs w:val="28"/>
          <w:rtl w:val="true"/>
          <w:lang w:bidi="fa-IR"/>
        </w:rPr>
        <w:t>فراوان بازتاب يافته به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مختلفي به اين رخ‌داد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اشاره خواهد شد كه برخي از اين روايت با پافشاري بر اينكه همة كارهاي اين اتفاق به گونة عادي نخواهد بود؛ گفته شده، نخستين بيعت‌كننده با حضرت مهدي عجل الله‌ فرجه، جبرئيل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بيعت ويژه، حضرت مهدي عجل الله فرجه با ديگر ياران خود بيعت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بيان شد در يك جمع‌بندي برخي ويژگي‌هاي بيعت در فلسفة سياسي اسلام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بيعت در آموزه‌هاي راستين اسلام، پيماني است بر پاية آموزه‌هاي شرعي و در حقيقت عهد و پيمان با خداوند است،</w:t>
      </w:r>
      <w:r>
        <w:rPr>
          <w:rStyle w:val="FootnoteAnchor"/>
          <w:rtl w:val="true"/>
        </w:rPr>
        <w:footnoteReference w:id="381"/>
      </w:r>
      <w:r>
        <w:rPr>
          <w:rFonts w:ascii="IRNazanin" w:hAnsi="IRNazanin" w:eastAsia="IRNazanin"/>
          <w:color w:val="111111"/>
          <w:sz w:val="28"/>
          <w:sz w:val="28"/>
          <w:szCs w:val="28"/>
          <w:rtl w:val="true"/>
          <w:lang w:bidi="fa-IR"/>
        </w:rPr>
        <w:t>هر چند در آشكار دست در دست ولي خدا مي‌گذارد و با او بيعت مي‌كنند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بيعت سازوكار و ماهيت امضايي دارد و نه پديدآورنده، بدين معنا كه كاركرد بيعت در جهت پذيرش مردمي و مقبوليت حكومت است و مشروعيت براي حكومت اسلامي به ارمغان نمي‌آورد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لحاظ حقوقي در انجام بيعت و رفتار بر پايه مفاد آن آزاد هستند و بيعت در نظام سياسي اسلام اختياري است و برآمدة خواست دو طرف بيعت است</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بنابراين، ضمانت اجرايي دنيوي ندارد، به اين معنا كه اگر كسي برخلاف پيمان خود عمل كند، به مانند پيمان‌شكنان بازخواست و كيفر دنيوي ندارد، ـ مگر اينكه پيش‌تر براي آن پيش‌بيني شده باشد، ـ هرچند كه به جهت شكستن پيمان از گزند عذاب اخروي در امان نيست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بيعت‌شونده بايد منصوب از طرف خداوند و خشنود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بيعت با انسان فاسق پديد نخواهد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و محتواي بيعت از نگاه شرعي روا و جايز</w:t>
      </w:r>
      <w:r>
        <w:rPr>
          <w:rStyle w:val="FootnoteAnchor"/>
          <w:rtl w:val="true"/>
        </w:rPr>
        <w:footnoteReference w:id="385"/>
      </w:r>
      <w:r>
        <w:rPr>
          <w:rFonts w:ascii="IRNazanin" w:hAnsi="IRNazanin" w:eastAsia="IRNazanin"/>
          <w:color w:val="111111"/>
          <w:sz w:val="28"/>
          <w:sz w:val="28"/>
          <w:szCs w:val="28"/>
          <w:rtl w:val="true"/>
          <w:lang w:bidi="fa-IR"/>
        </w:rPr>
        <w:t>و در عمل، شدني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روايات پيامبر اكرم صلي الله عليه و آله وسلم در هنگام بيعت پافشاري بر آموزش اين امر به بيعت‌كنندگان داشتند</w:t>
      </w:r>
      <w:r>
        <w:rPr>
          <w:rFonts w:eastAsia="IRNazanin" w:cs="IRNazanin"/>
          <w:color w:val="111111"/>
          <w:sz w:val="28"/>
          <w:szCs w:val="28"/>
          <w:rtl w:val="true"/>
          <w:lang w:bidi="fa-IR"/>
        </w:rPr>
        <w:t>.</w:t>
      </w:r>
      <w:r>
        <w:rPr>
          <w:rStyle w:val="FootnoteAnchor"/>
          <w:rtl w:val="true"/>
        </w:rPr>
        <w:footnoteReference w:id="38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با دقت در روش پيشوايان معصوم عليهم السلام به دست مي‌آيد كه اگر شخص داراي شرايط با روي‌آوري عمومي مردم، زمام امور رهبري جامعه اسلامي را به دست گرفت، حتي بر كساني كه با او بيعت نكرده‌اند، لازم است كه از او پيروي كنند و برابر او نايستند</w:t>
      </w:r>
      <w:r>
        <w:rPr>
          <w:rFonts w:eastAsia="IRNazanin" w:cs="IRNazanin"/>
          <w:color w:val="111111"/>
          <w:sz w:val="28"/>
          <w:szCs w:val="28"/>
          <w:rtl w:val="true"/>
          <w:lang w:bidi="fa-IR"/>
        </w:rPr>
        <w:t>.</w:t>
      </w:r>
      <w:bookmarkStart w:id="460" w:name="pg1814_19133"/>
    </w:p>
    <w:p>
      <w:pPr>
        <w:pStyle w:val="Heading6"/>
        <w:numPr>
          <w:ilvl w:val="5"/>
          <w:numId w:val="1"/>
        </w:numPr>
        <w:rPr/>
      </w:pPr>
      <w:bookmarkStart w:id="461" w:name="__RefHeading___Toc2647357_3650668749"/>
      <w:bookmarkStart w:id="462" w:name="_Toc167"/>
      <w:bookmarkEnd w:id="460"/>
      <w:bookmarkEnd w:id="461"/>
      <w:r>
        <w:rPr>
          <w:rtl w:val="true"/>
        </w:rPr>
        <w:t>آثار بيعت</w:t>
      </w:r>
      <w:bookmarkEnd w:id="462"/>
    </w:p>
    <w:p>
      <w:pPr>
        <w:pStyle w:val="Heading6"/>
        <w:numPr>
          <w:ilvl w:val="5"/>
          <w:numId w:val="1"/>
        </w:numPr>
        <w:rPr/>
      </w:pPr>
      <w:bookmarkStart w:id="463" w:name="__RefHeading___Toc2647359_3650668749"/>
      <w:bookmarkStart w:id="464" w:name="_Toc168"/>
      <w:bookmarkEnd w:id="463"/>
      <w:r>
        <w:rPr>
          <w:rtl w:val="true"/>
        </w:rPr>
        <w:t>اشاره</w:t>
      </w:r>
      <w:bookmarkEnd w:id="46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مي‌رسد كه بيعت برخي از ويژگي‌هاي بيعت‌كننده و بيعت‌شونده را آشكار مي‌كند كه به مواردي اشاره مي‌شود</w:t>
      </w:r>
      <w:r>
        <w:rPr>
          <w:rFonts w:eastAsia="IRNazanin" w:cs="IRNazanin"/>
          <w:color w:val="111111"/>
          <w:sz w:val="28"/>
          <w:szCs w:val="28"/>
          <w:rtl w:val="true"/>
          <w:lang w:bidi="fa-IR"/>
        </w:rPr>
        <w:t>:</w:t>
      </w:r>
      <w:bookmarkStart w:id="465" w:name="pg1814_19135"/>
    </w:p>
    <w:p>
      <w:pPr>
        <w:pStyle w:val="Heading6"/>
        <w:numPr>
          <w:ilvl w:val="5"/>
          <w:numId w:val="1"/>
        </w:numPr>
        <w:rPr/>
      </w:pPr>
      <w:bookmarkStart w:id="466" w:name="__RefHeading___Toc2647361_3650668749"/>
      <w:bookmarkStart w:id="467" w:name="_Toc169"/>
      <w:bookmarkEnd w:id="465"/>
      <w:bookmarkEnd w:id="466"/>
      <w:r>
        <w:rPr/>
        <w:t>1</w:t>
      </w:r>
      <w:r>
        <w:rPr>
          <w:rtl w:val="true"/>
        </w:rPr>
        <w:t xml:space="preserve">. </w:t>
      </w:r>
      <w:r>
        <w:rPr>
          <w:rtl w:val="true"/>
        </w:rPr>
        <w:t>اظهار آمادگي</w:t>
      </w:r>
      <w:bookmarkEnd w:id="467"/>
    </w:p>
    <w:p>
      <w:pPr>
        <w:pStyle w:val="BookText"/>
        <w:rPr/>
      </w:pPr>
      <w:r>
        <w:rPr>
          <w:rFonts w:ascii="IRNazanin" w:hAnsi="IRNazanin" w:eastAsia="IRNazanin"/>
          <w:color w:val="111111"/>
          <w:sz w:val="28"/>
          <w:sz w:val="28"/>
          <w:szCs w:val="28"/>
          <w:rtl w:val="true"/>
          <w:lang w:bidi="fa-IR"/>
        </w:rPr>
        <w:t>همان‌گونه كه پيش‌از اين ياد شد در حقيقت بيعت ابراز آمادگي قلبي براي انجام دستورات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مرتضي مطهري در اين باره مي‌گويد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مي‌رسد بيعت در بعضي موارد صرفاً اعتراف و اظهار آمادگي است، قول وجداني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بيعتي كه پيغمبر اكرم صلي الله عليه و آله، گرفت از اين‌رو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شخص بيعت نكرده، فقط همان وظيفه كلي است كه قابل تفسير و تأويل است ولي با بيعت، شخص به طور مشخص اعتراف مي‌كند به طرف و مطلب از ابهام خارج مي‌شود و بعد هم وجدان خود را نيز گرو مي‌گذارد و بعيد نيست كه شرعاً نيز الزامي فوق الزام اولي ايجاد كند</w:t>
      </w:r>
      <w:r>
        <w:rPr>
          <w:rFonts w:eastAsia="IRNazanin" w:cs="IRNazanin"/>
          <w:color w:val="111111"/>
          <w:sz w:val="28"/>
          <w:szCs w:val="28"/>
          <w:rtl w:val="true"/>
          <w:lang w:bidi="fa-IR"/>
        </w:rPr>
        <w:t xml:space="preserve">. </w:t>
      </w:r>
      <w:r>
        <w:rPr>
          <w:rStyle w:val="FootnoteAnchor"/>
          <w:rtl w:val="true"/>
        </w:rPr>
        <w:footnoteReference w:id="387"/>
      </w:r>
      <w:bookmarkStart w:id="468" w:name="pg1814_19136"/>
    </w:p>
    <w:p>
      <w:pPr>
        <w:pStyle w:val="Heading6"/>
        <w:numPr>
          <w:ilvl w:val="5"/>
          <w:numId w:val="1"/>
        </w:numPr>
        <w:rPr/>
      </w:pPr>
      <w:bookmarkStart w:id="469" w:name="__RefHeading___Toc2647363_3650668749"/>
      <w:bookmarkStart w:id="470" w:name="_Toc170"/>
      <w:bookmarkEnd w:id="468"/>
      <w:bookmarkEnd w:id="469"/>
      <w:r>
        <w:rPr/>
        <w:t>2</w:t>
      </w:r>
      <w:r>
        <w:rPr>
          <w:rtl w:val="true"/>
        </w:rPr>
        <w:t xml:space="preserve">. </w:t>
      </w:r>
      <w:r>
        <w:rPr>
          <w:rtl w:val="true"/>
        </w:rPr>
        <w:t>پذيرش ولايت</w:t>
      </w:r>
      <w:bookmarkEnd w:id="470"/>
    </w:p>
    <w:p>
      <w:pPr>
        <w:pStyle w:val="BookText"/>
        <w:rPr/>
      </w:pPr>
      <w:r>
        <w:rPr>
          <w:rFonts w:ascii="IRNazanin" w:hAnsi="IRNazanin" w:eastAsia="IRNazanin"/>
          <w:color w:val="111111"/>
          <w:sz w:val="28"/>
          <w:sz w:val="28"/>
          <w:szCs w:val="28"/>
          <w:rtl w:val="true"/>
          <w:lang w:bidi="fa-IR"/>
        </w:rPr>
        <w:t>بيعت زمينه را همواره مي‌كند تا امام بتواند به خوبي اعمال ولايت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مي‌توان گفت كه بيعت در عصر حضور فقط يك وظيفه ديني ـ سياسي براي فراهم‌كردن زمينه و پديد‌آوردن سرپرستي پيشواي معصوم است و نبايد پنداشت كه امام با بيعت به سرپرستي جامعه برگزيده مي‌شود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بيعت سبب پديدآمدن ولايت براي كساني كه ولايت ندارند، نيست؛ بلكه شرط پديدارشدن ولايت، براي كساني است كه ولايت شرعي آن‌ها ثابت شده است</w:t>
      </w:r>
      <w:r>
        <w:rPr>
          <w:rFonts w:eastAsia="IRNazanin" w:cs="IRNazanin"/>
          <w:color w:val="111111"/>
          <w:sz w:val="28"/>
          <w:szCs w:val="28"/>
          <w:rtl w:val="true"/>
          <w:lang w:bidi="fa-IR"/>
        </w:rPr>
        <w:t>.</w:t>
      </w:r>
      <w:bookmarkStart w:id="471" w:name="pg1814_19138"/>
    </w:p>
    <w:p>
      <w:pPr>
        <w:pStyle w:val="Heading6"/>
        <w:numPr>
          <w:ilvl w:val="5"/>
          <w:numId w:val="1"/>
        </w:numPr>
        <w:rPr/>
      </w:pPr>
      <w:bookmarkStart w:id="472" w:name="__RefHeading___Toc2647365_3650668749"/>
      <w:bookmarkStart w:id="473" w:name="_Toc171"/>
      <w:bookmarkEnd w:id="471"/>
      <w:bookmarkEnd w:id="472"/>
      <w:r>
        <w:rPr/>
        <w:t>3</w:t>
      </w:r>
      <w:r>
        <w:rPr>
          <w:rtl w:val="true"/>
        </w:rPr>
        <w:t xml:space="preserve">. </w:t>
      </w:r>
      <w:r>
        <w:rPr>
          <w:rtl w:val="true"/>
        </w:rPr>
        <w:t>يادآوري وظيفه</w:t>
      </w:r>
      <w:bookmarkEnd w:id="47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بيعت سبب مي‌شود كه مردم احساس وظيفه كنند مانند پيماني كه از كسي گرفته مي‌شود براي كاري كه به وي واجب بوده است و بايد انجام مي‌داد، ولي باز پيمان از وي مي‌گيرند تا به وظيفه خود عمل كند</w:t>
      </w:r>
      <w:r>
        <w:rPr>
          <w:rFonts w:eastAsia="IRNazanin" w:cs="IRNazanin"/>
          <w:color w:val="111111"/>
          <w:sz w:val="28"/>
          <w:szCs w:val="28"/>
          <w:rtl w:val="true"/>
          <w:lang w:bidi="fa-IR"/>
        </w:rPr>
        <w:t>.</w:t>
      </w:r>
      <w:bookmarkStart w:id="474" w:name="pg1814_19140"/>
    </w:p>
    <w:p>
      <w:pPr>
        <w:pStyle w:val="Heading6"/>
        <w:numPr>
          <w:ilvl w:val="5"/>
          <w:numId w:val="1"/>
        </w:numPr>
        <w:rPr/>
      </w:pPr>
      <w:bookmarkStart w:id="475" w:name="__RefHeading___Toc2647367_3650668749"/>
      <w:bookmarkStart w:id="476" w:name="_Toc172"/>
      <w:bookmarkEnd w:id="474"/>
      <w:bookmarkEnd w:id="475"/>
      <w:r>
        <w:rPr/>
        <w:t>4</w:t>
      </w:r>
      <w:r>
        <w:rPr>
          <w:rtl w:val="true"/>
        </w:rPr>
        <w:t xml:space="preserve">. </w:t>
      </w:r>
      <w:r>
        <w:rPr>
          <w:rtl w:val="true"/>
        </w:rPr>
        <w:t>تأكيد بر وفاداري</w:t>
      </w:r>
      <w:bookmarkEnd w:id="476"/>
    </w:p>
    <w:p>
      <w:pPr>
        <w:pStyle w:val="BookText"/>
        <w:rPr/>
      </w:pPr>
      <w:r>
        <w:rPr>
          <w:rFonts w:ascii="IRNazanin" w:hAnsi="IRNazanin" w:eastAsia="IRNazanin"/>
          <w:color w:val="111111"/>
          <w:sz w:val="28"/>
          <w:sz w:val="28"/>
          <w:szCs w:val="28"/>
          <w:rtl w:val="true"/>
          <w:lang w:bidi="fa-IR"/>
        </w:rPr>
        <w:t>بيعت، تبلور وفاداري مردم است تا آمادگي خود را براي در اختيارقراردادن همة توان‌مندي‌هاي خود براي امام اعلام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عصر پيامبر اكرم صلي الله عليه و آله اين‌گونه بوده است</w:t>
      </w:r>
      <w:r>
        <w:rPr>
          <w:rFonts w:eastAsia="IRNazanin" w:cs="IRNazanin"/>
          <w:color w:val="111111"/>
          <w:sz w:val="28"/>
          <w:szCs w:val="28"/>
          <w:rtl w:val="true"/>
          <w:lang w:bidi="fa-IR"/>
        </w:rPr>
        <w:t>.</w:t>
      </w:r>
      <w:r>
        <w:rPr>
          <w:rStyle w:val="FootnoteAnchor"/>
          <w:rtl w:val="true"/>
        </w:rPr>
        <w:footnoteReference w:id="38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مي‌توان گفت كه در عهد حضور، بيعت نفياً و اثباتاً در امامت نقشي ندارد و فقط براي فراهم‌كردن توان و قدرت اجرايي نقش دارد و بيعت‌كنندگان به حكم وظيفه بايد تمامي امكانات خود را در اختيار امام زمان عليه السلام قرار دهند و همة توان خود را در راه اسلام هديه كنند</w:t>
      </w:r>
      <w:r>
        <w:rPr>
          <w:rFonts w:eastAsia="IRNazanin" w:cs="IRNazanin"/>
          <w:color w:val="111111"/>
          <w:sz w:val="28"/>
          <w:szCs w:val="28"/>
          <w:rtl w:val="true"/>
          <w:lang w:bidi="fa-IR"/>
        </w:rPr>
        <w:t>.</w:t>
      </w:r>
      <w:bookmarkStart w:id="477" w:name="pg1814_19142"/>
    </w:p>
    <w:p>
      <w:pPr>
        <w:pStyle w:val="Heading6"/>
        <w:numPr>
          <w:ilvl w:val="5"/>
          <w:numId w:val="1"/>
        </w:numPr>
        <w:rPr/>
      </w:pPr>
      <w:bookmarkStart w:id="478" w:name="__RefHeading___Toc2647369_3650668749"/>
      <w:bookmarkStart w:id="479" w:name="_Toc173"/>
      <w:bookmarkEnd w:id="477"/>
      <w:bookmarkEnd w:id="478"/>
      <w:r>
        <w:rPr>
          <w:rtl w:val="true"/>
        </w:rPr>
        <w:t>بيعت با امام مهدي عليه السلام، از نگاه روايات</w:t>
      </w:r>
      <w:bookmarkEnd w:id="479"/>
    </w:p>
    <w:p>
      <w:pPr>
        <w:pStyle w:val="Heading6"/>
        <w:numPr>
          <w:ilvl w:val="5"/>
          <w:numId w:val="1"/>
        </w:numPr>
        <w:rPr/>
      </w:pPr>
      <w:bookmarkStart w:id="480" w:name="__RefHeading___Toc2647371_3650668749"/>
      <w:bookmarkStart w:id="481" w:name="_Toc174"/>
      <w:bookmarkEnd w:id="480"/>
      <w:r>
        <w:rPr>
          <w:rtl w:val="true"/>
        </w:rPr>
        <w:t>اشاره</w:t>
      </w:r>
      <w:bookmarkEnd w:id="48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مربوط به بيعت با حضرت مهدي عليه السلام، از جهت معنا و مفهوم متواتر است؛ بنابراين در اثبات اصل اين اتفاق نيازمند بررسي در روايات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كه با شمار گوناگون در منابع شيعه و اهل سنت نقل شده است به طور عمده به موضوعات زير اشاره د‌ارند</w:t>
      </w:r>
      <w:r>
        <w:rPr>
          <w:rFonts w:eastAsia="IRNazanin" w:cs="IRNazanin"/>
          <w:color w:val="111111"/>
          <w:sz w:val="28"/>
          <w:szCs w:val="28"/>
          <w:rtl w:val="true"/>
          <w:lang w:bidi="fa-IR"/>
        </w:rPr>
        <w:t>:</w:t>
      </w:r>
      <w:bookmarkStart w:id="482" w:name="pg1814_19143"/>
    </w:p>
    <w:p>
      <w:pPr>
        <w:pStyle w:val="Heading6"/>
        <w:numPr>
          <w:ilvl w:val="5"/>
          <w:numId w:val="1"/>
        </w:numPr>
        <w:rPr/>
      </w:pPr>
      <w:bookmarkStart w:id="483" w:name="__RefHeading___Toc2647373_3650668749"/>
      <w:bookmarkStart w:id="484" w:name="_Toc175"/>
      <w:bookmarkEnd w:id="482"/>
      <w:bookmarkEnd w:id="483"/>
      <w:r>
        <w:rPr/>
        <w:t>1</w:t>
      </w:r>
      <w:r>
        <w:rPr>
          <w:rtl w:val="true"/>
        </w:rPr>
        <w:t xml:space="preserve">. </w:t>
      </w:r>
      <w:r>
        <w:rPr>
          <w:rtl w:val="true"/>
        </w:rPr>
        <w:t>بيعت‌كنندگان</w:t>
      </w:r>
      <w:bookmarkEnd w:id="484"/>
    </w:p>
    <w:p>
      <w:pPr>
        <w:pStyle w:val="Heading6"/>
        <w:numPr>
          <w:ilvl w:val="5"/>
          <w:numId w:val="1"/>
        </w:numPr>
        <w:rPr/>
      </w:pPr>
      <w:bookmarkStart w:id="485" w:name="__RefHeading___Toc2647375_3650668749"/>
      <w:bookmarkStart w:id="486" w:name="_Toc176"/>
      <w:bookmarkEnd w:id="485"/>
      <w:r>
        <w:rPr>
          <w:rtl w:val="true"/>
        </w:rPr>
        <w:t>اشاره</w:t>
      </w:r>
      <w:bookmarkEnd w:id="48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دسته روايات به كساني اشاره كرده كه در بيعت با آن حضرت شركت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به دو دسته تقسيم مي‌شوند</w:t>
      </w:r>
      <w:r>
        <w:rPr>
          <w:rFonts w:eastAsia="Amiri" w:cs="Amiri" w:ascii="Amiri" w:hAnsi="Amiri"/>
          <w:color w:val="111111"/>
          <w:sz w:val="28"/>
          <w:szCs w:val="28"/>
          <w:rtl w:val="true"/>
          <w:lang w:bidi="ar-SA"/>
        </w:rPr>
        <w:t>:</w:t>
      </w:r>
      <w:bookmarkStart w:id="487" w:name="pg1814_19145"/>
    </w:p>
    <w:p>
      <w:pPr>
        <w:pStyle w:val="Heading6"/>
        <w:numPr>
          <w:ilvl w:val="5"/>
          <w:numId w:val="1"/>
        </w:numPr>
        <w:rPr/>
      </w:pPr>
      <w:bookmarkStart w:id="488" w:name="__RefHeading___Toc2647377_3650668749"/>
      <w:bookmarkStart w:id="489" w:name="_Toc177"/>
      <w:bookmarkEnd w:id="487"/>
      <w:bookmarkEnd w:id="488"/>
      <w:r>
        <w:rPr/>
        <w:t>1</w:t>
      </w:r>
      <w:r>
        <w:rPr>
          <w:rtl w:val="true"/>
        </w:rPr>
        <w:t>ـ</w:t>
      </w:r>
      <w:r>
        <w:rPr/>
        <w:t>1</w:t>
      </w:r>
      <w:r>
        <w:rPr>
          <w:rtl w:val="true"/>
        </w:rPr>
        <w:t xml:space="preserve">. </w:t>
      </w:r>
      <w:r>
        <w:rPr>
          <w:rtl w:val="true"/>
        </w:rPr>
        <w:t>بيعت جبرئيل فرشتة وحي</w:t>
      </w:r>
      <w:bookmarkEnd w:id="48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9"/>
      </w:r>
      <w:r>
        <w:rPr>
          <w:rFonts w:ascii="IRNazanin" w:hAnsi="IRNazanin" w:eastAsia="IRNazanin"/>
          <w:color w:val="111111"/>
          <w:sz w:val="28"/>
          <w:sz w:val="28"/>
          <w:szCs w:val="28"/>
          <w:rtl w:val="true"/>
          <w:lang w:bidi="fa-IR"/>
        </w:rPr>
        <w:t>در اين روايات از امين وحي با عنوان نخستين كسي كه با مهدي موعود عليه السلام بيعت مي‌كند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با تعبيرهايي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يُبَايِعُ الْقَائِمَ عليه السلام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أَوَّلَ خَلْقِ اللَّهِ مُبَايَعَةً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أَوَّلُ مَنْ يُبَايِعُهُ جَبْرَئِيلَ</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مَنْ يُبَايِعُ الْقَائِمَ جَبْرَئِيلُ</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به چشم مي‌خورد</w:t>
      </w:r>
      <w:r>
        <w:rPr>
          <w:rFonts w:eastAsia="IRNazanin" w:cs="IRNazanin"/>
          <w:color w:val="111111"/>
          <w:sz w:val="28"/>
          <w:szCs w:val="28"/>
          <w:rtl w:val="true"/>
          <w:lang w:bidi="fa-IR"/>
        </w:rPr>
        <w:t>.</w:t>
      </w:r>
      <w:bookmarkStart w:id="490" w:name="pg1814_19147"/>
    </w:p>
    <w:p>
      <w:pPr>
        <w:pStyle w:val="Heading6"/>
        <w:numPr>
          <w:ilvl w:val="5"/>
          <w:numId w:val="1"/>
        </w:numPr>
        <w:rPr/>
      </w:pPr>
      <w:bookmarkStart w:id="491" w:name="__RefHeading___Toc2647379_3650668749"/>
      <w:bookmarkStart w:id="492" w:name="_Toc178"/>
      <w:bookmarkEnd w:id="490"/>
      <w:bookmarkEnd w:id="491"/>
      <w:r>
        <w:rPr/>
        <w:t>1</w:t>
      </w:r>
      <w:r>
        <w:rPr>
          <w:rtl w:val="true"/>
        </w:rPr>
        <w:t xml:space="preserve">ـ </w:t>
      </w:r>
      <w:r>
        <w:rPr/>
        <w:t>2</w:t>
      </w:r>
      <w:r>
        <w:rPr>
          <w:rtl w:val="true"/>
        </w:rPr>
        <w:t>.</w:t>
      </w:r>
      <w:r>
        <w:rPr>
          <w:rtl w:val="true"/>
        </w:rPr>
        <w:t>بيعت ياران خاص</w:t>
      </w:r>
      <w:r>
        <w:rPr>
          <w:rtl w:val="true"/>
        </w:rPr>
        <w:t>(</w:t>
      </w:r>
      <w:r>
        <w:rPr>
          <w:rtl w:val="true"/>
        </w:rPr>
        <w:t>سيصد و سيزده نفر</w:t>
      </w:r>
      <w:r>
        <w:rPr>
          <w:rtl w:val="true"/>
        </w:rPr>
        <w:t>)</w:t>
      </w:r>
      <w:r>
        <w:rPr>
          <w:rtl w:val="true"/>
        </w:rPr>
        <w:t>؛</w:t>
      </w:r>
      <w:bookmarkEnd w:id="492"/>
    </w:p>
    <w:p>
      <w:pPr>
        <w:pStyle w:val="BookText"/>
        <w:rPr/>
      </w:pPr>
      <w:r>
        <w:rPr>
          <w:rFonts w:ascii="IRNazanin" w:hAnsi="IRNazanin" w:eastAsia="IRNazanin"/>
          <w:color w:val="111111"/>
          <w:sz w:val="28"/>
          <w:sz w:val="28"/>
          <w:szCs w:val="28"/>
          <w:rtl w:val="true"/>
          <w:lang w:bidi="fa-IR"/>
        </w:rPr>
        <w:t>آنچه در بيعت با امام مهدي عليه السلام داراي اهميت است بيعت ياران، ياوران و مردم با مهدي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با تعبيرهايي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يبايع بين الركن و المقام ثلاثمأة و نيف عدة اهل بدر</w:t>
      </w:r>
      <w:r>
        <w:rPr>
          <w:rFonts w:eastAsia="IRNazanin" w:cs="IRNazanin"/>
          <w:color w:val="111111"/>
          <w:sz w:val="28"/>
          <w:szCs w:val="28"/>
          <w:rtl w:val="true"/>
          <w:lang w:bidi="fa-IR"/>
        </w:rPr>
        <w:t>»</w:t>
      </w:r>
      <w:r>
        <w:rPr>
          <w:rStyle w:val="FootnoteAnchor"/>
          <w:rtl w:val="true"/>
        </w:rPr>
        <w:footnoteReference w:id="3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يبايعه الناس الثلاثماة و ثلاث عشر</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به اين مهم اشاره شده است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رواياتي كه در آن به روشني به بيعت شمار خاصي از ياران حضرت اشاره شده است، از گروه‌هاي ديگري نيز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بزرگي از شايستگان، فرودستان، شيعيان و يكتاپرستان حق‌طلب و عدالت‌گرا كه با وحدت و انسجام و هم‌راهي با ايشان بيعت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فرمايش رسول اكرم صلي الله عليه و آله گروهي از خراسان هستند كه در كوفه فرود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مهدي عليه السلام ظهور مي‌كند، اين گروه براي بيعت به حضور او گسيل مي‌شوند</w:t>
      </w:r>
      <w:r>
        <w:rPr>
          <w:rFonts w:eastAsia="IRNazanin" w:cs="IRNazanin"/>
          <w:color w:val="111111"/>
          <w:sz w:val="28"/>
          <w:szCs w:val="28"/>
          <w:rtl w:val="true"/>
          <w:lang w:bidi="fa-IR"/>
        </w:rPr>
        <w:t>.</w:t>
      </w:r>
      <w:r>
        <w:rPr>
          <w:rStyle w:val="FootnoteAnchor"/>
          <w:rtl w:val="true"/>
        </w:rPr>
        <w:footnoteReference w:id="396"/>
      </w:r>
      <w:bookmarkStart w:id="493" w:name="pg1814_19149"/>
    </w:p>
    <w:p>
      <w:pPr>
        <w:pStyle w:val="Heading6"/>
        <w:numPr>
          <w:ilvl w:val="5"/>
          <w:numId w:val="1"/>
        </w:numPr>
        <w:rPr/>
      </w:pPr>
      <w:bookmarkStart w:id="494" w:name="__RefHeading___Toc2647381_3650668749"/>
      <w:bookmarkStart w:id="495" w:name="_Toc179"/>
      <w:bookmarkEnd w:id="493"/>
      <w:bookmarkEnd w:id="494"/>
      <w:r>
        <w:rPr/>
        <w:t>1</w:t>
      </w:r>
      <w:r>
        <w:rPr>
          <w:rtl w:val="true"/>
        </w:rPr>
        <w:t>ـ</w:t>
      </w:r>
      <w:r>
        <w:rPr/>
        <w:t>3</w:t>
      </w:r>
      <w:r>
        <w:rPr>
          <w:rtl w:val="true"/>
        </w:rPr>
        <w:t xml:space="preserve">. </w:t>
      </w:r>
      <w:r>
        <w:rPr>
          <w:rtl w:val="true"/>
        </w:rPr>
        <w:t>برخي از مردم</w:t>
      </w:r>
      <w:bookmarkEnd w:id="495"/>
    </w:p>
    <w:p>
      <w:pPr>
        <w:pStyle w:val="BookText"/>
        <w:rPr/>
      </w:pPr>
      <w:r>
        <w:rPr>
          <w:rFonts w:ascii="IRNazanin" w:hAnsi="IRNazanin" w:eastAsia="IRNazanin"/>
          <w:color w:val="111111"/>
          <w:sz w:val="28"/>
          <w:sz w:val="28"/>
          <w:szCs w:val="28"/>
          <w:rtl w:val="true"/>
          <w:lang w:bidi="fa-IR"/>
        </w:rPr>
        <w:t>در برخي از روايات افزون بر بيعت‌هاي يادشده، سخن از بيعت مردم با آن حضرت به ميان آمده است كه ممكن است مقصود پذيرش آن حضرت در برخورد نخست با آن حضرت در مسجد الحرام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ابوبصير از امام صادق عليه السلام نقل كرده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لَكَأَنِّي أَنْظُرُ إِلَيْهِ بَيْنَ الرُّكْنِ وَ الْمَقَامِ يُبَايِعُ النَّاسَ؛</w:t>
      </w:r>
      <w:r>
        <w:rPr>
          <w:rStyle w:val="FootnoteAnchor"/>
          <w:rtl w:val="true"/>
        </w:rPr>
        <w:footnoteReference w:id="397"/>
      </w:r>
      <w:r>
        <w:rPr>
          <w:rFonts w:ascii="IRNazanin" w:hAnsi="IRNazanin" w:eastAsia="IRNazanin"/>
          <w:color w:val="111111"/>
          <w:sz w:val="28"/>
          <w:sz w:val="28"/>
          <w:szCs w:val="28"/>
          <w:rtl w:val="true"/>
          <w:lang w:bidi="fa-IR"/>
        </w:rPr>
        <w:t>به خدا سوگند گوئي هم اكنون به او مي‌نگرم كه ميان ركن و مقام از مردم بيعت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برخي روايات نيز بدون اشاره به افراد ويژه، فقط به اصل بيعت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به روشني پذيرش عمومي آن حضرت توسط مردم به دست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ممكن است مقصود امام در اين سخن نيز همان ياران خاص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مستدرك حاكم از رسول اكرم صلي الله عليه و آله وسلم نقل شده كه فرمود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يبايع لرجل من امتي بين الركن و المقام؛</w:t>
      </w:r>
      <w:r>
        <w:rPr>
          <w:rStyle w:val="FootnoteAnchor"/>
          <w:rtl w:val="true"/>
        </w:rPr>
        <w:footnoteReference w:id="398"/>
      </w:r>
      <w:r>
        <w:rPr>
          <w:rFonts w:ascii="IRNazanin" w:hAnsi="IRNazanin" w:eastAsia="IRNazanin"/>
          <w:color w:val="111111"/>
          <w:sz w:val="28"/>
          <w:sz w:val="28"/>
          <w:szCs w:val="28"/>
          <w:rtl w:val="true"/>
          <w:lang w:bidi="fa-IR"/>
        </w:rPr>
        <w:t>براي مردي از امت من بين ركن و مقام بيعت گرفته مي‌شود</w:t>
      </w:r>
      <w:r>
        <w:rPr>
          <w:rFonts w:eastAsia="IRNazanin" w:cs="IRNazanin"/>
          <w:color w:val="111111"/>
          <w:sz w:val="28"/>
          <w:szCs w:val="28"/>
          <w:rtl w:val="true"/>
          <w:lang w:bidi="fa-IR"/>
        </w:rPr>
        <w:t>.</w:t>
      </w:r>
      <w:bookmarkStart w:id="496" w:name="pg1814_19151"/>
    </w:p>
    <w:p>
      <w:pPr>
        <w:pStyle w:val="Heading6"/>
        <w:numPr>
          <w:ilvl w:val="5"/>
          <w:numId w:val="1"/>
        </w:numPr>
        <w:rPr/>
      </w:pPr>
      <w:bookmarkStart w:id="497" w:name="__RefHeading___Toc2647383_3650668749"/>
      <w:bookmarkStart w:id="498" w:name="_Toc180"/>
      <w:bookmarkEnd w:id="496"/>
      <w:bookmarkEnd w:id="497"/>
      <w:r>
        <w:rPr/>
        <w:t>2</w:t>
      </w:r>
      <w:r>
        <w:rPr>
          <w:rtl w:val="true"/>
        </w:rPr>
        <w:t xml:space="preserve">. </w:t>
      </w:r>
      <w:r>
        <w:rPr>
          <w:rtl w:val="true"/>
        </w:rPr>
        <w:t>مكان بيعت</w:t>
      </w:r>
      <w:bookmarkEnd w:id="498"/>
    </w:p>
    <w:p>
      <w:pPr>
        <w:pStyle w:val="BookText"/>
        <w:rPr/>
      </w:pPr>
      <w:r>
        <w:rPr>
          <w:rFonts w:ascii="IRNazanin" w:hAnsi="IRNazanin" w:eastAsia="IRNazanin"/>
          <w:color w:val="111111"/>
          <w:sz w:val="28"/>
          <w:sz w:val="28"/>
          <w:szCs w:val="28"/>
          <w:rtl w:val="true"/>
          <w:lang w:bidi="fa-IR"/>
        </w:rPr>
        <w:t>همان‌گونه كه پيش از اين نيز اشاره شد روايات، مكان بيعت با حضرت مهدي عليه السلام را در مسجد الحرام، بين ركن و مقام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تعبيرهاي روايات براي بيان اين مفهوم مي‌توان به اين سخنان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رجلا من ولد الحسين يبايع له بين الركن والمقام؛</w:t>
      </w:r>
      <w:r>
        <w:rPr>
          <w:rStyle w:val="FootnoteAnchor"/>
          <w:rtl w:val="true"/>
        </w:rPr>
        <w:footnoteReference w:id="399"/>
      </w:r>
      <w:r>
        <w:rPr>
          <w:rFonts w:ascii="IRNazanin" w:hAnsi="IRNazanin" w:eastAsia="IRNazanin"/>
          <w:color w:val="111111"/>
          <w:sz w:val="28"/>
          <w:sz w:val="28"/>
          <w:szCs w:val="28"/>
          <w:rtl w:val="true"/>
          <w:lang w:bidi="fa-IR"/>
        </w:rPr>
        <w:t>مردي از تبار حسين كه بين ركن و مقام براي او بيعت گرفته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إِنَّهُ يُبَايَعُ بَيْنَ الرُّكْنِ وَ الْمَقَامِ؛</w:t>
      </w:r>
      <w:r>
        <w:rPr>
          <w:rStyle w:val="FootnoteAnchor"/>
          <w:rtl w:val="true"/>
        </w:rPr>
        <w:footnoteReference w:id="400"/>
      </w:r>
      <w:r>
        <w:rPr>
          <w:rFonts w:ascii="Amiri" w:hAnsi="Amiri" w:eastAsia="Amiri" w:cs="Amiri"/>
          <w:color w:val="111111"/>
          <w:sz w:val="28"/>
          <w:sz w:val="28"/>
          <w:szCs w:val="28"/>
          <w:rtl w:val="true"/>
          <w:lang w:bidi="ar-SA"/>
        </w:rPr>
        <w:t>همانا با او بين ركن و مقام بيعت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يُبَايِعُ الْقَائِمَ بَيْنَ الرُّكْنِ وَ الْمَقَامِ؛</w:t>
      </w:r>
      <w:r>
        <w:rPr>
          <w:rStyle w:val="FootnoteAnchor"/>
          <w:rtl w:val="true"/>
        </w:rPr>
        <w:footnoteReference w:id="401"/>
      </w:r>
      <w:r>
        <w:rPr>
          <w:rFonts w:ascii="Amiri" w:hAnsi="Amiri" w:eastAsia="Amiri" w:cs="Amiri"/>
          <w:color w:val="111111"/>
          <w:sz w:val="28"/>
          <w:sz w:val="28"/>
          <w:szCs w:val="28"/>
          <w:rtl w:val="true"/>
          <w:lang w:bidi="ar-SA"/>
        </w:rPr>
        <w:t>قايم بين ركن و مقام بيعت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فَوَ اللَّهِ لَكَأَنِّي أَنْظُرُ إِلَيْهِ بَيْنَ الرُّكْنِ وَ الْمَقَامِ يُبَايِعُ النَّاسَ؛</w:t>
      </w:r>
      <w:r>
        <w:rPr>
          <w:rStyle w:val="FootnoteAnchor"/>
          <w:rtl w:val="true"/>
        </w:rPr>
        <w:footnoteReference w:id="402"/>
      </w:r>
      <w:r>
        <w:rPr>
          <w:rFonts w:ascii="IRNazanin" w:hAnsi="IRNazanin" w:eastAsia="IRNazanin"/>
          <w:color w:val="111111"/>
          <w:sz w:val="28"/>
          <w:sz w:val="28"/>
          <w:szCs w:val="28"/>
          <w:rtl w:val="true"/>
          <w:lang w:bidi="fa-IR"/>
        </w:rPr>
        <w:t>به خدا سوگند گويا او را مي‌بينم در حالي كه بين ركن و مقام با مردم بيعت مي‌كند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وَ اللَّهِ إِنِّي لَأَعْرِفُ مَنْ يُبَايِعُهُ بَيْنَ الرُّكْنِ وَ الْمَقَامِ وَ أَعْرِفُ أَسْمَاءَ آبَائِهِمْ وَ قَبَائِلِهِم؛</w:t>
      </w:r>
      <w:r>
        <w:rPr>
          <w:rStyle w:val="FootnoteAnchor"/>
          <w:rtl w:val="true"/>
        </w:rPr>
        <w:footnoteReference w:id="403"/>
      </w:r>
      <w:r>
        <w:rPr>
          <w:rFonts w:ascii="IRNazanin" w:hAnsi="IRNazanin" w:eastAsia="IRNazanin"/>
          <w:color w:val="111111"/>
          <w:sz w:val="28"/>
          <w:sz w:val="28"/>
          <w:szCs w:val="28"/>
          <w:rtl w:val="true"/>
          <w:lang w:bidi="fa-IR"/>
        </w:rPr>
        <w:t>به خدا سوگند من كساني كه با او بين ركن و مقام با او بيعت مي‌كنند را مي‌شناسم و نام پدران و قبيله‌هاي آنها را مي‌دانم</w:t>
      </w:r>
      <w:r>
        <w:rPr>
          <w:rFonts w:eastAsia="IRNazanin" w:cs="IRNazanin"/>
          <w:color w:val="111111"/>
          <w:sz w:val="28"/>
          <w:szCs w:val="28"/>
          <w:rtl w:val="true"/>
          <w:lang w:bidi="fa-IR"/>
        </w:rPr>
        <w:t>.</w:t>
      </w:r>
      <w:bookmarkStart w:id="499" w:name="pg1814_19153"/>
    </w:p>
    <w:p>
      <w:pPr>
        <w:pStyle w:val="Heading6"/>
        <w:numPr>
          <w:ilvl w:val="5"/>
          <w:numId w:val="1"/>
        </w:numPr>
        <w:rPr/>
      </w:pPr>
      <w:bookmarkStart w:id="500" w:name="__RefHeading___Toc2647385_3650668749"/>
      <w:bookmarkStart w:id="501" w:name="_Toc181"/>
      <w:bookmarkEnd w:id="499"/>
      <w:bookmarkEnd w:id="500"/>
      <w:r>
        <w:rPr/>
        <w:t>3</w:t>
      </w:r>
      <w:r>
        <w:rPr>
          <w:rtl w:val="true"/>
        </w:rPr>
        <w:t xml:space="preserve">. </w:t>
      </w:r>
      <w:r>
        <w:rPr>
          <w:rtl w:val="true"/>
        </w:rPr>
        <w:t>مفاد بيعت</w:t>
      </w:r>
      <w:bookmarkEnd w:id="50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يادشد محتواي اساسي بيعت، اعلام آمادگي ياران، ياوران و تودة مردم براي انجام كارهاي مورد نظر از طرف امام معصوم عليه السلام در جهت رسيدن به پيروزي و برپايي حكومت عدل جهاني است و آن چيزي جز عمل به دستورات پروردگار بزرگ در آموزه‌هاي ديني نيست</w:t>
      </w:r>
      <w:r>
        <w:rPr>
          <w:rFonts w:eastAsia="IRNazanin" w:cs="IRNazanin"/>
          <w:color w:val="111111"/>
          <w:sz w:val="28"/>
          <w:szCs w:val="28"/>
          <w:rtl w:val="true"/>
          <w:lang w:bidi="fa-IR"/>
        </w:rPr>
        <w:t>.</w:t>
      </w:r>
      <w:bookmarkStart w:id="502" w:name="pg1814_19155"/>
    </w:p>
    <w:p>
      <w:pPr>
        <w:pStyle w:val="Heading6"/>
        <w:numPr>
          <w:ilvl w:val="5"/>
          <w:numId w:val="1"/>
        </w:numPr>
        <w:rPr/>
      </w:pPr>
      <w:bookmarkStart w:id="503" w:name="__RefHeading___Toc2647387_3650668749"/>
      <w:bookmarkStart w:id="504" w:name="_Toc182"/>
      <w:bookmarkEnd w:id="502"/>
      <w:bookmarkEnd w:id="503"/>
      <w:r>
        <w:rPr>
          <w:rtl w:val="true"/>
        </w:rPr>
        <w:t>يك بررسي كوتاه در بيعت‌نامه</w:t>
      </w:r>
      <w:bookmarkEnd w:id="504"/>
    </w:p>
    <w:p>
      <w:pPr>
        <w:pStyle w:val="Heading6"/>
        <w:numPr>
          <w:ilvl w:val="5"/>
          <w:numId w:val="1"/>
        </w:numPr>
        <w:rPr/>
      </w:pPr>
      <w:bookmarkStart w:id="505" w:name="__RefHeading___Toc2647389_3650668749"/>
      <w:bookmarkStart w:id="506" w:name="_Toc183"/>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آنچه به عنوان روايت منسوب به علي عليه السلام در روايتي آمده كه حضرت مهدي عليه السلام در مفاد مشخصي با ياران خاص خود بيعت مي‌كند، نيازمند بررسي و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را سيد بن طاووس در كتاب التشريف بالمنن في التعريف بالفتن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ملاحم و 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فتن سليلي نقل كرده و جز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در هيچ‌يك از منابع معتبر ـ حتي مضمون آن نيز ـ به چشم نمي‌خورد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دليل رواج استفاده آن در برخي نوشته‌ها، مناسب است تا حد ممكن بررسي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روايت مفصل كه در 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يادآوري سند</w:t>
      </w:r>
      <w:r>
        <w:rPr>
          <w:rStyle w:val="FootnoteAnchor"/>
          <w:rtl w:val="true"/>
        </w:rPr>
        <w:footnoteReference w:id="404"/>
      </w:r>
      <w:r>
        <w:rPr>
          <w:rFonts w:ascii="Amiri" w:hAnsi="Amiri" w:eastAsia="Amiri" w:cs="Amiri"/>
          <w:color w:val="111111"/>
          <w:sz w:val="28"/>
          <w:sz w:val="28"/>
          <w:szCs w:val="28"/>
          <w:rtl w:val="true"/>
          <w:lang w:bidi="ar-SA"/>
        </w:rPr>
        <w:t>از ابوصالح سليلي</w:t>
      </w:r>
      <w:r>
        <w:rPr>
          <w:rStyle w:val="FootnoteAnchor"/>
          <w:rtl w:val="true"/>
        </w:rPr>
        <w:footnoteReference w:id="405"/>
      </w:r>
      <w:r>
        <w:rPr>
          <w:rFonts w:ascii="IRNazanin" w:hAnsi="IRNazanin" w:eastAsia="IRNazanin"/>
          <w:color w:val="111111"/>
          <w:sz w:val="28"/>
          <w:sz w:val="28"/>
          <w:szCs w:val="28"/>
          <w:rtl w:val="true"/>
          <w:lang w:bidi="fa-IR"/>
        </w:rPr>
        <w:t>از علي عليه السلام نقل كرده، پس از بيان شهرهاي ياران حضرت مهدي عليه السلام، به شروطي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پردازد كه آن حضرت براي پذيرش بيعت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يبايعون علي أن لا يسرقوا و لا يزنوا و لا يقتلوا و لا ينتهكوا حريما و لا يشتموا مسلما و لا يهجموا منزلا و لا يضربوا أحدا إلّا بالحقّ و لا يركبوا الخيل الهماليج و لا يتمنطقوا بالذهب و لا يلبسوا الخزّ، و لا يلبسوا الحرير و لا يلبسوا النعال الصرّارة و لا يخربوا مسجدا، و لا يقطعوا طريقا و لا يظلموا يتيما و لا يخيفوا سبيلا و لا يحبسوا بكرا و لا يأكلوا مال اليتيم و لا يفسقوا بغلام</w:t>
      </w:r>
      <w:r>
        <w:rPr>
          <w:rStyle w:val="FootnoteAnchor"/>
          <w:rtl w:val="true"/>
        </w:rPr>
        <w:footnoteReference w:id="406"/>
      </w:r>
      <w:r>
        <w:rPr>
          <w:rFonts w:ascii="Amiri" w:hAnsi="Amiri" w:eastAsia="Amiri" w:cs="Amiri"/>
          <w:color w:val="111111"/>
          <w:sz w:val="28"/>
          <w:sz w:val="28"/>
          <w:szCs w:val="28"/>
          <w:rtl w:val="true"/>
          <w:lang w:bidi="ar-SA"/>
        </w:rPr>
        <w:t>و لا يشربوا الخمر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أمانة و لا يخلفوا العهد و لا يكبسوا طعاما من برّ أو شعير و لا يقتلوا مستأمنا و لا يتبعوا منهزما و لا يسفكوا دما و لا يجهزوا علي جريح و يلبسون الخشن من الثياب و يوسّدون التراب علي الخدود و يأكلون الشعير و يرضون بالقليل، و يجاهدون في اللّه حقّ جهاده و يشمّون الطيب و يكرهون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 با او بيعت مي‌كنند كه هرگز دزدي نكنند، مرتكب فحشا نشوند، كسي را نكشند، حريمي را هتك نكنند، مسلماني را دشنام ندهند، به خانه كسي هجوم نبرند، كسي را به ناحق نزنند، در برابر سيم و زر سر فرود نياورند، حرير و خز نپوشند، مسجدي را خراب نكنند و راهي را نبندند، به يتيمي ستم نكنند، راهي را ناامن نكنند، خوراكي از گندم و جو انبار نكنند، مال يتيمي را نخورند، گرد همجنس‌بازي نگردند، شراب ننوشند،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شروطي كه حضرت مهدي عليه السلام براي خود مي‌گذارد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يشرط لهم علي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 يتّخذ حاجبا و يمشي حيث يمشون و يكون من حيث يريدون</w:t>
      </w:r>
      <w:r>
        <w:rPr>
          <w:rStyle w:val="FootnoteAnchor"/>
          <w:rtl w:val="true"/>
        </w:rPr>
        <w:footnoteReference w:id="408"/>
      </w:r>
      <w:r>
        <w:rPr>
          <w:rFonts w:ascii="Amiri" w:hAnsi="Amiri" w:eastAsia="Amiri" w:cs="Amiri"/>
          <w:color w:val="111111"/>
          <w:sz w:val="28"/>
          <w:sz w:val="28"/>
          <w:szCs w:val="28"/>
          <w:rtl w:val="true"/>
          <w:lang w:bidi="ar-SA"/>
        </w:rPr>
        <w:t>و يرضي بالقليل؛</w:t>
      </w:r>
      <w:r>
        <w:rPr>
          <w:rStyle w:val="FootnoteAnchor"/>
          <w:rtl w:val="true"/>
        </w:rPr>
        <w:footnoteReference w:id="409"/>
      </w:r>
      <w:r>
        <w:rPr>
          <w:rFonts w:ascii="IRNazanin" w:hAnsi="IRNazanin" w:eastAsia="IRNazanin"/>
          <w:color w:val="111111"/>
          <w:sz w:val="28"/>
          <w:sz w:val="28"/>
          <w:szCs w:val="28"/>
          <w:rtl w:val="true"/>
          <w:lang w:bidi="fa-IR"/>
        </w:rPr>
        <w:t>درباني براي خود قرار ندهد، و از راه آنان برود، آن‌گونه كه آن‌ها مي‌خواهند باشد، با كم خشنود و قانع شود،</w:t>
      </w:r>
      <w:r>
        <w:rPr>
          <w:rFonts w:eastAsia="IRNazanin" w:cs="IRNazanin"/>
          <w:color w:val="111111"/>
          <w:sz w:val="28"/>
          <w:szCs w:val="28"/>
          <w:rtl w:val="true"/>
          <w:lang w:bidi="fa-IR"/>
        </w:rPr>
        <w:t xml:space="preserve">.... </w:t>
      </w:r>
      <w:r>
        <w:rPr>
          <w:rStyle w:val="FootnoteAnchor"/>
          <w:rtl w:val="true"/>
        </w:rPr>
        <w:footnoteReference w:id="41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سخنان از دو جهت قابل بررسي است</w:t>
      </w:r>
      <w:r>
        <w:rPr>
          <w:rFonts w:eastAsia="Amiri" w:cs="Amiri" w:ascii="Amiri" w:hAnsi="Amiri"/>
          <w:color w:val="111111"/>
          <w:sz w:val="28"/>
          <w:szCs w:val="28"/>
          <w:rtl w:val="true"/>
          <w:lang w:bidi="ar-SA"/>
        </w:rPr>
        <w:t>:</w:t>
      </w:r>
      <w:bookmarkStart w:id="507" w:name="pg1814_19157"/>
    </w:p>
    <w:p>
      <w:pPr>
        <w:pStyle w:val="Heading6"/>
        <w:numPr>
          <w:ilvl w:val="5"/>
          <w:numId w:val="1"/>
        </w:numPr>
        <w:rPr/>
      </w:pPr>
      <w:bookmarkStart w:id="508" w:name="__RefHeading___Toc2647391_3650668749"/>
      <w:bookmarkStart w:id="509" w:name="_Toc184"/>
      <w:bookmarkEnd w:id="507"/>
      <w:bookmarkEnd w:id="508"/>
      <w:r>
        <w:rPr/>
        <w:t>1</w:t>
      </w:r>
      <w:r>
        <w:rPr>
          <w:rtl w:val="true"/>
        </w:rPr>
        <w:t xml:space="preserve">. </w:t>
      </w:r>
      <w:r>
        <w:rPr>
          <w:rtl w:val="true"/>
        </w:rPr>
        <w:t>استناد</w:t>
      </w:r>
      <w:bookmarkEnd w:id="509"/>
    </w:p>
    <w:p>
      <w:pPr>
        <w:pStyle w:val="Heading6"/>
        <w:numPr>
          <w:ilvl w:val="5"/>
          <w:numId w:val="1"/>
        </w:numPr>
        <w:rPr/>
      </w:pPr>
      <w:bookmarkStart w:id="510" w:name="__RefHeading___Toc2647393_3650668749"/>
      <w:bookmarkStart w:id="511" w:name="_Toc185"/>
      <w:bookmarkEnd w:id="510"/>
      <w:r>
        <w:rPr/>
        <w:t>1-1</w:t>
      </w:r>
      <w:r>
        <w:rPr>
          <w:rtl w:val="true"/>
        </w:rPr>
        <w:t xml:space="preserve">. </w:t>
      </w:r>
      <w:r>
        <w:rPr>
          <w:rtl w:val="true"/>
        </w:rPr>
        <w:t>از جهت منبع</w:t>
      </w:r>
      <w:r>
        <w:rPr>
          <w:rtl w:val="true"/>
        </w:rPr>
        <w:t>:</w:t>
      </w:r>
      <w:bookmarkEnd w:id="511"/>
    </w:p>
    <w:p>
      <w:pPr>
        <w:pStyle w:val="BookText"/>
        <w:rPr/>
      </w:pPr>
      <w:r>
        <w:rPr>
          <w:rFonts w:ascii="IRNazanin" w:hAnsi="IRNazanin" w:eastAsia="IRNazanin"/>
          <w:color w:val="111111"/>
          <w:sz w:val="28"/>
          <w:sz w:val="28"/>
          <w:szCs w:val="28"/>
          <w:rtl w:val="true"/>
          <w:lang w:bidi="fa-IR"/>
        </w:rPr>
        <w:t>سيد بن طاووس همان‌گونه كه در مقدمة كتاب خود آورده، مطالب خود را به طور عمده از روايات سه كتاب اهل سنت،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ابن حماد، فتن سليلي، فتن 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ابن طاووس در كتاب خود دربارة فتن سليلي و روايات موجود در آن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الفتن، متعلق به سليلي است و تاريخ نسخة اصلي كه مصنف كتاب آن را نوشته است، متعلق به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و در مدرسة تركي شهر واسط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نسخة موجود بنابر گواهي شخصي كه شاهد كتابت آن از روي نسخة اصلي بوده،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بن طاووس در ابتداي نقلش از الفتن سليلي در كنار اشاره به آنچه ياد شد به نوعي خود را از گرفتاري نقل روايات ضعيف دور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بريء من خطره، لأنني أحكي ما أجده بلفظه ومعناه إن شاء الله تعالي</w:t>
      </w:r>
      <w:r>
        <w:rPr>
          <w:rFonts w:eastAsia="IRNazanin" w:cs="IRNazanin"/>
          <w:color w:val="111111"/>
          <w:sz w:val="28"/>
          <w:szCs w:val="28"/>
          <w:rtl w:val="true"/>
          <w:lang w:bidi="fa-IR"/>
        </w:rPr>
        <w:t xml:space="preserve">) </w:t>
      </w:r>
      <w:r>
        <w:rPr>
          <w:rStyle w:val="FootnoteAnchor"/>
          <w:rtl w:val="true"/>
        </w:rPr>
        <w:footnoteReference w:id="411"/>
      </w:r>
      <w:r>
        <w:rPr>
          <w:rFonts w:ascii="Amiri" w:hAnsi="Amiri" w:eastAsia="Amiri" w:cs="Amiri"/>
          <w:color w:val="111111"/>
          <w:sz w:val="28"/>
          <w:sz w:val="28"/>
          <w:szCs w:val="28"/>
          <w:rtl w:val="true"/>
          <w:lang w:bidi="ar-SA"/>
        </w:rPr>
        <w:t>و همه تقصيرات روايات را متوجه مؤلف كتاب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 روشن است كه طريق سيد بن طاووس به سليلي و نقل سيد از اين كتاب، ناپيوسته است و طريق قابل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شخص سليلي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ابي صالح السليلي بن احمد بن عيسي بن شيخ الحسائي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شده، مجهول و نامشخص است</w:t>
      </w:r>
      <w:r>
        <w:rPr>
          <w:rFonts w:eastAsia="IRNazanin" w:cs="IRNazanin"/>
          <w:color w:val="111111"/>
          <w:sz w:val="28"/>
          <w:szCs w:val="28"/>
          <w:rtl w:val="true"/>
          <w:lang w:bidi="fa-IR"/>
        </w:rPr>
        <w:t>.</w:t>
      </w:r>
      <w:r>
        <w:rPr>
          <w:rStyle w:val="FootnoteAnchor"/>
          <w:rtl w:val="true"/>
        </w:rPr>
        <w:footnoteReference w:id="41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اين‌كه، اين كتاب پيش و پس از ملاحم سيد بن طاووس در هيچ‌يك از منابع معتبر 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نيز در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 نيست</w:t>
      </w:r>
      <w:r>
        <w:rPr>
          <w:rFonts w:eastAsia="IRNazanin" w:cs="IRNazanin"/>
          <w:color w:val="111111"/>
          <w:sz w:val="28"/>
          <w:szCs w:val="28"/>
          <w:rtl w:val="true"/>
          <w:lang w:bidi="fa-IR"/>
        </w:rPr>
        <w:t>.</w:t>
      </w:r>
      <w:bookmarkStart w:id="512" w:name="pg1814_19159"/>
    </w:p>
    <w:p>
      <w:pPr>
        <w:pStyle w:val="Heading6"/>
        <w:numPr>
          <w:ilvl w:val="5"/>
          <w:numId w:val="1"/>
        </w:numPr>
        <w:rPr/>
      </w:pPr>
      <w:bookmarkStart w:id="513" w:name="__RefHeading___Toc2647395_3650668749"/>
      <w:bookmarkStart w:id="514" w:name="_Toc186"/>
      <w:bookmarkEnd w:id="512"/>
      <w:bookmarkEnd w:id="513"/>
      <w:r>
        <w:rPr/>
        <w:t>1-2</w:t>
      </w:r>
      <w:r>
        <w:rPr>
          <w:rtl w:val="true"/>
        </w:rPr>
        <w:t xml:space="preserve">. </w:t>
      </w:r>
      <w:r>
        <w:rPr>
          <w:rtl w:val="true"/>
        </w:rPr>
        <w:t>از جهت سند</w:t>
      </w:r>
      <w:r>
        <w:rPr>
          <w:rtl w:val="true"/>
        </w:rPr>
        <w:t>:</w:t>
      </w:r>
      <w:bookmarkEnd w:id="51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روايت نيز افراد مهملي وجود دارد كه اعتبار روايت را از بين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عثمان، سعيد بن طارق و سلمة بن انس كه همگي مهمل بوده و نامي از آن‌ها در كتب رجالي ديده نمي‌شود</w:t>
      </w:r>
      <w:r>
        <w:rPr>
          <w:rFonts w:eastAsia="IRNazanin" w:cs="IRNazanin"/>
          <w:color w:val="111111"/>
          <w:sz w:val="28"/>
          <w:szCs w:val="28"/>
          <w:rtl w:val="true"/>
          <w:lang w:bidi="fa-IR"/>
        </w:rPr>
        <w:t>.</w:t>
      </w:r>
      <w:r>
        <w:rPr>
          <w:rStyle w:val="FootnoteAnchor"/>
          <w:rtl w:val="true"/>
        </w:rPr>
        <w:footnoteReference w:id="413"/>
      </w:r>
      <w:bookmarkStart w:id="515" w:name="pg1814_19160"/>
    </w:p>
    <w:p>
      <w:pPr>
        <w:pStyle w:val="Heading6"/>
        <w:numPr>
          <w:ilvl w:val="5"/>
          <w:numId w:val="1"/>
        </w:numPr>
        <w:rPr/>
      </w:pPr>
      <w:bookmarkStart w:id="516" w:name="__RefHeading___Toc2647397_3650668749"/>
      <w:bookmarkStart w:id="517" w:name="_Toc187"/>
      <w:bookmarkEnd w:id="515"/>
      <w:bookmarkEnd w:id="516"/>
      <w:r>
        <w:rPr/>
        <w:t>2</w:t>
      </w:r>
      <w:r>
        <w:rPr>
          <w:rtl w:val="true"/>
        </w:rPr>
        <w:t xml:space="preserve">. </w:t>
      </w:r>
      <w:r>
        <w:rPr>
          <w:rtl w:val="true"/>
        </w:rPr>
        <w:t>از نظر محتوا</w:t>
      </w:r>
      <w:bookmarkEnd w:id="517"/>
    </w:p>
    <w:p>
      <w:pPr>
        <w:pStyle w:val="BookText"/>
        <w:rPr/>
      </w:pPr>
      <w:r>
        <w:rPr>
          <w:rFonts w:ascii="Amiri" w:hAnsi="Amiri" w:eastAsia="Amiri" w:cs="Amiri"/>
          <w:color w:val="111111"/>
          <w:sz w:val="28"/>
          <w:sz w:val="28"/>
          <w:szCs w:val="28"/>
          <w:rtl w:val="true"/>
          <w:lang w:bidi="ar-SA"/>
        </w:rPr>
        <w:t>روايت مورد نظر به طور عمده داراي سه فراز كلي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اسامي ياران خاص حضرت و شهرهاي آنها؛</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عهدنامه با حضرت؛</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نشانه‌ها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هر سه بخش داراي تأملاتي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تأملات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متن روايت همة نام‌ها به صورت عربي است و با توجه به اينكه گفته شده بخشي از ياران آن حضرت از شهرها و كشورهاي غير عرب است، اين نام‌ها نامتعارف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اينكه برخي شهرهاي يادشده به طور اساسي با اين گونه نام‌ها هيچ‌گونه پيشينه و الفتي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بارة مفاد عهدنامه كه به نظر مي‌رسد اين گونه پيمان‌نامه و بيعت‌نامه به دور از شأن مؤمنان معمولي است تا چه رسد به ياران ويژة موعود منجي كه در اوصاف و عظمت آنها سخنان فراواني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راستي چه توجيهي دارد كه حضرت به ياران خاص خود بگويد اطراف همجنس بازي نگردند و مانند آن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تأمل سوم كه در آن به برخي از نشانه‌ها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محل خود بحث نشانه‌ها ثابت شده است كه به دو دسته تقسيم مي‌شود نشانه‌هاي حتمي و غير حتمي كه برخي نشانه‌هاي يادآوري شده در اين روايت در هيچ روايتي نقل نشده است</w:t>
      </w:r>
      <w:r>
        <w:rPr>
          <w:rFonts w:eastAsia="IRNazanin" w:cs="IRNazanin"/>
          <w:color w:val="111111"/>
          <w:sz w:val="28"/>
          <w:szCs w:val="28"/>
          <w:rtl w:val="true"/>
          <w:lang w:bidi="fa-IR"/>
        </w:rPr>
        <w:t>.</w:t>
      </w:r>
      <w:bookmarkStart w:id="518" w:name="pg1814_19162"/>
    </w:p>
    <w:p>
      <w:pPr>
        <w:pStyle w:val="Heading6"/>
        <w:numPr>
          <w:ilvl w:val="5"/>
          <w:numId w:val="1"/>
        </w:numPr>
        <w:rPr/>
      </w:pPr>
      <w:bookmarkStart w:id="519" w:name="__RefHeading___Toc2647399_3650668749"/>
      <w:bookmarkStart w:id="520" w:name="_Toc188"/>
      <w:bookmarkEnd w:id="518"/>
      <w:bookmarkEnd w:id="519"/>
      <w:r>
        <w:rPr>
          <w:rtl w:val="true"/>
        </w:rPr>
        <w:t>مشاركت در پيشبرد كارهاي حكومت</w:t>
      </w:r>
      <w:bookmarkEnd w:id="520"/>
    </w:p>
    <w:p>
      <w:pPr>
        <w:pStyle w:val="BookText"/>
        <w:rPr/>
      </w:pPr>
      <w:r>
        <w:rPr>
          <w:rFonts w:ascii="Amiri" w:hAnsi="Amiri" w:eastAsia="Amiri" w:cs="Amiri"/>
          <w:color w:val="111111"/>
          <w:sz w:val="28"/>
          <w:sz w:val="28"/>
          <w:szCs w:val="28"/>
          <w:rtl w:val="true"/>
          <w:lang w:bidi="ar-SA"/>
        </w:rPr>
        <w:t>مشاركت مردم در امور حكومت مبتني بر دو مقدمه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آياتي كه در قرآن به مهدويت و حكومت جهاني موعود تفسير،</w:t>
      </w:r>
      <w:r>
        <w:rPr>
          <w:rStyle w:val="FootnoteAnchor"/>
          <w:rtl w:val="true"/>
        </w:rPr>
        <w:footnoteReference w:id="414"/>
      </w:r>
      <w:r>
        <w:rPr>
          <w:rFonts w:ascii="Amiri" w:hAnsi="Amiri" w:eastAsia="Amiri" w:cs="Amiri"/>
          <w:color w:val="111111"/>
          <w:sz w:val="28"/>
          <w:sz w:val="28"/>
          <w:szCs w:val="28"/>
          <w:rtl w:val="true"/>
          <w:lang w:bidi="ar-SA"/>
        </w:rPr>
        <w:t>تأويل</w:t>
      </w:r>
      <w:r>
        <w:rPr>
          <w:rStyle w:val="FootnoteAnchor"/>
          <w:rtl w:val="true"/>
        </w:rPr>
        <w:footnoteReference w:id="415"/>
      </w:r>
      <w:r>
        <w:rPr>
          <w:rFonts w:ascii="Amiri" w:hAnsi="Amiri" w:eastAsia="Amiri" w:cs="Amiri"/>
          <w:color w:val="111111"/>
          <w:sz w:val="28"/>
          <w:sz w:val="28"/>
          <w:szCs w:val="28"/>
          <w:rtl w:val="true"/>
          <w:lang w:bidi="ar-SA"/>
        </w:rPr>
        <w:t>يا تطبيق</w:t>
      </w:r>
      <w:r>
        <w:rPr>
          <w:rStyle w:val="FootnoteAnchor"/>
          <w:rtl w:val="true"/>
        </w:rPr>
        <w:footnoteReference w:id="416"/>
      </w:r>
      <w:r>
        <w:rPr>
          <w:rFonts w:ascii="Amiri" w:hAnsi="Amiri" w:eastAsia="Amiri" w:cs="Amiri"/>
          <w:color w:val="111111"/>
          <w:sz w:val="28"/>
          <w:sz w:val="28"/>
          <w:szCs w:val="28"/>
          <w:rtl w:val="true"/>
          <w:lang w:bidi="ar-SA"/>
        </w:rPr>
        <w:t>شده است حكايت از نقش بخش قابل توجهي از مردم در كنار حضرت مهدي عليه السلام، در حكومت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از اين آيات از اين قرارند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وَلقَدْ كَتَبْنا فِي الزّبُورِ مِنْ بَعْدِ الذّكْرِ أنّ الارضَ يرِثُها عِبادِي‌َ الصّالِحُونَ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وهمانا، در زبور پس از ذكر نوشتيم كه زمين را بندگان شايستة من،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به يكي از روشن‌ترين پاداش‌هاي دنيوي شايستگان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روي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رواياتي چند، اين رويداد برجسته، در عصر ظهور حضرت مهدي عليه السلام دانسته شده 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روشن است مفهوم اين روايت، انحصار نيست؛ بلكه بيان يك مصداق عالي و آشكار است و اين تفسيرها، هرگز عموميت مفهوم آيه را محدود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هر زمان و در هر جا بندگان شايستة خداوند به پا خيزند، پيروز و موفق خواهند شد و سرانجام وارث زمين و حكومت آن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همة اين حكومت‌ها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خلاف جهت آفرينش و قوانين جهان آفرينش است و آنچه با آن هماهنگ است، همان حكومت شايستگان با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آفرينش، دليل روشني بر پذيرش يك نظام درست اجتماعي در آينده است و اين همان چيزي است كه از آيه ياد شده و احاديث مربوط به قيام مصلح بزرگ جهاني استفاده مي‌شود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وَنُريدُ أنْ نَمُنّ عَلَي الّذينَ اسْتُضْعِفُوا فِي الارْضِ وَنَجْعَلَهُمْ أئمًّْة وَنَجْعَلَهُمُ الْوارِثينَ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 xml:space="preserve">و خواستيم بر كساني كه در آن سرزمين فرودست شده بودند، منّت نهيم و آنان را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گردانيم و ايشان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بر پاية فرمايش امام علي عليه السلام در نهج البلاغه و رواياتي چند از ديگر امامان عليهم السلام ناظر به پيروزي فرودستان بر مستكبران است و اينكه سرانجام، جهان از آنِ شايستگان خواهد شد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xml:space="preserve">خدا به كساني از شما كه ايمان آورده و كارهاي شايسته كرده‌اند، نويد داده است كه به طور حتم آنان را در اين سرزمين، جانشين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 نگاه فراگير آيه نشان‌گر اين است كه خداوند به گروهي از مسلمانان شايسته و مؤمن، سه نويد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جانشيني و حكومت روي زمين؛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حق به‌گونه‌اي اساسي و ريشه‌اي در جهان؛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بين‌رفتن اسباب ترس و ناامني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نويد الهي از آن كيست؟</w:t>
      </w:r>
    </w:p>
    <w:p>
      <w:pPr>
        <w:pStyle w:val="BookText"/>
        <w:rPr/>
      </w:pPr>
      <w:r>
        <w:rPr>
          <w:rFonts w:ascii="IRNazanin" w:hAnsi="IRNazanin" w:eastAsia="IRNazanin"/>
          <w:color w:val="111111"/>
          <w:sz w:val="28"/>
          <w:sz w:val="28"/>
          <w:szCs w:val="28"/>
          <w:rtl w:val="true"/>
          <w:lang w:bidi="fa-IR"/>
        </w:rPr>
        <w:t>در اين آيه خداوند وعده حكومت روي زمين، برتري دين و آيين و امنيت كامل را به گروهي از مؤمنان و شايستگان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اين‌كه منظور از اين گروه چه كساني‌اند؛ بين مفسران گفت و 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آن را اشاره به حكومت مهدي عليه السلام مي‌دانند كه خاور و باختر گيتي، در زير پرچم حكومت آن حضرت قرار مي‌گيرد، آيين حق در همه جا وارد مي‌شود، ناامني و ترس و جنگ از گسترة زمين بر چيده مي‌شود و بندگي به دور از شرك، براي جهانيان تحقق مي‌يابد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بدون شك آيه، هم دربرگيرندة مسلمانان نخستين و هم حكومت حضرت مهدي عليه السلام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برپاية باور عموم مسلمانان ـ اعم از شيعه و اهل تسنن ـ آن حضرت سراسر زمين را پر از عدل و داد مي‌كند و او مصداق كامل اين آيه است؛ اما با اين حال منعي از عموميت و گستردگي مفهوم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طباطبايي در اين باره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مجتمع طيّب و طاهر با صفاتي كه از فضيلت و قداست دارد، هرگز تاكنون در دنيا منعقد نشده و دنيا از روزي كه پيامبر صلي الله عليه و آله وسلم مبعوث به رسالت گشته، تاكنون، چنين جامعه‌اي به خود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اگر مصداقي پيدا كند، در روزگار حضرت مهدي عليه السلام خواهد بود؛ چون اخبار متواتري كه از رسول خدا صلي الله عليه و آله وسلم و ائمه اهل بيت عليهم السلام خصوصيات آن حضرت وارد شده، از تشكيل چنين جامعه‌اي خبر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صورتي است كه روي سخن در آيه را متوجه مجتمع صالح بدانيم، نه تنها حضرت مهدي عليه السلام</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لِكُلٍّ وِجْهَةٌ هُوَ مُوَلّيها فَاسْتَبِقُوا الْخَيراتِ أَينَ ما تَكُونُوا يأْتِ بِكُمُ اللّهُ جَميعًا إِنَّ اللّهَ عَلي كُلّ‌ِ شَي‌ءٍ قَدير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و براي هر كسي قبله‌اي است كه وي روي خود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مي‌گرداند؛ پس در كارهاي نيك بر يكديگر پيشي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كجا كه باشيد، خداوند همگي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مي‌آورد؛ در حقيقت، خدا بر همه چيز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پرشماري از اهل بيت عليهم السلام،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ما تَكُونُوا يأْتِ بِكُمُ اللّهُ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گردآمدن ياران و ياوران حضرت مهدي عليه السلام، هنگام ظهور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باره اين آيه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أَصْحَابَ الْقَائِمِ الثَّلَاثَ مِائَةِ وَ الْبِضْعَةَ عَشَرَ رَجُلاً قَالَ وَ هُمْ وَ اللَّهِ الاُمَّةُ الْمَعْدُودَةُ قَالَ يجْتَمِعُونَ وَ اللَّهِ فِي سَاعَةٍ وَاحِدَةٍ قَزَعٌ كَقَزَعِ الْخَرِيفِ؛</w:t>
      </w:r>
      <w:r>
        <w:rPr>
          <w:rStyle w:val="FootnoteAnchor"/>
          <w:rtl w:val="true"/>
        </w:rPr>
        <w:footnoteReference w:id="426"/>
      </w:r>
      <w:r>
        <w:rPr>
          <w:rFonts w:ascii="IRNazanin" w:hAnsi="IRNazanin" w:eastAsia="IRNazanin"/>
          <w:color w:val="111111"/>
          <w:sz w:val="28"/>
          <w:sz w:val="28"/>
          <w:szCs w:val="28"/>
          <w:rtl w:val="true"/>
          <w:lang w:bidi="fa-IR"/>
        </w:rPr>
        <w:t>منظور اصحاب امام قائم است كه سيصد و چند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معدوده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ساعت همگي جمع مي‌شوند؛ همچون پاره‌هاي ابر پاييزي كه بر اثر تندباد، جمع و فشرده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 بن موسي الرضا عليهما السلام نيز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وَ اللَّهِ أَنْ لَوْ قَدْ قَامَ قَائِمُنَا يجْمَعُ اللَّهُ إِلَيهِ شِيعَتَنَا مِنْ جَمِيعِ الْبُلْدَانِ؛</w:t>
      </w:r>
      <w:r>
        <w:rPr>
          <w:rStyle w:val="FootnoteAnchor"/>
          <w:rtl w:val="true"/>
        </w:rPr>
        <w:footnoteReference w:id="427"/>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مهدي به‌پاخيزد، خداوند پيروان ما را از همة شهرها گرد او جمع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از مفاهيم بطون آيه است؛ چرا كه طبق روايات، آيات قرآن گاهي معاني پرشماري دارد كه يك معنا ظاهري و عمومي است و ديگري مفهوم دروني و به اصطلاح بطن آيه است كه جز پيامبر و امامان عليهم السلام و كساني كه خدا بخواهد، از آن آگاه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طباطبايي در پي آيه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اخبار فراواني از طريق شيعه،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دربارة اصحاب قائم آل محمد عليه السلام است و از بعضي استفاده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از باب تطبيق و جري است</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بنابراين به طور حتم حكومت منحصر در يك فرد نخواهد بود، بلكه با محوريت يك نفر به عنوان رهبر و حاكم، جمع كثيري او را در امر حكومت ياري خواهند داد، كه البته اين افراد انسان‌هاي معمولي و عادي نخواهند بود، بلكه از جايگاه ويژه‌اي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شورا و مشاوره از مهم‌ترين اصول اجتماعي اسلام است كه در منابع اسلامي با دقت و اهميت ويژه‌اي مطرح و در سيرة پيامبر اكرم صلي الله عليه و آله و سلم و پيشوايان بزرگ اسلام جايگاه ويژه‌اي دارد، به طوري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ستون پايه‌اي نظام اسلامي و شيوه‌اي گريز‌ناپذير در مديريت جامعه اسلامي مي‌توان ياد كرد كه نقش اساسي مردم را در تصميم‌گيري‌هاي جامعه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مي‌توان مشورت را از روشن‌ترين نمادهاي مشاركت و تأثيرگزاري مردم در صحنه سياست و حكومت اسلامي،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آيه‌اي به عنوان يكي از ويژگي‌هاي بايستة مسلمانان</w:t>
      </w:r>
      <w:r>
        <w:rPr>
          <w:rStyle w:val="FootnoteAnchor"/>
          <w:rtl w:val="true"/>
        </w:rPr>
        <w:footnoteReference w:id="429"/>
      </w:r>
      <w:r>
        <w:rPr>
          <w:rFonts w:ascii="IRNazanin" w:hAnsi="IRNazanin" w:eastAsia="IRNazanin"/>
          <w:color w:val="111111"/>
          <w:sz w:val="28"/>
          <w:sz w:val="28"/>
          <w:szCs w:val="28"/>
          <w:rtl w:val="true"/>
          <w:lang w:bidi="fa-IR"/>
        </w:rPr>
        <w:t>و در آيه‌اي ديگر به پيامبر اعظم صلي الله عليه و آله وسلم كه نماد حقيقي حاكم و رهبر اسلامي است دستور داده شده تا در گشايش امور و پيشبرد آن با مؤمنان مشورت كند و به ديدگاه‌هاي آنان ارج نهد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روايات و احاديث اسلامي به منزله دومين منابع ديني، بر شورا و مشاوره پافشاري كرده‌اند و از مسلمين مي‌خواهند كه در كارها از خودكامگي و تك‌روي بپرهيزند و با ديگران مشورت نمايند كه در غير اين‌صورت، رأي آنان بي‌ارزش خواهد بود و موجب هلاكت و نابودي‌شان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الإستشارة عين الهداية و قد خاطر من استغني برأيه؛</w:t>
      </w:r>
      <w:r>
        <w:rPr>
          <w:rStyle w:val="FootnoteAnchor"/>
          <w:rtl w:val="true"/>
        </w:rPr>
        <w:footnoteReference w:id="431"/>
      </w:r>
      <w:r>
        <w:rPr>
          <w:rFonts w:ascii="Amiri" w:hAnsi="Amiri" w:eastAsia="Amiri" w:cs="Amiri"/>
          <w:color w:val="111111"/>
          <w:sz w:val="28"/>
          <w:sz w:val="28"/>
          <w:szCs w:val="28"/>
          <w:rtl w:val="true"/>
          <w:lang w:bidi="ar-SA"/>
        </w:rPr>
        <w:t>مشورت عين هدايت است و كسي كه فقط به فكر خود بسنده كند، خويشتن را به خطر انداخته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المستبدّ برأيه موقوف علي مراخص الزلل؛</w:t>
      </w:r>
      <w:r>
        <w:rPr>
          <w:rStyle w:val="FootnoteAnchor"/>
          <w:rtl w:val="true"/>
        </w:rPr>
        <w:footnoteReference w:id="432"/>
      </w:r>
      <w:r>
        <w:rPr>
          <w:rFonts w:ascii="IRNazanin" w:hAnsi="IRNazanin" w:eastAsia="IRNazanin"/>
          <w:color w:val="111111"/>
          <w:sz w:val="28"/>
          <w:sz w:val="28"/>
          <w:szCs w:val="28"/>
          <w:rtl w:val="true"/>
          <w:lang w:bidi="fa-IR"/>
        </w:rPr>
        <w:t>كسي كه به رأي خود استبداد ورزد، بر لغزش‌گاه‌هاي خطا و گناه 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صلي الله عليه و آله و سلم، مشورت را از اسباب پويايي و نشاط جامعه و ترك آن را از اسباب مرگ جامعه معرفي مي‌كند؛ آنجا كه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اُمرائكم خياركم و أغنيائكم سمحائكم و أمركم شوري بينكم فظهر الأرض خيرٌ لكم من بطنها؛</w:t>
      </w:r>
      <w:r>
        <w:rPr>
          <w:rStyle w:val="FootnoteAnchor"/>
          <w:rtl w:val="true"/>
        </w:rPr>
        <w:footnoteReference w:id="433"/>
      </w:r>
      <w:r>
        <w:rPr>
          <w:rFonts w:ascii="IRNazanin" w:hAnsi="IRNazanin" w:eastAsia="IRNazanin"/>
          <w:color w:val="111111"/>
          <w:sz w:val="28"/>
          <w:sz w:val="28"/>
          <w:szCs w:val="28"/>
          <w:rtl w:val="true"/>
          <w:lang w:bidi="fa-IR"/>
        </w:rPr>
        <w:t>هنگامي كه زمام‌داران شما شايسته ترين شما بودند و ثروت شما در دست افراد باگذشت قرار داشت و امور اجتماعي شما نيز به صورت شورا حل‌و‌فصل شد، در اين صورت زنده بودن بر مرگ برتري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هاي تاريخي بسياري در بارة مشورت، از زندگي پيامبر صلي الله عليه و آله وسلم و امامان معصوم عليهم السلام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منابع، هدف از شورا به طور كلي دو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خودمحوري و استبداد رأي و خودكامگي و انحصارطلبي؛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رسيدن به معرفت و آگاهي و غنا بخشيدن به انديشه و فكر در پرتو هم‌فكري و دست‌يابي به همگرايي گروهي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در نظر داشت كه در نظام اسلامي، شورا به امور ويژه‌اي محدود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اسلامي حق به شور گذاشتن احكام صريح اسلامي و فرامين پيامبر خدا صلي الله عليه و آله وسلم را ندارد و افرادي كه به عنوان مشاور برگزيده مي‌شوند، بايد شرايط و ويژگي‌هايي داشته باشند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به اين نتيجه رهنمون مي‌شويم كه در حكومت جهاني حضرت مهدي اگر چه حكم، حكم ولي الله اعظم است، اما در برخي امور به صلاح‌ديد آن امام همام از برخي انسان‌هاي شايسته مشورت گرفته خواهد شد</w:t>
      </w:r>
      <w:r>
        <w:rPr>
          <w:rFonts w:eastAsia="IRNazanin" w:cs="IRNazanin"/>
          <w:color w:val="111111"/>
          <w:sz w:val="28"/>
          <w:szCs w:val="28"/>
          <w:rtl w:val="true"/>
          <w:lang w:bidi="fa-IR"/>
        </w:rPr>
        <w:t>.</w:t>
      </w:r>
      <w:bookmarkStart w:id="521" w:name="pg1814_19165"/>
    </w:p>
    <w:p>
      <w:pPr>
        <w:pStyle w:val="Heading6"/>
        <w:numPr>
          <w:ilvl w:val="5"/>
          <w:numId w:val="1"/>
        </w:numPr>
        <w:rPr/>
      </w:pPr>
      <w:bookmarkStart w:id="522" w:name="__RefHeading___Toc2647401_3650668749"/>
      <w:bookmarkStart w:id="523" w:name="_Toc189"/>
      <w:bookmarkEnd w:id="521"/>
      <w:bookmarkEnd w:id="522"/>
      <w:r>
        <w:rPr>
          <w:rtl w:val="true"/>
        </w:rPr>
        <w:t>نقش مردم در تصميم‌گيري</w:t>
      </w:r>
      <w:bookmarkEnd w:id="523"/>
    </w:p>
    <w:p>
      <w:pPr>
        <w:pStyle w:val="BookText"/>
        <w:rPr/>
      </w:pPr>
      <w:r>
        <w:rPr>
          <w:rFonts w:ascii="IRNazanin" w:hAnsi="IRNazanin" w:eastAsia="IRNazanin"/>
          <w:color w:val="111111"/>
          <w:sz w:val="28"/>
          <w:sz w:val="28"/>
          <w:szCs w:val="28"/>
          <w:rtl w:val="true"/>
          <w:lang w:bidi="fa-IR"/>
        </w:rPr>
        <w:t>نقش هر مسلمان در تعيين سرنوشت خود و جامعه‌اش و بازتابي كه رفتار ديگران در سرنوشت او دارد، همچنين تعهدي كه هر فرد در پذيرش مسؤوليت‌هاي اجتماعي دارد، اين را مي‌طلبد كه وي ناظر بر چگونگي‌هاي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اصل را قرآن كريم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نهي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تأثيرات ناگهاني در فرهنگ جامعه و به پيرو آن، در ديگر ابعاد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تصميم‌سازي‌ها و تصميم‌گيري‌ها پس از اجراي اين اصل، دچار دگرگوني و انقلاب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هرگز جامعه‌اي كه اين اصل پيشرفتة عقلي در آن پياده شده است، با جامعه‌اي كه با اجراي اين اصل فاصله دارد، يكسان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مردم در تصميم‌سازي و به دنبال آن گرفتن تصميم‌هاي درست و به‌جا در جامعه‌اي كه مأمور به معروف و منهي از منكر گرديده است، بسيار پخته و قابل توجه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تصميم‌گيري‌هاي برجسته و پايه‌اي، در هر جامعه‌اي به عهده دولت واگذار گرديده است؛ زيرا شالودة هر حكومت پذيرش مردمي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دولتي پذيرفته و مورد پسند مردم بود، به طور مسلّم تصميماتِ گرفته شده، تصميمات مردمي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شالودة حاكميت، استبداد يا شكل ديگري از حكومت‌هاي نامقبول باشد، در اين صورت نيز دولت بر همان اساسي كه پديد آمده است، تصميم‌گيري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تصميم‌گيري كار ويژه دولت و حاكميت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همين معناي اخير به كار رفته است؛ چنان‌كه در ادعيه نيز ما مسلمان‌ها از خداي متعال همين را آرزو مي‌كنيم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نرغَبُ اليكَ في دولة كريمةٍ تعزُّ بها الاسلام و اهله و تُضلُّ به النفاق و اهله؛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از تو چنان دولت گرامي را مي‌طلبم كه در آن اسلام و اهلش پيروز و سربلند، و نفاق و اهلش خوار و سرافكنده باشند</w:t>
      </w:r>
      <w:r>
        <w:rPr>
          <w:rFonts w:eastAsia="IRNazanin" w:cs="IRNazanin"/>
          <w:color w:val="111111"/>
          <w:sz w:val="28"/>
          <w:szCs w:val="28"/>
          <w:rtl w:val="true"/>
          <w:lang w:bidi="fa-IR"/>
        </w:rPr>
        <w:t>. »</w:t>
      </w:r>
      <w:bookmarkStart w:id="524" w:name="pg1814_19167"/>
    </w:p>
    <w:p>
      <w:pPr>
        <w:pStyle w:val="Heading6"/>
        <w:numPr>
          <w:ilvl w:val="5"/>
          <w:numId w:val="1"/>
        </w:numPr>
        <w:rPr/>
      </w:pPr>
      <w:bookmarkStart w:id="525" w:name="__RefHeading___Toc2647403_3650668749"/>
      <w:bookmarkStart w:id="526" w:name="_Toc190"/>
      <w:bookmarkEnd w:id="524"/>
      <w:bookmarkEnd w:id="525"/>
      <w:r>
        <w:rPr>
          <w:rtl w:val="true"/>
        </w:rPr>
        <w:t>كارگزاران حكومت‌</w:t>
      </w:r>
      <w:bookmarkEnd w:id="526"/>
    </w:p>
    <w:p>
      <w:pPr>
        <w:pStyle w:val="BookText"/>
        <w:rPr/>
      </w:pPr>
      <w:r>
        <w:rPr>
          <w:rFonts w:ascii="IRNazanin" w:hAnsi="IRNazanin" w:eastAsia="IRNazanin"/>
          <w:color w:val="111111"/>
          <w:sz w:val="28"/>
          <w:sz w:val="28"/>
          <w:szCs w:val="28"/>
          <w:rtl w:val="true"/>
          <w:lang w:bidi="fa-IR"/>
        </w:rPr>
        <w:t>از برنامه‌هاي اصلاحي حضرت مهدي عجل الله فرجه در دورة حكومت خود، گزينش افراد شايسته و كارآمد براي به دست گرفتن كارهاي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ثبات و دوام حكومت به‌ ويژه با شاخصه‌هاي دينداري و عدالت، بدون كارگزاران شايسته و كاردان، عملي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يكي از مقوله‌هاي برجسته و مورد توجه جدّي آن حضرت، كارگزاران حكومت و نقش مديريتي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اين ملاك شايستگي آنها را به روشني بيان كرده است در آنجا كه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وَلقَدْ كَتَبْنا فِي الزّبُورِ مِنْ بَعْدِ الذّكْرِ أنّ الارضَ يرِثُها عِبادِي‌َ الصّالِحُونَ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وهمانا، در زبور پس از ذكر نوشتيم كه زمين را بندگان شايستة من،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در بارة اين بندگان شايسته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أَصْحَابُ الْمَهْدِيِ فِي آخِرِ الزَّمَانِ؛</w:t>
      </w:r>
      <w:r>
        <w:rPr>
          <w:rStyle w:val="FootnoteAnchor"/>
          <w:rtl w:val="true"/>
        </w:rPr>
        <w:footnoteReference w:id="435"/>
      </w:r>
      <w:r>
        <w:rPr>
          <w:rFonts w:ascii="IRNazanin" w:hAnsi="IRNazanin" w:eastAsia="IRNazanin"/>
          <w:color w:val="111111"/>
          <w:sz w:val="28"/>
          <w:sz w:val="28"/>
          <w:szCs w:val="28"/>
          <w:rtl w:val="true"/>
          <w:lang w:bidi="fa-IR"/>
        </w:rPr>
        <w:t>آنان ياران و كارگزاران امام مهدي عليه السلام در آخر الزمان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از اين روايت به دست مي‌آيد ملاك براي اعتبار آنها صالح و شايسته‌بودن در همة عرصه‌ها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 نيشابوري در روايتي معتبر</w:t>
      </w:r>
      <w:r>
        <w:rPr>
          <w:rStyle w:val="FootnoteAnchor"/>
          <w:rtl w:val="true"/>
        </w:rPr>
        <w:footnoteReference w:id="436"/>
      </w:r>
      <w:r>
        <w:rPr>
          <w:rFonts w:ascii="IRNazanin" w:hAnsi="IRNazanin" w:eastAsia="IRNazanin"/>
          <w:color w:val="111111"/>
          <w:sz w:val="28"/>
          <w:sz w:val="28"/>
          <w:szCs w:val="28"/>
          <w:rtl w:val="true"/>
          <w:lang w:bidi="fa-IR"/>
        </w:rPr>
        <w:t>از امير مؤمنان عليه السلام نقل كرده كه آنان شايستگان نمونة تاريخ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يسْبِقْهُمُ الاَْوَّلُونَ وَ لا يدْرِكُهُمُ الا خِرُونَ؛</w:t>
      </w:r>
      <w:r>
        <w:rPr>
          <w:rStyle w:val="FootnoteAnchor"/>
          <w:rtl w:val="true"/>
        </w:rPr>
        <w:footnoteReference w:id="437"/>
      </w:r>
      <w:r>
        <w:rPr>
          <w:rFonts w:ascii="IRNazanin" w:hAnsi="IRNazanin" w:eastAsia="IRNazanin"/>
          <w:color w:val="111111"/>
          <w:sz w:val="28"/>
          <w:sz w:val="28"/>
          <w:szCs w:val="28"/>
          <w:rtl w:val="true"/>
          <w:lang w:bidi="fa-IR"/>
        </w:rPr>
        <w:t>بندگان برگزيدة نخستين برآنان پيشي نگرفته‌اند و شايستگان آخرين هم مقامات آنان را درك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چگونگي گزينش اين افراد و قراردادن آنها در جايگاه‌هاي گوناگون سياسي، نظامي، مالي، داوري و اداري، از شئون مستقيم امام است كه در مرحلة تثبيت حكومت آن را اجرايي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نمودن كارگزاران با شيوة زمامداري و رفتار با مردم، و نظارت بر رفتار و مديريت آنان به منظور اجراي نيكوي كارها كه به فراهم‌شدن امنيت جامعه، خشنودي همگاني مردم، منجر خواهد شد، نيز از كارهايي است كه امام مهدي عجل الله ‌فرجه بدان‌ها اهتمام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امام مهدي عجل الله فرجه‌ به عدالت اجتماعي در حكومت اهميت ويژه‌اي خواهد داد، يكي از راهكارهاي عملي پديد‌آمدن آن را، گزينش‌كارگزاران و مديران شايسته در امور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شايستگي زمامدار و پيشواي اصلي جامعه، كارگزاران و عاملان او در مناصب گوناگون نيز بايد از تخصص لازم و متناسب آن جايگاه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افزون بر اينكه در گزينش كارگزاران حكومت از جنبه شايستگي در مديريت حساسيت نشان مي‌دهد، نظارت ويژه‌اي را نيز بر اعمال آنها، به كار مي‌بندد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 السلام در بارة اهتمام حضرت مهدي عليه السلام به مسئوليت‌هاي كارگزاران خود،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فِي غَدٍ وَ سَيَأْتِي غَدٌ بِمَا لَا تَعْرِفُونَ يَأْخُذُ الْوَالِي مِنْ غَيْرِهَا عُمَّالَهَا عَلَى مَسَاوِئِ أَعْمَالِهَا؛</w:t>
      </w:r>
      <w:r>
        <w:rPr>
          <w:rStyle w:val="FootnoteAnchor"/>
          <w:rtl w:val="true"/>
        </w:rPr>
        <w:footnoteReference w:id="438"/>
      </w:r>
      <w:r>
        <w:rPr>
          <w:rFonts w:ascii="IRNazanin" w:hAnsi="IRNazanin" w:eastAsia="IRNazanin"/>
          <w:color w:val="111111"/>
          <w:sz w:val="28"/>
          <w:sz w:val="28"/>
          <w:szCs w:val="28"/>
          <w:rtl w:val="true"/>
          <w:lang w:bidi="fa-IR"/>
        </w:rPr>
        <w:t>آگاه باشيد كه فردا ـ و كه داند كه فردا چه پيش آرد ـ فرمانروايى، كه از اين طايفه ـ امويان ـ نيست، كارگزاران حكومت را به جرم كردار زشتشان بگيرد و عذرى از آنان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آنجايي كه سخن روشن و صريحي در خصوص كارگزاران حضرت مهدي عليه السلام به طور مشخص در دست نيست، مي‌توان با توّجه به اهتمام حضرت مهدي عجل تعالي فرجه در پيروي از امير مؤمنان علي عليه السلام، در همة امور، همة دستورالعمل‌هاي آن حضرت به كارگزاران خود را بخشي از دستورالعمل‌هاي حضرت مهدي عليه السلام به كارگزاران خود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سي نامه از هفتاد و نه نامه حضرت امير در نهج‌البلاغه به كارگزاراني نوشته شده كه از جانب او در شهرهاي گوناگون به كار گماشته شده بودند، از قبيل فرمانداران، مرزداران، فرماندهان سپاه، ماموران خراج و زكات و ساير كارگزاران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متن نامه‌ها، به خوبي مي‌توان دريافت كه ايشان چگونه به كارهاي مردم و امنيت آنها اهتمام داشته و از اينكه كارگزاران او در حوزه‌اختيار خود مرتكب خطا و انحراف شوند نگراني داشته است؛ زيرا ازنظر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خيانت، خيانت به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آن امام برآن بود تا مردم در حكومت او از ناحية كارگزاران و مسوولان كارها در امنيت به سر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پديدآوردن اصلاحات در جامعه و برپاداشتن عدالت و برپايي حكومت ديني بر پاية سيره و سنت پيامبر و اهل بيت او عليهم السلام، نيازمند ياران و كارگزاران پاك، زيرك، كاردان، شجاع و فداكار خواهد بود كه با بينش درست نسبت به آموزه‌هاي اسلام و شناخت به امام خود، مطيع فرمان‌هاي او بوده، به دستوراتش عمل كنند، در جنگ‌ها سستي نورزند و به دشمن پشت نكنند و در كارهاي مردم صادقانه كوشش نمايند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نمونة اين سخت‌گيري بر كارگزاران و خدمت‌كاران پيشتر در دوران غيبت صغراي آن حضرت اين‌گونه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خفيف از پدرش نقل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خدمت‌گزاراني به مدينه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غلامان خود حضرت بوده‌اند و براي خدمت مسجد و ضريح اعزام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آنان دو خادم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غلام نبودند، بلكه اجير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خفيف هم نامه نوشت كه با آنها حركت كند، چون به كوفه رسيدند، يكي از آن دو خادم شرابي مست‌كننده آشاميد، از كوفه بيرون نرفته بودند كه از سامره نامه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وَرَدَ كِتَابٌ مِنَ الْعَسْكَرِ بِرَدِّ الْخَادِمِ الَّذِي شَرِبَ الْمُسْكِرَ وَ عُزِلَ عَنِ الْخِدْمَةِ؛</w:t>
      </w:r>
      <w:r>
        <w:rPr>
          <w:rStyle w:val="FootnoteAnchor"/>
          <w:rtl w:val="true"/>
        </w:rPr>
        <w:footnoteReference w:id="439"/>
      </w:r>
      <w:r>
        <w:rPr>
          <w:rFonts w:ascii="IRNazanin" w:hAnsi="IRNazanin" w:eastAsia="IRNazanin"/>
          <w:color w:val="111111"/>
          <w:sz w:val="28"/>
          <w:sz w:val="28"/>
          <w:szCs w:val="28"/>
          <w:rtl w:val="true"/>
          <w:lang w:bidi="fa-IR"/>
        </w:rPr>
        <w:t>خادمي كه شراب آشاميده، برگردانيده و از خدمت بركنار شد</w:t>
      </w:r>
      <w:r>
        <w:rPr>
          <w:rFonts w:eastAsia="IRNazanin" w:cs="IRNazanin"/>
          <w:color w:val="111111"/>
          <w:sz w:val="28"/>
          <w:szCs w:val="28"/>
          <w:rtl w:val="true"/>
          <w:lang w:bidi="fa-IR"/>
        </w:rPr>
        <w:t>.</w:t>
      </w:r>
      <w:bookmarkStart w:id="527" w:name="pg1814_19169"/>
    </w:p>
    <w:p>
      <w:pPr>
        <w:pStyle w:val="Heading6"/>
        <w:numPr>
          <w:ilvl w:val="5"/>
          <w:numId w:val="1"/>
        </w:numPr>
        <w:rPr/>
      </w:pPr>
      <w:bookmarkStart w:id="528" w:name="__RefHeading___Toc2647405_3650668749"/>
      <w:bookmarkStart w:id="529" w:name="_Toc191"/>
      <w:bookmarkEnd w:id="527"/>
      <w:bookmarkEnd w:id="528"/>
      <w:r>
        <w:rPr>
          <w:rtl w:val="true"/>
        </w:rPr>
        <w:t>گونه‌هايي از كارگزاران از نگاه روايات</w:t>
      </w:r>
      <w:bookmarkEnd w:id="529"/>
    </w:p>
    <w:p>
      <w:pPr>
        <w:pStyle w:val="Heading6"/>
        <w:numPr>
          <w:ilvl w:val="5"/>
          <w:numId w:val="1"/>
        </w:numPr>
        <w:rPr/>
      </w:pPr>
      <w:bookmarkStart w:id="530" w:name="__RefHeading___Toc2647407_3650668749"/>
      <w:bookmarkStart w:id="531" w:name="_Toc192"/>
      <w:bookmarkEnd w:id="530"/>
      <w:r>
        <w:rPr>
          <w:rtl w:val="true"/>
        </w:rPr>
        <w:t>اشاره</w:t>
      </w:r>
      <w:bookmarkEnd w:id="53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اگرچه همان‌گونه كه اشاره شد در بارة مشخصات و ويژگي‌هاي كارگزاران سخن چنداني در دست نيست، اما نكاتي اشاره شده است كه در اينجا به صورت گذرا اشاره مي‌شود</w:t>
      </w:r>
      <w:r>
        <w:rPr>
          <w:rFonts w:eastAsia="IRNazanin" w:cs="IRNazanin"/>
          <w:color w:val="111111"/>
          <w:sz w:val="28"/>
          <w:szCs w:val="28"/>
          <w:rtl w:val="true"/>
          <w:lang w:bidi="fa-IR"/>
        </w:rPr>
        <w:t>:</w:t>
      </w:r>
      <w:bookmarkStart w:id="532" w:name="pg1814_19171"/>
    </w:p>
    <w:p>
      <w:pPr>
        <w:pStyle w:val="Heading6"/>
        <w:numPr>
          <w:ilvl w:val="5"/>
          <w:numId w:val="1"/>
        </w:numPr>
        <w:rPr/>
      </w:pPr>
      <w:bookmarkStart w:id="533" w:name="__RefHeading___Toc2647409_3650668749"/>
      <w:bookmarkStart w:id="534" w:name="_Toc193"/>
      <w:bookmarkEnd w:id="532"/>
      <w:bookmarkEnd w:id="533"/>
      <w:r>
        <w:rPr>
          <w:rtl w:val="true"/>
        </w:rPr>
        <w:t xml:space="preserve">يك </w:t>
      </w:r>
      <w:r>
        <w:rPr>
          <w:rtl w:val="true"/>
        </w:rPr>
        <w:t xml:space="preserve">. </w:t>
      </w:r>
      <w:r>
        <w:rPr>
          <w:rtl w:val="true"/>
        </w:rPr>
        <w:t>شيعيان راستين، برخي از كارگزاران</w:t>
      </w:r>
      <w:bookmarkEnd w:id="534"/>
    </w:p>
    <w:p>
      <w:pPr>
        <w:pStyle w:val="BookText"/>
        <w:rPr/>
      </w:pPr>
      <w:r>
        <w:rPr>
          <w:rFonts w:ascii="IRNazanin" w:hAnsi="IRNazanin" w:eastAsia="IRNazanin"/>
          <w:color w:val="111111"/>
          <w:sz w:val="28"/>
          <w:sz w:val="28"/>
          <w:szCs w:val="28"/>
          <w:rtl w:val="true"/>
          <w:lang w:bidi="fa-IR"/>
        </w:rPr>
        <w:t>در رواياتي چند از شيعيان و پيروان راستين اهل بيت عليهم السلام به عنوان ياران آن حضرت در ادارة جامعة جهاني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اين باره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قَامَ قَائِمُنَا أَذْهَبَ اللَّهُ عَزَّ وَ جَلَّ عَنْ شِيعَتِنَا الْعَاهَةَ وَ جَعَلَ قُلُوبَهُمْ كَزُبَرِ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يَكُونُونَ حُكَّامَ الْأَرْضِ وَ سَنَامَهَا؛</w:t>
      </w:r>
      <w:r>
        <w:rPr>
          <w:rStyle w:val="FootnoteAnchor"/>
          <w:rtl w:val="true"/>
        </w:rPr>
        <w:footnoteReference w:id="440"/>
      </w:r>
      <w:r>
        <w:rPr>
          <w:rFonts w:ascii="IRNazanin" w:hAnsi="IRNazanin" w:eastAsia="IRNazanin"/>
          <w:color w:val="111111"/>
          <w:sz w:val="28"/>
          <w:sz w:val="28"/>
          <w:szCs w:val="28"/>
          <w:rtl w:val="true"/>
          <w:lang w:bidi="fa-IR"/>
        </w:rPr>
        <w:t>آنگاه كه قائم به پا خيزد گرفتاري‌ها از شيعه برطرف مي‌شود و قلب‌هاي آنها چون پاره‌هاي آهن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آنها فرمانروايان زمين و ستون‌هاي آنها خواهند شد</w:t>
      </w:r>
      <w:r>
        <w:rPr>
          <w:rFonts w:eastAsia="IRNazanin" w:cs="IRNazanin"/>
          <w:color w:val="111111"/>
          <w:sz w:val="28"/>
          <w:szCs w:val="28"/>
          <w:rtl w:val="true"/>
          <w:lang w:bidi="fa-IR"/>
        </w:rPr>
        <w:t>.</w:t>
      </w:r>
      <w:bookmarkStart w:id="535" w:name="pg1814_19173"/>
    </w:p>
    <w:p>
      <w:pPr>
        <w:pStyle w:val="Heading6"/>
        <w:numPr>
          <w:ilvl w:val="5"/>
          <w:numId w:val="1"/>
        </w:numPr>
        <w:rPr/>
      </w:pPr>
      <w:bookmarkStart w:id="536" w:name="__RefHeading___Toc2647411_3650668749"/>
      <w:bookmarkStart w:id="537" w:name="_Toc194"/>
      <w:bookmarkEnd w:id="535"/>
      <w:bookmarkEnd w:id="536"/>
      <w:r>
        <w:rPr>
          <w:rtl w:val="true"/>
        </w:rPr>
        <w:t xml:space="preserve">دو </w:t>
      </w:r>
      <w:r>
        <w:rPr>
          <w:rtl w:val="true"/>
        </w:rPr>
        <w:t xml:space="preserve">. </w:t>
      </w:r>
      <w:r>
        <w:rPr>
          <w:rtl w:val="true"/>
        </w:rPr>
        <w:t>برخي رجعت كنندگان، كارگزاران حضرت</w:t>
      </w:r>
      <w:bookmarkEnd w:id="537"/>
    </w:p>
    <w:p>
      <w:pPr>
        <w:pStyle w:val="BookText"/>
        <w:rPr/>
      </w:pPr>
      <w:r>
        <w:rPr>
          <w:rFonts w:ascii="Amiri" w:hAnsi="Amiri" w:eastAsia="Amiri" w:cs="Amiri"/>
          <w:color w:val="111111"/>
          <w:sz w:val="28"/>
          <w:sz w:val="28"/>
          <w:szCs w:val="28"/>
          <w:rtl w:val="true"/>
          <w:lang w:bidi="ar-SA"/>
        </w:rPr>
        <w:t>در اين باره امام صادق عليه السلام فرمود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يَخْرُجُ مَعَ الْقَائِمِ عليه السلام مِنْ ظَهْرِ الْكُوفَةِ سَبْعٌ وَ عِشْرُونَ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فَيَكُونُونَ بَيْنَ يَدَيْهِ أَنْصَاراً وَ حُكَّاماً؛</w:t>
      </w:r>
      <w:r>
        <w:rPr>
          <w:rStyle w:val="FootnoteAnchor"/>
          <w:rtl w:val="true"/>
        </w:rPr>
        <w:footnoteReference w:id="441"/>
      </w:r>
      <w:r>
        <w:rPr>
          <w:rFonts w:ascii="IRNazanin" w:hAnsi="IRNazanin" w:eastAsia="IRNazanin"/>
          <w:color w:val="111111"/>
          <w:sz w:val="28"/>
          <w:sz w:val="28"/>
          <w:szCs w:val="28"/>
          <w:rtl w:val="true"/>
          <w:lang w:bidi="fa-IR"/>
        </w:rPr>
        <w:t xml:space="preserve">از پشت كوفه بيست و هفت نفر قائم را هنگام ظهور همراهي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پيشاپيش آن حضرت ياران او و فرمانروايان خواهند بود</w:t>
      </w:r>
      <w:r>
        <w:rPr>
          <w:rFonts w:eastAsia="IRNazanin" w:cs="IRNazanin"/>
          <w:color w:val="111111"/>
          <w:sz w:val="28"/>
          <w:szCs w:val="28"/>
          <w:rtl w:val="true"/>
          <w:lang w:bidi="fa-IR"/>
        </w:rPr>
        <w:t>.</w:t>
      </w:r>
      <w:bookmarkStart w:id="538" w:name="pg1814_19175"/>
    </w:p>
    <w:p>
      <w:pPr>
        <w:pStyle w:val="Heading6"/>
        <w:numPr>
          <w:ilvl w:val="5"/>
          <w:numId w:val="1"/>
        </w:numPr>
        <w:rPr/>
      </w:pPr>
      <w:bookmarkStart w:id="539" w:name="__RefHeading___Toc2647413_3650668749"/>
      <w:bookmarkStart w:id="540" w:name="_Toc195"/>
      <w:bookmarkEnd w:id="538"/>
      <w:bookmarkEnd w:id="539"/>
      <w:r>
        <w:rPr>
          <w:rtl w:val="true"/>
        </w:rPr>
        <w:t xml:space="preserve">سه </w:t>
      </w:r>
      <w:r>
        <w:rPr>
          <w:rtl w:val="true"/>
        </w:rPr>
        <w:t xml:space="preserve">. </w:t>
      </w:r>
      <w:r>
        <w:rPr>
          <w:rtl w:val="true"/>
        </w:rPr>
        <w:t>سخنگوي حضرت مهدي عليه السلام</w:t>
      </w:r>
      <w:bookmarkEnd w:id="540"/>
    </w:p>
    <w:p>
      <w:pPr>
        <w:pStyle w:val="Heading6"/>
        <w:numPr>
          <w:ilvl w:val="5"/>
          <w:numId w:val="1"/>
        </w:numPr>
        <w:rPr/>
      </w:pPr>
      <w:bookmarkStart w:id="541" w:name="__RefHeading___Toc2647415_3650668749"/>
      <w:bookmarkStart w:id="542" w:name="_Toc196"/>
      <w:bookmarkEnd w:id="541"/>
      <w:r>
        <w:rPr>
          <w:rtl w:val="true"/>
        </w:rPr>
        <w:t>اشاره</w:t>
      </w:r>
      <w:bookmarkEnd w:id="54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كارگزاراني كه در روايات اشاره شده فردي به عنوان سخن‌گوي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سخن‌گويي در عرصه‌هاي گوناگوني اشاره شده است</w:t>
      </w:r>
      <w:r>
        <w:rPr>
          <w:rFonts w:eastAsia="IRNazanin" w:cs="IRNazanin"/>
          <w:color w:val="111111"/>
          <w:sz w:val="28"/>
          <w:szCs w:val="28"/>
          <w:rtl w:val="true"/>
          <w:lang w:bidi="fa-IR"/>
        </w:rPr>
        <w:t>:</w:t>
      </w:r>
      <w:bookmarkStart w:id="543" w:name="pg1814_19176"/>
    </w:p>
    <w:p>
      <w:pPr>
        <w:pStyle w:val="Heading6"/>
        <w:numPr>
          <w:ilvl w:val="5"/>
          <w:numId w:val="1"/>
        </w:numPr>
        <w:rPr/>
      </w:pPr>
      <w:bookmarkStart w:id="544" w:name="__RefHeading___Toc2647417_3650668749"/>
      <w:bookmarkStart w:id="545" w:name="_Toc197"/>
      <w:bookmarkEnd w:id="543"/>
      <w:bookmarkEnd w:id="544"/>
      <w:r>
        <w:rPr/>
        <w:t>1</w:t>
      </w:r>
      <w:r>
        <w:rPr>
          <w:rtl w:val="true"/>
        </w:rPr>
        <w:t xml:space="preserve">. </w:t>
      </w:r>
      <w:r>
        <w:rPr>
          <w:rtl w:val="true"/>
        </w:rPr>
        <w:t>كارگزاران اقتصادي</w:t>
      </w:r>
      <w:bookmarkEnd w:id="545"/>
    </w:p>
    <w:p>
      <w:pPr>
        <w:pStyle w:val="BookText"/>
        <w:rPr/>
      </w:pPr>
      <w:r>
        <w:rPr>
          <w:rFonts w:ascii="IRNazanin" w:hAnsi="IRNazanin" w:eastAsia="IRNazanin"/>
          <w:color w:val="111111"/>
          <w:sz w:val="28"/>
          <w:sz w:val="28"/>
          <w:szCs w:val="28"/>
          <w:rtl w:val="true"/>
          <w:lang w:bidi="fa-IR"/>
        </w:rPr>
        <w:t>بي‌ترديد حضرت همة نيازهاي جامعة خود را در نظر دارد ؛ در روايتي از امام باقر عليه السلام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قائم در مكه قيام كند و خواهد متوجه كوفه شود مناديش فرياد كشد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يَحْمِلْ أَحَدٌ مِنْكُمْ طَعَاماً وَ لَا شَرَاباً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كسي خوردني و آشاميدني همراه خود بر ندارد، و سنگ حضرت موسي عليه السلام كه به وزن يك بار شتر است با آن حضرت است، در هر منزلي كه فرود آيند، چشمة آبي از آن سنگ بجوشد كه گرسنه را سير و تشنه را سيراب كند و همان سنگ توشه آنهاست تا هنگامي كه در نجف به پشت كوفه فرود آيند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چه اين روايت را در معناي حقيقي آن بدانيم كه كرامتي از آن حضرت به شمار مي‌آيد و چه آن را نمادي از فراهم‌كردن همة نيازهاي ياران خود در قيام؛ به هر صورت حكايت از اين دارد كه گروهي سرپرست فراهم‌كردن نيازهاي مادي جامعه خواهند بود</w:t>
      </w:r>
      <w:r>
        <w:rPr>
          <w:rFonts w:eastAsia="IRNazanin" w:cs="IRNazanin"/>
          <w:color w:val="111111"/>
          <w:sz w:val="28"/>
          <w:szCs w:val="28"/>
          <w:rtl w:val="true"/>
          <w:lang w:bidi="fa-IR"/>
        </w:rPr>
        <w:t>.</w:t>
      </w:r>
      <w:bookmarkStart w:id="546" w:name="pg1814_19178"/>
    </w:p>
    <w:p>
      <w:pPr>
        <w:pStyle w:val="Heading6"/>
        <w:numPr>
          <w:ilvl w:val="5"/>
          <w:numId w:val="1"/>
        </w:numPr>
        <w:rPr/>
      </w:pPr>
      <w:bookmarkStart w:id="547" w:name="__RefHeading___Toc2647419_3650668749"/>
      <w:bookmarkStart w:id="548" w:name="_Toc198"/>
      <w:bookmarkEnd w:id="546"/>
      <w:bookmarkEnd w:id="547"/>
      <w:r>
        <w:rPr/>
        <w:t>2</w:t>
      </w:r>
      <w:r>
        <w:rPr>
          <w:rtl w:val="true"/>
        </w:rPr>
        <w:t xml:space="preserve">. </w:t>
      </w:r>
      <w:r>
        <w:rPr>
          <w:rtl w:val="true"/>
        </w:rPr>
        <w:t>كارگزاران فرهنگي</w:t>
      </w:r>
      <w:bookmarkEnd w:id="548"/>
    </w:p>
    <w:p>
      <w:pPr>
        <w:pStyle w:val="Heading6"/>
        <w:numPr>
          <w:ilvl w:val="5"/>
          <w:numId w:val="1"/>
        </w:numPr>
        <w:rPr/>
      </w:pPr>
      <w:bookmarkStart w:id="549" w:name="__RefHeading___Toc2647421_3650668749"/>
      <w:bookmarkStart w:id="550" w:name="_Toc199"/>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از ديگر كساني كه از وي به عنوان سخن‌گوي حضرت ياد شده و مي‌توان به عنوان يكي از كارگزاران حضرت از او ياد كرد در روايت امام باقر عليه السلام است كه مردي از آن حضرت چنين نقل كرده كه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مَا يُظْهِرُ الْقَائِمُ مِنَ الْعَدْلِ أَنْ يُنَادِيَ مُنَادِيهِ أَنْ يُسَلِّمَ صَاحِبُ النَّافِلَةِ لِصَاحِبِ الْفَرِيضَةِ الْحَجَرَ الْأَسْوَدَ وَ الطَّوَافَ؛</w:t>
      </w:r>
      <w:r>
        <w:rPr>
          <w:rStyle w:val="FootnoteAnchor"/>
          <w:rtl w:val="true"/>
        </w:rPr>
        <w:footnoteReference w:id="443"/>
      </w:r>
      <w:r>
        <w:rPr>
          <w:rFonts w:ascii="IRNazanin" w:hAnsi="IRNazanin" w:eastAsia="IRNazanin"/>
          <w:color w:val="111111"/>
          <w:sz w:val="28"/>
          <w:sz w:val="28"/>
          <w:szCs w:val="28"/>
          <w:rtl w:val="true"/>
          <w:lang w:bidi="fa-IR"/>
        </w:rPr>
        <w:t>نخستين نمود عدل‌گستري قائم آن است كه سخن‌گوي او ندا دهد كساني كه نافله به جاي آوردند سلام دهند و اطراف حجر الاسود و طواف را براي كساني كه قصد فريضه دارند، خالي كنند</w:t>
      </w:r>
      <w:r>
        <w:rPr>
          <w:rFonts w:eastAsia="IRNazanin" w:cs="IRNazanin"/>
          <w:color w:val="111111"/>
          <w:sz w:val="28"/>
          <w:szCs w:val="28"/>
          <w:rtl w:val="true"/>
          <w:lang w:bidi="fa-IR"/>
        </w:rPr>
        <w:t>.</w:t>
      </w:r>
      <w:bookmarkStart w:id="551" w:name="pg1814_19180"/>
    </w:p>
    <w:p>
      <w:pPr>
        <w:pStyle w:val="Heading6"/>
        <w:numPr>
          <w:ilvl w:val="5"/>
          <w:numId w:val="1"/>
        </w:numPr>
        <w:rPr/>
      </w:pPr>
      <w:bookmarkStart w:id="552" w:name="__RefHeading___Toc2647423_3650668749"/>
      <w:bookmarkStart w:id="553" w:name="_Toc200"/>
      <w:bookmarkEnd w:id="551"/>
      <w:bookmarkEnd w:id="552"/>
      <w:r>
        <w:rPr>
          <w:rtl w:val="true"/>
        </w:rPr>
        <w:t>كارگزاران قضايي</w:t>
      </w:r>
      <w:bookmarkEnd w:id="55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به نظر مي‌رسد اوج كمال انسان‌ها در حكومت جهاني حضرت اقتضا مي‌كند بزه و خلاف در آن دوران نوراني به كمترين اندازة ممكن برسد، اما شكي نيست كه همة انسان‌ها در يك اندازه نخواهند بود و برخي ممكن است دست به خلاف‌هايي بزنند كه نيازمند دادرسي و داوري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يكي از سفارش‌هاي حضرت مهدي عليه السلام هنگام گسيل كارگزاران به سراسر گيتي داوري بر پاية آنچه حضرت در اختيار آنان قرار داده است، مي‌باشد</w:t>
      </w:r>
      <w:r>
        <w:rPr>
          <w:rFonts w:eastAsia="IRNazanin" w:cs="IRNazanin"/>
          <w:color w:val="111111"/>
          <w:sz w:val="28"/>
          <w:szCs w:val="28"/>
          <w:rtl w:val="true"/>
          <w:lang w:bidi="fa-IR"/>
        </w:rPr>
        <w:t>.</w:t>
      </w:r>
      <w:r>
        <w:rPr>
          <w:rStyle w:val="FootnoteAnchor"/>
          <w:rtl w:val="true"/>
        </w:rPr>
        <w:footnoteReference w:id="444"/>
      </w:r>
      <w:bookmarkStart w:id="554" w:name="pg1814_19182"/>
    </w:p>
    <w:p>
      <w:pPr>
        <w:pStyle w:val="Heading6"/>
        <w:numPr>
          <w:ilvl w:val="5"/>
          <w:numId w:val="1"/>
        </w:numPr>
        <w:rPr/>
      </w:pPr>
      <w:bookmarkStart w:id="555" w:name="__RefHeading___Toc2647425_3650668749"/>
      <w:bookmarkStart w:id="556" w:name="_Toc201"/>
      <w:bookmarkEnd w:id="554"/>
      <w:bookmarkEnd w:id="555"/>
      <w:r>
        <w:rPr>
          <w:rtl w:val="true"/>
        </w:rPr>
        <w:t xml:space="preserve">چهار </w:t>
      </w:r>
      <w:r>
        <w:rPr>
          <w:rtl w:val="true"/>
        </w:rPr>
        <w:t xml:space="preserve">. </w:t>
      </w:r>
      <w:r>
        <w:rPr>
          <w:rtl w:val="true"/>
        </w:rPr>
        <w:t>سيصد وسيزده نفر، كارگزاران حضرت</w:t>
      </w:r>
      <w:bookmarkEnd w:id="556"/>
    </w:p>
    <w:p>
      <w:pPr>
        <w:pStyle w:val="BookText"/>
        <w:rPr/>
      </w:pPr>
      <w:r>
        <w:rPr>
          <w:rFonts w:ascii="IRNazanin" w:hAnsi="IRNazanin" w:eastAsia="IRNazanin"/>
          <w:color w:val="111111"/>
          <w:sz w:val="28"/>
          <w:sz w:val="28"/>
          <w:szCs w:val="28"/>
          <w:rtl w:val="true"/>
          <w:lang w:bidi="fa-IR"/>
        </w:rPr>
        <w:t>در روايات فراواني به جايگاه و بزرگي ياران ويژة حضرت اشاره شده است از جمله ويژگي‌هاي اين گروه آن است كه در دوران حكومت فرمانداران آن حضرتند، همان‌گونه كه هنگام قيام فرماندهان سپاه آن حضرتند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باره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كَأَنِّي أَنْظُرُ إِلَى الْقَائِمِ عَلَى مِنْبَرِ الْكُوفَةِ وَ حَوْلَهُ أَصْحَابُهُ ثَلَاثُمِائَةٍ وَ ثَلَاثَةَ عَشَرَ رَجُلًا ِعدَّةَ أَهْلِ بَدْرٍ وَ هُمْ أَصْحَابُ الْأَلْوِيَةِ وَ هُمْ حُكَّامُ اللَّهِ فِي أَرْضِهِ عَلَى خَلْقِه؛</w:t>
      </w:r>
      <w:r>
        <w:rPr>
          <w:rStyle w:val="FootnoteAnchor"/>
          <w:rtl w:val="true"/>
        </w:rPr>
        <w:footnoteReference w:id="445"/>
      </w:r>
      <w:r>
        <w:rPr>
          <w:rFonts w:ascii="IRNazanin" w:hAnsi="IRNazanin" w:eastAsia="IRNazanin"/>
          <w:color w:val="111111"/>
          <w:sz w:val="28"/>
          <w:sz w:val="28"/>
          <w:szCs w:val="28"/>
          <w:rtl w:val="true"/>
          <w:lang w:bidi="fa-IR"/>
        </w:rPr>
        <w:t>گويا مي‌نگرم قائم را بر فراز منبر كوفه در حالي كه سيصد و سيزده مرد گرداگرد او به شمار اهل بدر حلقه زده‌اند؛ آنها همانا پرچمداران و حاكمان خداوند در زمين، بر بندگان هستند</w:t>
      </w:r>
      <w:r>
        <w:rPr>
          <w:rFonts w:eastAsia="IRNazanin" w:cs="IRNazanin"/>
          <w:color w:val="111111"/>
          <w:sz w:val="28"/>
          <w:szCs w:val="28"/>
          <w:rtl w:val="true"/>
          <w:lang w:bidi="fa-IR"/>
        </w:rPr>
        <w:t>.</w:t>
      </w:r>
      <w:bookmarkStart w:id="557" w:name="pg1814_19184"/>
    </w:p>
    <w:p>
      <w:pPr>
        <w:pStyle w:val="Heading6"/>
        <w:numPr>
          <w:ilvl w:val="5"/>
          <w:numId w:val="1"/>
        </w:numPr>
        <w:rPr/>
      </w:pPr>
      <w:bookmarkStart w:id="558" w:name="__RefHeading___Toc2647427_3650668749"/>
      <w:bookmarkStart w:id="559" w:name="_Toc202"/>
      <w:bookmarkEnd w:id="557"/>
      <w:bookmarkEnd w:id="558"/>
      <w:r>
        <w:rPr>
          <w:rtl w:val="true"/>
        </w:rPr>
        <w:t xml:space="preserve">پنچ </w:t>
      </w:r>
      <w:r>
        <w:rPr>
          <w:rtl w:val="true"/>
        </w:rPr>
        <w:t xml:space="preserve">. </w:t>
      </w:r>
      <w:r>
        <w:rPr>
          <w:rtl w:val="true"/>
        </w:rPr>
        <w:t>پراكندگي كارگزاران حضرت</w:t>
      </w:r>
      <w:bookmarkEnd w:id="559"/>
    </w:p>
    <w:p>
      <w:pPr>
        <w:pStyle w:val="BookText"/>
        <w:rPr/>
      </w:pPr>
      <w:r>
        <w:rPr>
          <w:rFonts w:ascii="IRNazanin" w:hAnsi="IRNazanin" w:eastAsia="IRNazanin"/>
          <w:color w:val="111111"/>
          <w:sz w:val="28"/>
          <w:sz w:val="28"/>
          <w:szCs w:val="28"/>
          <w:rtl w:val="true"/>
          <w:lang w:bidi="fa-IR"/>
        </w:rPr>
        <w:t>بي‌شك به جهت گستردگي و فراگيري حكومت عدل مهدوي بر گسترة زمين آن حضرت كارگزاران خود را به همة گيتي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است كه در اين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الْقَائِمُ بَعَثَ فِي أَقَالِيمِ الْأَرْضِ فِي كُلِّ إِقْلِيمٍ رَجُلًا يَقُولُ عَهْدُكَ فِي كَفِّكَ فَإِذَا وَرَدَ عَلَيْكَ مَا لَا تَفْهَمُهُ وَ لَا تَعْرِفُ الْقَضَاءَ فِيهِ فَانْظُرْ إِلَى كَفِّكَ وَ اعْمَلْ بِمَا فِيهَا؛</w:t>
      </w:r>
      <w:r>
        <w:rPr>
          <w:rStyle w:val="FootnoteAnchor"/>
          <w:rtl w:val="true"/>
        </w:rPr>
        <w:footnoteReference w:id="446"/>
      </w:r>
      <w:r>
        <w:rPr>
          <w:rFonts w:ascii="IRNazanin" w:hAnsi="IRNazanin" w:eastAsia="IRNazanin"/>
          <w:color w:val="111111"/>
          <w:sz w:val="28"/>
          <w:sz w:val="28"/>
          <w:szCs w:val="28"/>
          <w:rtl w:val="true"/>
          <w:lang w:bidi="fa-IR"/>
        </w:rPr>
        <w:t>هنگامي كه قائم قيام كند در كشورهاي روي زمين كساني را بر مي‌انگيزد، در هر سرزمين يك نفر را، و به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تو در كف دست تو است، هر گاه كاري براي تو پيش آمد كه آن را نفهميدي و ندانستي چگونه در آن حكم كني، به كف خود بنگر و به آنچه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عمل كن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بررسي‌هاي انجام شده بيش از آنچه آمد، سخني در بارة كارگزاران يافت نشد كه البته آنچه يادآوري شد نيازمند بررسي‌اي عميق‌تر است كه از حوصلة اين نوشتار خارج است</w:t>
      </w:r>
      <w:r>
        <w:rPr>
          <w:rFonts w:eastAsia="IRNazanin" w:cs="IRNazanin"/>
          <w:color w:val="111111"/>
          <w:sz w:val="28"/>
          <w:szCs w:val="28"/>
          <w:rtl w:val="true"/>
          <w:lang w:bidi="fa-IR"/>
        </w:rPr>
        <w:t>.</w:t>
      </w:r>
      <w:bookmarkStart w:id="560" w:name="pg1814_19186"/>
    </w:p>
    <w:p>
      <w:pPr>
        <w:pStyle w:val="Heading6"/>
        <w:numPr>
          <w:ilvl w:val="5"/>
          <w:numId w:val="1"/>
        </w:numPr>
        <w:rPr/>
      </w:pPr>
      <w:bookmarkStart w:id="561" w:name="__RefHeading___Toc2647429_3650668749"/>
      <w:bookmarkStart w:id="562" w:name="_Toc203"/>
      <w:bookmarkEnd w:id="560"/>
      <w:bookmarkEnd w:id="561"/>
      <w:r>
        <w:rPr>
          <w:rtl w:val="true"/>
        </w:rPr>
        <w:t>نظارت مردم بر حكومت</w:t>
      </w:r>
      <w:bookmarkEnd w:id="562"/>
    </w:p>
    <w:p>
      <w:pPr>
        <w:pStyle w:val="BookText"/>
        <w:rPr/>
      </w:pPr>
      <w:r>
        <w:rPr>
          <w:rFonts w:ascii="IRNazanin" w:hAnsi="IRNazanin" w:eastAsia="IRNazanin"/>
          <w:color w:val="111111"/>
          <w:sz w:val="28"/>
          <w:sz w:val="28"/>
          <w:szCs w:val="28"/>
          <w:rtl w:val="true"/>
          <w:lang w:bidi="fa-IR"/>
        </w:rPr>
        <w:t>حضور پيوستة مؤمنان در صحنه و نقد و ارزيابي دايمي آنان به هم، به ويژه از اركان و عاملان حكومت، از مهم‌ترين نقش‌هاي مردم در حكومت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رهبر و نمايندگان او وظيفه دارند بر اخلاق و رفتار جامعه نظارت كنند و نگهبان سلامت فرهنگي جامعه باشند، جامعه نيز موظف است بر جريان امور حكومت، نظارت كند و از دادن پيش‌نهاد و انتقاد دل‌سوزانه دريغ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مطمئن‌ترين، سالم‌ترين و مؤثرترين عامل براي نظارت قدرت بر حاكمان، حضور پويا و آگاهانه هم‌راه با احساس مسئوليت مردم در صحنه و مراقبت دايمي آنان از جريان حاكميت و مديريت جامعه و نقد و ارزيابي هميشگي و پي‌گيرانه آنان از اعمال و رفتار مديران و مسئولان حكومت است و در اين جهت فرقي ميان رهبران معصوم و غيرمعصوم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امام علي عليه السلام كه خود از زمام‌داران جهان اسلام است، از مردم مي‌خواهد كه از برخورد چاپلوسانه و رياكارانه با او برحذر باشند و از انتقاد مشفقانه و ارشاد نيك‌انديشانه دريغ نورزند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تأكيد كساني چون پيامبر صلي الله عليه و آله وسلم و علي عليه السلام كه مصون از لغزش و خطا بوده‌اند، بر انتقاد از رهبري و حكم‌راني، ضمن اين‌كه نوعي حرمت نهادن به شخصيت مردم و مايه شكوفايي انديشه‌ها و تقويت روحيه خودباوري است، الگويي روشن از شيوه زمام‌داري ديني و نقش مردم را در حكومت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علي عليه السلام در نامه خود به مالك اشتر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تقولنَّ أنّي مؤمرٌ أمر فأطاع، فإنّ ذلك إدغالٌ في القلب و منهكۀ للدين و تقربٌ من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هرگز با خود مگو من فرمان‌روا و مسلط هستم كه بايد دستور دهنده باشم و ديگران فرمانبرداري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چنين پنداري، مايه تباهي قلب و سستي دين خواهد شد و تو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ناخشنودي همگاني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بنيان برانداز روبه‌رو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النصيحة لأئمّة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سازوكارهاي نظارت مردمي است كه عامل نيرومندي در جهت تقويت صلاح حكم‌رانان و مانع خطا و اشتباه در اجراي سياست‌هاي گرفته شده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سازوكار يكايك افراد جامعه را دربر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گرامي اسلام صلي الله عليه و آله وسلم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ثلاثه لايغلّ عليهنّ قلب إمرء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 النصيحه لأئمّه المسلمين و اللزوم بجماعتهم؛</w:t>
      </w:r>
      <w:r>
        <w:rPr>
          <w:rStyle w:val="FootnoteAnchor"/>
          <w:rtl w:val="true"/>
        </w:rPr>
        <w:footnoteReference w:id="449"/>
      </w:r>
      <w:r>
        <w:rPr>
          <w:rFonts w:ascii="IRNazanin" w:hAnsi="IRNazanin" w:eastAsia="IRNazanin"/>
          <w:color w:val="111111"/>
          <w:sz w:val="28"/>
          <w:sz w:val="28"/>
          <w:szCs w:val="28"/>
          <w:rtl w:val="true"/>
          <w:lang w:bidi="fa-IR"/>
        </w:rPr>
        <w:t>سه چيز است كه دل هيچ مسلماني به گريز از آن خرسند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رفتار براي خدا، نصيحت و خيرخواهي به امام مسلمانان و همدلي و هم‌راهي با جماعت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نصيحت‌پذيري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احاديث از صفات مؤمنان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احاديث، هم واژه نصيحت آمده كه حاكي از خيرخواهي و ملاحظه شخص مؤمن است و هم به خودداري انسان‌ها از پذيرش نقد خود از سوي ديگران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و پرهيزگاري شرط رهبري و التزام عملي به موازين اسلامي لازمه زمام‌داري در نظام اسلامي است، اما تذكرات سودمند مردمي و نظارت عمومي مي‌تواند جلوي بروز مشكلات ناشي از اشتباهات برخي كارگزاران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روايت‌هايي به دست مي‌آيد كه نه فقط مردم در حكومت جهاني حضرت مهدي عليه السلام نقش ايفا مي‌كنند كه همگان از برپايي اين حكومت خرسند و خشنود خواهند شد كه اين نشانة رضامندي آنان از اين حكومت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خدري از پيغمبر اكرم صلي الله عليه و آله وسلم نقل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أُبَشِّرُكُمْ بِالْمَهْدِيِّ يُبْعَثُ فِي أُمَّتِي عَلَي اخْتِلَافٍ مِنَ النَّاسِ وَزِلْزَالٍ يَمْلَأُ الْأَرْضَ عَدْلًا وَ قِسْطاً كَمَا مُلِئَتْ جَوْراً وَ ظُلْماً يَرْضَي عَنْهُ سَاكِنُ السَّمَاءِ وَ سَاكِنُ الْأَرْضِ؛</w:t>
      </w:r>
      <w:r>
        <w:rPr>
          <w:rStyle w:val="FootnoteAnchor"/>
          <w:rtl w:val="true"/>
        </w:rPr>
        <w:footnoteReference w:id="450"/>
      </w:r>
      <w:r>
        <w:rPr>
          <w:rFonts w:ascii="IRNazanin" w:hAnsi="IRNazanin" w:eastAsia="IRNazanin"/>
          <w:color w:val="111111"/>
          <w:sz w:val="28"/>
          <w:sz w:val="28"/>
          <w:szCs w:val="28"/>
          <w:rtl w:val="true"/>
          <w:lang w:bidi="fa-IR"/>
        </w:rPr>
        <w:t>شما را مژده مي‌دهم به مهدي كه هنگام اختلاف مردم و تزلزل زمانه برانگيخته شود و زمين را از عدل و داد پر كند چونان كه از ظلم و ستم پر شده باشد و ساكنان آسمان و زمين از وي خشنود باشند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مردم در دوران حكومت مهدي موعود عليه السلام با همة هستي و توان خويش از رهبر و حاكم پيروي كرده و در همة كارهاي ممكن نقش ايفا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آنجا كه مولاي خود صلاح بداند و دستور دهد خالصانه حضور خواهند يافت و بر خلاف پندار كساني كه ممكن است تصور كنند مردم نقش ندارند مي‌توان گفت همة نقش‌ها از آن مردم است كه ذيل رهبري انسان معصوم نابساماني‌ها را سامان داده، زمينه رشد و كمال همگاني را فراهم مي‌كنند و هر كس به اندازة توان و ظرفيت خود بخشي از مشكلات را رفع كرده و در واقع حكومت جهاني مردم با محوريت امام معصوم بر زمين خواهد بود</w:t>
      </w:r>
      <w:r>
        <w:rPr>
          <w:rFonts w:eastAsia="IRNazanin" w:cs="IRNazanin"/>
          <w:color w:val="111111"/>
          <w:sz w:val="28"/>
          <w:szCs w:val="28"/>
          <w:rtl w:val="true"/>
          <w:lang w:bidi="fa-IR"/>
        </w:rPr>
        <w:t>.</w:t>
      </w:r>
      <w:bookmarkStart w:id="563" w:name="pg1814_19188"/>
    </w:p>
    <w:p>
      <w:pPr>
        <w:pStyle w:val="Heading4"/>
        <w:numPr>
          <w:ilvl w:val="3"/>
          <w:numId w:val="1"/>
        </w:numPr>
        <w:rPr/>
      </w:pPr>
      <w:bookmarkStart w:id="564" w:name="__RefHeading___Toc2647431_3650668749"/>
      <w:bookmarkStart w:id="565" w:name="_Toc204"/>
      <w:bookmarkEnd w:id="563"/>
      <w:bookmarkEnd w:id="564"/>
      <w:r>
        <w:rPr>
          <w:rtl w:val="true"/>
        </w:rPr>
        <w:t>جمع بندي و نتيجه‌گيري</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زمينه‌سازي و برپايي نظام مهدوي عليه السلام ـ كه مبتني بر محوريت و حضور رهبري صالح و انساني معصوم و كامل است ـ هم براي رسيدن به سعادت خودشان و هم زمينه‌سازي سعادتِ ديگران، مشاركت متعهدانه و فعّال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سياسي مهدوي به دليل ولايت عالمانه و كامل امام عليه السلام و عدم برداشت‌ها و قرائت‌هاي گوناگون، مردم با هم در رسيدن به زندگي مطلوب اسلام اختلاف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مهدوي با همراهي و مشاركت مردم در نبرد با ظالمان شكل گرفته و مردم در فرايند تشكيل و مديريت جامعه اسلامي تحت رهبري آن حضرت نقش‌آفريني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مي‌توان نتيجه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مردم در سه مرحله محل بحث و اظهار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سامان بحث نخست، به نقش مردم در فراهم كردن زمينه‌ها براي انقلاب جهاني موعود منجي سخن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مقال با تأكيد بر اين آموزة مهم و سنت جاريه كه مردم به ارادة الهي نقش اساسي در تغيير و تحول خويشتن دارند گفته شد چون موعود منجي واپسين پاسخ خداوند به مديريت تغيير جامعه جهاني خواهد بود پس مردم نقطة آغاز اين تحول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مردم در حد قابل قبول از جهت كميت و كيفيت اراده و خواست چنين تغييري را نداشته باشند زمينة شكل‌گيري آن تحول بزرگ و جهاني فراهم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خداوند است كه در آياتي چند بدان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 خلاف باور برخي ـ كه پديدة ظهور امام عصر عجل الله تعالي فرجه الشريف و تشكيل دولت حق وي را فقط وابسته به خواست و اراده الهي مي‌دانند و مي‌پندارند مردم هيچ نقشي در ظهور ندارند ـ ظهور امام مهدي عليه السلام با نوع تمايل و خواست جمعي انسان‌ها ارتباط مستقيم و پيوندي مستحكم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بي‌ترديد تحقق ظهور به اراده الهي وابسته است، اما خواست حكيمانه پروردگار متعال به نوع روي‌كرد مردم و خواست همگاني و فراهم‌شدن زمينه‌هاي تحقق ظهور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توجه به اين خواست و مصلحت كلي بشر، سرنوشت آنان را تدبير مي‌كند و حتميت 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مهدي موعود عليه السلام به عنوان پديده‌اي طبيعي مربوط به همين انسان‌ها و جامعه جهاني، به نوع رفتار جامعه بشري وابسته است؛ به همين دليل انتظار فرارسيدن آن، از روي‌كردها و كاركردهاي كلي و تلاش‌هاي زمينه‌ساز پيروان آن حضرت عليه السلام براي رفع موانع،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چنين پديده‌اي به سبب‌ها و مقدمه‌هاي عادي مانند زمينه‌هاي مساعد، همراهان نيرومند و ياران ويژه نياز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يكي از شرايط، احساس عطش و نياز به منجي‌اي كه نابساماني‌هاي زندگي انسان‌ها را سامان دهد،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تا مردم نخواهند اتفاقي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نه بدان معنا است كه اگر تا قيامت مردم نخواستند ظهور رخ نمي‌دهد و وعدة الهي تحقق نخواهد يافت كه به طور قطع سرانجام مردم در پايان تاريخ به خويشتن خود، باز خواهند گشت و پس از يك دوران طولاني با سرخوردگي از قوانين بشري در غوطه‌وري در يك زندگي مادي محض و به ستوه آمدن از متوليان ستم‌گر جامعة جهاني از پرودگار طلب مي‌كنند كه تا موعود منجي را بفرستد و البته هر كس به زباني گرچه گوناگون او را طلب مي‌كنند و چون آمد بخش بزرگي از جامعة جهاني گمشده خويش را پيدا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در بارة نقش مردم در زمينه‌سازي، كليّت بحث به روشني پذيرفتني است، اما ورود در مباحث جزئي و به‌ويژه تطبيق‌هايي كه گاهي امروزه به آن دامن زده مي‌شود، ضمن اين كه با مباحثي چون عدم تعيين وقت ظهور همخواني ندارد، به طور اساسي به مصلحت معارف مهدوي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 در مرحلة دوم از اين رخ‌داد بزرگ سه مرحله‌اي كه همانا اقدام‌هاي نخستين موعود براي برپايي حكومت عدل جهاني و رساندن جامعه به آرمان‌هاي بلند الهي، يعني مبارزه با ستم‌گران است؛ در روايات فراواني از اين مرحله كه كارزار با ستم‌گران و از ميان بردن آنان است با عنوان قيام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با توجه به مرحلة پيش‌گفته اين قيام اگرچه با محوريت امام معصوم خواهد بود، اما مردم همچنان در آن داراي نقشي اساسي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مي‌توان مردم را به سه گروه كلي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با همة توان و ظرفيت‌هاي خود در خدمت موعودهستند و او را براي رسيدن به اهدافش در سامان‌بخشي به نابساماني‌ها، ياري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پس از سپري كردن يك دورة بسيار سخت و طاقت‌سوز در آستانة ظهور خود را براي ياري موعود ساخته و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خود به دو دسته تقسيم مي‌شوند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ياران خاص و بسيار نزديك به موعود كه در رواياتي از آنها با شمار سيصد و سيزده نفر 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برگزيدگان جامعه در عصر اتفاق ظهور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ياران عام كه از آنها با عنوان انصار و ياوران 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شمار اينها متفاوت ياد شده كه كمترين شمار از اينها ده هزار نفر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شمار نسبت به كل جامعه عصر ظهور اندك است، اما نشان‌دهندة حضور گروهي ديگر براي ياري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بازوان عملياتي در اين قيام جهاني پس از ياران خاص نقش ايفا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مردم كه با توجه به آنچه در مرحلة زمينه‌سازي ياد شد، آن‌ها با آغوش باز موعود را مي‌پذيرند، كه خود او را طلب كرده‌اند و پس از طي مراحلي با تمام وجود در خدمت و فرمانبرداري منجي در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پس از سپري شدن زماني اندك آنگاه كه حضرت با جهانيان اتمام حجت مي‌كند به ثبات فكري و اعتقادي مي‌رسند و موعود منجي را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دست به دست هم داده جامعة تك‌پارچة جهاني را شكل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نقش اين گروه كه بيشترين شمار جامعة جهاني را به خود اختصاص مي‌دهند در اين مرحله فراهم ساختن زمينه‌هاي ممكن براي شكل گيري آن تحول بزرگ به دست موعود منجي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با پذيرش موعود، زمينه‌هاي طغيان و آشوب بيشتر را از ستم‌گران سلب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و دشمنان كه نسبت به عموم مردم كرة زمين جمعيت اندكي را به خود اختصاص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اگرچه نقش اثباتي در قيام جهاني موعود ندارند، اما بخشي از مردم هستند كه نقش سلبي آن‌ها داراي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ظهور حقانيت موعود منجي رفته رفته گروه‌هاي فراواني از مخالفان را به خود جذب مي‌كند، اما دست آخر گروه‌هايي از مردم كه به دليل كفر و طغيان حاضر به پذيرش موعود نخواهند شد در برابر حضرت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اينها كه اميدي به هدايتشان نيست به شدّت از طرف امام مهدي عليه السلام برخورد خواهد شد و به طور كامل از روي زمين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سر انجام نقش مردم در دوران حكومت عدل جهاني، كه وعدة همة پيامبران الهي و آرمان آزادي‌خواهان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در اين دوران نيز اساسي و جدّي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كه مردمي كه در دو مرحلة پيش‌گفته ـ زمينه‌سازي و قيام ـ با خواست و ارادة خويش خود را براي اين حاكميت فراگير مهيا كرده‌اند با همة هستي و توان خويش از رهبر و حاكم پيروي كرده در همة كارهاي ممكن نقش ايفا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حالي كه همة نگاه‌هايشان به ولي امر و رهبر است در سامان‌بخشي جامعة عدل جهاني خود را مسئول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آنجا كه مولاي خود صلاح بداند و دستور دهد خالصانه حضور خواهند يافت و بر خلاف پندار كساني كه ممكن است تصور كنند مردم نقش ندارند مي‌توان گفت همة نقش‌ها از آن مردم است كه ذيل رهبري انسان معصوم نابساماني‌ها را سامان داده، زمينه رشد و كمال همگاني را فراهم مي‌كنند و هر كس به اندازة توان و ظرفيت خود بخشي از مشكلات را رفع كرده و در واقع حكومت جهاني مردم با محوريت امام معصوم بر زمين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خدا به كسانى از شما كه ايمان آورده و كارهاى شايسته كرده‌اند، وعده داده است كه حتماً آنان را در اين سرزمين جانشين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دهد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دوران هيچ كس خود را بيرون از حاكميت نمي‌داند تا بنشيند ديگري كارهاي او را سامان دهد</w:t>
      </w:r>
      <w:r>
        <w:rPr>
          <w:rFonts w:eastAsia="IRNazanin" w:cs="IRNazanin"/>
          <w:color w:val="111111"/>
          <w:sz w:val="28"/>
          <w:szCs w:val="28"/>
          <w:rtl w:val="true"/>
          <w:lang w:bidi="fa-IR"/>
        </w:rPr>
        <w:t>.</w:t>
      </w:r>
      <w:bookmarkStart w:id="566" w:name="pg1814_19190"/>
    </w:p>
    <w:p>
      <w:pPr>
        <w:pStyle w:val="Heading4"/>
        <w:numPr>
          <w:ilvl w:val="3"/>
          <w:numId w:val="1"/>
        </w:numPr>
        <w:rPr/>
      </w:pPr>
      <w:bookmarkStart w:id="567" w:name="__RefHeading___Toc2647433_3650668749"/>
      <w:bookmarkStart w:id="568" w:name="_Toc205"/>
      <w:bookmarkEnd w:id="566"/>
      <w:bookmarkEnd w:id="567"/>
      <w:r>
        <w:rPr>
          <w:rtl w:val="true"/>
        </w:rPr>
        <w:t>آخرين سخن</w:t>
      </w:r>
      <w:bookmarkEnd w:id="568"/>
    </w:p>
    <w:p>
      <w:pPr>
        <w:pStyle w:val="BookText"/>
        <w:rPr/>
      </w:pPr>
      <w:r>
        <w:rPr>
          <w:rFonts w:ascii="Amiri" w:hAnsi="Amiri" w:eastAsia="Amiri" w:cs="Amiri"/>
          <w:color w:val="111111"/>
          <w:sz w:val="28"/>
          <w:sz w:val="28"/>
          <w:szCs w:val="28"/>
          <w:rtl w:val="true"/>
          <w:lang w:bidi="ar-SA"/>
        </w:rPr>
        <w:t>زمينه‌سازان ظهور حضرت مهدي عليه السلام، همان منتظران حقيقي و راستينِ دوران غيبتند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ياران آن حضرت هنگام قيام، همان زمينه‌سازان ظهورِ آستانة ظهورند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كارگزاران حضرت در حكومت جهاني، همان ياران و ياورانِ هنگام قيامند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بخواهيم زمينه‌ساز، ياروياور و كارگزار خوبي براي بقية الله الاعظم عجل الله فرجه باشيم، مي‌بايست اكنون منتظر شايسته و راستيني باشيم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تقبل منا هذا</w:t>
      </w:r>
      <w:bookmarkStart w:id="569" w:name="pg1814_19192"/>
    </w:p>
    <w:p>
      <w:pPr>
        <w:pStyle w:val="Heading4"/>
        <w:numPr>
          <w:ilvl w:val="3"/>
          <w:numId w:val="1"/>
        </w:numPr>
        <w:rPr/>
      </w:pPr>
      <w:bookmarkStart w:id="570" w:name="__RefHeading___Toc2647435_3650668749"/>
      <w:bookmarkStart w:id="571" w:name="_Toc206"/>
      <w:bookmarkEnd w:id="569"/>
      <w:bookmarkEnd w:id="570"/>
      <w:r>
        <w:rPr>
          <w:rtl w:val="true"/>
        </w:rPr>
        <w:t>منابع و مآخذ</w:t>
      </w:r>
      <w:bookmarkEnd w:id="5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مهدي فولادوند، چاپ سوم، تهران، دارالقرآن الكريم،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آمدي، عبد الواحد بن محمد تميمي، غرر الحكم،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دفتر تبليغات،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ابي شيبه، المصنف، بيروت، دارالفكر للطباعة و النشر و التوزيع،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اثير، النهاية في غريب الحديث، قم، مؤسسه اسماعيليان،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المناقب، قم، مؤسسه انتشارات 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طاوس، علي بن موسي، اقبال الاعمال، دوم، تهران، دارالكتب الاسلاميه،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طاوس، علي بن موسي، التشريف بالمنن في التعريف بالفتن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گلبهار،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غضائري، احمد بن حسين، رجال ابن الغضائري، ، قم، مؤسسه اسماعيليان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فارس، ابو الحسين، معجم مقاييس اللغه، قم، مكتب الاعلام الاسلامي،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منظور، محمد بن مكرم، لسان العرب، بيروت، دار احياء التراث العربي،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ابي داود، سنن ابي داود، بيروت، دارالفكر للطباعة و النشر و التوزيع،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احمدبن حنبل، مسند احمد، بيروت، دار صادر، 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اربلي، علي بن عيسي، كشف الغمة في معرفة الائمة عليهم السلام، تبريز، مكتبة بني هاشمي،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 سياست،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عنايت، چاپ سوم، تهران، شركت سهامي كتاب‌هاي جيبي،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اكبر نژاد، مهدي، بررسي تطبيقي مهدويت در روايات شيعه و اهل سنت، قم، بوستان كتاب،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الهامي، داود، آخرين اميد، دوم، قم، مكتب اسلام،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اميني، ابراهيم، دادگستر جهان، چاپ نوزدهم، قم، شفق،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ايزدي، سجاد، حكومت و مشروعيت، چاپ سوم، تهران، انتشارات كانون انديشة جوان،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بخاري، محمد بن اسماعيل، صحيح بخاري، بيروت، دار ابن كثير،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بدري، سيّد سامر، پاسخ به شبهات احمد الكاتب، ناصر ربيعي، قم، انوار الهدي،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برقي، احمدبن محمد بن خالد، محاسن، دوم، قم، دارالكتب الاسلاميه،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البستوي، عبد العليم عبد العظيم، المهدي المنتظر في ضوء الاحاديث و الآثار الصحيحة، مكه مكرمه، المكتبة المكية،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البستوي، عبد العليم عبد العظيم، موسوعة في أحاديث الإمام المهدي، الضعيفة والموضوعة، مكه مكرمه، المكتبة المكية،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بني هاشمي، سيد محمد، راز پنهاني و رمز پيدايي، تهران، نيك معارف،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بهروز لك، غلام رضا، سياست و مهدويت، قم، حكمت روشن،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البيضاني، قاسم، مباني نقد متن الحديث، قم، منشورات المركز العالمي للدراسات الاسلاميه، ط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پيشوايي، مهدي، سيره پيشوايان عليهم السلام، قم، مؤسسه امام صادق عليه السلام،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ترمذي، محمدبن عيسي، سنن ترمذي، بيروت، دارالفكر للطباعة و النشر و التوزيع،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تميمي آمدي، عبد الواحد بن محمد، غرر الحكم و درر الكلم، قم، انتشارات دفتر تبليغات،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ثعالبي، عبدالرحمان بن محمد، تفسير ثعالبي، بيروت، دار احياء التراث العربي،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جاسم حسين، تاريخ سياسي غيبت امام دوازدهم عليه السلام، سيّد محمد تقي آيت اللهي، دوم، تهران، اميركبير،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جصاص، احكام القرآن، بيروت، دارالكتب العلميه،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مرتضي، جزيره خضراء در ترازوي نقد، قم، دفتر تبليغات اسلامي حوزه علميه قم،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جعفري، محمد تقي، ترجمه و تفسير نهج البلاغه، چاپ سوم، تهران، دفتر نشر فرهنگ اسلامي،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جمعي از نويسندگان، چشم به‌راه مهدي عليه السلام، چاپ سوم، قم، مركز انتشارات دفتر تبليغات اسلامي،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جمعي از نويسندگان، مجموعه مقالات و گفتارها پيرامون حضرت مهدي عليه السلام، تهران، دبيرخانه اجلاس دو سالانه ابعاد وجودي حضرت مهدي عليه السلام، سازمان تبليغات اسلامي،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جويني، علي بن محمد، فرائد السمطين، بيروت، مؤسسة محمودي،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حراني، حسن بن علي، تحف العقول عن آل الرسول عليهم السلام،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غفاري، قم، جامعه مدرسين،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الحسني، هاشم معروف، اخبار و آثار ساختگي،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صابري، مشهد، آستان قدس رضوي،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 هاشم معروف، دراسات في الحديث و المحدثين، بيروت، دارالتعارف للمطبوعات، 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حكيمي، محمّد، در فجر ساحل، بيست و يكم، تهران، آفاق،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 حسن بن يوسف، خلاصة الاقوال، چ اول، مؤسسه النشر الفقاهة،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حميري قمي، عبد الله بن جعفر، قرب الاسناد، انتشارات كتابخانه نينوا، تهران، 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خراساني، محمد جواد، مهدي منتظر، 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جواد ميرشفيعي خوانساري، قم، نور الاصفياء،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خزاز قمي، علي بن محمد، كفاية الاثر، قم، انتشارات بيدار،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 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الكفاية في علم الرواية،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عمر هاشم، بيروت، دار الكتاب العربي،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خويي، سيد ابوالقاسم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علي اكبر، لغتنامه، تهران، دانشگاه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ديلمي، حسن‌بن ابي‌الحسن، الارشاد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رضي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ذهبي، محمد بن احمد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ميزان الاعتدال،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احمد البجاوي، بيروت، دار المعرفه لطباعه و 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راغب‌اصفهاني، حسين بن محمّد، المفردات في غريب القران،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نشر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راوندي، قطب‌الدين، الخرائج والجرائح، سه جلد، چاپ اول، قم، موسسه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رضواني، علي اصغر، موعود شناسي، چاپ اول، قم، انتشارات مسجد جمكران،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رفيعي، سيد كمال الدين محمد، نقش مردم در حكومت ديني از ديدگاه امام خميني و قانون اساسي، تهران، دانشگاه آزادي،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سجستاني، سليمان بن اشعث، سنن ابي داود، بيروت، دار الفكر،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سعادت پرور، علي، ظهور نور، ترجمه سيّد محمّد جواد وزيري فرد، تهران، احياء كتاب،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سمرقندي، ابو ليث، تفسير سمرقندي، بيروت، دارالفكر، بي‌تا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بن طاووس، التشريف بالمنن في التعريف بالفتن، اصفهان، گلبهار اصفهان،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رضي، 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جعفر شهيدي، تهران، شركت انتشارات علمي و فرهنگي،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سيوطي، عبدالرحمن بن ابي بكر، العرف الوردي في اخبار المهدي، تهران، المجمع العالمي للتقريب بين المذاهب الاسلاميه،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شوشتري، محمد تقي و ديگران، جزيره خضرا افسانه يا واقعيت؟ترجمه و تحقيق ابوالفضل طريقه دار، قم، بوستان كتاب،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شيباني، احمدبن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 احمد، بيروت، دار صادر، بي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صادقي، مصطفي، تحليل تاريخي نشانه‌هاي ظهور، چاپ اول، قم، پژوهشگاه علوم و فرهنگ اسلامي،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صافي گلپايگاني، لطف اللّه، گفتمان مهدويت، چاپ اول، قم، انتشارات مسجد جمكران،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صافي گلپايگاني، لطف اللّه، منتخب الاثر، قم، موسسه السيّدة المعصومة عليها السلام،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سيّد رضا، راه مهدي عليه السلام، قم، انتشارات دفتر تبليغات اسلامي حوزه علميه،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سيّد محمّد باقر، رهبري بر فراز قرون، تهران، موسسه موعود،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سيّد محمّد، تاريخ غيبت كبرا،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افتخار زاده، تهران، نيك معارف،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سيد محمد، تاريخ ما بعد الظهور، اصفهان، مكتبه الامام اميرالمؤمنين عليه السلام، 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محمد بن علي بن حسين بن بابويه، خصال، دوم، قم، جامعه مدرسين،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محمد بن علي بن حسين بن بابويه، كمال الدين و تمام النعمة، قم، دارالكتب الاسلاميه،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محمدبن علي بن حسين بن بابويه، توحيد، قم، انتشارات جامعه مدرسين،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محمدبن علي بن حسين بن بابويه، عيون اخبار الرضا عليه السلام، دو جلد، تهران، انتشارات جهان،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صنعاني، عبدالرزاق، المصنف،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الاعظمي، بي‌جا، منشورات المجلس العالمي، 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طباطبايي، محمّد حسين، الميزان في تفسير القران، بيست جلد، قم، دفتر انتشارات اسلامي،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طبراني، سليمان بن احمد، المعجم الكبير، چ سوم، دار احياء التراث العربي،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طبرسي، احمدبن علي، الاحتجاج، مشهد مقدس، نشر مرتضي،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طبرسي، ميرزا حسين، نجم‌الثاقب، چ دوم، قم، مسجد جمكران،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طبري، آملي، محمّد بن ابي القاسم، بشارة المصطفي لشيعة المرتضي، نجف، كتابخانه حيدريه،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طبري، محمّدبن جرير بن رستم، المسترشد في إمامة عليّ بن أبي طالب عليه السلام ، چ اول، قم، انتشارات كوشانپور،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طبري، محمّدبن جرير بن رستم، دلائل الامامة، قم، دارالذخائر للمطبوعات، 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المعجم الأوسط، دار الحرمين للطباعة والنشر والتوزيع،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طبسي، نجم الدين، تا ظهور، قم، بنياد فرهنگي حضرت مهدي موعود عليه السلام،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طبسي، نجم الدين، چشم‌اندازي به حكومت مهدي عجل الله تعالي فرجه الشريف، چاپ سوم، قم، بوستان كتاب،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طريحي، فخر الدين، مجمع‌البحرين، سه جلد، قم، مركز الطباعه والنشر في مؤسسه البعثه،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طوسي، محمد بن الحسن، تهذيب‌الاحكام، تهران، دارالكتب الاسلاميه،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طوسي، محمّدبن الحسن، الفهرست، نجف اشرف، مكتبه مرتضويه، بي‌تا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طوسي، محمّدبن الحسن، كتاب الغيبة، چاپ اول، قم، موسسه معارف اسلامي،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عاملي، سيد جعفر مرتضي، جزيرة خضرا در ترازوي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پژوهشي در علامات ظهور، بيان الائمه، خطبة البيان، جزيره خضرا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سپهري، قم، مركز انتشارات دفتر تبليغات اسلامي حوزه علميه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عاملي، محمد بن حسن، وسائل الشيعة، قم، موسسه آل البيت،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العالم، بنيادهاي علم سياست، چ سيزدهم، تهران، نشر ني،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عسكري، ابو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الفروق اللغويه، قم، مؤسسه النشر الاسلامي التابعه لجماعه المدرسين بقم المشرفه،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عُكبري،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الاختصاص، مصحح علي اكبر غفاري، قم، كنگره شيخ مفيد،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عُكبري،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الارشاد، قم، كنگره شيخ مفيد،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عُكبري،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المسائل العكبريه، قم، كنگره شيخ مفيد،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عُكبري،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اعتقادات الإمامية،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درگاهي، بيروت، دار المفيد للطباعة والنشر والتوزيع،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بابايي، غلامرضا، فرهنگ اصطلاحات و روابط بين‌المللي، چ اول، تهران، نشر سفير،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العمري، محمد علي قاسم، دراسات في منهج النقد عند المحدثين، اردن، دار النفايس،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عميد زنجاني، عباسعلي، فقه سياسي، تهران، انتشارات امير كبير،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عميد، حسن، فرهنگ عميد، تهران، انتشارات امير كبير،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عميدي، سيّد ثامر هاشم، در انتظار ققنوس، ترجمه و تحقيق مهدي عليزاده، قم، موسسة آموزشي و پژوهشي امام خميني،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عميدي، سيّد ثامر هاشم، مهدي منتظر عليه السلام در انديشه اسلامي، ترجمه محمّد باقر محبوب القلوب، چاپ سوم، قم، انتشارات مسجد جمكران،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عياشي، محمّدبن مسعود، تفسير العياشي، تهران، چاپخانه علميه،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غضائري، احمد بن حسين، رجال ابن الغضائري، قم، مؤسسه اسماعيليان،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فتال نيشابوري، محمّدبن حسن بن علي، روضة الواعظين، قم، انتشارات 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فراهيدي، خليل بن احمد، كتاب العين، بي‌جا، مؤسسه دار الهجره،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ايماني، مهدي، الامام المهدي عند اهل السنه، قم، مجمع العالمي لاهل البيت عليهم السلام،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فيرحي، داود، قدرت، دانش و مشروعيت در اسلام، تهران، نشر ني،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فيرحي، داود، نظام سياسي و دولت در اسلام، تهران، سمت،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قاضي شريعت پناهي، ابوالفضل، حقوق اساسي و نهادهاي سياسي، تهران، دانشگاه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قرشي، عبد الرحمن بن علي بن جوزي، الموضوعات، ضبط و تقديم و تحقيق، عبد الرحمن محمد عثمان، مدينه، مكتبه السلفيه،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قزويني، سيّد محمّدكاظم، امام مهدي عجل الله تعالي فرجه الشريف از ولادت تا ظهور، ترجمه حسين فريدوني، تهران، نشر آفاق،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قزويني، محمّد بن يزيد، سنن ابن ماجه،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الباقي، بيروت، دار الفكر للطباعه و النشر و 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قشيري، مسلم بن حجاج، صحيح مسلم، بيروت، دار احياء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قلمكاري، حيدر علي، حكومت اسلامي، چ اول، تهران، نشر حقايق،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قمي، شيخ عباس، منتهي الآمال، تهران، انتشارات پيام آزادي،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قمي، علي بن ابراهيم بن هاشم، تفسير قمي، قم، مؤسسة دار الكتاب،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كليني، محمّدبن يعقوب، الكافي، هشت جلد، چاپ چهارم، تهران، دارالكتب الاسلاميه،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كشي، محمّدبن عمر، رجال كشي، مشهد،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كنجي الشافعي، ابو عبدالله محمّد، البيان في اخبار صاحب الزمان عليه السلام،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حمد الفتلاوي، بيروت، دارالمحجه البيضاء،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كوراني و ديگران، علي، معجم احاديث الامام المهدي عليه السلام، قم، مؤسسه معارف اسلامي،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كوراني، علي، عصر ظهور، ترجمه عباس جلالي، تهران، شركت چاپ و نشر بين الملل سازمان تبليغات اسلامي،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ابن ابي شيبه، المصنف،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اللحام، بيروت، دار الفكر للطباعه و النشر و التوزيع،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كوفي، فرات بن ابراهيم، تفسير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چاپ و نشر،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 از نويسندگان، فصلنامه انتظار، قم، مركز تخصصي مهدويّت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لاريجاني، محمد جواد، مباحثي در مشروعيت و كارآمدي حكومت، تهران، سروش،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لاريجاني، محمد جواد، نقد دينداري و مدرنيسم، انتشارات اطلاعات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متقي هندي، علاء الدين علي، كنزالعمال في سنن الاقوال و الافعال، شانزده جلد، بيروت، موسسة الرسالة،</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مجلسي، محمّد باقر، بحارالانوار،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بيروت، موسسة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مجلسي، محمّد باقر، مرآة العقول، تهران، دار الكتب الاسلاميه،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محمدبن شهر آشوب مازندراني، المناقب، قم، مؤسسه انتشارات علامه،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مدير شانه‌چي، كاظم، علم الحديث، دفتر انتشارات اسلامي، چاپ سوم،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مرندي، محمد رضا، مباني مشروعيت نظام سياسي در اسلام، تهران، مؤسسة انتشاراتي عطا،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مروزي، ابو عبد الله نعيم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الفتن،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 محمد محمد عرفه، المكتبه التوفيقيه، بي‌تا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مزيناني، محمد صادق، ماهيت حكومت نبوي، چاپ اول، قم، مؤسسه بوستان كتاب،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مسعودي، علي بن الحسين، اثبات الوصية، قم، موسسه انصاريان،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يزدي، محمد تقي، پرسش‌ها و پاسخ‌ها، قم، مؤسسه آموزشي و پژوهشي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يزدي، محمد تقي، جامعه و تاريخ از ديدگاه قرآن، شركت چاپ و نشر بين الملل سازمان تبليغات اسلامي،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يزدي، محمد تقي، سلسله مباحث اسلام، سياست و حكومت، قم، مؤسسه آموزشي و پژوهشي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مصطفوي، حسن، التحقيق في كلمات القرآن الكريم، تهران، بنگاه ترجمه و نشر كتاب،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مطهري، مرتضي، قيام و انقلاب مهدي عجل الله تعالي فرجه الشريف، قم، صدرا،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محمد هادي، جامعه مدني، قم، مؤسسه فرهنگي انتشاراتي التمهيد،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محمد هادي، ولايت فقيه، چاپ اول، قم، التمهيد،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معماري، داود، مباني و روش‌هاي نقد متن حديث، چاپ دوم، قم، بوستان كتاب،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معين، محمد، فرهنگ فارسي، چاپ اول، تهران، نشر سرايش،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مقدسي شافعي، يوسف بن يحيي، عقد الدرر في اخبار المنتظر،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محمد الحلو، قم، انتشارات نصايح،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شيرازي وديگران، ناصر، تفسيرنمونه، چ چهلم، تهران، دارالكتب الاسلاميه،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شيرازي وديگران، ناصر، يك‌صد و هشتاد پرسش و پاسخ برگرفته از تفسير نمونه، تهران، دارالكتب الاسلاميه، چاپ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شيرازي، ناصر، حكومت جهاني حضرت مهدي عليه السلام، قم، نسل جوان،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موسوي خميني، سيد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۱۳۶۸</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كشف الاسرار، قم، مصطفوي، بي‌تا،</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موسوي اصفهاني، سيّد محمّد تقي، مكيال المكارم، ترجمه سيّد مهدي حائري قزويني، چاپ پنجم، دو جلد در يك جلد، تهران، دفتر تحقيقات و انتشارات بدر،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نجاشي، احمدبن‌علي بن احمد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رجال نجاشي، دوجلد، قم، انتشارات جامعه مدرسين،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نعماني، محمّد بن ابراهيم، الغيبة، تهران، مكتبة الصدوق،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نمازي شاهرودي، علي، مستدركات علم رجال الحديث، طهران،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نوروزي، محمد جواد، فلسفه سياست، قم، مؤسسه آموزشي و پژوهشي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نوري، ميرزا حسين، مستدرك الوسائل، هيجده جلد، قم، موسسه آل البيت عليهم السلام،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نوري، ميرزا حسين، نجم الثاقب، چاپ</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انتشارات مسجد جمكران،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نيشابوري، 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مستدرك الحاكم، بيروت، دارالمعرفة،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نيلي نجفي، علي بن عبدالكريم، منتخب الانوار المضيئة، قم، چاپخانه خيام،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واعظي، احمد، حكومت ديني، قم، نشر مرصاد،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هاشمي شهيدي، سيد اسدالله، زمينه‌سازان انقلاب جهاني حضرت مهدي عليه السلام، چاپ دوم، قم، انتشارات پرهيزكار،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الزوائد، بيروت، دار الكتب العلمية،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45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صورتي كه دسترسي به حكومت صالحان امكان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پذير نباشد، و با هيچ سعي و تلاشي امكان چنان حكومتي وجود نداشته باشد، به مقتضاي اصل اساسي ضرورت ادامة حيات فردي و اجتماعي حاكم غير صالح نيز به جهت اضطرار، ضرورت پيدا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كند و اگر عدم صلاحيت حاكم در حدي باشد كه زندگي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جامعه به جهت احساس اهانت و ذلت شديد به پوچي برسد، در اين صورت، قيام براي نصب حاكم صالح و براندازي ناصالح، تكليف به تلاش و كوشش شديدتر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بديهي عقل نظري و عقل عملي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تقي جعفري، ترجمه و تفسير نهج البلاغه،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لَا بُدَّ لِلنَّاسِ مِنْ أَمِيرٍ بَرٍّ أَوْ 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حسين شريف 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جعفر شهيدي، خطبه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مفسران بزرگ نهج البلاغه در دوران معاصر، پس از نقل فرمايش علي عليه السلام مي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نبايد چنين تفسير شود كه حكومت صالح و ناصالح براي مديريت حيات اجتماعي مردم به‌طور مطلق مساوي است، بلكه عقلاي جامعه همان‌گونه كه دين الهي دستور مي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دهد بايد نهايت تلاش را براي به‌وجودآوردن حكومت صالحان انجام بدهند و اين يك تكليف قطعي و جهاني و عقل عملي و ديني است كه گمان نمي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رود حتي يك فرد خردمند كه از ماهيت و ارزش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هاي حيات انسان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و هدف اصلي آن مطلع باشد، آن را انكار كند يا ناديده بگيرد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در برخي منابع اهل سنت نيز نقل شده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الدين علي متقي هندي، كنز العمال في سنن الاقوال و الافعال،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ابو عبد الله نعيم بن حماد مروزي، الفتن،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حسين شريف 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 ترجمه سيد جعفر شهيدي، خطبه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استادي، الحكومة الاسلامية في احاديث الشيعة الامامية، انتشارات مؤسسه در راه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در اين اثر، حدود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از حدود هشتاد كتاب شيعي بيرون آورده و زير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در رابطه با مباحث مربوط به حكومت اسلامي، نشان داده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حسين شريف رضي، نهج البلاغه، خطبه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وَ اللَّهِ لَقَدْ تَقَمَّصَهَا فُلَانٌ وَ إِنَّهُ لَيَعْلَمُ أَنَّ مَحَلِّي مِنْهَا مَحَلُّ الْقُطْبِ مِنَ الرَّحَي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سوگند ـ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جامه خلافت را پوشيد و مي‌دانست خلافت جز مرا نشايد، كه آسيا سنگ، فقط گرد استوانه به گردش در آيد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در پيِ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الْقَائِمِ وَ أَصْحَابِه؛ محمد بن حسن 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الغيبة،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محمد بن ابراهيم نعماني، الغيبة،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كنون به فضل الهي، چهار جلد درسنامه مهدويت، يك جلد فرهنگنامه مهدويت، يك جلد كتاب در بحث رجعت با نام بازگشت به دنيا در پايان تاريخ و برخي مقالات در مباحث مهدويت چاپ و منتشر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الرحمان خليل بن احمد 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العين،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حسين بن بابويه، علل الشرايع،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محمد بن حسن طوسي، كتاب الغيبة،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 عليه السلام در خطبه‌اي مي‌فرمايد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سَيُحِقُّ اللَّهُ الْحَقَّ بِكَلِمَاتِهِ وَ يَمْحَقُ الْبَاطِلَ‌ها هَا طُوبَى لَهُمْ عَلَى صَبْرِهِمْ عَلَي دِينِهِمْ فِي حَالِ هُدْنَتِهِمْ وَ يَا شَوْقَاهْ إِلَى رُؤْيَتِهِمْ فِي حَالِ ظُهُورِ دَوْلَتِهِمْ… ؛ محمد بن يعقوب كليني،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خَرَجَتْ ظَهَرَ عَلَي مَنْ ظَهَرَ مِنْ أَعْدَاءِ اللَّهِ عَزَّ وَ جَلَّ فَقَتَلَهُم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علي بن حسين بن بابويه،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يَفْقِدُ النَّاسُ اِمامَهُمْ يَشْهَدُ المَوسِمَ فَيَراهُمْ وَلا يَرَوْنَهُ؛ مردم امام خويش را گم مي‌كنند؛ پس آن امام در موسم حج حضور مي‌يابد و مردم را مي‌بيند؛ ولي مردم او را نمي‌بينند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ابراهيم نعماني، الغيبة،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محمد بن علي بن حسين بن بابويه،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شيخ 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نايب خاص آن حضرت محمد بن عثمان در اين‌باره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 صَاحِبَ هَذَا الْأَمْرِ لَيَحْضُرُ الْمَوْسِمَ كُلَّ سَنَةٍ يَرَي النَّاسَ وَ يَعْرِفُهُمْ وَ يَرَوْنَهُ وَ لَا يَعْرِفُونَهُ؛ 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صاحب اين امر، هر سال در موسم حج حاضر مي‌شود؛ مردم را مي‌بيند و آن‌ها را مي‌شناسد و مردم او را مي‌بينند؛ ولي نمي‌شناسند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طوسي، كتاب الغيبة،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محمد بن علي بن حسين بن بابويه، من لايحضره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واژه و مشتقات آن جز در كتاب الفتن اثر نعيم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كساني كه از وي نقل كرده‌اند، در منابع اهل سنت يافت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بن حماد، الفتن،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متقي 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31400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بن محمد بن مكرم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فخر الدين 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البحرين،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حسين بن بابويه، الخصال،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نيز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علي بن ابراهيم قمي، تفسير 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ابراهيم نعماني در كتاب خود در بابي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جاء في ذكر أحوال الشيعة عند خروج القائم عليه السلام و قبله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رواياتي را نقل كرده كه افزون بر چگونگي ظهور به گستره عصر ظهور و قيام نيز اشاره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ابراهيم قمي، تفسير 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در صور دميده شود؛ سورة 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كشي، رجال الكشي،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نعماني، الغيبة،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طوسي، كتاب الغيبة،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أحمد الشيباني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چنانچه ترضي صدوق را بر وثاقت حمل كنيم، موثق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حدثنا محمد بن أبي عبد الله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 در اسناد كامل الزيارات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ابولقاسم خوئي، معجم رجال الحديث،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زياد الأدمي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ابولقاسم خوئي، معجم رجال الحديث،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العظيم بن عبد الله الحسني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حسين بن بابويه،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خزاز قمي، كفاية الاثر،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نأتي في أكثر ما نورده من الأخبار بإسناده إما لوجود الإجماع عليه أو موافقته لما دلت العقول إليه أو لاشتهاره في السير و الكتب بين المخالف و المؤالف؛ احمد بن علي طبرسي،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محمد بن عصام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ترضي محمد بن علي بن حسين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حدثنا محمد بن يعقوب الكليني قال حدثنا القاسم بن العلاء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جليل القدر؛ رجال طوسي،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حدثني إسماعيل بن علي القزويني قال حدثني علي بن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علي التحقيق؛ نرم افزار نور الدرايه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عاصم بن حميد 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 مولي كوفي ثقة عين صدوق؛ رجال نجاشي،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الثقفي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اصحاب 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أبا جعفر محمد بن علي الباقر عليه السلام يقول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حسين بن بابويه، كمال الدين و تمام النعمة،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خُرُوجُهُ ـ عليه السلام ـ كَخُرُوجِ رَسُولِ اللَّهِ صلي الله عليه و آله و سلم؛ محمد بن ابراهيم نعماني، الغيبة،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در بارة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يَأْتِي بَعْضُ آياتِ رَبِّكَ لا يَنْفَعُ نَفْساً إِيمانُها لَمْ تَكُنْ آمَنَتْ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روزى كه پاره‌اى از نشانه‌هاى پروردگارت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آيد، كسى كه پيش از آن ايمان نياورده يا خيرى در ايمان آوردن خود به دست نياورده، ايمان آوردنش سود نمى‌بخشد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هُمُ الْأَئِمَّةُ وَ الْآيَةُ الْمُنْتَظَرَةُ هُوَ الْقَائِمُ عليه السلام فَيَوْمَئِذٍ لَا يَنْفَعُ نَفْساً إِيمَانُهَا لَمْ تَكُنْ آمَنَتْ مِنْ قَبْلِ قِيَامِهِ بِالسَّيْفِ وَ إِنْ آمَنَتْ بِمَنْ تَقَدَّمَهُ مِنْ آبَائِهِ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حسين بن بابويه، 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حسين بن بابويه روايت را با دو سند در سه جا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در دو جا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رحمه الله قال حدثنا سعد بن عبد الله قال حدثنا محمد بن الحسين بن أبي الخطاب عن الحسن بن محبوب عن علي بن رئاب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جاي ديگر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بذلك أحمد بن زياد بن جعفر الهمداني رضي الله عنه قال حدثنا علي بن إبراهيم عن أبيه عن محمد بن أبي عمير و الحسن بن محبوب عن علي بن رئاب و غيره عن الصادق جعفر بن محمد عليه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به روزهاي گوناگوني اشاره شده كه برخي از اين قرارست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رواياتي كه جمعه را روز ظهور معرفي كرده است؛ محمدبن علي بن حسين بن بابويه،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رواياتي كه روز ظهور را مصادف با روز عاشورا ذكر كرده است؛ محمد بن حسن طوسي،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رواياتي كه روز ظهور را شنبه دانسته است؛ محمد بن حسن طوسي،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محمد بن علي بن حسين بن بابويه، كمال‌الدين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خليل بن احمد فراهيدي، كتاب العين،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ابن منظور، 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فخر الدين طريحي، مجمع البحرين،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يزيد 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خروج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متقي هندي، كنز العمال في سنن الاقوال و الافعال،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يادآوري مي‌شود هرگاه اين واژه در روايات اهل سنت به كار مي‌رود به‌طور قطع و لزوم، مقصود ظهور حضرت مهدي عليه السلام بر پايه ديدگاه شيعه نخواهد بود، بلكه به معناي قيام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حسين بن بابويه،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معين، فرهنگ معين، واژه حكومت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فارس بن زكريا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مقاييس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علي بابايي، فرهنگ اصطلاحات و روابط بين‌الملل،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حيدر علي قلمكاري، حكومت اسلامي،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يزدي، محمد تقي، پرسش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و پاسخ</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علي بن حسين بن بابويه، از امام صادق عليه السلام، در تفسير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أَرْسَلَ رَسُولَهُ بِالْهُدي وَدينِ الْحَقّ‌ِ لِيظْهِرَهُ عَلَي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الدِّينِ كُلِّهِ وَلَوْكَرِهَ الْمُشْرِكُونَ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كسي است كه پيامبرش را با هدايت و دين درست، فرستاد تا آن را بر هر چه آيين است پيروز گرداند، هر چند مشركان خوش نداشته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نقل مي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كند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نَزَلَ تَأْوِيلُهَا بَعْدُ وَ لَا ينْزِلُ تَأْوِيلُهَا حَتَّي يخْرُجَ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تأويل اين آيه نازل نشده و نخواهد شد، تا آنكه قائم عليه السلام خروج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محمدبن علي بن حسين بن بابويه، كمال‌الدين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صلي الله عليه و آله وسلم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در اين باره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يبْقَ مِنَ الدُّنْيا إِلَّا يوْمٌ لَطَوَّلَ اللَّهُ ذَلِكَ الْيوْمَ حَتَّي يبْعَثَ رَجُلًا مِنْ أَهْلِ بَيتِي يمْلَأُ الْأَرْضَ عَدْلًا وَ قِسْطاً كَمَا مُلِئَتْ ظُلْماً وَ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دنيا بيش از يك روز باقي نماند، خداوند آن روز را چنان طولاني خواهد كرد تا اينكه مردي از اهل بيتم بر انگيخته شود و زمين را از عدل و قسط آكنده كند؛ آن گونه كه پر از ظلم و جور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ابي داود، 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قَائِمُ آلِ مُحَمَّدٍ صلي الله عليه وآله حَكَمَ بِحُكْمِ دَاوُدَ وَ سُلَيْمَانَ لَا يَسْأَلُ بَيِّنَةً؛ محمد بن يعقوب كليني،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علي بن حسين بن بابويه، كمال‌الدين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مصطفوي، التحقيق في كلمات القرآن الكريم،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مفردات الفاظ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يملك القائم عليه السلام تسع عشرة سنة و أشهرا؛ محمد بن ابراهيم نعماني، الغيبة،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طوسي، كتاب الغيبة،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مصطفوي، التحقيق في كلمات القرآن الكريم،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صلي الله عليه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من ولدي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يرضى بخلافته أهل السماء و الطير في الجو يملك عشرين سنة؛ محمّدبن جرير بن رستم طبري، دلائل الامامه،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عيسي اربلي، 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معين، فرهنگ معين، واژة دولت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مصطفوي، التحقيق في كلمات القرآن الكريم،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البحرين،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لَنَا دَوْلَةً إِذَا شَاءَ اللَّهُ جَاءَ بِهَا؛ محمد بن يعقوب كليني،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نيز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دولتنا آخر الدول؛ محمد بن حسن طوسي، كتاب الغيبة،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محمد بن ابراهيم نعماني، الغيبة،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مرندي، مباني مشروعيت نظام سياسي در اسلام،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اكرم صلي الله عليه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تذهب الدنيا حتى يلي أمتي رجل من أهل بيتي يقال له المهدي؛ محمد بن حسن طوسي، كتاب الغيبة،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نخست از بخش دوم اين نوشتار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بَديعُ السَّماواتِ وَ الْأَرْضِ أَنَّى يَكُونُ لَهُ وَلَدٌ وَ لَمْ تَكُنْ لَهُ صاحِبَةٌ وَ خَلَقَ كُلَّ شَيْ‌ءٍ وَ هُوَ بِكُلِّ شَيْ‌ءٍ عَليمٌ؛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يَعْلَمُ الْمُفْسِدَ مِنَ الْمُصْلِحِ وَ لَوْ شاءَ اللَّهُ لَأَعْنَتَكُمْ إِنَّ اللَّهَ عَزيزٌ حَكيمٌ؛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عَسى أَنْ تَكْرَهُوا شَيْئاً وَ هُوَ خَيْرٌ لَكُمْ وَ عَسى أَنْ تُحِبُّوا شَيْئاً وَ هُوَ شَرٌّ لَكُمْ وَ اللَّهُ يَعْلَمُ وَ أَنْتُمْ لا تَعْلَمُونَ؛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خَلَقْنَا السَّماءَ وَ الْأَرْضَ وَ ما بَيْنَهُما لاعِبينَ؛ 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فَحَسِبْتُمْ أَنَّما خَلَقْناكُمْ عَبَثاً وَ أَنَّكُمْ إِلَيْنا لا تُرْجَعُونَ؛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إِذا أَصابَتْهُمْ مُصيبَةٌ قالُوا إِنَّا لِلَّهِ وَ إِنَّا إِلَيْهِ راجِعُونَ؛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يظهره الله عز و جل فيفتح الله على يده مشارق الأرض و مغاربها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تبقى‌في الأرض بقعة عبد فيها غير الله عز و جل إلا عبد الله فيها و يكون الدين كله لله و لو كره المشركون؛ محمد بن علي بن حسين بن بابويه، كمال‌الدين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أَنْشَأْناهُ خَلْقاً آخَرَ فَتَبارَكَ اللَّهُ أَحْسَنُ الْخالِقينَ؛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الْإِنْسانَ مِنْ نُطْفَةٍ فَإِذا هُوَ خَصيمٌ مُبينٌ؛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إِنْ أَنْتُمْ إِلاَّ بَشَرٌ مِثْلُنا تُريدُونَ أَنْ تَصُدُّونا عَمَّا كانَ يَعْبُدُ آباؤُنا فَأْتُونا بِسُلْطانٍ مُبينٍ؛ 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كَرَّمْنا بَني آدَمَ وَ حَمَلْناهُمْ فِي الْبَرِّ وَ الْبَحْرِ وَ رَزَقْناهُمْ مِنَ الطَّيِّباتِ؛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اعْبُدُوا رَبَّكُمُ الَّذي خَلَقَكُمْ وَ الَّذينَ مِنْ قَبْلِكُمْ لَعَلَّكُمْ تَتَّقُونَ؛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 عليه السلام در سخناني ارزشمند در بارة معرفت نفس و اهميت آن 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بالنفس أنفع المعرفتين؛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نفس سودمندترين دو شناخت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المعرفة معرفة الإنسان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برترين معرفت همانا شناخت انسان از خويش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الحكمة معرفة الإنسان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برترين حكمت شناخت انسان از خويشتن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المعرفة أن يعرف المرء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معرفت آن است كه انسان خود را بشناسد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كفى بالمرء معرفة أن يعرف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شناخت انسان كافي است، كه خود را بشناسد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عرف نفسه عرف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خويش را شناخت خداي خود را شناخته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عرف نفسه فقد انتهى إلى غاية كل معرفة و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خويش را شناخت به همه شناخت‌ها و دانش دست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النفس أنفع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خودشناسي برترين شناخت‌ها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بن محمد تميمي آمدي، غرر الحكم،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قُلْنا لِلْمَلائِكَةِ اسْجُدُوا لِآدَمَ فَسَجَدُوا إِلاَّ إِبْليسَ أَبى وَ اسْتَكْبَرَ وَ كانَ مِنَ الْكافِرينَ؛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ذَرَأْنا لِجَهَنَّمَ كَثيراً مِنَ الْجِنِّ وَ الْإِنْسِ لَهُمْ قُلُوبٌ لا يَفْقَهُونَ بِها وَ لَهُمْ أَعْيُنٌ لا يُبْصِرُونَ بِها وَ لَهُمْ آذانٌ لا يَسْمَعُونَ بِها أُولئِكَ كَالْأَنْعامِ بَلْ هُمْ أَضَلُّ أُولئِكَ هُمُ الْغافِلُونَ؛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انسان‌شناسي، به اعتبار روش‌شناسي، به انسان‌شناسي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ارزشي يا اخلاقي، عرفاني يا شهودي، فلسفي يا عقلي، ديني يا مذهبي، علمي يا تجربي تقسيم مي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مباني انسان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شناختي مهدويت، در واقع، همان مباني انسان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شناختي ديني است، اما مي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 در رواياتي كه به مباحث مهدوي اشاره كرده است، شواهدي بر اين مباني اقامه نمود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مكارم شيرازي و ديگران، تفسير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طباطبايي،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براي تعميم خلافت به همه فرزندان آدم عليه السلام به اين آيات نيز استناد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قالَ رَبُّكَ لِلْمَلائِكَةِ إِنِّي جاعِلٌ فِي الْأَرْضِ خَليفَةً؛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الَّذي جَعَلَكُمْ خَلائِفَ الْأَرْضِ وَ رَفَعَ بَعْضَكُمْ فَوْقَ بَعْضٍ دَرَجاتٍ؛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جاعِلٌ فِي الْأَرْضِ خَليفَةً؛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فَأَلْهَمَها فُجُورَها وَ تَقْواها؛ قَدْ أَفْلَحَ مَنْ زَكَّاها؛ 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حسين بن بابويه، علل الشرايع،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خَلَقْتُ الْجِنَّ وَ الْإِنْسَ إِلاَّ لِيَعْبُدُونِ؛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جاعِلٌ فِي الْأَرْضِ خَليفَةً؛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 الْحَقُّ مِنْ رَبِّكُمْ فَمَنْ شاءَ فَلْيُؤْمِنْ وَ مَنْ شاءَ فَلْيَكْفُرْ إِنَّا أَعْتَدْنا لِلظَّالِمينَ ناراً؛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لا يُغَيِّرُ ما بِقَوْمٍ حَتَّى يُغَيِّرُوا ما بِأَنْفُسِهِمْ؛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فَأَقِمْ وَجْهَكَ لِلدِّينِ حَنيفاً فِطْرَتَ اللَّهِ الَّتي فَطَرَ النَّاسَ عَلَيْها؛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أَخَذَ رَبُّكَ مِنْ بَني آدَمَ مِنْ ظُهُورِهِمْ ذُرِّيَّتَهُمْ وَ أَشْهَدَهُمْ عَلى أَنْفُسِهِمْ أَ لَسْتُ بِرَبِّكُمْ قالُوا بَلى شَهِدْنا؛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فَأَقِمْ وَجْهَكَ لِلدِّينِ حَنيفاً؛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أُولئِكَ كَتَبَ في قُلُوبِهِمُ الْإيمانَ وَ أَيَّدَهُمْ بِرُوحٍ مِنْهُ؛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حسين شريف 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جعفر شهيدي، خطبه</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كَرَّمْنا بَني آدَمَ وَ حَمَلْناهُمْ فِي الْبَرِّ وَ الْبَحْرِ وَ رَزَقْناهُمْ مِنَ الطَّيِّباتِ وَ فَضَّلْناهُمْ عَلى كَثيرٍ مِمَّنْ خَلَقْنا تَفْضيلاً؛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أَكْرَمَكُمْ عِنْدَ اللَّهِ أَتْقاكُمْ إِنَّ اللَّهَ عَليمٌ خَبيرٌ؛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كرامت ذاتي و اكتسابي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تعبير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الْعاقِبَةُ لِلْمُتَّقين؛ گواه اين سخن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إِنَّا خَلَقْناكُمْ مِنْ ذَكَرٍ وَ أُنْثى وَ جَعَلْناكُمْ شُعُوباً وَ قَبائِلَ لِتَعارَفُوا؛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خَلَقَكُمْ مِنْ نَفْسٍ واحِدَةٍ؛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إِكْراهَ فِي الدِّينِ قَدْ تَبَيَّنَ الرُّشْدُ مِنَ الْغَيِّ؛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يزدي، محمد تقي، جامعه و تاريخ،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شيرازي، ناصر، 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روايت به اين تعبير در سخنان پيشوايان معصوم عليهم السلام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گروهي از پژوهشگران، معجم احاديث الامام المهدي عليه السلام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اگــر چه پايه اين قيــام بزرگ، بر روال طبيعي و سنت‌هاي جاري خداوند است؛ اما به اقتضاي عظمت و گستردگي آن در همه كره زمين، و نيز مجهز بودن دشمنان به امكانات بسيار و پيشرفته، خداوند برخي از نيروهاي پنهان و فوق طبيعي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امدادهاي غيبي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اختيار او قرار خواهد داد تا موجبات پيروزي ايشان، هر چه بهتر فراهم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عياشي، تفسير 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محمدبن علي بن حسين بن بابويه، كمال‌الدين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محمد بن ابراهيم نعماني، الغيبة،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معناي چيزي است كه تحقّق مشروط، به آن بستگي دارد و جمع آن شرايط و شروط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مصطفوي، التحقيق في كلمات القرآن الكريم،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شرايط ظهور، زمينه‌هايي است كه تحقق ظهور امام عصر عليه السلام، به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بستگي دارد و آن را امري منطقي و لازم مي‌نماياند؛ به گونه‌اي كه با فراهم شدن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ظهور حضرت مهدي عليه السلام براي برپايي حكومت عدل جهاني به‌طور حتمي تحقق خواهد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درسنامه مهدويت،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درس شرايط ظهور حضرت مهدي عليه السلام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مرتضوي، ظهور حضرت مهدي عجل الله فرجه در انتخاب ماست، مشرق موعود، ش</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علي بن حسين بن بابويه، 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يعقوب كليني،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نعماني اين حديث را ـ با اندك تفاوتي در متن ـ از كليني با همان سند كتاب كافي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نعماني، الغيبة،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طوسي نيز روايت را با اندك تفاوتي در سند و متن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الحسن طوسي، كتاب الغيبة،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ابوالقاسم خويي، معجم رجال الحديث،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منصور صيقل از پدر خود روايت كرده كه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امام باقر عليه السلام وارد شدم و گروهي پيش او بودند پس در آن بين كه ما با يك</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ديگر سخن مي‌گفتيم و آن حضرت روي به يكي از ياران خود داشت، ناگاه رو به ما كرده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در بارة چه چيز سخن مي‌گوئيد؟ 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گردن‌هاي خود را به سويش مي‌كشيد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منتظر آن هستيد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پديد نخواهد آمد تا اينكه پاك</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سازي شويد،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گردن‌هاي خويش را به سوي آن مي‌كشيد پديدار نمي‌گردد تا اينكه باز شناخته و از يك</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ديگر جدا شويد و آنچه گردن‌هاي خود را به سويش مي‌كشيد واقع نخواهد شد تا اين كه غربال شويد، و آنچه گردن‌هاي خويش را به جانب آن مي‌كشيد واقع نخواهد شد مگر پس از نوميدي، و آنچه به جانبش گردن‌هاي خود را مي‌كشيد واقع نخواهد شد تا كسي كه اهل نگون‌بختي است به سيه‌روزي، و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كه اهل سعادت است به نيك</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بختي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نعماني، الغيبة،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صافي گلپايگاني، منتخب الاثر،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يعقوب كليني،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نعماني، الغيبة،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مجلسي در شرح روايت مي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كساني كه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را دوست مي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داري، امامان معصوم عليهم السلام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باور به امامت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نبايد برگردي و سخنان آنان را بايد نصب العين خود قرار دهي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از آنكه دشمن است را دشمن بدار، از پيشوايان ستمگر پيروان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راه و روش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بايد پرهيز كرد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باقر مجلسي، 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يعقوب كليني،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نعماني، الغيبة،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روايت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هلك المستعجلون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الذين يريدون تعجل ظهور الحق، و يعترضون علي الله و علينا في تأخيره، و لا يرضون بقضاء الله في ذلك، و أما ترقب الفرج و الدعاء له فهما مطلوبان، و لذا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نجا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اللام أي الراضون بقضاء الله، الذين لا يعترضون علي أئمتهم فيما يقولون و يفعلون، أو المراد بالمستعجلين الذين كانوا يخرجون قبل أوان ظهور الحق علي أئمة الجور، و يقتلون فيهلكون و يهلكون في الدنيا و الآخرة،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الاستعجال عد الشي‌ء عاجلا بالخروج على أئمة 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مجلسي، 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يعقوب كليني،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نعماني، الغيبة،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هلك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الذين يخرجون في دولة الباطل قبل انقضاء مدتها كزيد و محمد و إبراهيم و أضرابهم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لغلبة الحق أو لإزالة دولة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قد بلغوها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 الحق أو أهل دولة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يستقدموا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يتقدموا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يتأخروا ساعة، 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جاءَ أَجَلُهُمْ لا يَسْتَأْخِرُونَ ساعَةً وَ لا يَسْتَقْدِمُونَ؛ محمد باقر مجلسي، 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محمّد بن ابراهيم نعماني، الغيبة،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كساني كه با برداشت نادرست از انتظار خود را از حقيقت انتظار دور كرده براين پندارند براي تحقق ظهور، نه كه جلوي فساد را نبايست گرفت، بر آن بايد دامن زد؛ نيز به نوعي ـ ولو باطل ـ به زمينه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سازي معتقد هستند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به برخي از حكمت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هاي ظاهري غيبت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جان حضرت، آزمايش انسان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تأديب مردم و زير بيعت نبودن آن حضرت اشاره شده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محمد بن حسن طوسي، كتاب الغيبة،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محمد بن علي بن حسين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محمد بن ابراهيم نعماني، الغيبة،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انفعال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نعماني، الغيبة،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روايت از جهت سند به واسطه ابو عبد الله جعفي مخدوش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باقر مجلسي، مرآة العقول،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اين مضمون در برخي روايات ديگر نيز آمده است؛ از جمله رواياتي كه در آن توصيه شده شبانه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روز در انتظار فرج باشيد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يعقوب كليني،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محمد بن ابراهيم نعماني، الغيبة،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كليني،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قيام و انقلاب مهدي عليه السلام،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علي بن حسين بن بابويه، 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محمد بن حسن طوسي، كتاب الغيبة،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فُضَيْلُ اعْرِفْ إِمَامَكَ فَإِنَّكَ إِذَا عَرَفْتَ إِمَامَكَ لَمْ يَضُرَّكَ تَقَدَّمَ هَذَا الْأَمْرُ أَوْ تَأَخَّرَ؛ محمد بن يعقوب 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أَمِينُ اللَّهِ فِي خَلْقِهِ وَ حُجَّتُهُ عَلَى عِبَادِهِ وَ خَلِيفَتُهُ فِي بِلَادِهِ وَ الدَّاعِي إِلَى اللَّهِ وَ الذَّابُّ عَنْ حُرَمِ اللَّهِ الْإِمَامُ الْمُطَهَّرُ مِنَ الذُّنُوبِ وَ الْمُبَرَّأُ عَنِ الْعُيُوبِ الْمَخْصُوصُ بِالْعِلْمِ الْمَوْسُومُ بِالْحِلْمِ نِظَامُ الدِّينِ وَ عِزُّ الْمُسْلِمِينَ وَ غَيْظُ الْمُنَافِقِينَ وَ بَوَارُ الْكَافِرِينَ الْإِمَامُ وَاحِدُ دَهْرِهِ لَا يُدَانِيهِ أَحَدٌ وَ لَا يُعَادِلُهُ عَالِمٌ وَ لَا يُوجَدُ مِنْهُ بَدَلٌ وَ لَا لَهُ مِثْلٌ وَ لَا نَظِيرٌ ٌ مَخْصُوصٌ بِالْفَضْلِ كُلِّهِ مِنْ غَيْرِ طَلَبٍ مِنْهُ لَهُ وَ لَا اكْتِسَابٍ بَلِ اخْتِصَاصٌ مِنَ الْمُفْضِلِ الْوَهَّاب؛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ازاي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پاداشي از شما خواستار نيستم، مگر دوستي درباره خويشاوندان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خزاز قمي، كفاية الاثر،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مجلسي، بحار 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نعماني، الغيبة،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نعماني، الغيبة،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تَمَسَّكُوا بِالْأَمْرِ الْأَوَّلِ الَّذِي أَنْتُمْ عَلَيْهِ حَتَّي يُبَيَّنَ لَكُم؛ محمد بن ابراهيم نعماني، الغيبة،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همچنين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فَأَحِبَّ مَنْ كُنْتَ تُحِبُّ وَ أَبْغِضْ مَنْ كُنْتَ تُبْغِضُ حَتَّي يُظْهِرَهُ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آنكه را بايد دوست داشته باشي دوست بدار وآنكه را بايد دشمن بداري دشمن بدار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تولي و تبري را از دست 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خداي عز و جل او را ظاهر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مكارم شيرازي، حكومت جهاني حضرت مهدي عليه السلام،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علي بن حسين بن بابويه،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آيه</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نعماني، الغيبة،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فخر الدين 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لِيُعِدَّنَّ أَحَدُكُمْ لِخُرُوجِ الْقَائِمِ وَ لَوْ سَهْماً فَإِنَّ اللَّهَ إِذَا عَلِمَ ذَلِكَ مِنْ نِيَّتِهِ رَجَوْتُ لِأَنْ يُنْسِئَ فِي عُمُرِهِ حَتَّى يُدْرِكَهُ وَ يَكُونَ مِنْ أَعْوَانِهِ وَ أَنْصَارِه؛ محمد بن ابراهيم نعماني، الغيبة،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الرَّجُلَ مِنْهُمْ يُعْطَى قُوَّةَ أَرْبَعِينَ رَجُلًا وَ إِنَّ قَلْبَهُ لَأَشَدُّ مِنْ زُبَرِ الْحَدِيدِ وَ لَوْ مَرُّوا بِجِبَالِ الْحَدِيدِ لَقَطَعُوهَا لَا يَكُفُّونَ سُيُوفَهُمْ حَتَّى يَرْضَى اللَّهُ عَزَّ وَ جَلَّ؛ محمد بن علي بن حسين بن بابويه،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 وَ الَّذينَ مَعَهُ أَشِدَّاءُ عَلَى الْكُفَّارِ رُحَماءُ بَيْنَهُم؛ محمّد صلي الله عليه و آله وسلم، پيامبر خداست و كساني كه با اويند، بر كافران، سخت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ديگر مهربانند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نعماني، الغيبة،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ابراهيم نعماني، الغيبة،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محمد باقر مجلسي،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محمد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ثقة جليل؛ رجال النجاشي،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فهرست الطوسي،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حدثني علي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من وجوه الواقفة؛ رجال النجاشي،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أخيه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رجال النجاشي،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امامي؛ رجال الطوسي،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عمر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رجال النجاشي،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موسي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نقل وي از معمر بن يحيي حسين بن موسي الحناط است؛ معجم رجال الحديث؛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در تحقيق انجام شده در نرم افزار درايه النور، وي علي التحقيق ثقه دانسته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معمر بن يحيى بن 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امامي؛ رجال النجاشي،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خالد الكابلي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امامي صحيح المذهب؛ رجال الكشي،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 أنه قال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مجلسي،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علي بن عيسي اربلي، 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برخي اين روايات از اين قرارند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هزمت الرايات السود خيل السفياني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نعيم بن حماد، الفتن،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اذا خرجت خيل السفياني الي الكوفه بعث في طلب اهل خراسان و يخرج اهل خراسان في طلب المهدي فيلتقي هو و الهاشمي برايات 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و تقبل خيل السفياني في طلب اهل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تخرج رايات سود تقاتل السفياني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اذا اختلفت الرايات السود خسف بقريه من قري 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و ده‌ها حديث ديگر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شاذان عن محمد بن علي عن عثمان بن أحمد السماك عن إبراهيم بن عبد الله الهاشمي عن إبراهيم بن هانئ عن نعيم بن حماد عن سعيد أبي عثمان عن جابر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طوسي، كتاب الغيبة،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محمد باقر مجلسي،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مجلسي،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بن حماد، الفتن،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يوسف مقدسي، عقد الدرر،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مدلس به كسي گويند كه حقايقي را در سند روايت پنهان كرده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ذهبي، ميزان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پس از نقل روايت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اسناد صحيح رجاله ثقات و رواه الحاكم في المستدرك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علي شرط الشيخين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حاكم نيشابوري، المستدرك،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متقي هندي، كنز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اميني، دادگستر جهان،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مصطفي صادقي، تحليل تاريخي نشانه‌هاي ظهور،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جمعي از محققان، معجم احاديث الامام المهدي عليه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العليم عبد العظيم البستوي، المهدي المنتظر في ضوء الاحاديث و الآثار الصحيحة،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 از نويسندگان، مجموعه مقالات و گفتارها پيرامون حضرت مهدي عليه السلام،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 از نويسندگان، چشم به راه مهدي عليه السلام،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يزيد قزويني، 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طبراني، معجم الاوسط،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يحيي مقدسي، عقد الدرر في أخبار المنتظر،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هيتمي، 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تاريخ،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العليم عبد العظيم البستوي، موسوعة في أحاديث الإمام المهدي الضعيفة والموضوعة،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عيسي اربلي، كشف الغمه في معرفه الائمه،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 پس از نقل روايت براي نخستين با روايت را معتبر دانسته مي‌نويسد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 روته الثقاة و الأثبات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مجلسي،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بررسي همه روايات، مجال گسترده‌اي مي‌طلبد، در اينجا فقط به برخي از روايات اشاره و به صورت كوتاه به بررسي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مي‌پردازيم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يادشده را شيخ حر عاملي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محدث نوري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بابي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حكمِ الخروج بالسيف قبل قيام القائم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آورده‌اند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عَنِ الْحُسَيْنِ بْنِ سَعِيدٍ عَنْ حَمَّادِ بْنِ عِيسَي عَنِ الْحُسَيْنِ بْنِ الْمُخْتَارِ عَنْ أَبِي بَصِير؛ محمد بن يعقوب كليني،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مجلسي، مرآة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خويي، معجم رجال الحديث،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عبد الواحد بن عبد الله قال حدثنا أحمد بن محمد بن رباح الزهري قال حدثنا محمد بن العباس بن عيسى الحسيني عن الحسن بن علي بن أبي حمزة عن أبيه عن مالك بن أعين الجهني؛ محمد بن ابراهيم نعماني، الغيبة،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ابن أبي حمزة البطائني ضعيف جدا؛ حسن بن يوسف حلي، خلاصة الاقوال،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يمكن الحكم بوثاقته و بالنتيجة يعامل معه معاملة الضعيف؛ ابوالقاسم خويي، معجم رجال الحديث،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علي بن الحسين قال حدثنا محمد بن يحيي العطار بقم قال حدثنا محمد بن حسان الرازي قال حدثنا محمد بن علي الكوفي عن علي بن الحسين عن ابن مسكان عن مالك بن أعين الجهني؛ همان،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الزينبي يعرف و ينكر بين بين يروي عن الضعفاء كثيرا؛ نجاشي، رجال النجاشي،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حسين غضايري، رجال ابن الغضائري،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داود، رجال ابن داود،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خويي، معجم رجال 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10443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أخبرنا علي بن أحمد البندنيجي عن عبيد الله بن موسي العلوي عن علي بن إبراهيم بن هاشم عن أبيه عن عبد الله بن المغيرة عن عبد الله بن مسكان عن مالك بن أعين الجهني؛ همان،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نمازي شاهرودي، مستدركات علم رجال الحديث،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حسين غضائري، رجال ابن الغضايري،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الدين طبسي، تا ظهور،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تصرف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نعماني، الغيبة،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روح الله موسوي خميني، كشف الاسرار،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صحيفه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ابراهيم، عن أبيه، عن حمّاد بن عيسي، عن ربعي، رفعه عن علي بن الحسين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يعقوب كليني،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محمد بن ابراهيم نعماني، الغيبة،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همام قال حدثنا جعفر بن محمد بن مالك قال حدثني أحمد بن علي الجعفي عن محمد بن المثنى الحضرمي عن أبيه عن عثمان بن زيد عن جابر؛ محمد بن ابراهيم نعماني، الغيبة،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روايتي كه برخي راويان آن اگر چه در كتاب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هاي رجالي ياد شده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اما نه تضعيف و نه توثيق نشده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روايتي كه برخي راويان آن در كتاب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هاي رجالي ياد نشده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كه مي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تواند نشانه ضعف باشد</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ضعيفا في الحديث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 كان يضع الحديث وضعا و يروي عن المجاهيل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علي بن احمد نجاشي، رجال نجاشي،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ثبت امامي صحيح المذهب؛ رجال النجاشي،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اصحابنا يقولون اول من نشر حديث الكوفيين بقم؛ رجال النجاشي،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مرحوم خوئي با يادآوري ادله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اي مي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الشك في وثاقته ابراهيم بن هاشم؛ معجم رجال الحديث،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بن يحيي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امامي؛ رجال النجاشي،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رجال الطوسي،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عيص بن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رجال النجاشي،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بن سعيد عن هؤلاء الرجال الأربعة عن ابن محبوب و أخبرنا محمد بن يعقوب الكليني أبو جعفر قال حدثني علي بن إبراهيم بن هاشم عن أبيه قال و حدثني محمد بن عمران قال حدثنا أحمد بن محمد بن عيسي قال و حدثني علي بن محمد و غيره عن سهل بن زياد جميعا عن الحسن بن محبوب قال و حدثنا عبد الواحد بن عبد الله الموصلي عن أبي علي أحمد بن محمد بن أبي ناشر عن أحمد بن هلال عن الحسن بن محبوب عن عمرو بن أبي المقدام عن جابر بن يزيد الجعفي؛ محمد بن ابراهيم نعماني، الغيبة،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عَنْ عُثْمَانَ بْنِ عِيسَي عَنْ بَكْرِ بْنِ مُحَمَّدٍ عَنْ سَدِير؛ محمد بن يعقوب كليني،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مجلسي، مرآة العقول في شرح اخبار آل الرسول صلي الله عليه و آله وسلم،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الدين طبسي، تا ظهور،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حَمَّادُ بْنُ عَمْرٍو وَ أَنَسُ بْنُ مُحَمَّدٍ عَنْ أَبِيهِ جَمِيعاً عَنْ جَعْفَرِ بْنِ مُحَمَّدٍ عَنْ أَبِيهِ عَنْ جَدِّهِ عَنْ عَلِيِّ بْنِ أَبِي طَالِب عليه السلام عَنِ النَّبِيِّ صلي الله عليه و آله أَنَّهُ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علي بن حسين بن بابويه، من لايحضره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حسين شريف رضي، نهج البلاغه، ترجمه سيد جعفر شهيدي، خطبه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بن علي حر عاملي،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19975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مزيناني،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حكومت اسلامي در عصر انتظار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چشم به راه مهدي عليه السلام،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ترين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گسترة انساني و جغرافيايي در اندازة همة انسان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هاي كرة زمين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صف، آية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نزديك به اين آيه سورة آل عمران، آية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به زودي در بررسي آيات نصرت در مورد اين آيه بحث مي‌كنيم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علي عليه السلام نقل شده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وجدت اربعين ذوي عزم منهم لناهضت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مرد گام‌استوار مي‌يافتم با آنان مبارزه مي‌كردم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مجلسي، بحار 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شرح ابن ابي الحديد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روايتي جابر بن عبد الله و عبد الله بن عباس به نقل از رسول خدا صلي الله عليه و آله وسلم آورده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إِنَّ قُرَيْشاً سَتُظَاهِرُ عَلَيْكَ وَ تَجْتَمِعُ كُلُّهُمْ عَلَى ظُلْمِكَ وَ قَهْرِكَ، فَإِنْ وَجَدْتَ أَعْوَاناً فَجَاهِدْهُمْ وَ إِنْ لَمْ تَجِدْ أَعْوَاناً فَكُفَّ يَدَكَ وَ احْقِنْ دَمَكَ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بن حسن طوسي، كتاب الغيبة،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مجتبي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پروردگار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حكومت را به معاويه واگذار نكردم مگر بدان جهت كه انصاري نيافتم، اگر ياراني مي‌يافتم شب و روز با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مي‌جنگيدم، تا خدا بين ما داوري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مجلسي، 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با سوگند به خداوند به سدير صيرفي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يَا سَدِيرُ لَوْ كَانَ لِي شِيعَةٌ بِعَدَدِ هَذِهِ الْجِدَاءِ مَا وَسِعَنِي الْقُعُود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خداوند سوگند اي سدير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به شمار اين بزها،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پاك‌باخته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داشتم، بر من سزاوار نبود بنشينم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گرفتن حقم به‌پا مي‌خاستم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سدير ادامه مي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از مركب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پياده شديم و نماز گزارديم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آنكه از نماز فارغ شديم من نزديك گله شده بزها را شمردم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محمد باقر مجلسي،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محمد بن مسعود عياشي، تفسير 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محمد بن حسن طوسي، كتاب الغيبة،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ابن ابي زينب نعماني، الغيبة،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طوسي، كتاب الغيبة،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عيسي اربلي، كشف الغمة في معرفة الائمة،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زينب نعماني، الغيبة،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عياشي، تفسير 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نگراني كساني كه مي‌گويند با توجه به شمار اندك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مي‌نمايد ما در شمار ياران خاص آن حضرت باشيم را بر طرف مي‌كند؛ چرا كه آن حضرت پس از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شمار فراواني ياور خواهد داشت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علي بن حسين بن بابويه،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علي ماجيلويه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رضايت‌خواستن شيخ صدوق براي او از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حدثنا عمي محمد بن أبي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من اصحابنا القميين ثقه؛ رجال نجاشي،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أبي عبد الله الكوفي عن أبيه عن محمد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امامي مختلف فيه و التحقيق انه ثقه؛ نرافزار نور الدرايه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المفضل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 جليل علي التحقيق؛ نرافزار نور الدرايه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علي بن حسين بن بابويه،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نعماني، الغيبة،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علي بن حسين بن بابويه، 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طوسي، كتاب الغيبة،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نعماني، الغيبة،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عياشي، تفسير 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علي بن حسين بن بابويه،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حسين شريف 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جعفر شهيدي،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عياشي، 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حكيمي، عصر زندگي،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علي بن حسين بن بابويه، 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متقي هندي، 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اكبر دهخدا، لغت‌نامه، ابدال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خليل بن احمد، العين،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طوسي، كتاب الغيبة،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ابو يعلي موصلي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ابي يعلي،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صحيح‌ابن حبان،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ابن ابي شيبه، كتاب المصنف، ح</w:t>
      </w:r>
      <w:r>
        <w:rPr>
          <w:rFonts w:eastAsia="IRNazanin" w:cs="IRNazanin"/>
          <w:b w:val="false"/>
          <w:bCs w:val="false"/>
          <w:i w:val="false"/>
          <w:iCs w:val="false"/>
          <w:color w:val="333333"/>
          <w:sz w:val="20"/>
          <w:szCs w:val="20"/>
        </w:rPr>
        <w:t>19070</w:t>
      </w:r>
      <w:r>
        <w:rPr>
          <w:rFonts w:ascii="IRNazanin" w:hAnsi="IRNazanin" w:eastAsia="IRNazanin"/>
          <w:b w:val="false"/>
          <w:b w:val="false"/>
          <w:bCs w:val="false"/>
          <w:i w:val="false"/>
          <w:i w:val="false"/>
          <w:iCs w:val="false"/>
          <w:color w:val="333333"/>
          <w:sz w:val="20"/>
          <w:sz w:val="20"/>
          <w:szCs w:val="20"/>
          <w:rtl w:val="true"/>
        </w:rPr>
        <w:t>؛ عبد الرزاق صنعاني، المصنف، 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لغتنامه، أخيار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فخر الدين طريحي، مجمع‌البحرين،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صنعاني، المصنف، ح</w:t>
      </w:r>
      <w:r>
        <w:rPr>
          <w:rFonts w:eastAsia="IRNazanin" w:cs="IRNazanin"/>
          <w:b w:val="false"/>
          <w:bCs w:val="false"/>
          <w:i w:val="false"/>
          <w:iCs w:val="false"/>
          <w:color w:val="333333"/>
          <w:sz w:val="20"/>
          <w:szCs w:val="20"/>
        </w:rPr>
        <w:t>20769</w:t>
      </w:r>
      <w:r>
        <w:rPr>
          <w:rFonts w:ascii="IRNazanin" w:hAnsi="IRNazanin" w:eastAsia="IRNazanin"/>
          <w:b w:val="false"/>
          <w:b w:val="false"/>
          <w:bCs w:val="false"/>
          <w:i w:val="false"/>
          <w:i w:val="false"/>
          <w:iCs w:val="false"/>
          <w:color w:val="333333"/>
          <w:sz w:val="20"/>
          <w:sz w:val="20"/>
          <w:szCs w:val="20"/>
          <w:rtl w:val="true"/>
        </w:rPr>
        <w:t>؛ ابن ابي شيبه، كتاب المصنف، ح</w:t>
      </w:r>
      <w:r>
        <w:rPr>
          <w:rFonts w:eastAsia="IRNazanin" w:cs="IRNazanin"/>
          <w:b w:val="false"/>
          <w:bCs w:val="false"/>
          <w:i w:val="false"/>
          <w:iCs w:val="false"/>
          <w:color w:val="333333"/>
          <w:sz w:val="20"/>
          <w:szCs w:val="20"/>
        </w:rPr>
        <w:t>19070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مجلسي، بحارالانوار،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محمّدبن جرير بن رستم طبري، دلائل الامامة،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علي بن عيسي اربلي، كشف الغمة في معرفة الائمة،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طوسي، كتاب الغيبة،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بن عبد الله حموي، 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سيوطي، الحاوي للفتاوي،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متقي هندي، كنزالعمال،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مجلسي،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كوراني، عصر ظهور،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 لِطُغَاةِ الْعَرَبِ مِنْ أَمْرٍ قَدِ اقْتَرَبَ قُلْتُ جُعِلْتُ فِدَاكَ كَمْ مَعَ الْقَائِمِ مِنَ الْعَرَبِ قَالَ نَفَرٌ يَسِيرٌ قُلْتُ وَ اللَّهِ إِنَّ مَنْ يَصِفُ هَذَا الْأَمْرَ مِنْهُمْ لَكَثِيرٌ قَالَ لَا بُدَّ لِلنَّاسِ مِنْ أَنْ يُمَحَّصُوا وَ يُمَيَّزُوا وَ يُغَرْبَلُوا وَ يُسْتَخْرَجُ فِي الْغِرْبَالِ خَلْقٌ كَثِيرٌ؛ محمد بن يعقوب كليني،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محمد بن ابراهيم نعماني، الغيبة،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بررسي ويژگي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از آن جهت كه در چگونگي ايفاي نقش بخشي از مردم به عنوان ياران و ياوران، داراي اهميت است، امري لازم در اين پژوهش است كه به صورت مختصر بدان پرداخته شده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مجلسي،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عيسي اربلي، كشف الغمة في معرفة الائمة،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محمد باقر مجلسي،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حسين شريف رضي، نهج البلاغه، ترجمه سيد جعفر شهيدي، خطبه</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عياشي، تفسير 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كَدَّادُونَ مُجِدُّونَ فِي طَاعَتِه؛ محمدبن علي بن حسين بن بابويه، عيون اخبار الرضا عليه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يُصْبِحُ أَحَدُكُمْ وَ تَحْتَ رَأْسِهِ صَحِيفَةٌ عَلَيْهَا مَكْتُوبٌ طاعَةٌ مَعْرُوفَةٌ؛ همو، كمال الدين و تمام النعمة، ج</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عَلَى خُيُولِهِمُ الْعِقْبَانَ يَتَمَسَّحُونَ بِسَرْجِ الْإِمَامِ يَطْلُبُونَ بِذَلِكَ الْبَرَكَةَ وَ يَحُفُّونَ بِهِ يَقُونَهُ بِأَنْفُسِهِمْ فِي الْحُرُوبِ وَ يَكْفُونَهُ مَا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باقر مجلسي،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بَصِيرٍ طُوبَي لِشِيعَةِ قَائِمِنَا الْمُنْتَظِرِينَ لِظُهُورِهِ فِي غَيْبَتِهِ وَ الْمُطِيعِينَ لَهُ فِي ظُهُورِهِ أُولَئِكَ أَوْلِيَاءُ اللَّهِ الَّذِينَ لا خَوْفٌ عَلَيْهِمْ وَ لا هُمْ يَحْزَنُون؛ محمدبن علي بن حسين بن بابويه،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الْقَاسِمِ إِنَّ الْقَائِمَ مِنَّا هُوَ الْمَهْدِيُّ الَّذِي يَجِبُ أَنْ يُنْتَظَرَ فِي غَيْبَتِهِ وَ يُطَاعَ فِي ظُهُورِهِ؛ همان،</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الاختصاص،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نعماني، الغيبة،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محمد بن حسن طوسي، كتاب الغيبة،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ابراهيم قمي، تفسير 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الْمَهْدِيِّ شَبَابٌ لَا كُهُولٌ فِيهِمْ إِلَّا مِثْلَ كُحْلِ الْعَيْنِ وَ الْمِلْحِ فِي الزَّادِ وَ أَقَلُّ الزَّادِ الْمِلْحُ؛ محمد بن ابراهيم نعماني، الغيبة،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حاكم نيشابوري، المستدرك علي الصحيحين،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سيوطي، عقد الدرر،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علي بن حسين بن بابويه، كمال‌الدين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علي بن حسين بن بابويه،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روزي كه پاره‌اي از نشانه‌هاي پروردگارت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آيد، كسي كه پيشتر ايمان نياورده يا خيري در ايمان آوردن خود به دست نياورده است، ايمان آوردنش سود نمي بخشد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علي بن حسين بن بابويه،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حسين شريف رضي، نهج البلاغه، ترجمه سيد جعفر شهيدي، خطبه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كسي است كه پيامبرش را با هدايت و دين درست، فرستاد تا آن را بر هر چه دين است پيروز گرداند، هر چند مشركان خوش نداشته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عياشي، تفسير 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علي بن حسين بن بابويه،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ابن ابي شيبه، المصنف،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نعماني، الغيبة،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علي بن حسين بن بابويه، عيون اخبار الرضاعليه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امدادهـــاي غـيـبـي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بــه معنـاي مددهايي است كه از غيب سرچشمه مي‌گيرد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با عنايت به معناي لغوي آن، مي‌توان جهان و نظم و حيات همة نعمت‌هاي موجود در آن را مدد گرفته از عالم غيب و از مصاديق امدادهاي غيبي دانست ـ چنان‌كه قــرآن، اموال و فرزندان را از امدادهاي خداوند دانسته است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اين تركيب در اصطلاح، به معناي مددهاي ويژه در زندگي بشر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حسين بن بابويه، كمال‌الدين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علي بن حسين بن بابويه، كمال‌الدين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عياشي، تفسير 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خدا دررسيد، پس در آن شتاب مكنيد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ابراهيم نعماني، الغيبة،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نعماني، الغيبة،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علي بن حسين بن بابويه، كمال‌الدين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آيه</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علي بن حسين بن بابويه، كمال‌الدين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اين پديدة در رواياتي نقل شده است اما در بارة حقيقت چگونگي آن سخن روشني در دست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در آينده با بررسي‌هاي افزون‌تر و توسعة دانش‌هاي بشري حقايق بيشتري از اين پديده نمايان شود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علي بن حسين بن بابويه، كمال‌الدين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نعماني، الغيبة،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نعماني، الغيبة،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؛محمد بن يعقوب كليني، 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متقي هندي، كنز العمال، ح</w:t>
      </w:r>
      <w:r>
        <w:rPr>
          <w:rFonts w:eastAsia="IRNazanin" w:cs="IRNazanin"/>
          <w:b w:val="false"/>
          <w:bCs w:val="false"/>
          <w:i w:val="false"/>
          <w:iCs w:val="false"/>
          <w:color w:val="333333"/>
          <w:sz w:val="20"/>
          <w:szCs w:val="20"/>
        </w:rPr>
        <w:t>39673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ابراهيم نعماني، الغيبة،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محمد بن ابراهيم نعماني، الغيبة،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محمدبن علي بن حسين بن بابويه، كمال‌الدين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محمد بن ابراهيم نعماني، الغيبة،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اشاره شد قانون، رهبر و مردم سه پايه حكومت را شكل مي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دهند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علي بن حسين بن بابويه، عيون اخبار الرضا عليه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همو، علل الشرايع،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علي بن حسين بن بابويه، الامالي،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همو، 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علي بن حسين بن بابويه، كمال‌الدين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شهيد مرتضي مطهر، مجموعه 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صافي گلپايگاني، امامت و مهدويت،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أَطيعُوا اللَّهَ وَ أَطيعُوا الرَّسُولَ وَ أُولِي الْأَمْرِ مِنْكُم؛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يَنالُ عَهْدِي الظَّالِمين؛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اكرم صلي الله عليه و آله وسلم در گزارش از معراج از قول خداوند در باره حضرت مهدي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الْقَائِمُ الَّذِي يُحِلُّ حَلَالِي وَ يُحَرِّمُ حَرَامِي؛ و اين، قائم است كه حلال و حرام را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گونه كه من حلال و حرام كرده‌ام به اجرا مي‌گذارد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علي بن حسين بن بابويه، عيون اخبار الرضا عليه السلام،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مي‌رسد دانش در اصطلاح آموزه‌هاي ديني چيزي متفاوت از آنچه امروزه به كار مي‌رود،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روايات از علم با عنوان نوري كه سبب هدايت مي‌شود، 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دانش امروزي مي‌تواند بخشي از دانش تعريف‌شده در روايات باشد، اما آنچه از علوم امروزي كه در خدمت هدايت به حق تعالي به كار نمي‌رود، از نگاه دين، دانش ناميده نمي‌شود و البته فن‌آوري هاي نو نيز همچنين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تُؤْتَوْنَ الْحِكْمَةَ فِي زَمَانِهِ حَتَّي إِنَّ الْمَرْأَةَ لَتَقْضِي فِي بَيْتِهَا بِكِتَابِ اللَّهِ تَعَالَي وَ سُنَّةِ رَسُولِ اللَّهِ صلي الله عليه و آله وسلم ؛ در دوران او شما از حكمت برخوردار مي‌شويد تا آنجا كه يك زن در خانه خود برابر كتاب خداي تعالي و روش پيامبر خدا صلي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مجتهد با استنباط شخصي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انجام تكاليف شرعي خود 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نعماني، الغيبة،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قَائِمُنَا وَضَعَ اللَّهُ يَدَهُ عَلَي رُءُوسِ الْعِبَادِ فَجَمَعَ بِهَا عُقُولَهُمْ وَ كَمَلَتْ بِهِ أَحْلَامُهُمْ؛ چون قائم ما به‌پا خيزد خداوند دست رحمتش را بر سر بندگان گذارد پس عقولشان را گردآورد و در نتيجه خردشان كامل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اكرم صلي الله عليه و آله وسلم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يَمْلَأُ قُلُوبَ عِبَادِهِ عِبَادَةً؛ دل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هاي بندگان خدا را از عبادت لبريز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طوسي، كتاب الغيبة،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نعماني، الغيبة،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عياشي، تفسير 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عميد، فرهنگ عميد،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برخي پنداشته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اند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مشروعيت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شرعي‌بودن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گويي پرسش اصلي بحث اين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حكومتي شرعي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اين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كدام حكومت، مورد تأييد شرع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بي‌ترديد، پرسش اصلي بحث اين نيست؛ گرچه ممكن است در يك جامعه ديني، مسأله شرعي بودن حكومت مطرح شود و حتّي با مسأله مشروعيت هم مرتبط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يزدي، محمد تقي، پرسش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و پاسخ</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لاريجاني، نقد دينداري و مدرنيسم،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عبدالرحمن عالم، بنيادهاي علم سياست،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سجاد ايزدي، حكومت و مشروعيت،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فقهاي مسلمان، جامعه‌شناسان و فيلسوفان علوم سياسي دسته‌بندي‌هاي گوناگوني را براي مفهوم مشروعيت در نظر گرفته و از زواياي گوناگوني آن را مورد بررسي قرار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اينجا از مشروعيت در جامعه شناسي، مشروعيت فلسفي و مشروعيت سياسي صرف نظر شده، فقط به مشروعيت الهي اشاره مي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كه او بخواهد و بفرمايد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حسين شريف رضي، 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باب الترفق في الطلب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عميد، فرهنگ عميد،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يزدي، محمد تقي، مباحث سياست،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طبري، المسترشد،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عماد الدين طبري، بشارة المرتضي لشيعة المرتضي،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حسين شريف رضي، نهج البلاغه، ترجمه سيد جعفر شهيدي، خطبه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سيرة النبوية،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علي طبرسي،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حاكم نيشابوري، المستدرك،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 النهاية،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سيوطي، 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متقي هندي، كنز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عيسي اربلي، 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خزاز قمي، كفاية الاثر،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علي بن حسين بن بابويه، عيون اخبار الرضا عليه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طوسي، كتاب الغيبة، ص</w:t>
      </w:r>
      <w:r>
        <w:rPr>
          <w:rFonts w:eastAsia="IRNazanin" w:cs="IRNazanin"/>
          <w:b w:val="false"/>
          <w:bCs w:val="false"/>
          <w:i w:val="false"/>
          <w:iCs w:val="false"/>
          <w:color w:val="333333"/>
          <w:sz w:val="20"/>
          <w:szCs w:val="20"/>
        </w:rPr>
        <w:t>184</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يَأْتِيَ الْمِنْبَرَ وَ يَخْطُبَ وَ لَا يَدْرِي النَّاسُ مَا يَقُولُ مِنَ الْبُكَاء؛ محمد بن حسن طوسي، كتاب الغيبة،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و بلكه صدها روايت از پيشوايان معصوم عليهم السلام به دست رسيده كه در آن از عدالت به عنوان محوري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ترين هدف قيام جهاني حضرت مهدي عليه السلام 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نعماني، الغيبة،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محمدبن علي بن حسين بن بابويه، 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محمد بن حسن طوسي، كتاب الغيبة،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الدين راوندي،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محمد باقر مجلسي،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حسين شريف رضي، نهج البلاغه، 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 عليه السلام در اين باره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رَأْيَ لِمَنْ لَا يُطَاعُ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 را كه فرمان نبرند سررشته كار از برون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حسين شريف رضي، نهج البلاغه، ترجمه سيد جعفر شهيدي،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محمدبن يعقوب 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در وصف ايشان ذيل آية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يَأْتِي بَعْضُ آياتِ رَبِّكَ لا يَنْفَعُ نَفْساً إِيمانُها لَمْ تَكُنْ آمَنَتْ مِنْ قَبْلُ أَوْ كَسَبَتْ فِي إِيمانِها خَيْراً؛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روزى كه پاره‌اى از نشانه‌هاى پروردگارت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آيد، كسى كه قبلًا ايمان نياورده يا خيرى در ايمان آوردن خود به دست نياورده، ايمان آوردنش سود نمى‌بخشد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خُرُوجَ الْقَائِمِ الْمُنْتَظَرِ مِنَّا ثُمَّ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بَصِيرٍ طُوبَى لِشِيعَةِ قَائِمِنَا الْمُنْتَظِرِينَ لِظُهُورِهِ فِي غَيْبَتِهِ وَ الْمُطِيعِينَ لَهُ فِي ظُهُورِهِ أُولَئِكَ أَوْلِيَاءُ اللَّهِ الَّذِينَ لا خَوْفٌ عَلَيْهِمْ وَ لا هُمْ يَحْزَنُون؛ محمدبن علي بن حسين بن بابويه،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يعقوب 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بَابُ مَا يَجِبُ مِنْ حَقِّ الْإِمَامِ عَلَى الرَّعِيَّةِ وَ حَقِّ الرَّعِيَّةِ عَلَى الْإِمَامِ؛ محمد باقر مجلسي، 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حق الإمام على الرعية و حق الرعية على الإمام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اصفهاني، مفردات،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ابن اثير، النهاية،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جوهري، الصحاح،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ابن‌منظور، 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طريحي، مجمع البحرين،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مرتضي زبيدي، تاج العروس،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ابن خلدون، مقدمه،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مصباح المنير،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مكارم شيرازي و همكاران، يك‌صد و هشتاد پرسش و پاسخ برگرفته از تفسير نمونه،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اندكي تصرف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ascii="IRNazanin" w:hAnsi="IRNazanin" w:eastAsia="IRNazanin"/>
          <w:b w:val="false"/>
          <w:b w:val="false"/>
          <w:bCs w:val="false"/>
          <w:i w:val="false"/>
          <w:i w:val="false"/>
          <w:iCs w:val="false"/>
          <w:color w:val="333333"/>
          <w:sz w:val="20"/>
          <w:sz w:val="20"/>
          <w:szCs w:val="20"/>
          <w:rtl w:val="true"/>
        </w:rPr>
        <w:t>؛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مقدسي شافعي، عقد الدرر،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حسين شريف رضي، نهج‌البلاغه، خطبه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محمد بن يعقوب كليني،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محمدبن علي بن حسين بن بابويه،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مجلسي،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متقي هندي، كنزالعمال، روايت</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حماسه حسيني،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هادي معرفت، جامعه مدني،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آنجايي كه اين بيعت از محل بحث ما خارج است فقط در حدّ اشاره از آن مي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گذريم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علي بن حسين بن بابويه، كمال الدين و تمام النعمة،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ابراهيم نعماني، الغيبة،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ابراهيم قمي، تفسير 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عياشي، تفسير عياشي،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طوسي، كتاب الغيبة، ص</w:t>
      </w:r>
      <w:r>
        <w:rPr>
          <w:rFonts w:ascii="IRNazanin" w:hAnsi="IRNazanin" w:eastAsia="IRNazanin"/>
          <w:b w:val="false"/>
          <w:b w:val="false"/>
          <w:bCs w:val="false"/>
          <w:i w:val="false"/>
          <w:i w:val="false"/>
          <w:iCs w:val="false"/>
          <w:color w:val="333333"/>
          <w:sz w:val="20"/>
          <w:sz w:val="20"/>
          <w:szCs w:val="20"/>
        </w:rPr>
        <w:t>۴۷۶</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ابراهيم نعماني، الغيبة،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طوسي، كتاب الغيبة،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محمد باقر مجلسي،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ابراهيم نعماني، الغيبة،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حاكم نيشابوري، المستدرك علي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يوسف بن يحيي المقدسي، عقد الدرر في اخبار المنتظر،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متقي هندي، كنز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جعفر بن محمد الحضرمي، ص</w:t>
      </w:r>
      <w:r>
        <w:rPr>
          <w:rFonts w:ascii="IRNazanin" w:hAnsi="IRNazanin" w:eastAsia="IRNazanin"/>
          <w:b w:val="false"/>
          <w:b w:val="false"/>
          <w:bCs w:val="false"/>
          <w:i w:val="false"/>
          <w:i w:val="false"/>
          <w:iCs w:val="false"/>
          <w:color w:val="333333"/>
          <w:sz w:val="20"/>
          <w:sz w:val="20"/>
          <w:szCs w:val="20"/>
        </w:rPr>
        <w:t>۷۹</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طوسي، كتاب الغيبة، ص</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قطب الدين راوندي، الخرايج و الجرايح،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۱۱۴۹</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طوسي، كتاب الغيبة، ص</w:t>
      </w:r>
      <w:r>
        <w:rPr>
          <w:rFonts w:ascii="IRNazanin" w:hAnsi="IRNazanin" w:eastAsia="IRNazanin"/>
          <w:b w:val="false"/>
          <w:b w:val="false"/>
          <w:bCs w:val="false"/>
          <w:i w:val="false"/>
          <w:i w:val="false"/>
          <w:iCs w:val="false"/>
          <w:color w:val="333333"/>
          <w:sz w:val="20"/>
          <w:sz w:val="20"/>
          <w:szCs w:val="20"/>
        </w:rPr>
        <w:t>۴۷۶</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ابراهيم نعماني، الغيبة،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علي بن حسين بن بابويه، كمال الدين و تمام النعمة،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علي المالكي،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النضر عن ابن حميد الرافعي،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الهيثم البصري،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سليمان بن عثمان النخعي،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سعيد بن طارق عن سلمة بن أنس 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أمير المؤمنين علي عليه السلام خطبة، فذكر المهدي و خروج من يخرج معه و أسماءهم، فقال له أبو خالد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صفه لنا يا أمير المؤمنين، فقال علي عليه السلام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موسي ابن طاوس، التشريف بالمنن في التعريف بالفتن،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جاي بسي شگفتي كه از ياران خاص حضرت مهدي عليه السلام كه از آنها به عنوان حكام الله في الارض در برخي روايات ياد شده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با اين گونه شروط بيعت گرفته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ثَلَاثُمِائَةٍ وَ ثَلَاثَةَ عَشَرَ رَجُلًا عِدَّةُ أَهْلِ بَدْرٍ وَ هُمْ أَصْحَابُ الْأَلْوِيَةِ وَ هُمْ حُكَّامُ اللَّهِ فِي أَرْضِهِ عَلَي خَلْقِهِ؛ اصحابش كه سيصد و سيزده تن و به شمار اصحاب جنگ بدر هستند در اطراف او هستند و آنان پرچمداران و حاكمان خداي تعالي بر خلقش در زمين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علي بن حسين بن بابويه، كمال الدين و تمام النعمة،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هاي از اين سخنان با تفاوت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هايي در خطبة البيان نيز آمده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چگونه امامي است كه بر پاية خواسته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هاي انسان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و نه خدواند خود را تنظيم مي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با تفاوت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هاي فاحشي در روزگار رهايي، ترجمه يوم الخلاص، آمده كه فرازهاي آن چه در باره ياران خاص و چه در باره حضرت قابل تأمل جدّي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سليمان، يوم الخلاص،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صافي گلپايگاني، منتخب الاثر،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ابن طاووس، التشريف بالمنن في التعريف بالفتن،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گروهي از محققين، معجم احاديث الامام المهدي عليه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الدين طبسي، تأملي در نشانه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هاي ظهور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معناي روشن كردن و آشكار ساختن است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زدودن ابهام از لفظ مشكل و دشوار كه در انتقال معناي مورد نظر، نارسا و دچار اشكال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بيانگر مبالغه در دستيابي به معنا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تفسير، فقط كنارزدن نقاب از چهرة لفظ مشكل و نارسا نيست؛ بلكه شامل زدودن ابهام موجود در دلالت كلام، نيز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در جايي است كه گونه‌اي ابهام، در لفظ وجود دارد و اين موجب ابهام در معنا و دلالت كلام مي‌شود و براي زدودن آن، كوشش فراواني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هادي معرفت، تفسير و مفسران،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و تأويل، در گذشته دو لفظ مترادف بود؛ لذا طبري در تفسير جامع البيان آن دو را به يك معنا گرفته و در موقع تفسير آيات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في تأويل الاية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متأخران،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معناي مغاير با تفسير و شايد اخص از آن به كار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معناي باز گشت به اصل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يك چيز؛ يعني، برگرداندن آن به مكان و مصدر اصلي خودش و تأويل لفظ متشابه؛ يعني، توجيه ظاهر آن، به طوري كه به معناي واقعي و اصيل خودش باز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آيات قرآن، مطالب فراواني به لفظ عام بيان شده كه در هر زمان، بر گروهي قابل انطباق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گاهي نيز لفظ آيه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ولي معناي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و شامل كساني نيز مي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كه شبيه آن عمل از آنان صادر شده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طوسي، كتاب الغيبة،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شيرازي و ديگران، 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حسين شريف رضي، نهج البلاغه،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طباطبايي، تفسير الميزان،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طباطبايي، ترجمه 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مجلسي،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طباطبايي، تفسير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حسين شريف رضي، نهج‌البلاغه، كلمات قصار، جمله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شيخ عباس قمي، 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كمي تفاوت در عبارت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عباس قمي، 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علي حراني، تحف‌العقول،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مجلسي، بحار 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البستوي، عبد العليم عبد العظيم، المهدي المنتظر في ضوء الاحاديث و الآثار الصحيحة،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نيشابوري، المستدرك،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يوسف بن يحيي المقدسي، عقد الدرر في اخبار المنتظر،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حسين شريف 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جعفر شهيدي، خطبه</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حسين بن بابويه، الخصال،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اعلام الوري،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زينب نعماني، الغيبة،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زينب نعماني، الغيبة،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حسين بن بابويه،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زينب نعماني، الغيبة،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حسين شريف رضي، نهج‌البلاغه، خطبه</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مجلسي،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طوسي، كتاب الغيبة،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201</Pages>
  <Words>42634</Words>
  <Characters>174848</Characters>
  <CharactersWithSpaces>216104</CharactersWithSpaces>
  <Paragraphs>1305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2026-08-16T19:01:52Z</dcterms:created>
  <dc:creator>ghaemiyeh.com</dc:creator>
  <dc:description/>
  <dc:language>en-US</dc:language>
  <cp:lastModifiedBy/>
  <dcterms:modified xsi:type="dcterms:W3CDTF">2026-08-16T22:31:58Z</dcterms:modified>
  <cp:revision>1</cp:revision>
  <dc:subject/>
  <dc:title>نقش مردم در انقلاب جهانی حضرت مهدی علیه السلام</dc:title>
</cp:coreProperties>
</file>

<file path=docProps/custom.xml><?xml version="1.0" encoding="utf-8"?>
<Properties xmlns="http://schemas.openxmlformats.org/officeDocument/2006/custom-properties" xmlns:vt="http://schemas.openxmlformats.org/officeDocument/2006/docPropsVTypes"/>
</file>