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المسح علی الارجل او غسلها فی الوضوء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227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7227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72274_3650668749">
            <w:r>
              <w:rPr>
                <w:webHidden/>
                <w:rStyle w:val="IndexLink"/>
                <w:rtl w:val="true"/>
              </w:rPr>
              <w:t>تقديم</w:t>
            </w:r>
            <w:r>
              <w:rPr>
                <w:rStyle w:val="IndexLink"/>
                <w:rtl w:val="true"/>
              </w:rPr>
              <w:tab/>
            </w:r>
            <w:r>
              <w:rPr>
                <w:rStyle w:val="IndexLink"/>
              </w:rPr>
              <w:t>5</w:t>
            </w:r>
          </w:hyperlink>
        </w:p>
        <w:p>
          <w:pPr>
            <w:pStyle w:val="Contents2"/>
            <w:tabs>
              <w:tab w:val="clear" w:pos="8743"/>
              <w:tab w:val="right" w:pos="9026" w:leader="dot"/>
            </w:tabs>
            <w:rPr/>
          </w:pPr>
          <w:hyperlink w:anchor="__RefHeading___Toc2472276_3650668749">
            <w:r>
              <w:rPr>
                <w:webHidden/>
                <w:rStyle w:val="IndexLink"/>
                <w:rtl w:val="true"/>
              </w:rPr>
              <w:t>حجة الإمامية</w:t>
            </w:r>
            <w:r>
              <w:rPr>
                <w:rStyle w:val="IndexLink"/>
                <w:rtl w:val="true"/>
              </w:rPr>
              <w:tab/>
            </w:r>
            <w:r>
              <w:rPr>
                <w:rStyle w:val="IndexLink"/>
              </w:rPr>
              <w:t>7</w:t>
            </w:r>
          </w:hyperlink>
        </w:p>
        <w:p>
          <w:pPr>
            <w:pStyle w:val="Contents2"/>
            <w:tabs>
              <w:tab w:val="clear" w:pos="8743"/>
              <w:tab w:val="right" w:pos="9026" w:leader="dot"/>
            </w:tabs>
            <w:rPr/>
          </w:pPr>
          <w:hyperlink w:anchor="__RefHeading___Toc2472278_3650668749">
            <w:r>
              <w:rPr>
                <w:webHidden/>
                <w:rStyle w:val="IndexLink"/>
                <w:rtl w:val="true"/>
              </w:rPr>
              <w:t>نظرة في أخبار الغسل</w:t>
            </w:r>
            <w:r>
              <w:rPr>
                <w:rStyle w:val="IndexLink"/>
                <w:rtl w:val="true"/>
              </w:rPr>
              <w:tab/>
            </w:r>
            <w:r>
              <w:rPr>
                <w:rStyle w:val="IndexLink"/>
              </w:rPr>
              <w:t>13</w:t>
            </w:r>
          </w:hyperlink>
        </w:p>
        <w:p>
          <w:pPr>
            <w:pStyle w:val="Contents2"/>
            <w:tabs>
              <w:tab w:val="clear" w:pos="8743"/>
              <w:tab w:val="right" w:pos="9026" w:leader="dot"/>
            </w:tabs>
            <w:rPr/>
          </w:pPr>
          <w:hyperlink w:anchor="__RefHeading___Toc2472280_3650668749">
            <w:r>
              <w:rPr>
                <w:webHidden/>
                <w:rStyle w:val="IndexLink"/>
                <w:rtl w:val="true"/>
              </w:rPr>
              <w:t>نظرة في احتجاجهم هنا بالاستحسان</w:t>
            </w:r>
            <w:r>
              <w:rPr>
                <w:rStyle w:val="IndexLink"/>
                <w:rtl w:val="true"/>
              </w:rPr>
              <w:tab/>
            </w:r>
            <w:r>
              <w:rPr>
                <w:rStyle w:val="IndexLink"/>
              </w:rPr>
              <w:t>18</w:t>
            </w:r>
          </w:hyperlink>
        </w:p>
        <w:p>
          <w:pPr>
            <w:pStyle w:val="Contents2"/>
            <w:tabs>
              <w:tab w:val="clear" w:pos="8743"/>
              <w:tab w:val="right" w:pos="9026" w:leader="dot"/>
            </w:tabs>
            <w:rPr/>
          </w:pPr>
          <w:hyperlink w:anchor="__RefHeading___Toc2472282_3650668749">
            <w:r>
              <w:rPr>
                <w:webHidden/>
                <w:rStyle w:val="IndexLink"/>
                <w:rtl w:val="true"/>
              </w:rPr>
              <w:t>تنبيه</w:t>
            </w:r>
            <w:r>
              <w:rPr>
                <w:rStyle w:val="IndexLink"/>
                <w:rtl w:val="true"/>
              </w:rPr>
              <w:tab/>
            </w:r>
            <w:r>
              <w:rPr>
                <w:rStyle w:val="IndexLink"/>
              </w:rPr>
              <w:t>19</w:t>
            </w:r>
          </w:hyperlink>
        </w:p>
        <w:p>
          <w:pPr>
            <w:pStyle w:val="Contents2"/>
            <w:tabs>
              <w:tab w:val="clear" w:pos="8743"/>
              <w:tab w:val="right" w:pos="9026" w:leader="dot"/>
            </w:tabs>
            <w:rPr/>
          </w:pPr>
          <w:hyperlink w:anchor="__RefHeading___Toc2472284_3650668749">
            <w:r>
              <w:rPr>
                <w:webHidden/>
                <w:rStyle w:val="IndexLink"/>
                <w:rtl w:val="true"/>
              </w:rPr>
              <w:t>إلى الكعبين</w:t>
            </w:r>
            <w:r>
              <w:rPr>
                <w:rStyle w:val="IndexLink"/>
                <w:rtl w:val="true"/>
              </w:rPr>
              <w:tab/>
            </w:r>
            <w:r>
              <w:rPr>
                <w:rStyle w:val="IndexLink"/>
              </w:rPr>
              <w:t>22</w:t>
            </w:r>
          </w:hyperlink>
        </w:p>
        <w:p>
          <w:pPr>
            <w:pStyle w:val="Contents2"/>
            <w:tabs>
              <w:tab w:val="clear" w:pos="8743"/>
              <w:tab w:val="right" w:pos="9026" w:leader="dot"/>
            </w:tabs>
            <w:rPr/>
          </w:pPr>
          <w:hyperlink w:anchor="__RefHeading___Toc2472286_3650668749">
            <w:r>
              <w:rPr>
                <w:webHidden/>
                <w:rStyle w:val="IndexLink"/>
                <w:rtl w:val="true"/>
              </w:rPr>
              <w:t>المسح على الخفّين و الجوربين</w:t>
            </w:r>
            <w:r>
              <w:rPr>
                <w:rStyle w:val="IndexLink"/>
                <w:rtl w:val="true"/>
              </w:rPr>
              <w:tab/>
            </w:r>
            <w:r>
              <w:rPr>
                <w:rStyle w:val="IndexLink"/>
              </w:rPr>
              <w:t>24</w:t>
            </w:r>
          </w:hyperlink>
        </w:p>
        <w:p>
          <w:pPr>
            <w:pStyle w:val="Contents2"/>
            <w:tabs>
              <w:tab w:val="clear" w:pos="8743"/>
              <w:tab w:val="right" w:pos="9026" w:leader="dot"/>
            </w:tabs>
            <w:rPr/>
          </w:pPr>
          <w:hyperlink w:anchor="__RefHeading___Toc2472288_3650668749">
            <w:r>
              <w:rPr>
                <w:webHidden/>
                <w:rStyle w:val="IndexLink"/>
                <w:rtl w:val="true"/>
              </w:rPr>
              <w:t>المسح على العمامة</w:t>
            </w:r>
            <w:r>
              <w:rPr>
                <w:rStyle w:val="IndexLink"/>
                <w:rtl w:val="true"/>
              </w:rPr>
              <w:tab/>
            </w:r>
            <w:r>
              <w:rPr>
                <w:rStyle w:val="IndexLink"/>
              </w:rPr>
              <w:t>34</w:t>
            </w:r>
          </w:hyperlink>
        </w:p>
        <w:p>
          <w:pPr>
            <w:pStyle w:val="Contents2"/>
            <w:tabs>
              <w:tab w:val="clear" w:pos="8743"/>
              <w:tab w:val="right" w:pos="9026" w:leader="dot"/>
            </w:tabs>
            <w:rPr/>
          </w:pPr>
          <w:hyperlink w:anchor="__RefHeading___Toc2472290_3650668749">
            <w:r>
              <w:rPr>
                <w:webHidden/>
                <w:rStyle w:val="IndexLink"/>
                <w:rtl w:val="true"/>
              </w:rPr>
              <w:t>هل لمسح الرأس حد؟</w:t>
            </w:r>
            <w:r>
              <w:rPr>
                <w:rStyle w:val="IndexLink"/>
                <w:rtl w:val="true"/>
              </w:rPr>
              <w:tab/>
            </w:r>
            <w:r>
              <w:rPr>
                <w:rStyle w:val="IndexLink"/>
              </w:rPr>
              <w:t>37</w:t>
            </w:r>
          </w:hyperlink>
        </w:p>
        <w:p>
          <w:pPr>
            <w:pStyle w:val="Contents2"/>
            <w:tabs>
              <w:tab w:val="clear" w:pos="8743"/>
              <w:tab w:val="right" w:pos="9026" w:leader="dot"/>
            </w:tabs>
            <w:rPr/>
          </w:pPr>
          <w:hyperlink w:anchor="__RefHeading___Toc2472292_3650668749">
            <w:r>
              <w:rPr>
                <w:webHidden/>
                <w:rStyle w:val="IndexLink"/>
                <w:rtl w:val="true"/>
              </w:rPr>
              <w:t>ستة فروع خلافية</w:t>
            </w:r>
            <w:r>
              <w:rPr>
                <w:rStyle w:val="IndexLink"/>
                <w:rtl w:val="true"/>
              </w:rPr>
              <w:tab/>
            </w:r>
            <w:r>
              <w:rPr>
                <w:rStyle w:val="IndexLink"/>
              </w:rPr>
              <w:t>38</w:t>
            </w:r>
          </w:hyperlink>
        </w:p>
        <w:p>
          <w:pPr>
            <w:pStyle w:val="Contents3"/>
            <w:tabs>
              <w:tab w:val="clear" w:pos="8459"/>
              <w:tab w:val="right" w:pos="9026" w:leader="dot"/>
            </w:tabs>
            <w:rPr/>
          </w:pPr>
          <w:hyperlink w:anchor="__RefHeading___Toc2472294_3650668749">
            <w:r>
              <w:rPr>
                <w:webHidden/>
                <w:rStyle w:val="IndexLink"/>
              </w:rPr>
              <w:t>1</w:t>
            </w:r>
            <w:r>
              <w:rPr>
                <w:rStyle w:val="IndexLink"/>
                <w:rtl w:val="true"/>
              </w:rPr>
              <w:t xml:space="preserve">- </w:t>
            </w:r>
            <w:r>
              <w:rPr>
                <w:rStyle w:val="IndexLink"/>
                <w:rtl w:val="true"/>
              </w:rPr>
              <w:t>مسح الأذنين</w:t>
            </w:r>
            <w:r>
              <w:rPr>
                <w:rStyle w:val="IndexLink"/>
                <w:rtl w:val="true"/>
              </w:rPr>
              <w:t>:</w:t>
              <w:tab/>
            </w:r>
            <w:r>
              <w:rPr>
                <w:rStyle w:val="IndexLink"/>
              </w:rPr>
              <w:t>38</w:t>
            </w:r>
          </w:hyperlink>
        </w:p>
        <w:p>
          <w:pPr>
            <w:pStyle w:val="Contents3"/>
            <w:tabs>
              <w:tab w:val="clear" w:pos="8459"/>
              <w:tab w:val="right" w:pos="9026" w:leader="dot"/>
            </w:tabs>
            <w:rPr/>
          </w:pPr>
          <w:hyperlink w:anchor="__RefHeading___Toc2472296_3650668749">
            <w:r>
              <w:rPr>
                <w:webHidden/>
                <w:rStyle w:val="IndexLink"/>
              </w:rPr>
              <w:t>2</w:t>
            </w:r>
            <w:r>
              <w:rPr>
                <w:rStyle w:val="IndexLink"/>
                <w:rtl w:val="true"/>
              </w:rPr>
              <w:t xml:space="preserve">- </w:t>
            </w:r>
            <w:r>
              <w:rPr>
                <w:rStyle w:val="IndexLink"/>
                <w:rtl w:val="true"/>
              </w:rPr>
              <w:t>هل يجزى، غسل الرأس بدلا عن مسحه</w:t>
            </w:r>
            <w:r>
              <w:rPr>
                <w:rStyle w:val="IndexLink"/>
                <w:rtl w:val="true"/>
              </w:rPr>
              <w:t>:</w:t>
              <w:tab/>
            </w:r>
            <w:r>
              <w:rPr>
                <w:rStyle w:val="IndexLink"/>
              </w:rPr>
              <w:t>39</w:t>
            </w:r>
          </w:hyperlink>
        </w:p>
        <w:p>
          <w:pPr>
            <w:pStyle w:val="Contents3"/>
            <w:tabs>
              <w:tab w:val="clear" w:pos="8459"/>
              <w:tab w:val="right" w:pos="9026" w:leader="dot"/>
            </w:tabs>
            <w:rPr/>
          </w:pPr>
          <w:hyperlink w:anchor="__RefHeading___Toc2472298_3650668749">
            <w:r>
              <w:rPr>
                <w:webHidden/>
                <w:rStyle w:val="IndexLink"/>
              </w:rPr>
              <w:t>3</w:t>
            </w:r>
            <w:r>
              <w:rPr>
                <w:rStyle w:val="IndexLink"/>
                <w:rtl w:val="true"/>
              </w:rPr>
              <w:t xml:space="preserve">- </w:t>
            </w:r>
            <w:r>
              <w:rPr>
                <w:rStyle w:val="IndexLink"/>
                <w:rtl w:val="true"/>
              </w:rPr>
              <w:t>الترتيب في الوضوء</w:t>
            </w:r>
            <w:r>
              <w:rPr>
                <w:rStyle w:val="IndexLink"/>
                <w:rtl w:val="true"/>
              </w:rPr>
              <w:t>:</w:t>
              <w:tab/>
            </w:r>
            <w:r>
              <w:rPr>
                <w:rStyle w:val="IndexLink"/>
              </w:rPr>
              <w:t>40</w:t>
            </w:r>
          </w:hyperlink>
        </w:p>
        <w:p>
          <w:pPr>
            <w:pStyle w:val="Contents3"/>
            <w:tabs>
              <w:tab w:val="clear" w:pos="8459"/>
              <w:tab w:val="right" w:pos="9026" w:leader="dot"/>
            </w:tabs>
            <w:rPr/>
          </w:pPr>
          <w:hyperlink w:anchor="__RefHeading___Toc2472300_3650668749">
            <w:r>
              <w:rPr>
                <w:webHidden/>
                <w:rStyle w:val="IndexLink"/>
              </w:rPr>
              <w:t>4</w:t>
            </w:r>
            <w:r>
              <w:rPr>
                <w:rStyle w:val="IndexLink"/>
                <w:rtl w:val="true"/>
              </w:rPr>
              <w:t xml:space="preserve">- </w:t>
            </w:r>
            <w:r>
              <w:rPr>
                <w:rStyle w:val="IndexLink"/>
                <w:rtl w:val="true"/>
              </w:rPr>
              <w:t>الموالاة</w:t>
            </w:r>
            <w:r>
              <w:rPr>
                <w:rStyle w:val="IndexLink"/>
                <w:rtl w:val="true"/>
              </w:rPr>
              <w:t>:</w:t>
              <w:tab/>
            </w:r>
            <w:r>
              <w:rPr>
                <w:rStyle w:val="IndexLink"/>
              </w:rPr>
              <w:t>41</w:t>
            </w:r>
          </w:hyperlink>
        </w:p>
        <w:p>
          <w:pPr>
            <w:pStyle w:val="Contents3"/>
            <w:tabs>
              <w:tab w:val="clear" w:pos="8459"/>
              <w:tab w:val="right" w:pos="9026" w:leader="dot"/>
            </w:tabs>
            <w:rPr/>
          </w:pPr>
          <w:hyperlink w:anchor="__RefHeading___Toc2472302_3650668749">
            <w:r>
              <w:rPr>
                <w:webHidden/>
                <w:rStyle w:val="IndexLink"/>
              </w:rPr>
              <w:t>5</w:t>
            </w:r>
            <w:r>
              <w:rPr>
                <w:rStyle w:val="IndexLink"/>
                <w:rtl w:val="true"/>
              </w:rPr>
              <w:t xml:space="preserve">- </w:t>
            </w:r>
            <w:r>
              <w:rPr>
                <w:rStyle w:val="IndexLink"/>
                <w:rtl w:val="true"/>
              </w:rPr>
              <w:t>النية</w:t>
            </w:r>
            <w:r>
              <w:rPr>
                <w:rStyle w:val="IndexLink"/>
                <w:rtl w:val="true"/>
              </w:rPr>
              <w:t>:</w:t>
              <w:tab/>
            </w:r>
            <w:r>
              <w:rPr>
                <w:rStyle w:val="IndexLink"/>
              </w:rPr>
              <w:t>42</w:t>
            </w:r>
          </w:hyperlink>
        </w:p>
        <w:p>
          <w:pPr>
            <w:pStyle w:val="Contents3"/>
            <w:tabs>
              <w:tab w:val="clear" w:pos="8459"/>
              <w:tab w:val="right" w:pos="9026" w:leader="dot"/>
            </w:tabs>
            <w:rPr/>
          </w:pPr>
          <w:hyperlink w:anchor="__RefHeading___Toc2472304_3650668749">
            <w:r>
              <w:rPr>
                <w:webHidden/>
                <w:rStyle w:val="IndexLink"/>
              </w:rPr>
              <w:t>6</w:t>
            </w:r>
            <w:r>
              <w:rPr>
                <w:rStyle w:val="IndexLink"/>
                <w:rtl w:val="true"/>
              </w:rPr>
              <w:t xml:space="preserve">- </w:t>
            </w:r>
            <w:r>
              <w:rPr>
                <w:rStyle w:val="IndexLink"/>
                <w:rtl w:val="true"/>
              </w:rPr>
              <w:t>الوضوء بالنبيذ</w:t>
            </w:r>
            <w:r>
              <w:rPr>
                <w:rStyle w:val="IndexLink"/>
                <w:rtl w:val="true"/>
              </w:rPr>
              <w:t>:</w:t>
              <w:tab/>
            </w:r>
            <w:r>
              <w:rPr>
                <w:rStyle w:val="IndexLink"/>
              </w:rPr>
              <w:t>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7_24329"/>
      <w:bookmarkStart w:id="1" w:name="pg1797_24329"/>
      <w:bookmarkEnd w:id="1"/>
    </w:p>
    <w:p>
      <w:pPr>
        <w:pStyle w:val="Heading2"/>
        <w:numPr>
          <w:ilvl w:val="1"/>
          <w:numId w:val="1"/>
        </w:numPr>
        <w:rPr/>
      </w:pPr>
      <w:bookmarkStart w:id="2" w:name="pg1797_24329"/>
      <w:bookmarkStart w:id="3" w:name="__RefHeading___Toc2472270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الأرجل أو غسلها في الوضوء</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استدلالى تطبيقى</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شرف الدين، سيد عبد الحسين موسوى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2272_3650668749"/>
      <w:bookmarkStart w:id="6" w:name="_Toc2"/>
      <w:bookmarkEnd w:id="5"/>
      <w:r>
        <w:rPr>
          <w:rtl w:val="true"/>
        </w:rPr>
        <w:t>اشارة</w:t>
      </w:r>
      <w:bookmarkStart w:id="7" w:name="pg1797_24336"/>
      <w:bookmarkEnd w:id="6"/>
    </w:p>
    <w:p>
      <w:pPr>
        <w:pStyle w:val="Heading2"/>
        <w:numPr>
          <w:ilvl w:val="1"/>
          <w:numId w:val="1"/>
        </w:numPr>
        <w:rPr/>
      </w:pPr>
      <w:bookmarkStart w:id="8" w:name="__RefHeading___Toc2472274_3650668749"/>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و نبينا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اهتمامات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العالمي لأهل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بمدرسة أهل بيت النبوة و العصمة سلام اللّٰه عليهم في شتى جوانبها، الفكرية و الفقهية، و بين يدي القارئ الكريم كتاب قيّم عرض فيه مؤلفه الكبير السيد عبد الحسين شرف الدين قدّس سرّه ما ورد عنهم عليه السّلام في مسألة من المسائل التي وقع فيها الخلاف و كثر فيها الجدال، و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الأرجل أو غسلها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أجاد المؤلف رضوان اللّٰه عليه الاستدلال و النقض و الإبرام، و كشف اللثام عن وجه الحق فيها حتى سطع، و بين جوانب الضعف في أدلة من خالفهم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 هذا الكتاب عدة مرات خاليا عن الهوامش المفيدة و من دون تحقيق و لا تخريج للأحاديث 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دفع المجمع العالمي لأهل البيت عليه السّلام لإعادة طبعه بحلة جديدة مزينة بالهوامش</w:t>
      </w:r>
    </w:p>
    <w:p>
      <w:pPr>
        <w:pStyle w:val="BookText"/>
        <w:rPr/>
      </w:pPr>
      <w:r>
        <w:rPr>
          <w:rFonts w:ascii="Amiri" w:hAnsi="Amiri" w:eastAsia="Amiri" w:cs="Amiri"/>
          <w:color w:val="111111"/>
          <w:sz w:val="28"/>
          <w:sz w:val="28"/>
          <w:szCs w:val="28"/>
          <w:rtl w:val="true"/>
          <w:lang w:bidi="ar-SA"/>
        </w:rPr>
        <w:t>و التعليقات الضرورية مما يسهل الأمر على القارئ و المحقق، و يرجع النصوص و الأقوال إلى مصادرها و مآخذها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 تعالى القبول و هو حسبنا و نعم الوكيل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المعاونية الثقافية في المجمع العالمي لأهل البيت عليه السّلام</w:t>
      </w:r>
      <w:bookmarkStart w:id="10" w:name="pg1797_24340"/>
    </w:p>
    <w:p>
      <w:pPr>
        <w:pStyle w:val="BookText"/>
        <w:rPr/>
      </w:pPr>
      <w:bookmarkEnd w:id="10"/>
      <w:r>
        <w:rPr>
          <w:rFonts w:ascii="Amiri" w:hAnsi="Amiri" w:eastAsia="Amiri" w:cs="Amiri"/>
          <w:color w:val="111111"/>
          <w:sz w:val="28"/>
          <w:sz w:val="28"/>
          <w:szCs w:val="28"/>
          <w:rtl w:val="true"/>
          <w:lang w:bidi="ar-SA"/>
        </w:rPr>
        <w:t>قال السيد عطر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علماء الإسلام في نوع طهارة الأرجل من أعضاء الوضوء، فذهب فقهاء الجمهور و منهم الأئمة الأربعة إلى وجوب الغسل فرضا على التعيين، و أوجب داود بن علي الأصفهاني، و الناصر للحق من أئمة الزيدية، الجمع بين الغسل و المسح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قائل منهم بالتخيير بينهما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كأنهما حيث كان كل من الكتاب و السنة حقا لا يأتيه الباطل، رأيا أن كلا من المسح و الغسل حق و أن الواجب أحدهما على سبيل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الذي عليه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لأئمة العترة الطاهرة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فرضا معينا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القفال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472276_3650668749"/>
      <w:bookmarkStart w:id="12" w:name="_Toc4"/>
      <w:bookmarkEnd w:id="11"/>
      <w:r>
        <w:rPr>
          <w:rtl w:val="true"/>
        </w:rPr>
        <w:t>حجة الإمامية</w:t>
      </w:r>
      <w:bookmarkEnd w:id="12"/>
    </w:p>
    <w:p>
      <w:pPr>
        <w:pStyle w:val="BookText"/>
        <w:rPr/>
      </w:pPr>
      <w:r>
        <w:rPr>
          <w:rFonts w:ascii="Amiri" w:hAnsi="Amiri" w:eastAsia="Amiri" w:cs="Amiri"/>
          <w:color w:val="111111"/>
          <w:sz w:val="28"/>
          <w:sz w:val="28"/>
          <w:szCs w:val="28"/>
          <w:rtl w:val="true"/>
          <w:lang w:bidi="ar-SA"/>
        </w:rPr>
        <w:t>هي قوله تعالى وَ امْسَحُوا بِرُؤُسِكُمْ وَ أَرْجُلَكُمْ إِلَى الْكَعْبَيْنِ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كفانا الإمام الرازي بيان الوجه في الاحتجاج بهذه الآية بما صدع به مفصلا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بوجوب المسح مبنية على</w:t>
      </w:r>
    </w:p>
    <w:p>
      <w:pPr>
        <w:pStyle w:val="BookText"/>
        <w:rPr/>
      </w:pPr>
      <w:r>
        <w:rPr>
          <w:rFonts w:ascii="Amiri" w:hAnsi="Amiri" w:eastAsia="Amiri" w:cs="Amiri"/>
          <w:color w:val="111111"/>
          <w:sz w:val="28"/>
          <w:sz w:val="28"/>
          <w:szCs w:val="28"/>
          <w:rtl w:val="true"/>
          <w:lang w:bidi="ar-SA"/>
        </w:rPr>
        <w:t>القراءتين المشهورتين في قوله وَ أَرْجُلَكُمْ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ابن كثير و حمزة و أبو عمرو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 قرأ نافع و ابن عامر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القراءة بالجر فهي تقتضي كون الأرجل معطوفة على الرؤوس، فكما وجب المسح في الرأس فكذلك في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 على الجوار،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الكسر على الجوار معدود في اللحن الذي قد يتحمل لأجل الضرورة في الشعر، و كلام اللّٰه يجب تنزيهه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يصار إليه حيث يحصل الأمن من الالتباس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ضب خرب، فإن من المعلوم بالضرورة أن الحزب لا يكون نعتا للضب بل للجحر، و في هذه الآية الأمن من الالتباس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بالجوار إنما يكون بدون حرف العطف، و اما مع حرف العطف فلم تتكلم به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القراءة بالنصب فقالوا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قوله وَ امْسَحُوا بِرُؤُسِكُمْ فرؤوسكم في محل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بامسحوا لأنه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مجرورة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فإذا عطفت الأرجل على الرؤوس جاز في الأرجل النصب عطفا على محل الرؤوس </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عطفا على</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أنه يجوز أن يكون عامل النصب في قوله وَ أَرْجُلَكُمْ هو قوله وَ امْسَحُوا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هو قوله فَاغْسِلُوا </w:t>
      </w:r>
      <w:r>
        <w:rPr>
          <w:rStyle w:val="FootnoteAnchor"/>
          <w:rtl w:val="true"/>
        </w:rPr>
        <w:footnoteReference w:id="6"/>
      </w:r>
      <w:r>
        <w:rPr>
          <w:rFonts w:ascii="Amiri" w:hAnsi="Amiri" w:eastAsia="Amiri" w:cs="Amiri"/>
          <w:color w:val="111111"/>
          <w:sz w:val="28"/>
          <w:sz w:val="28"/>
          <w:szCs w:val="28"/>
          <w:rtl w:val="true"/>
          <w:lang w:bidi="ar-SA"/>
        </w:rPr>
        <w:t xml:space="preserve">لكن العاملان إذا اجتمعا على معمول واحد كان إعمال الأقرب أولى </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عامل النصب في قوله وَ أَرْجُلَكُمْ هو قوله وَ امْسَحُوا،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قراءة و أرجلكم بنصب اللام توجب المسح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دفع ذلك بالأخبار لأنها بأسرها من باب الآحاد </w:t>
      </w:r>
      <w:r>
        <w:rPr>
          <w:rStyle w:val="FootnoteAnchor"/>
          <w:rtl w:val="true"/>
        </w:rPr>
        <w:footnoteReference w:id="8"/>
      </w:r>
      <w:r>
        <w:rPr>
          <w:rFonts w:ascii="Amiri" w:hAnsi="Amiri" w:eastAsia="Amiri" w:cs="Amiri"/>
          <w:color w:val="111111"/>
          <w:sz w:val="28"/>
          <w:sz w:val="28"/>
          <w:szCs w:val="28"/>
          <w:rtl w:val="true"/>
          <w:lang w:bidi="ar-SA"/>
        </w:rPr>
        <w:t>و نسخ القرآن بخبر الواحد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بلفظه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تفسيره الكبير حول آية الوضوء من المائدة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يتعقبه،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الكثيرة وردت بإيجاب الغسل، و الغسل مشتمل على المسح و لا ينعكس،</w:t>
      </w:r>
    </w:p>
    <w:p>
      <w:pPr>
        <w:pStyle w:val="BookText"/>
        <w:rPr/>
      </w:pPr>
      <w:r>
        <w:rPr>
          <w:rFonts w:ascii="Amiri" w:hAnsi="Amiri" w:eastAsia="Amiri" w:cs="Amiri"/>
          <w:color w:val="111111"/>
          <w:sz w:val="28"/>
          <w:sz w:val="28"/>
          <w:szCs w:val="28"/>
          <w:rtl w:val="true"/>
          <w:lang w:bidi="ar-SA"/>
        </w:rPr>
        <w:t xml:space="preserve">فكان الغسل أقرب إلى الاحتياط، فوجب المصير إليه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الوجه يجب القطع بأن غسل الرجل يقوم مقام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الغسل فستعلم رأي أئمة أهل البيت عليهم السّلام و أوليائهم فيها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بأن الغسل مشتمل على المسح فمغالطة واضحة، بل هما حقيقتان لغة و عرفا و شرعا </w:t>
      </w:r>
      <w:r>
        <w:rPr>
          <w:rStyle w:val="FootnoteAnchor"/>
          <w:rtl w:val="true"/>
        </w:rPr>
        <w:footnoteReference w:id="11"/>
      </w:r>
      <w:r>
        <w:rPr>
          <w:rFonts w:ascii="Amiri" w:hAnsi="Amiri" w:eastAsia="Amiri" w:cs="Amiri"/>
          <w:color w:val="111111"/>
          <w:sz w:val="28"/>
          <w:sz w:val="28"/>
          <w:szCs w:val="28"/>
          <w:rtl w:val="true"/>
          <w:lang w:bidi="ar-SA"/>
        </w:rPr>
        <w:t>فالواجب إذا هو القطع بأن غسل الأرجل لا يقوم مقام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الإمام الرازي وقف بين محذورين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الآية المحكمة، و مخالفة الأخبار الصحيحة في نظره، فغالط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مشتمل على المسح و إنه أقرب إلى الاحتياط و إنه يلزم مقام المسح، ظنا منه أنه قد جمع بهذا الآية و الاخبار، و من أمعن في دفاعه هذا وجده في ارتباك و لولا أن الآية واضحة الدلالة على وجوب المسح ما احتاج إلى جعل الغسل قائماً مقامه، فأمعن و تأمل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المنهاج جرى جماعة من جهابذة الفقه و العربية، منهم الفقيه البحاثة الشيخ إبراهيم الحلبي، إذ بحث الآية في الوضوء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المتملي في شرح منية المصلي على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 في السبعة بالنصب و الجر، و المشهور أن النصب بالعطف على</w:t>
      </w:r>
    </w:p>
    <w:p>
      <w:pPr>
        <w:pStyle w:val="BookText"/>
        <w:rPr/>
      </w:pPr>
      <w:r>
        <w:rPr>
          <w:rFonts w:ascii="Amiri" w:hAnsi="Amiri" w:eastAsia="Amiri" w:cs="Amiri"/>
          <w:color w:val="111111"/>
          <w:sz w:val="28"/>
          <w:sz w:val="28"/>
          <w:szCs w:val="28"/>
          <w:rtl w:val="true"/>
          <w:lang w:bidi="ar-SA"/>
        </w:rPr>
        <w:t>وجوهكم و الجر على الجوار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أن الأرجل معطوفة على الرؤوس في القراءتين، و نصبها على المحل، و جرها على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لامتناع العطف على وجوهكم للفصل بين العاطف و المعطوف عليه بجملة أجنبية هي وَ امْسَحُوا بِرُؤُسِكُمْ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أن لا يفصل بينهما بمفرد فضلا عن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نسمع في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 مررت ببكر و عمرا، بعطف عمرا على زيدا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الجر على الجوار فإنما يكون على قلة في النعت، كقول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جحر ضب خرب، و في التأكيد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بلّغ ذوي الزوجات كلّهم أن ليس وصل إذا انحلت عرى الذنب</w:t>
      </w:r>
    </w:p>
    <w:p>
      <w:pPr>
        <w:pStyle w:val="BookText"/>
        <w:rPr/>
      </w:pPr>
      <w:r>
        <w:rPr>
          <w:rFonts w:ascii="Amiri" w:hAnsi="Amiri" w:eastAsia="Amiri" w:cs="Amiri"/>
          <w:color w:val="111111"/>
          <w:sz w:val="28"/>
          <w:sz w:val="28"/>
          <w:szCs w:val="28"/>
          <w:rtl w:val="true"/>
          <w:lang w:bidi="ar-SA"/>
        </w:rPr>
        <w:t>بجر كلهم على ما حكاه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عطف النسق فلا يكون، لأن العاطف يمنع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بنصه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غنية المتملي المعروف بحلبي كبير، و هو موجود أيضا في مختصره المعروف بحلبي صغير، و كلاهما منشور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نهج هذا المنهاج الواضح الإمام أبو الحسن محمد بن عبد الهادي المعروف بالسندي في حاشيته على سنن ابن ماجة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جزم بأن ظاهر القرآن هو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المسح هو ظاهر الكتاب لأن قراءة الجر ظاهرة فيه، و حمل قراءة النصب عليها بجعل</w:t>
      </w:r>
    </w:p>
    <w:p>
      <w:pPr>
        <w:pStyle w:val="BookText"/>
        <w:rPr/>
      </w:pPr>
      <w:r>
        <w:rPr>
          <w:rFonts w:ascii="Amiri" w:hAnsi="Amiri" w:eastAsia="Amiri" w:cs="Amiri"/>
          <w:color w:val="111111"/>
          <w:sz w:val="28"/>
          <w:sz w:val="28"/>
          <w:szCs w:val="28"/>
          <w:rtl w:val="true"/>
          <w:lang w:bidi="ar-SA"/>
        </w:rPr>
        <w:t>العطف على المحل أقرب من حمل قراءة الجر على قراءة النصب كما صرح به النحاة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لشذوذ الجوار و إطراد العطف على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فيه خلوص عن الفصل بالأجنبي بين المعطوف و المعطوف عليه، فصار ظاهر القرآن هو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شرح سنن ابن ماجة، و الذين صرحوا بما صرح به الرازي و الحلبي و السندي كثيرون لا يسعنا استقصاؤهم، فحسبنا هؤلاء الأئمة الثلاثة عليهم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لكنه كغيره أوجب حمل القرآن على الأخبار الصريحة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تفلسف الإمام الزمخشري في كشافه حول هذه الآية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الأرجل من بين الأعضاء الثلاثة المغسولة تغسل بصب الماء عليها، فكانت مظنة للإسراف المذموم المنهي عنه، فعطفت على الثالث الممسوح لا لتمسح، و لكن لينبه على وجوب الاقتصاد في صب الماء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بالغاية إماطة لظنّ ظان يحسبها ممسوحة، لأن المسح لم تضرب له غاية في الشريعة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فلسفته في عطف الأرجل على الرؤوس، و في ذكر الغاية من الأرجل، و هي كما ترى ليست في شي‌ء من استنباط الأحكام الشرعية من الآية المحكمة، و لا في شي‌ء من تفسيرها، و لا الآية بدالة على شي‌ء منها بشي‌ء من الدوالي، و إنما هي تحكم في تطبيق الآية على مذهبه بدلا عن استنباط المذهب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أغرب في تكهنه بما</w:t>
      </w:r>
      <w:bookmarkStart w:id="13" w:name="pg1797_24353"/>
    </w:p>
    <w:p>
      <w:pPr>
        <w:pStyle w:val="BookText"/>
        <w:rPr/>
      </w:pPr>
      <w:bookmarkEnd w:id="13"/>
      <w:r>
        <w:rPr>
          <w:rFonts w:ascii="Amiri" w:hAnsi="Amiri" w:eastAsia="Amiri" w:cs="Amiri"/>
          <w:color w:val="111111"/>
          <w:sz w:val="28"/>
          <w:sz w:val="28"/>
          <w:szCs w:val="28"/>
          <w:rtl w:val="true"/>
          <w:lang w:bidi="ar-SA"/>
        </w:rPr>
        <w:t>لا يصغي إليه إلا من كان غسل الأرجل عنده مفروغا عنه بحكم الضرورة الأولية، أما مع كونه محل النزاع فلا يؤبه به، و لا سيما مع اعترافهم بظهور الكتاب في وجوب المسح، و حسبنا في ذلك ما توجبه القواعد العربية من عطف الأرجل على الرؤوس الممسوحة بالإجماع نصا و فتوى</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472278_3650668749"/>
      <w:bookmarkStart w:id="15" w:name="_Toc5"/>
      <w:bookmarkEnd w:id="14"/>
      <w:r>
        <w:rPr>
          <w:rtl w:val="true"/>
        </w:rPr>
        <w:t>نظرة في أخبار الغسل</w:t>
      </w:r>
      <w:bookmarkEnd w:id="15"/>
    </w:p>
    <w:p>
      <w:pPr>
        <w:pStyle w:val="BookText"/>
        <w:rPr/>
      </w:pPr>
      <w:r>
        <w:rPr>
          <w:rFonts w:ascii="Amiri" w:hAnsi="Amiri" w:eastAsia="Amiri" w:cs="Amiri"/>
          <w:color w:val="111111"/>
          <w:sz w:val="28"/>
          <w:sz w:val="28"/>
          <w:szCs w:val="28"/>
          <w:rtl w:val="true"/>
          <w:lang w:bidi="ar-SA"/>
        </w:rPr>
        <w:t>أخبار الغسل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غير دال عليه، كحديث عبد اللّٰه بن عمرو بن العاص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الصحيحين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الوضوء، 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صحيح مسلم،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كتاب الطهارة، باب غسل الرجلين،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عنا النبي صلّى اللّٰه عليه و آله في سفر سافرناه معه فأدركنا و قد حضرت صلاة العصر، فجعلنا نمسح على أرجلنا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لو صح لاقتضى المسح إذ لم ينكره صلّى اللّٰه عليه و آله عليهم بل أقرّهم عليه كما ترى و إنما أنكر عليهم قذارة أعقابهم، و لا غرو فإن فيهم أعرابا حفاة جهلة بوّالين على أعقابهم، و لا سيما في السفر، فتوعّدهم بالنار</w:t>
      </w:r>
    </w:p>
    <w:p>
      <w:pPr>
        <w:pStyle w:val="BookText"/>
        <w:rPr/>
      </w:pPr>
      <w:r>
        <w:rPr>
          <w:rFonts w:ascii="Amiri" w:hAnsi="Amiri" w:eastAsia="Amiri" w:cs="Amiri"/>
          <w:color w:val="111111"/>
          <w:sz w:val="28"/>
          <w:sz w:val="28"/>
          <w:szCs w:val="28"/>
          <w:rtl w:val="true"/>
          <w:lang w:bidi="ar-SA"/>
        </w:rPr>
        <w:t>لئلّا يدخلوا في الصلاة بتلك الأعقاب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دال على الغسل، كحديث حمران مولى عثمان بن عفان،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بوضوء فأفرغ على يديه من إنائه فغسلهما ثلاث مرات، ثم أدخل يمينه في الوضوء ثم تمضمض و استنشق و استنثر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كل رجل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يتوضأ نحو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حديث عبد اللّٰه بن زيد بن عاصم الأنصاري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لنا وضوء رسول اللّٰه صلّى اللّٰه عليه و آله فدعا بإناء فأكفأ منها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رجليه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وضوء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أخبار جاءت في هذا المعنى، و فيها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أنها جاءت مخالفة لكتاب اللّٰه عز و جل و لما أجمعت عليه أئمة العترة الطاهرة عليهم السّلام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و العترة ثقلا رسول اللّٰه صلّى اللّٰه عليه و آله لن يفترقا أبدا و لن تضل الأمة ما إن تمسكت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 بكل ما خالفهما عرض الجدار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حسبك في إنكار الغسل و وهن أخباره ما كان من حبر الأمة</w:t>
      </w:r>
    </w:p>
    <w:p>
      <w:pPr>
        <w:pStyle w:val="BookText"/>
        <w:rPr/>
      </w:pPr>
      <w:r>
        <w:rPr>
          <w:rFonts w:ascii="Amiri" w:hAnsi="Amiri" w:eastAsia="Amiri" w:cs="Amiri"/>
          <w:color w:val="111111"/>
          <w:sz w:val="28"/>
          <w:sz w:val="28"/>
          <w:szCs w:val="28"/>
          <w:rtl w:val="true"/>
          <w:lang w:bidi="ar-SA"/>
        </w:rPr>
        <w:t>و عيبة الكتاب و السنة عبد اللّٰه بن عباس إذ كان يحتج للمسح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افترض اللّٰه غسلتين و مسحتين، ألا ترى أنه ذكر التيمم فجعل مكان الغسلتين مسحتين و ترك المسحتين؟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غسلتان و مسحتان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بلغه أن الرّبيع بنت معوذ بن عفراء الأنصارية تزعم أن النبي صلّى اللّٰه عليه و آله توضأ عندها فغسل رجليه، أتاها يسألها عن ذلك، و حين حدثته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مصدق بل منكرا و محتجا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أبوا إلا الغسل، و لا أجد في كتاب اللّٰه إلا المسح </w:t>
      </w:r>
      <w:r>
        <w:rPr>
          <w:rStyle w:val="FootnoteAnchor"/>
          <w:rtl w:val="true"/>
        </w:rPr>
        <w:footnoteReference w:id="21"/>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حقا لأربت على التواتر لأن الحاجة إلى معرفة طهارة الأرجل في الوضوء حاجة عامة لرجال الأمة و نسائها، أحرارها و مماليكها، و هي حاجة لهم ماسة في كل يوم و ليلة، فلو كانت غير المسح المدلول عليه بحكم الآية لعلمه المكلفون في عهد النبوة و بعده و لكان مسلّما بينهم و لتواترت أخباره عن النبي صلّى اللّٰه عليه و آله في كل عصر و مصر فلا يبقى مجال لإنكاره و لا للريب فيه و لما لم يكن الأمر</w:t>
      </w:r>
    </w:p>
    <w:p>
      <w:pPr>
        <w:pStyle w:val="BookText"/>
        <w:rPr/>
      </w:pPr>
      <w:r>
        <w:rPr>
          <w:rFonts w:ascii="Amiri" w:hAnsi="Amiri" w:eastAsia="Amiri" w:cs="Amiri"/>
          <w:color w:val="111111"/>
          <w:sz w:val="28"/>
          <w:sz w:val="28"/>
          <w:szCs w:val="28"/>
          <w:rtl w:val="true"/>
          <w:lang w:bidi="ar-SA"/>
        </w:rPr>
        <w:t>كذلك ظهر لنا الوهن المسقط لتلك الأخبار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في نوع طهارة القدمين متعارضة بعضها يقتضي الغسل كحديثي حمران و ابن عاصم و قد سمعتهما، و بعضها يقتضي المسح كالحديث الذي أخرجه البخاري في صحيحه </w:t>
      </w:r>
      <w:r>
        <w:rPr>
          <w:rStyle w:val="FootnoteAnchor"/>
          <w:rtl w:val="true"/>
        </w:rPr>
        <w:footnoteReference w:id="22"/>
      </w:r>
      <w:r>
        <w:rPr>
          <w:rFonts w:ascii="Amiri" w:hAnsi="Amiri" w:eastAsia="Amiri" w:cs="Amiri"/>
          <w:color w:val="111111"/>
          <w:sz w:val="28"/>
          <w:sz w:val="28"/>
          <w:szCs w:val="28"/>
          <w:rtl w:val="true"/>
          <w:lang w:bidi="ar-SA"/>
        </w:rPr>
        <w:t xml:space="preserve">، و رواه كل من أحمد </w:t>
      </w:r>
      <w:r>
        <w:rPr>
          <w:rStyle w:val="FootnoteAnchor"/>
          <w:rtl w:val="true"/>
        </w:rPr>
        <w:footnoteReference w:id="23"/>
      </w:r>
      <w:r>
        <w:rPr>
          <w:rFonts w:ascii="Amiri" w:hAnsi="Amiri" w:eastAsia="Amiri" w:cs="Amiri"/>
          <w:color w:val="111111"/>
          <w:sz w:val="28"/>
          <w:sz w:val="28"/>
          <w:szCs w:val="28"/>
          <w:rtl w:val="true"/>
          <w:lang w:bidi="ar-SA"/>
        </w:rPr>
        <w:t xml:space="preserve">و ابن أبي شيبة </w:t>
      </w:r>
      <w:r>
        <w:rPr>
          <w:rStyle w:val="FootnoteAnchor"/>
          <w:rtl w:val="true"/>
        </w:rPr>
        <w:footnoteReference w:id="24"/>
      </w:r>
      <w:r>
        <w:rPr>
          <w:rFonts w:ascii="Amiri" w:hAnsi="Amiri" w:eastAsia="Amiri" w:cs="Amiri"/>
          <w:color w:val="111111"/>
          <w:sz w:val="28"/>
          <w:sz w:val="28"/>
          <w:szCs w:val="28"/>
          <w:rtl w:val="true"/>
          <w:lang w:bidi="ar-SA"/>
        </w:rPr>
        <w:t xml:space="preserve">و ابن أبي عمر البغوي </w:t>
      </w:r>
      <w:r>
        <w:rPr>
          <w:rStyle w:val="FootnoteAnchor"/>
          <w:rtl w:val="true"/>
        </w:rPr>
        <w:footnoteReference w:id="25"/>
      </w:r>
      <w:r>
        <w:rPr>
          <w:rFonts w:ascii="Amiri" w:hAnsi="Amiri" w:eastAsia="Amiri" w:cs="Amiri"/>
          <w:color w:val="111111"/>
          <w:sz w:val="28"/>
          <w:sz w:val="28"/>
          <w:szCs w:val="28"/>
          <w:rtl w:val="true"/>
          <w:lang w:bidi="ar-SA"/>
        </w:rPr>
        <w:t>لم نعثر على الحديث في كتاب الحاوي الكبير للماوردي و لكن هناك آخر في معناه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ascii="Amiri" w:hAnsi="Amiri" w:eastAsia="Amiri" w:cs="Amiri"/>
          <w:color w:val="111111"/>
          <w:sz w:val="28"/>
          <w:sz w:val="28"/>
          <w:szCs w:val="28"/>
          <w:rtl w:val="true"/>
          <w:lang w:bidi="ar-SA"/>
        </w:rPr>
        <w:t xml:space="preserve">و الطبراني </w:t>
      </w:r>
      <w:r>
        <w:rPr>
          <w:rStyle w:val="FootnoteAnchor"/>
          <w:rtl w:val="true"/>
        </w:rPr>
        <w:footnoteReference w:id="27"/>
      </w:r>
      <w:r>
        <w:rPr>
          <w:rFonts w:ascii="Amiri" w:hAnsi="Amiri" w:eastAsia="Amiri" w:cs="Amiri"/>
          <w:color w:val="111111"/>
          <w:sz w:val="28"/>
          <w:sz w:val="28"/>
          <w:szCs w:val="28"/>
          <w:rtl w:val="true"/>
          <w:lang w:bidi="ar-SA"/>
        </w:rPr>
        <w:t xml:space="preserve">و الماوردي </w:t>
      </w:r>
      <w:r>
        <w:rPr>
          <w:rStyle w:val="FootnoteAnchor"/>
          <w:rtl w:val="true"/>
        </w:rPr>
        <w:footnoteReference w:id="28"/>
      </w:r>
      <w:r>
        <w:rPr>
          <w:rFonts w:ascii="Amiri" w:hAnsi="Amiri" w:eastAsia="Amiri" w:cs="Amiri"/>
          <w:color w:val="111111"/>
          <w:sz w:val="28"/>
          <w:sz w:val="28"/>
          <w:szCs w:val="28"/>
          <w:rtl w:val="true"/>
          <w:lang w:bidi="ar-SA"/>
        </w:rPr>
        <w:t xml:space="preserve">كلهم من طريق كلّ رجاله ثقات </w:t>
      </w:r>
      <w:r>
        <w:rPr>
          <w:rStyle w:val="FootnoteAnchor"/>
          <w:rtl w:val="true"/>
        </w:rPr>
        <w:footnoteReference w:id="29"/>
      </w:r>
      <w:r>
        <w:rPr>
          <w:rFonts w:ascii="Amiri" w:hAnsi="Amiri" w:eastAsia="Amiri" w:cs="Amiri"/>
          <w:color w:val="111111"/>
          <w:sz w:val="28"/>
          <w:sz w:val="28"/>
          <w:szCs w:val="28"/>
          <w:rtl w:val="true"/>
          <w:lang w:bidi="ar-SA"/>
        </w:rPr>
        <w:t>عن أبي الأسود عن عباد بن تميم المازني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يتوضأ و يمسح الماء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كالذي أخرجه الشيخ في الصحيح عن زرارة و بكير ابني أعين عن الباقر عليه السّلام أنه حكى وضوء رسول اللّٰه صلّى اللّه عليه و آله فمسح رأسه و قدميه إلى</w:t>
      </w:r>
    </w:p>
    <w:p>
      <w:pPr>
        <w:pStyle w:val="BookText"/>
        <w:rPr/>
      </w:pPr>
      <w:r>
        <w:rPr>
          <w:rFonts w:ascii="Amiri" w:hAnsi="Amiri" w:eastAsia="Amiri" w:cs="Amiri"/>
          <w:color w:val="111111"/>
          <w:sz w:val="28"/>
          <w:sz w:val="28"/>
          <w:szCs w:val="28"/>
          <w:rtl w:val="true"/>
          <w:lang w:bidi="ar-SA"/>
        </w:rPr>
        <w:t xml:space="preserve">الكعبين بفضل كفيه لم يجدد ماء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في مجمع البيان عن ابن عباس أنه وصف وضوء رسول اللّٰه صلّى اللّه عليه و آله فمسح على رجليه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تعارضت الأخبار كان المرجع كتاب اللّٰه عز و جل لا نبغي عنه حولا</w:t>
      </w:r>
      <w:r>
        <w:rPr>
          <w:rFonts w:eastAsia="Amiri" w:cs="Amiri" w:ascii="Amiri" w:hAnsi="Amiri"/>
          <w:color w:val="111111"/>
          <w:sz w:val="28"/>
          <w:szCs w:val="28"/>
          <w:rtl w:val="true"/>
          <w:lang w:bidi="ar-SA"/>
        </w:rPr>
        <w:t>.</w:t>
      </w:r>
      <w:bookmarkStart w:id="16" w:name="pg1797_24362"/>
    </w:p>
    <w:p>
      <w:pPr>
        <w:pStyle w:val="Heading2"/>
        <w:numPr>
          <w:ilvl w:val="1"/>
          <w:numId w:val="1"/>
        </w:numPr>
        <w:rPr/>
      </w:pPr>
      <w:bookmarkStart w:id="17" w:name="__RefHeading___Toc2472280_3650668749"/>
      <w:bookmarkStart w:id="18" w:name="_Toc6"/>
      <w:bookmarkEnd w:id="16"/>
      <w:bookmarkEnd w:id="17"/>
      <w:r>
        <w:rPr>
          <w:rtl w:val="true"/>
        </w:rPr>
        <w:t>نظرة في احتجاجهم هنا بالاستحسان</w:t>
      </w:r>
      <w:bookmarkEnd w:id="18"/>
    </w:p>
    <w:p>
      <w:pPr>
        <w:pStyle w:val="BookText"/>
        <w:rPr/>
      </w:pPr>
      <w:r>
        <w:rPr>
          <w:rFonts w:ascii="Amiri" w:hAnsi="Amiri" w:eastAsia="Amiri" w:cs="Amiri"/>
          <w:color w:val="111111"/>
          <w:sz w:val="28"/>
          <w:sz w:val="28"/>
          <w:szCs w:val="28"/>
          <w:rtl w:val="true"/>
          <w:lang w:bidi="ar-SA"/>
        </w:rPr>
        <w:t>ربما احتج الجمهور على غسل الأرجل أنهم رأوه أشد مناسبة للقدمين من المسح كما أن المسح أشد مناسبة للرأس من الغسل إذ كان القدمان لا ينقّى دنسهما إلا بالغسل غالبا بخلاف الرأس فإنه ينقّى غالبا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المصالح المعقولة لا يمتنع أن تكون أسبابا للعبادات المفروضة، حتى الشرع لاحظ فيها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مصلحيا و معنى عباديا، و عنوا بالمصلحي ما يرجع إلى الأمور المحسوسة، و بالعبادي ما يرجع إلى زكاة النفس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 بما فيه مصلحتهم، و لم ينههم إلا عما فيه مفسدة لهم، لكنه مع ذلك لم يجعل شيئا من مدارك تلك الأحكام منوطا من حيث المصالح و المفاسد بآراء العباد، بل تعبّدهم بأدلّة قوية عيّنها لهم، مندوحة عنها إلى ما سواها، و أول تلك الأدلّة الحكيمة كتاب اللّٰه عز و جل و قد حكم بمسح الرؤوس و الأرجل في الوضوء، فلا مندوحة عن البخوع لحكمه، أما نقاء الأرجل من الدنس فلا بد من إحرازه قبل المسح عليها، عملا بأدلّة خاصة دلّت</w:t>
      </w:r>
      <w:bookmarkStart w:id="19" w:name="pg1797_24364"/>
    </w:p>
    <w:p>
      <w:pPr>
        <w:pStyle w:val="BookText"/>
        <w:rPr/>
      </w:pPr>
      <w:bookmarkEnd w:id="19"/>
      <w:r>
        <w:rPr>
          <w:rFonts w:ascii="Amiri" w:hAnsi="Amiri" w:eastAsia="Amiri" w:cs="Amiri"/>
          <w:color w:val="111111"/>
          <w:sz w:val="28"/>
          <w:sz w:val="28"/>
          <w:szCs w:val="28"/>
          <w:rtl w:val="true"/>
          <w:lang w:bidi="ar-SA"/>
        </w:rPr>
        <w:t xml:space="preserve">على اشتراط الطهارة في أعضاء الوضوء قبل الشروع فيه </w:t>
      </w:r>
      <w:r>
        <w:rPr>
          <w:rStyle w:val="FootnoteAnchor"/>
          <w:rtl w:val="true"/>
        </w:rPr>
        <w:footnoteReference w:id="32"/>
      </w:r>
      <w:r>
        <w:rPr>
          <w:rFonts w:ascii="Amiri" w:hAnsi="Amiri" w:eastAsia="Amiri" w:cs="Amiri"/>
          <w:color w:val="111111"/>
          <w:sz w:val="28"/>
          <w:sz w:val="28"/>
          <w:szCs w:val="28"/>
          <w:rtl w:val="true"/>
          <w:lang w:bidi="ar-SA"/>
        </w:rPr>
        <w:t>، و لعل غسل رسول اللّٰه صلّى اللّه عليه و آله المدّعى في أخبار الغسل إنما كان من هذا الباب، و لعله كان من باب التبرّد أو كان من باب المبالغة في النظافة بعد الفراغ من الوضوء و 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472282_3650668749"/>
      <w:bookmarkStart w:id="21" w:name="_Toc7"/>
      <w:bookmarkEnd w:id="20"/>
      <w:r>
        <w:rPr>
          <w:rtl w:val="true"/>
        </w:rPr>
        <w:t>تنبيه</w:t>
      </w:r>
      <w:bookmarkEnd w:id="21"/>
    </w:p>
    <w:p>
      <w:pPr>
        <w:pStyle w:val="BookText"/>
        <w:rPr/>
      </w:pPr>
      <w:r>
        <w:rPr>
          <w:rFonts w:ascii="Amiri" w:hAnsi="Amiri" w:eastAsia="Amiri" w:cs="Amiri"/>
          <w:color w:val="111111"/>
          <w:sz w:val="28"/>
          <w:sz w:val="28"/>
          <w:szCs w:val="28"/>
          <w:rtl w:val="true"/>
          <w:lang w:bidi="ar-SA"/>
        </w:rPr>
        <w:t>أخرج ابن ماجة فيما جاء في غسل القدمين من سننه من طريق أبي إسحاق عن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فغسل قدميه إلى الكعبين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أريكم طهور نبيكم </w:t>
      </w:r>
      <w:r>
        <w:rPr>
          <w:rStyle w:val="FootnoteAnchor"/>
          <w:rtl w:val="true"/>
        </w:rPr>
        <w:footnoteReference w:id="33"/>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انتهى إلى هذا الحديث في تعليقته على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بليغ على الشيعة القائلين بالمسح على الرجلين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ذكره المصنف من رواية علي و بدأ به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المصنف و أجاد في تخريج حديث علي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بلفظه عفا اللّٰه عنه و عن الإمام ابن ماجة و سائر علماء الجمهور، فإنهم يعلمون سقوط هذا الحديث بسقوط سنده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حيّة راوي هذا الحديث نكرة من أبهم النكرات، و قد أورده الذهبي في الكنى من ميزانه فنص على أنه لا يعرف، ثم نقل عن ابن المديني و أبي الوليد الفرضي النص على أنه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w:t>
      </w:r>
      <w:r>
        <w:rPr>
          <w:rStyle w:val="FootnoteAnchor"/>
          <w:rtl w:val="true"/>
        </w:rPr>
        <w:footnoteReference w:id="3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أمعنت بحثا عن أبي حية فما أفادني البحث إلا مزيد الجهل به، و لعله إنما اختلقه مختلق حديثه و اللّٰه تعالى أعلم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تفرّد به أبو إسحاق </w:t>
      </w:r>
      <w:r>
        <w:rPr>
          <w:rStyle w:val="FootnoteAnchor"/>
          <w:rtl w:val="true"/>
        </w:rPr>
        <w:footnoteReference w:id="36"/>
      </w:r>
      <w:r>
        <w:rPr>
          <w:rFonts w:ascii="Amiri" w:hAnsi="Amiri" w:eastAsia="Amiri" w:cs="Amiri"/>
          <w:color w:val="111111"/>
          <w:sz w:val="28"/>
          <w:sz w:val="28"/>
          <w:szCs w:val="28"/>
          <w:rtl w:val="true"/>
          <w:lang w:bidi="ar-SA"/>
        </w:rPr>
        <w:t xml:space="preserve">، و قد شاخ و نسي و اختلط فتركه الناس </w:t>
      </w:r>
      <w:r>
        <w:rPr>
          <w:rStyle w:val="FootnoteAnchor"/>
          <w:rtl w:val="true"/>
        </w:rPr>
        <w:footnoteReference w:id="37"/>
      </w:r>
      <w:r>
        <w:rPr>
          <w:rFonts w:ascii="Amiri" w:hAnsi="Amiri" w:eastAsia="Amiri" w:cs="Amiri"/>
          <w:color w:val="111111"/>
          <w:sz w:val="28"/>
          <w:sz w:val="28"/>
          <w:szCs w:val="28"/>
          <w:rtl w:val="true"/>
          <w:lang w:bidi="ar-SA"/>
        </w:rPr>
        <w:t xml:space="preserve">، و لم يروه عنه إلا أبو الأحوص و زهير بن معاوية الجعفي </w:t>
      </w:r>
      <w:r>
        <w:rPr>
          <w:rStyle w:val="FootnoteAnchor"/>
          <w:rtl w:val="true"/>
        </w:rPr>
        <w:footnoteReference w:id="38"/>
      </w:r>
      <w:r>
        <w:rPr>
          <w:rFonts w:ascii="Amiri" w:hAnsi="Amiri" w:eastAsia="Amiri" w:cs="Amiri"/>
          <w:color w:val="111111"/>
          <w:sz w:val="28"/>
          <w:sz w:val="28"/>
          <w:szCs w:val="28"/>
          <w:rtl w:val="true"/>
          <w:lang w:bidi="ar-SA"/>
        </w:rPr>
        <w:t xml:space="preserve">، فعابهم الناس بذلك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غرو فإن المحدث إذا</w:t>
      </w:r>
    </w:p>
    <w:p>
      <w:pPr>
        <w:pStyle w:val="BookText"/>
        <w:rPr/>
      </w:pPr>
      <w:r>
        <w:rPr>
          <w:rFonts w:ascii="Amiri" w:hAnsi="Amiri" w:eastAsia="Amiri" w:cs="Amiri"/>
          <w:color w:val="111111"/>
          <w:sz w:val="28"/>
          <w:sz w:val="28"/>
          <w:szCs w:val="28"/>
          <w:rtl w:val="true"/>
          <w:lang w:bidi="ar-SA"/>
        </w:rPr>
        <w:t>اختلط سقط من حديثه كل ما لم يحرز صدوره عنه قبل الاختلاط، سواء أعلم صدوره بعد الاختلاط كهذا الحديث، أم جهل تاريخ صدوره، لأن العلم الإجمالي في الشبهات المحصورة يوجب اجتناب الأطراف كلها كما هو مقرر في أصول الفقه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يعارض الأحاديث الثابتة عن أمير المؤمنين عليه السّلام و عن أبنائه عليه السّلام الميامين، أهل بيت النبوة و موضع الرسالة و مختلف الملائكة و مهبط الوحي و التنزيل، و يخالف كتاب اللّٰه عز و جل، فليضرب به عرض الجدار</w:t>
      </w:r>
      <w:r>
        <w:rPr>
          <w:rFonts w:eastAsia="Amiri" w:cs="Amiri" w:ascii="Amiri" w:hAnsi="Amiri"/>
          <w:color w:val="111111"/>
          <w:sz w:val="28"/>
          <w:szCs w:val="28"/>
          <w:rtl w:val="true"/>
          <w:lang w:bidi="ar-SA"/>
        </w:rPr>
        <w:t>.</w:t>
      </w:r>
      <w:bookmarkStart w:id="22" w:name="pg1797_24370"/>
    </w:p>
    <w:p>
      <w:pPr>
        <w:pStyle w:val="Heading2"/>
        <w:numPr>
          <w:ilvl w:val="1"/>
          <w:numId w:val="1"/>
        </w:numPr>
        <w:rPr/>
      </w:pPr>
      <w:bookmarkStart w:id="23" w:name="__RefHeading___Toc2472284_3650668749"/>
      <w:bookmarkStart w:id="24" w:name="_Toc8"/>
      <w:bookmarkEnd w:id="22"/>
      <w:bookmarkEnd w:id="23"/>
      <w:r>
        <w:rPr>
          <w:rtl w:val="true"/>
        </w:rPr>
        <w:t>إلى الكعبين</w:t>
      </w:r>
      <w:bookmarkEnd w:id="24"/>
    </w:p>
    <w:p>
      <w:pPr>
        <w:pStyle w:val="BookText"/>
        <w:rPr/>
      </w:pPr>
      <w:r>
        <w:rPr>
          <w:rFonts w:ascii="Amiri" w:hAnsi="Amiri" w:eastAsia="Amiri" w:cs="Amiri"/>
          <w:color w:val="111111"/>
          <w:sz w:val="28"/>
          <w:sz w:val="28"/>
          <w:szCs w:val="28"/>
          <w:rtl w:val="true"/>
          <w:lang w:bidi="ar-SA"/>
        </w:rPr>
        <w:t xml:space="preserve">الكعبان في آية الوضوء هما مفصلا الساقين من القدمين </w:t>
      </w:r>
      <w:r>
        <w:rPr>
          <w:rStyle w:val="FootnoteAnchor"/>
          <w:rtl w:val="true"/>
        </w:rPr>
        <w:footnoteReference w:id="40"/>
      </w:r>
      <w:r>
        <w:rPr>
          <w:rFonts w:ascii="Amiri" w:hAnsi="Amiri" w:eastAsia="Amiri" w:cs="Amiri"/>
          <w:color w:val="111111"/>
          <w:sz w:val="28"/>
          <w:sz w:val="28"/>
          <w:szCs w:val="28"/>
          <w:rtl w:val="true"/>
          <w:lang w:bidi="ar-SA"/>
        </w:rPr>
        <w:t xml:space="preserve">بحكم الصحيح عن زرارة و بكير ابني أعين، إذ سألا الإمام الباقر عليه السّلام عنهما </w:t>
      </w:r>
      <w:r>
        <w:rPr>
          <w:rStyle w:val="FootnoteAnchor"/>
          <w:rtl w:val="true"/>
        </w:rPr>
        <w:footnoteReference w:id="41"/>
      </w:r>
      <w:r>
        <w:rPr>
          <w:rFonts w:ascii="Amiri" w:hAnsi="Amiri" w:eastAsia="Amiri" w:cs="Amiri"/>
          <w:color w:val="111111"/>
          <w:sz w:val="28"/>
          <w:sz w:val="28"/>
          <w:szCs w:val="28"/>
          <w:rtl w:val="true"/>
          <w:lang w:bidi="ar-SA"/>
        </w:rPr>
        <w:t xml:space="preserve">، و هو الظاهر مما رواه الصدوق عنه أيضا </w:t>
      </w:r>
      <w:r>
        <w:rPr>
          <w:rStyle w:val="FootnoteAnchor"/>
          <w:rtl w:val="true"/>
        </w:rPr>
        <w:footnoteReference w:id="42"/>
      </w:r>
      <w:r>
        <w:rPr>
          <w:rFonts w:ascii="Amiri" w:hAnsi="Amiri" w:eastAsia="Amiri" w:cs="Amiri"/>
          <w:color w:val="111111"/>
          <w:sz w:val="28"/>
          <w:sz w:val="28"/>
          <w:szCs w:val="28"/>
          <w:rtl w:val="true"/>
          <w:lang w:bidi="ar-SA"/>
        </w:rPr>
        <w:t xml:space="preserve">، و قد نص أئمة اللغة على أن كل مفصل للعظام كعب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الجمهور إلى أن الكعبين هنا إنما هما العظمان النابتان في جانبي كل ساق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بأنه لو كان الكعب مفصل الساق عن القدم لكان الحاصل في كل رجل كعبا واحدا فكان ينبغي أن يقول و أرجلكم إلى الكعاب كما أنه لما كان الحاصل في كل يد مرفقا واحدا قال وَ أَيْدِيَكُمْ إِلَى الْمَرٰافِقِ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هنا إلى المرفقين لصح بلا اشكال، و يكون المعنى فَاغْسِلُوا وُجُوهَكُمْ وَ أَيْدِيَكُمْ إِلَى مرفقي كل منكم، وَ امْسَحُوا بِرُؤُسِكُمْ وَ أَرْجُلَكُمْ إِلَى الْكَعْبَيْنِ من كل منكم، فتثنية الكلمتين في الآية و جمعها في الصحة سواء، و كذلك جمع إحداهما و تثنية الأخرى و لعل التفنّن في التعبير قد اقتضاه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الحاصل في كل رجل كعبا واحدا، أما إذا كان الحاصل في كل رجل كعبين فلا يبقى لكلامهم وجه، و قد أجمع علماء التشريح على أن هناك عظما مستديرا مثل كعب البقر و الغنم تحت عظم الساق حيث يكون مفصل الساق و القدم يسمى كعبا أيضا </w:t>
      </w:r>
      <w:r>
        <w:rPr>
          <w:rStyle w:val="FootnoteAnchor"/>
          <w:rtl w:val="true"/>
        </w:rPr>
        <w:footnoteReference w:id="45"/>
      </w:r>
      <w:r>
        <w:rPr>
          <w:rFonts w:ascii="Amiri" w:hAnsi="Amiri" w:eastAsia="Amiri" w:cs="Amiri"/>
          <w:color w:val="111111"/>
          <w:sz w:val="28"/>
          <w:sz w:val="28"/>
          <w:szCs w:val="28"/>
          <w:rtl w:val="true"/>
          <w:lang w:bidi="ar-SA"/>
        </w:rPr>
        <w:t>، و عليه فمسح كل رجل ينتهي إلى كعبين اثنتين هما المفصل نفسه و الكعب المستدير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تثنية الكعب في الآية دون المرفق نكتة لطيفة و إشارة إلى ما لا يعلمه إلا علماء التشريح فسبحان الخلّاق العليم الحكيم</w:t>
      </w:r>
      <w:r>
        <w:rPr>
          <w:rFonts w:eastAsia="Amiri" w:cs="Amiri" w:ascii="Amiri" w:hAnsi="Amiri"/>
          <w:color w:val="111111"/>
          <w:sz w:val="28"/>
          <w:szCs w:val="28"/>
          <w:rtl w:val="true"/>
          <w:lang w:bidi="ar-SA"/>
        </w:rPr>
        <w:t>.</w:t>
      </w:r>
      <w:bookmarkStart w:id="25" w:name="pg1797_24374"/>
    </w:p>
    <w:p>
      <w:pPr>
        <w:pStyle w:val="Heading2"/>
        <w:numPr>
          <w:ilvl w:val="1"/>
          <w:numId w:val="1"/>
        </w:numPr>
        <w:rPr/>
      </w:pPr>
      <w:bookmarkStart w:id="26" w:name="__RefHeading___Toc2472286_3650668749"/>
      <w:bookmarkStart w:id="27" w:name="_Toc9"/>
      <w:bookmarkEnd w:id="25"/>
      <w:bookmarkEnd w:id="26"/>
      <w:r>
        <w:rPr>
          <w:rtl w:val="true"/>
        </w:rPr>
        <w:t>المسح على الخفّين و الجوربين</w:t>
      </w:r>
      <w:bookmarkEnd w:id="27"/>
    </w:p>
    <w:p>
      <w:pPr>
        <w:pStyle w:val="BookText"/>
        <w:rPr/>
      </w:pPr>
      <w:r>
        <w:rPr>
          <w:rFonts w:ascii="Amiri" w:hAnsi="Amiri" w:eastAsia="Amiri" w:cs="Amiri"/>
          <w:color w:val="111111"/>
          <w:sz w:val="28"/>
          <w:sz w:val="28"/>
          <w:szCs w:val="28"/>
          <w:rtl w:val="true"/>
          <w:lang w:bidi="ar-SA"/>
        </w:rPr>
        <w:t>اختلف فقهاء الإسلام في المسح على الخفين و الجوربين اختلافا كثيرا لا يحاط به في هذه العجالة، و بالجملة فالبحث عنه يتعلق بالنظر في جوازه و عدم جوازه، و في تحديد محلّه، و في تعيين محلّه، و في صفة محلّه، و في توقيته، و في شروطه، و في نواقضه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ففيه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سفرا و حضرا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السفر دون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بقول مطلق لعدم ثبوته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الأقوال الثلاثة مروية عن الصدر الأول و عن مالك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تحديد محلّه فاختلفوا فيه أيضا بين قائل بأن الواجب من ذلك مسح أعلى الخف و أن مسح أسفله مستحب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بأن الواجب مسح ظهورها و بطونها </w:t>
      </w:r>
      <w:r>
        <w:rPr>
          <w:rStyle w:val="FootnoteAnchor"/>
          <w:rtl w:val="true"/>
        </w:rPr>
        <w:footnoteReference w:id="48"/>
      </w:r>
      <w:r>
        <w:rPr>
          <w:rFonts w:ascii="IRNazanin" w:hAnsi="IRNazanin" w:eastAsia="IRNazanin"/>
          <w:color w:val="111111"/>
          <w:sz w:val="28"/>
          <w:sz w:val="28"/>
          <w:szCs w:val="28"/>
          <w:rtl w:val="true"/>
          <w:lang w:bidi="fa-IR"/>
        </w:rPr>
        <w:t>، و قائل ثالث بأن الواجب مسح الظهور</w:t>
      </w:r>
    </w:p>
    <w:p>
      <w:pPr>
        <w:pStyle w:val="BookText"/>
        <w:rPr/>
      </w:pPr>
      <w:r>
        <w:rPr>
          <w:rFonts w:ascii="IRNazanin" w:hAnsi="IRNazanin" w:eastAsia="IRNazanin"/>
          <w:color w:val="111111"/>
          <w:sz w:val="28"/>
          <w:sz w:val="28"/>
          <w:szCs w:val="28"/>
          <w:rtl w:val="true"/>
          <w:lang w:bidi="fa-IR"/>
        </w:rPr>
        <w:t xml:space="preserve">دون البطون، فإن مسح البطون لا واجب و لا مستحب </w:t>
      </w:r>
      <w:r>
        <w:rPr>
          <w:rStyle w:val="FootnoteAnchor"/>
          <w:rtl w:val="true"/>
        </w:rPr>
        <w:footnoteReference w:id="49"/>
      </w:r>
      <w:r>
        <w:rPr>
          <w:rFonts w:ascii="Amiri" w:hAnsi="Amiri" w:eastAsia="Amiri" w:cs="Amiri"/>
          <w:color w:val="111111"/>
          <w:sz w:val="28"/>
          <w:sz w:val="28"/>
          <w:szCs w:val="28"/>
          <w:rtl w:val="true"/>
          <w:lang w:bidi="ar-SA"/>
        </w:rPr>
        <w:t xml:space="preserve">، و رب قائل بالتخيير بين مسح الباطن و الأعلى فأيهما مسح كان واجبا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نوع المحل فإن القائلين بالمسح على الخفّين اختلفوا في المسح على الجوربين فأجازه قوم و منعه آخرون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صفة الخف فقد اختلفوا في المسح على الخف المخرّق، فمنهم من قال بجواز المسح عليه ما دام يسمى خفا و إن تفاحش خرقه </w:t>
      </w:r>
      <w:r>
        <w:rPr>
          <w:rStyle w:val="FootnoteAnchor"/>
          <w:rtl w:val="true"/>
        </w:rPr>
        <w:footnoteReference w:id="52"/>
      </w:r>
      <w:r>
        <w:rPr>
          <w:rFonts w:ascii="Amiri" w:hAnsi="Amiri" w:eastAsia="Amiri" w:cs="Amiri"/>
          <w:color w:val="111111"/>
          <w:sz w:val="28"/>
          <w:sz w:val="28"/>
          <w:szCs w:val="28"/>
          <w:rtl w:val="true"/>
          <w:lang w:bidi="ar-SA"/>
        </w:rPr>
        <w:t xml:space="preserve">، و منهم من منع أن يكون في مقدم الخف يظهر منه القدم و لو يسيرا </w:t>
      </w:r>
      <w:r>
        <w:rPr>
          <w:rStyle w:val="FootnoteAnchor"/>
          <w:rtl w:val="true"/>
        </w:rPr>
        <w:footnoteReference w:id="53"/>
      </w:r>
      <w:r>
        <w:rPr>
          <w:rFonts w:ascii="Amiri" w:hAnsi="Amiri" w:eastAsia="Amiri" w:cs="Amiri"/>
          <w:color w:val="111111"/>
          <w:sz w:val="28"/>
          <w:sz w:val="28"/>
          <w:szCs w:val="28"/>
          <w:rtl w:val="true"/>
          <w:lang w:bidi="ar-SA"/>
        </w:rPr>
        <w:t xml:space="preserve">، و منهم من أجاز المسح عليه بشرط أن يكون الخرق يسيرا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التوقيت فقد اختلفوا فيه، فمنهم من ذهب إلى أنه غير مؤقت و أن لابس الخفّين يمسح عليهما ما لم ينزعهما أو تصيبه جنابة </w:t>
      </w:r>
      <w:r>
        <w:rPr>
          <w:rStyle w:val="FootnoteAnchor"/>
          <w:rtl w:val="true"/>
        </w:rPr>
        <w:footnoteReference w:id="55"/>
      </w:r>
      <w:r>
        <w:rPr>
          <w:rFonts w:ascii="Amiri" w:hAnsi="Amiri" w:eastAsia="Amiri" w:cs="Amiri"/>
          <w:color w:val="111111"/>
          <w:sz w:val="28"/>
          <w:sz w:val="28"/>
          <w:szCs w:val="28"/>
          <w:rtl w:val="true"/>
          <w:lang w:bidi="ar-SA"/>
        </w:rPr>
        <w:t xml:space="preserve">، و منهم من ذهب إلى أن ذلك مؤقت بوقت خاص للحاضر و وقت آخر للمسافر </w:t>
      </w:r>
      <w:r>
        <w:rPr>
          <w:rStyle w:val="FootnoteAnchor"/>
          <w:rtl w:val="true"/>
        </w:rPr>
        <w:footnoteReference w:id="56"/>
      </w:r>
      <w:r>
        <w:rPr>
          <w:rFonts w:ascii="Amiri" w:hAnsi="Amiri" w:eastAsia="Amiri" w:cs="Amiri"/>
          <w:color w:val="111111"/>
          <w:sz w:val="28"/>
          <w:sz w:val="28"/>
          <w:szCs w:val="28"/>
          <w:rtl w:val="true"/>
          <w:lang w:bidi="ar-SA"/>
        </w:rPr>
        <w:t>، و لهم هنا اختلاف في وصف السفر و اختلاف في مسافته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شرط المسح على الخفّين فهو أن تكون الرجلان طاهرتين عند لبس الخفّين بطهر الوضوء، و هذا الشرط قال به أكثرهم، لكن روي عن مالك عدم اشتراطه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في هذا الباب فيمن غسل رجليه و لبس خفّيه ثم أتمّ وضوءه هل يكتفي بما كان منه من غسل رجليه قبل لبسهما أم لا بد من المسح عليهما؟ فهنا قولان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النواقض المختلف فيها فمنها نزع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قوم ببقاء طهارته إذا نزع خفّيه، حتى يحدث حدثا ينقض الوضوء و ليس عليه غسل رجليه </w:t>
      </w:r>
      <w:r>
        <w:rPr>
          <w:rStyle w:val="FootnoteAnchor"/>
          <w:rtl w:val="true"/>
        </w:rPr>
        <w:footnoteReference w:id="59"/>
      </w:r>
      <w:r>
        <w:rPr>
          <w:rFonts w:ascii="Amiri" w:hAnsi="Amiri" w:eastAsia="Amiri" w:cs="Amiri"/>
          <w:color w:val="111111"/>
          <w:sz w:val="28"/>
          <w:sz w:val="28"/>
          <w:szCs w:val="28"/>
          <w:rtl w:val="true"/>
          <w:lang w:bidi="ar-SA"/>
        </w:rPr>
        <w:t xml:space="preserve">، و قال بعضهم بانتقاض طهارته بمجرّد نزع خفّيه </w:t>
      </w:r>
      <w:r>
        <w:rPr>
          <w:rStyle w:val="FootnoteAnchor"/>
          <w:rtl w:val="true"/>
        </w:rPr>
        <w:footnoteReference w:id="60"/>
      </w:r>
      <w:r>
        <w:rPr>
          <w:rFonts w:ascii="Amiri" w:hAnsi="Amiri" w:eastAsia="Amiri" w:cs="Amiri"/>
          <w:color w:val="111111"/>
          <w:sz w:val="28"/>
          <w:sz w:val="28"/>
          <w:szCs w:val="28"/>
          <w:rtl w:val="true"/>
          <w:lang w:bidi="ar-SA"/>
        </w:rPr>
        <w:t xml:space="preserve">، و قال آخرون ببقاء طهارته إن غسل قدميه بعد نزع الخفّين، أما إذا صلّى و لم يغسلهما أعاد الصلاة بعد غسلهما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أقوال لهم مختلفة و مذاهب تتعلق بالمسح على الخفّين متباينة لسنا الآن في صدد تفصيلها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عليه الإمامية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لأئمة العترة الطاهرة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المسح على الخفّين، سواء أ كان ذلك في</w:t>
      </w:r>
    </w:p>
    <w:p>
      <w:pPr>
        <w:pStyle w:val="BookText"/>
        <w:rPr/>
      </w:pPr>
      <w:r>
        <w:rPr>
          <w:rFonts w:ascii="Amiri" w:hAnsi="Amiri" w:eastAsia="Amiri" w:cs="Amiri"/>
          <w:color w:val="111111"/>
          <w:sz w:val="28"/>
          <w:sz w:val="28"/>
          <w:szCs w:val="28"/>
          <w:rtl w:val="true"/>
          <w:lang w:bidi="ar-SA"/>
        </w:rPr>
        <w:t>الحضر أم في السفر، و حسبنا حجة على هذا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امْسَحُوا بِرُؤُسِكُمْ وَ أَرْجُلَكُمْ إِلَى الْكَعْبَيْنِ، لاقتضائه فرض المسح على الأرجل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جاء المسح على الخفّين؟ أنسخت هذه الآية؟ أم هي من المتشابهات؟ كلا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المحكمات اللاتي هنّ أم الكتاب، و قد أجمع المفسرون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منسوخ في سورة المائة المشتملة على آية الوضوء إلا آية واحدة هي يٰا أَيُّهَا الَّذِينَ آمَنُوا لٰا تُحِلُّوا شَعٰائِرَ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قال بعضهم بنسخها دون ما سواها من آيات تلك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الدالة على الترخيص بالمسح على الخفّين فلم يثبت منها شي‌ء على شرطنا، و قد دلّنا على و هنها مضافا إلى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مخالفة لكتاب اللّٰه عز و جل، و المأثور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روي لكم عني حديث فاعرضوه على كتاب اللّٰه فإن وافقه فاقبلوه و إلا فردّوه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متعارضة في أنفسها، و لذا كثر الاختلاف بين مصححيها العاملين على مقتضاها كما علمته، مما أشرنا إليه قريبا،</w:t>
      </w:r>
    </w:p>
    <w:p>
      <w:pPr>
        <w:pStyle w:val="BookText"/>
        <w:rPr/>
      </w:pPr>
      <w:r>
        <w:rPr>
          <w:rFonts w:ascii="Amiri" w:hAnsi="Amiri" w:eastAsia="Amiri" w:cs="Amiri"/>
          <w:color w:val="111111"/>
          <w:sz w:val="28"/>
          <w:sz w:val="28"/>
          <w:szCs w:val="28"/>
          <w:rtl w:val="true"/>
          <w:lang w:bidi="ar-SA"/>
        </w:rPr>
        <w:t xml:space="preserve">فإنهم إنما تعارضوا في أقوالهم لتعارضها، إذ هي مستندهم في تلك الأقوال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اختلافهم في توقيت المسح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اختلافهم اختلاف الآثار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ورد في هذا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أوردها بنصها فكان الأول فيها صريحا في كون الوقت ثلاثة أيام و لياليهن للمسافر و يوما و ليلة للمقيم، و كان الثاني نصا في الترخيص بالمسح على الخفّين ما بدا للمكلّف ان يمسح من غير توقيت لا في الحضر و لا في السفر، و كان نص الثالث مخالفا لسابقيه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التوسّع في معرفة اختلاف الأئمة الأربعة حول هذه المسألة فعليه بكتاب الفقه على المذاهب الأربعة الذي أخرجته وزارة الأوقاف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أئمة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بنيه الأوصياء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جواز المسح على كل حائل، سواء في ذلك الخف و الجورب و الحذاء و غيرها من سائر الأجناس و الأنواع </w:t>
      </w:r>
      <w:r>
        <w:rPr>
          <w:rStyle w:val="FootnoteAnchor"/>
          <w:rtl w:val="true"/>
        </w:rPr>
        <w:footnoteReference w:id="65"/>
      </w:r>
      <w:r>
        <w:rPr>
          <w:rFonts w:ascii="Amiri" w:hAnsi="Amiri" w:eastAsia="Amiri" w:cs="Amiri"/>
          <w:color w:val="111111"/>
          <w:sz w:val="28"/>
          <w:sz w:val="28"/>
          <w:szCs w:val="28"/>
          <w:rtl w:val="true"/>
          <w:lang w:bidi="ar-SA"/>
        </w:rPr>
        <w:t xml:space="preserve">، و أخبارهم صريحة بالمعارضة لأخبار الجمهور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تواترها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الجواز، و القاعدة المسلّمة في الأخبار المتعارضة تقديم ما وافق منها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تكافأت سندا و دلالة، و أنّى يكافأ ثقل رسول اللّٰه صلّى اللّه عليه و آله و أعدال كتاب</w:t>
      </w:r>
    </w:p>
    <w:p>
      <w:pPr>
        <w:pStyle w:val="BookText"/>
        <w:rPr/>
      </w:pPr>
      <w:r>
        <w:rPr>
          <w:rFonts w:ascii="Amiri" w:hAnsi="Amiri" w:eastAsia="Amiri" w:cs="Amiri"/>
          <w:color w:val="111111"/>
          <w:sz w:val="28"/>
          <w:sz w:val="28"/>
          <w:szCs w:val="28"/>
          <w:rtl w:val="true"/>
          <w:lang w:bidi="ar-SA"/>
        </w:rPr>
        <w:t>اللّٰه تعالى و سفن نجاة الأمة و باب حطتها و أمانها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حقا لتواترت في كل عصر و مصر، لأن الحاجة إلى معرفة طهارة الأرجل في الوضوء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لرجال الأمة و نسائها، و هي حاجة لهم ماسة في كل يوم و ليلة من أوقات حضرهم و سفرهم، فلو كانت غير المسح المدلول عليه بالآية لعلمه المكلّفون في عهد النبوّة و بعده، و لكان مسلّما بينهم في كل خلف، و لا سيما مع مجيئه عبادة محضة غير معقولة المعنى </w:t>
      </w:r>
      <w:r>
        <w:rPr>
          <w:rStyle w:val="FootnoteAnchor"/>
          <w:rtl w:val="true"/>
        </w:rPr>
        <w:footnoteReference w:id="67"/>
      </w:r>
      <w:r>
        <w:rPr>
          <w:rFonts w:ascii="Amiri" w:hAnsi="Amiri" w:eastAsia="Amiri" w:cs="Amiri"/>
          <w:color w:val="111111"/>
          <w:sz w:val="28"/>
          <w:sz w:val="28"/>
          <w:szCs w:val="28"/>
          <w:rtl w:val="true"/>
          <w:lang w:bidi="ar-SA"/>
        </w:rPr>
        <w:t>، غريبة في باب العبادات، تستوجب الشهرة بغرابتها، و لما لم يكن الأمر كذلك ظهر لنا و هن أخبارها المسقط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صحتها لوجب أن تكون منسوخة بسورة المائدة، لأنها آخر سورة نزلت، و بها أكمل اللّٰه الدين و أتم النعمة و رضي الإسلام دينا، فواجبها واجب إلى يوم القيامة و حرامها حرام إلى يوم القيامة، كما نصّت عليه أم المؤمنين عائشة، و قد قالت لجبير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حج فزارها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تقرأ المائدة؟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آخر سورة نزلت، فما وجدتم فيها من حلال فاستحلّوه و ما وجدتم من حرام فحرّموه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المستدرك، ثم أخرج نحوه عن عبد اللّٰه بن عمرو بن العاص، و قال بعد إيراد كل من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 و قد أورده الذهبي في تلخيصه مرمزا الى صحته على شرط الشيخين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الجمهور يتشبّثون في بقاء حكم المسح على الخفّين بعد نزولها بحديث جرير، إذ بال ثم توضأ و 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رسول اللّٰه صلّى اللّه عليه و آله بال ثم توضأ و مسح على خفّيه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مسلم، و روى أن هذا الحديث كان يعجبهم، و علّل ذلك بأن إسلام جرير كان بعد نزول المائدة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قبل نزول المائدة بدليل حضوره حجة الوداع مع رسول اللّٰه صلّى اللّه عليه و آله، و قد أمره صلّى اللّه عليه و آله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ترجمته من الإصابة نقلا عن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يستنصت الناس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فإسلامه لا بد أن يكون قبل تلك الحجة، و نزول المائدة لم يكن قبلها يقينا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أخرج الطبراني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أخاكم النجاشي قد مات</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موت النجاشي إنما كان قبل نزول المائدة إذ لا كلام في انه مات قبل السنة العاشرة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التاسعة نعى النبي صلّى اللّه عليه و آله النجاشي 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للقسطلاني هنا تشبّث آخر غريب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المسح بمنسوخ، لحديث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 بمسح النبي صلّى اللّه عليه و آله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و هي آخر غزواته، و المائدة نزلت قبلها في غزوة المريسيع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المريسيع هي غزوة بني المصطلق، كانت لليلتين خلتا من شعبان سنة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كما في صحيح البخاري </w:t>
      </w:r>
      <w:r>
        <w:rPr>
          <w:rStyle w:val="FootnoteAnchor"/>
          <w:rtl w:val="true"/>
        </w:rPr>
        <w:footnoteReference w:id="76"/>
      </w:r>
      <w:r>
        <w:rPr>
          <w:rFonts w:ascii="Amiri" w:hAnsi="Amiri" w:eastAsia="Amiri" w:cs="Amiri"/>
          <w:color w:val="111111"/>
          <w:sz w:val="28"/>
          <w:sz w:val="28"/>
          <w:szCs w:val="28"/>
          <w:rtl w:val="true"/>
          <w:lang w:bidi="ar-SA"/>
        </w:rPr>
        <w:t>نقلا عن ابن عقبة، و عليه جرى النووي في الروضة،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ست للهجرة، و قد نزلت بعدها المائدة و كثير من السور، و إنما نزلت فيها آية التيمّم، و هي قوله تعالى في سورة النساء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في ذلك ثابتة عن عائشة أخرجها الواحدي في كتابه</w:t>
      </w:r>
    </w:p>
    <w:p>
      <w:pPr>
        <w:pStyle w:val="BookText"/>
        <w:rPr/>
      </w:pPr>
      <w:r>
        <w:rPr>
          <w:rFonts w:ascii="IRNazanin" w:hAnsi="IRNazanin" w:eastAsia="IRNazanin"/>
          <w:color w:val="111111"/>
          <w:sz w:val="28"/>
          <w:sz w:val="28"/>
          <w:szCs w:val="28"/>
          <w:rtl w:val="true"/>
          <w:lang w:bidi="fa-IR"/>
        </w:rPr>
        <w:t xml:space="preserve">أسباب النزول </w:t>
      </w:r>
      <w:r>
        <w:rPr>
          <w:rStyle w:val="FootnoteAnchor"/>
          <w:rtl w:val="true"/>
        </w:rPr>
        <w:footnoteReference w:id="77"/>
      </w:r>
      <w:r>
        <w:rPr>
          <w:rFonts w:ascii="Amiri" w:hAnsi="Amiri" w:eastAsia="Amiri" w:cs="Amiri"/>
          <w:color w:val="111111"/>
          <w:sz w:val="28"/>
          <w:sz w:val="28"/>
          <w:szCs w:val="28"/>
          <w:rtl w:val="true"/>
          <w:lang w:bidi="ar-SA"/>
        </w:rPr>
        <w:t>، فراجع، لتكون على يقين من أن القسطلاني قد اشتبهت عليه آية الوضوء بآية التيمم، على أن المغيرة و جريرا ممن لا نحتج بهم، و عن قريب تقف على ما أرابنا في المغيرة، و لجرير سيرة مع الوصي عليه السّلام أوجبت لنا الريب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أم المؤمنين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مكانتها من الدراية و الفطنة و مكانها من مهبط الوحي و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المسح على الخفّين أشد الإنكار،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حبر الأمة و عيبة الكتاب و السنة بلا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أشد المنكرين أيضا، و قد بلغا في إنكارهما أبعد غاية يندفع فيها المنكر اندفاع الثائر، ألا تمعن معي في قولها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تقطع قدماي أحب إليّ من أن أمسح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أمسح على جلد حمار أحب إليّ من أن أمسح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بجدك هل يجتمع هذا الشكل من الإنكار مع اعتبار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يجتمع مع احترامها، و إذا كانت هذه أقوال المشافهين بها العارفين بغثّها و سمينها، فكيف يتسنّى لنا الركون إليها على بعدنا المتنائي عنها قرونا و أحقابا؟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أمعن محررا في إنكار الأدنين من رسول اللّٰه صلّى اللّه عليه و آله كزوجته و ابن عمه و سائر الهداة القادة من عترته اضطرّه ذلك إلى الريب في تلك</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نعلم أن القول بتواترها إسراف و 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تبلغ حد التواتر ثم يجهلها هؤلاء السفرة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يتجاهلونها؟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كانت متواترة ما أنكرها عبد اللّٰه بن عمر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يخالف الناس في المسح على الخفّين، لكنه لم يمت حتى وافقهم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 على سعد إذ رآه يمسح على خفّيه ثابت في صحيح البخاري،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الوضوء، باب المسح على الخفّين،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مالك في إحدى الروايتين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 الرازي، و في مظان ذلك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غيرهما من السلف الصالح و صالح المؤمنين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أجحف كل الإجحاف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الكفر على من لا يرى المسح على الخفّين </w:t>
      </w:r>
      <w:r>
        <w:rPr>
          <w:rStyle w:val="FootnoteAnchor"/>
          <w:rtl w:val="true"/>
        </w:rPr>
        <w:footnoteReference w:id="80"/>
      </w:r>
      <w:r>
        <w:rPr>
          <w:rFonts w:ascii="Amiri" w:hAnsi="Amiri" w:eastAsia="Amiri" w:cs="Amiri"/>
          <w:color w:val="111111"/>
          <w:sz w:val="28"/>
          <w:sz w:val="28"/>
          <w:szCs w:val="28"/>
          <w:rtl w:val="true"/>
          <w:lang w:bidi="ar-SA"/>
        </w:rPr>
        <w:t>، و يرى أن المسح على الخفّين لا هو من أصول الدين، و لا هو من الضروريات من فروعه، و لا هو مما افترضه الكتاب، و 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أوجبته السنة، و إنما هو مجرد رخصة عند قوم من المسلمين دون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جناح بتركه عملا بما افترضته آية الوضوء؟ و قد أجمع أهل القبلة على صحة العمل بمقتضاها، و تصافقوا على استباحة الصلاة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المسح على</w:t>
      </w:r>
      <w:bookmarkStart w:id="28" w:name="pg1797_24384"/>
    </w:p>
    <w:p>
      <w:pPr>
        <w:pStyle w:val="BookText"/>
        <w:rPr/>
      </w:pPr>
      <w:bookmarkEnd w:id="28"/>
      <w:r>
        <w:rPr>
          <w:rFonts w:ascii="Amiri" w:hAnsi="Amiri" w:eastAsia="Amiri" w:cs="Amiri"/>
          <w:color w:val="111111"/>
          <w:sz w:val="28"/>
          <w:sz w:val="28"/>
          <w:szCs w:val="28"/>
          <w:rtl w:val="true"/>
          <w:lang w:bidi="ar-SA"/>
        </w:rPr>
        <w:t>الخفّين، فإن صحة الوضوء معه و رفع الحديث به و استباحة الصلاة فيه محلّ خلاف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يخشى الكفر على من أخذ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رأيكم في عائشة و علي عليه السّلام و ابن عباس و سائر أهل البيت عليهم السّلام إذ لم يروا المسح على الخفّين يا مسلمون؟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472288_3650668749"/>
      <w:bookmarkStart w:id="30" w:name="_Toc10"/>
      <w:bookmarkEnd w:id="29"/>
      <w:r>
        <w:rPr>
          <w:rtl w:val="true"/>
        </w:rPr>
        <w:t>المسح على العمامة</w:t>
      </w:r>
      <w:bookmarkEnd w:id="30"/>
    </w:p>
    <w:p>
      <w:pPr>
        <w:pStyle w:val="BookText"/>
        <w:rPr/>
      </w:pPr>
      <w:r>
        <w:rPr>
          <w:rFonts w:ascii="Amiri" w:hAnsi="Amiri" w:eastAsia="Amiri" w:cs="Amiri"/>
          <w:color w:val="111111"/>
          <w:sz w:val="28"/>
          <w:sz w:val="28"/>
          <w:szCs w:val="28"/>
          <w:rtl w:val="true"/>
          <w:lang w:bidi="ar-SA"/>
        </w:rPr>
        <w:t xml:space="preserve">ذهب علماؤنا إلى عدم جواز المسح على العمامة، و هذا مذهب الشافعي و أبي حنيفة و مالك، و خالف الإمام أحمد بن حنبل و أبو ثور و القاسم بن سلام و الأوزاعي و الثوري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منقول عن غيرهم أيضا، فقالوا بالجواز قياسا على الخف، و عملا بحديث المغيرة بن شعبة أن رسول اللّٰه صلّى اللّه عليه و آله مسح بناصيته و على العمامة، و في بعض طرقه أنه مسح على العمامة و لم يذكر الناصية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كتاب اللّٰه عز و جل وَ امْسَحُوا بِرُؤُسِكُمْ و سنة رسوله مسحه بناصيته صلّى اللّه عليه و آله، و هذا مسلّم لا يحتاج إلى بيان و الإجماع منعقد عليه منقولا و محصلا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حجة لهم بالقياس على الخف لأن دين اللّٰه لا يصاب بالقياس على أن المسح على الخف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المغيرة فباطل، و إن أخرجه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فيه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حديث معلول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بدايته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أبا حنيفة و الشافعي و مالكا إنما لم يأبهوا به لكونه معلولا عندهم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للمغيرة سيرة مكر و خداع و تقلّب و احتيال، و ارتماس في الموبقات و انغماس في الشهوات، و انطلاق في الغدر و تجاوز للحدود فيما يحب و فيما يكره، و لا سيما مع من يواليهم من أعداء آل محمد صلّى اللّه عليه و آله، و مع من يعاديهم من أولياء اللّٰه و رسوله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في الإسلام حقنا لدمه من بني مالك، و ذلك أنه وفد مع جماعة من أشرافهم على المقوقس و هو في الإسكندرية، ففاز المالكيون دونه بجائزة الملك، فحمله الطمع بها على الغدر بهم، فدعاهم إلى الشراب و هم مستسلمون لصحبته فجعل يسقيهم حتى إذا أخذ السكر مأخذه من مشاعرهم عدا عليهم فقتلهم عن آخرهم، فصفت له أموالهم، و حيث لم يجد معتصما من أهلهم غير الالتحاق بالإسلام وفد على رسول اللّٰه صلّى اللّه عليه و آله و هو في المدينة، فدخل عليه يشهد أن لا إله إلا اللّٰه و أن محمدا صلّى اللّه عليه و آله رسول اللّٰه، فقبل إسلامه جريا على سنّته في ذلك مع المؤمنين و مع المنافقين، و حين عرض عليه أموال بني مالك ترفّع عنها،</w:t>
      </w:r>
    </w:p>
    <w:p>
      <w:pPr>
        <w:pStyle w:val="BookText"/>
        <w:rPr/>
      </w:pPr>
      <w:r>
        <w:rPr>
          <w:rFonts w:ascii="Amiri" w:hAnsi="Amiri" w:eastAsia="Amiri" w:cs="Amiri"/>
          <w:color w:val="111111"/>
          <w:sz w:val="28"/>
          <w:sz w:val="28"/>
          <w:szCs w:val="28"/>
          <w:rtl w:val="true"/>
          <w:lang w:bidi="ar-SA"/>
        </w:rPr>
        <w:t xml:space="preserve">و كان له أخذها، لأنها من أموال المحاربين المستحلّين منه ما حرّم اللّٰه تعالى، لكن لما كان أخذها غدرا أبت نفسه القدسية قبولها فأوفرها عليه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إسلامه هذا يعطيك صورة من مبادعه و دواعيه، و قد شهد عليه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فضلاء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بما يوجب الحد في قضية مشهورة من حوادث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نعارض القرآن الحكيم بحديثه يا أولي الألباب؟</w:t>
      </w:r>
      <w:r>
        <w:rPr>
          <w:rFonts w:eastAsia="Amiri" w:cs="Amiri" w:ascii="Amiri" w:hAnsi="Amiri"/>
          <w:color w:val="111111"/>
          <w:sz w:val="28"/>
          <w:szCs w:val="28"/>
          <w:rtl w:val="true"/>
          <w:lang w:bidi="ar-SA"/>
        </w:rPr>
        <w:t>!</w:t>
      </w:r>
      <w:bookmarkStart w:id="31" w:name="pg1797_24387"/>
    </w:p>
    <w:p>
      <w:pPr>
        <w:pStyle w:val="Heading2"/>
        <w:numPr>
          <w:ilvl w:val="1"/>
          <w:numId w:val="1"/>
        </w:numPr>
        <w:rPr/>
      </w:pPr>
      <w:bookmarkStart w:id="32" w:name="__RefHeading___Toc2472290_3650668749"/>
      <w:bookmarkStart w:id="33" w:name="_Toc11"/>
      <w:bookmarkEnd w:id="31"/>
      <w:bookmarkEnd w:id="32"/>
      <w:r>
        <w:rPr>
          <w:rtl w:val="true"/>
        </w:rPr>
        <w:t>هل لمسح الرأس حد؟</w:t>
      </w:r>
      <w:bookmarkEnd w:id="33"/>
    </w:p>
    <w:p>
      <w:pPr>
        <w:pStyle w:val="BookText"/>
        <w:rPr/>
      </w:pPr>
      <w:r>
        <w:rPr>
          <w:rFonts w:ascii="Amiri" w:hAnsi="Amiri" w:eastAsia="Amiri" w:cs="Amiri"/>
          <w:color w:val="111111"/>
          <w:sz w:val="28"/>
          <w:sz w:val="28"/>
          <w:szCs w:val="28"/>
          <w:rtl w:val="true"/>
          <w:lang w:bidi="ar-SA"/>
        </w:rPr>
        <w:t xml:space="preserve">ذهب علماؤنا إلى أنه لا حد في مسح الرأس لا للماسح و لا للمسوح، بل يكفي عندهم مسمّاه و لو بأقل مصاديقه العرفية </w:t>
      </w:r>
      <w:r>
        <w:rPr>
          <w:rStyle w:val="FootnoteAnchor"/>
          <w:rtl w:val="true"/>
        </w:rPr>
        <w:footnoteReference w:id="86"/>
      </w:r>
      <w:r>
        <w:rPr>
          <w:rFonts w:ascii="Amiri" w:hAnsi="Amiri" w:eastAsia="Amiri" w:cs="Amiri"/>
          <w:color w:val="111111"/>
          <w:sz w:val="28"/>
          <w:sz w:val="28"/>
          <w:szCs w:val="28"/>
          <w:rtl w:val="true"/>
          <w:lang w:bidi="ar-SA"/>
        </w:rPr>
        <w:t>، و هذا مذهب الشافعي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الإمامان مالك و أحمد و جماعة آخرون إلى أن الواجب مسح الرأس كله، و ذهب الإمام أبو حنيفة إلى أن الواجب مسح ربعه بثلاث أصابع، حتى أن من مسحه بأقل من ذلك لا يجزي عنده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حجتنا في ذلك قوله تعالى وَ امْسَحُوا بِرُؤُسِكُمْ إذ المراد إلصاق المسح بالرأس مطلقا، و هذا كما يتحقق بالاستيعاب و بالربع، يتحقق بأقل مسمّى المسح، و لو بجزء من إصبع ممرّا له على جزء من الرأس، و لا دليل على شي‌ء مما قالوه بالخصوص، و لو أراد الاستيعاب لقال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رءوسكم، كما قال فَاغْسِلُوا وُجُوهَكُمْ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 قدرا مخصوصا لبيّنه كما فعله في غسل اليدين إذ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الْمَرٰافِقِ و في مسح الرجلين إذ قال إِلَى الْكَعْبَيْنِ</w:t>
      </w:r>
      <w:r>
        <w:rPr>
          <w:rFonts w:eastAsia="Amiri" w:cs="Amiri" w:ascii="Amiri" w:hAnsi="Amiri"/>
          <w:color w:val="111111"/>
          <w:sz w:val="28"/>
          <w:szCs w:val="28"/>
          <w:rtl w:val="true"/>
          <w:lang w:bidi="ar-SA"/>
        </w:rPr>
        <w:t>.</w:t>
      </w:r>
      <w:bookmarkStart w:id="34" w:name="pg1797_24388"/>
    </w:p>
    <w:p>
      <w:pPr>
        <w:pStyle w:val="Heading2"/>
        <w:numPr>
          <w:ilvl w:val="1"/>
          <w:numId w:val="1"/>
        </w:numPr>
        <w:rPr/>
      </w:pPr>
      <w:bookmarkStart w:id="35" w:name="__RefHeading___Toc2472292_3650668749"/>
      <w:bookmarkStart w:id="36" w:name="_Toc12"/>
      <w:bookmarkEnd w:id="34"/>
      <w:bookmarkEnd w:id="35"/>
      <w:r>
        <w:rPr>
          <w:rtl w:val="true"/>
        </w:rPr>
        <w:t>ستة فروع خلافية</w:t>
      </w:r>
      <w:bookmarkEnd w:id="36"/>
    </w:p>
    <w:p>
      <w:pPr>
        <w:pStyle w:val="Heading3"/>
        <w:numPr>
          <w:ilvl w:val="2"/>
          <w:numId w:val="1"/>
        </w:numPr>
        <w:rPr/>
      </w:pPr>
      <w:bookmarkStart w:id="37" w:name="__RefHeading___Toc2472294_3650668749"/>
      <w:bookmarkStart w:id="38" w:name="_Toc13"/>
      <w:bookmarkEnd w:id="37"/>
      <w:r>
        <w:rPr/>
        <w:t>1</w:t>
      </w:r>
      <w:r>
        <w:rPr>
          <w:rtl w:val="true"/>
        </w:rPr>
        <w:t xml:space="preserve">- </w:t>
      </w:r>
      <w:r>
        <w:rPr>
          <w:rtl w:val="true"/>
        </w:rPr>
        <w:t>مسح الأذنين</w:t>
      </w:r>
      <w:r>
        <w:rPr>
          <w:rtl w:val="true"/>
        </w:rPr>
        <w:t>:</w:t>
      </w:r>
      <w:bookmarkEnd w:id="38"/>
    </w:p>
    <w:p>
      <w:pPr>
        <w:pStyle w:val="BookText"/>
        <w:rPr/>
      </w:pPr>
      <w:r>
        <w:rPr>
          <w:rFonts w:ascii="Amiri" w:hAnsi="Amiri" w:eastAsia="Amiri" w:cs="Amiri"/>
          <w:color w:val="111111"/>
          <w:sz w:val="28"/>
          <w:sz w:val="28"/>
          <w:szCs w:val="28"/>
          <w:rtl w:val="true"/>
          <w:lang w:bidi="ar-SA"/>
        </w:rPr>
        <w:t>أجمع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لأئمة العترة الطاهرة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مسح الأذنين ليس من الوضوء في شي‌ء، إذ لا دليل عليه من كتاب أو سنّة أو إجماع، بل صريح الكتاب أن الوضوء غسلتان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و لليدين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للرأس و للرجلين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الحنابلة بافتراض مسح الأذنين مع سماخيهما </w:t>
      </w:r>
      <w:r>
        <w:rPr>
          <w:rStyle w:val="FootnoteAnchor"/>
          <w:rtl w:val="true"/>
        </w:rPr>
        <w:footnoteReference w:id="88"/>
      </w:r>
      <w:r>
        <w:rPr>
          <w:rFonts w:ascii="Amiri" w:hAnsi="Amiri" w:eastAsia="Amiri" w:cs="Amiri"/>
          <w:color w:val="111111"/>
          <w:sz w:val="28"/>
          <w:sz w:val="28"/>
          <w:szCs w:val="28"/>
          <w:rtl w:val="true"/>
          <w:lang w:bidi="ar-SA"/>
        </w:rPr>
        <w:t>، و نقل ابن رشد هذا القول عن أبي حنيفة و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و مالك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مسحهما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تجديد الماء لهما و عدم تجديده، و شذّ قوم منهم فذهبوا إلى أنهما يغسلان مع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باطنهما مع الرأس و يغسل ظاهرهما مع الوجه، و يستحب الشافعي فيهما التكرار كما يستحبه في مسح الرأس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39" w:name="pg1797_24389"/>
    </w:p>
    <w:p>
      <w:pPr>
        <w:pStyle w:val="BookText"/>
        <w:rPr/>
      </w:pPr>
      <w:bookmarkEnd w:id="39"/>
      <w:r>
        <w:rPr>
          <w:rFonts w:ascii="Amiri" w:hAnsi="Amiri" w:eastAsia="Amiri" w:cs="Amiri"/>
          <w:color w:val="111111"/>
          <w:sz w:val="28"/>
          <w:sz w:val="28"/>
          <w:szCs w:val="28"/>
          <w:rtl w:val="true"/>
          <w:lang w:bidi="ar-SA"/>
        </w:rPr>
        <w:t>احتجوا بأخبار واهية لم يثبت شي‌ء منها عندنا، و الشيخان البخاري و مسلم لم يأبها بشي‌ء منها، و إنما اعتبرها معتبروها مع ضعفها عندهم لجبرها بشهرة العمل بها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أئمة الهدى عليهم السّلام من ثقل رسول اللّٰه صلّى اللّٰه عليه و آله لم يأبهوا بها و هم أهل بيت النبوة و أهل البيت أدرى بالذي فيه و حسبنا الثقلان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472296_3650668749"/>
      <w:bookmarkStart w:id="41" w:name="_Toc14"/>
      <w:bookmarkEnd w:id="40"/>
      <w:r>
        <w:rPr/>
        <w:t>2</w:t>
      </w:r>
      <w:r>
        <w:rPr>
          <w:rtl w:val="true"/>
        </w:rPr>
        <w:t xml:space="preserve">- </w:t>
      </w:r>
      <w:r>
        <w:rPr>
          <w:rtl w:val="true"/>
        </w:rPr>
        <w:t>هل يجزى، غسل الرأس بدلا عن مسحه</w:t>
      </w:r>
      <w:r>
        <w:rPr>
          <w:rtl w:val="true"/>
        </w:rPr>
        <w:t>:</w:t>
      </w:r>
      <w:bookmarkEnd w:id="41"/>
    </w:p>
    <w:p>
      <w:pPr>
        <w:pStyle w:val="BookText"/>
        <w:rPr/>
      </w:pPr>
      <w:r>
        <w:rPr>
          <w:rFonts w:ascii="Amiri" w:hAnsi="Amiri" w:eastAsia="Amiri" w:cs="Amiri"/>
          <w:color w:val="111111"/>
          <w:sz w:val="28"/>
          <w:sz w:val="28"/>
          <w:szCs w:val="28"/>
          <w:rtl w:val="true"/>
          <w:lang w:bidi="ar-SA"/>
        </w:rPr>
        <w:t>أهل المذاهب الأربعة متفقون على أن غسل الرأس في الوضوء يكفي عن مسحه، غير أنهم اختلفوا في كراهة ذلك و عدم كراهته، فالحنفية و المالكية قالوا بكراهته محتجين بأنه خلاف ما أمر اللّٰه به، و 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بمكروه و لكنه 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يجزي الغسل هنا بدل المسح بشرط إمرار اليد على الرأس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الإمامية فمجمعون على عدم الإجزاء لأنه خلاف ما أمر اللّٰه به و خلاف الثابت عن رسول اللّٰه صلّى اللّٰه عليه و آله من مسح ناصيته الشريفة دون غسلها، و إذن يكون تشريعا في العبادة باطلا في نفسه مبطلا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مما قلناه آنفا أن الغسل و المسح حقيقتان مختلفتان لا يغني</w:t>
      </w:r>
      <w:bookmarkStart w:id="42" w:name="pg1797_24390"/>
    </w:p>
    <w:p>
      <w:pPr>
        <w:pStyle w:val="BookText"/>
        <w:rPr/>
      </w:pPr>
      <w:bookmarkEnd w:id="42"/>
      <w:r>
        <w:rPr>
          <w:rFonts w:ascii="IRNazanin" w:hAnsi="IRNazanin" w:eastAsia="IRNazanin"/>
          <w:color w:val="111111"/>
          <w:sz w:val="28"/>
          <w:sz w:val="28"/>
          <w:szCs w:val="28"/>
          <w:rtl w:val="true"/>
          <w:lang w:bidi="fa-IR"/>
        </w:rPr>
        <w:t>أحدهما عن الآخر</w:t>
      </w:r>
      <w:r>
        <w:rPr>
          <w:rFonts w:eastAsia="IRNazanin" w:cs="IRNazanin"/>
          <w:color w:val="111111"/>
          <w:sz w:val="28"/>
          <w:szCs w:val="28"/>
          <w:rtl w:val="true"/>
          <w:lang w:bidi="fa-IR"/>
        </w:rPr>
        <w:t>.</w:t>
      </w:r>
    </w:p>
    <w:p>
      <w:pPr>
        <w:pStyle w:val="Heading3"/>
        <w:numPr>
          <w:ilvl w:val="2"/>
          <w:numId w:val="1"/>
        </w:numPr>
        <w:rPr/>
      </w:pPr>
      <w:bookmarkStart w:id="43" w:name="__RefHeading___Toc2472298_3650668749"/>
      <w:bookmarkStart w:id="44" w:name="_Toc15"/>
      <w:bookmarkEnd w:id="43"/>
      <w:r>
        <w:rPr/>
        <w:t>3</w:t>
      </w:r>
      <w:r>
        <w:rPr>
          <w:rtl w:val="true"/>
        </w:rPr>
        <w:t xml:space="preserve">- </w:t>
      </w:r>
      <w:r>
        <w:rPr>
          <w:rtl w:val="true"/>
        </w:rPr>
        <w:t>الترتيب في الوضوء</w:t>
      </w:r>
      <w:r>
        <w:rPr>
          <w:rtl w:val="true"/>
        </w:rPr>
        <w:t>:</w:t>
      </w:r>
      <w:bookmarkEnd w:id="44"/>
    </w:p>
    <w:p>
      <w:pPr>
        <w:pStyle w:val="BookText"/>
        <w:rPr/>
      </w:pPr>
      <w:r>
        <w:rPr>
          <w:rFonts w:ascii="Amiri" w:hAnsi="Amiri" w:eastAsia="Amiri" w:cs="Amiri"/>
          <w:color w:val="111111"/>
          <w:sz w:val="28"/>
          <w:sz w:val="28"/>
          <w:szCs w:val="28"/>
          <w:rtl w:val="true"/>
          <w:lang w:bidi="ar-SA"/>
        </w:rPr>
        <w:t>أجمع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لأئمة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الترتيب في أفعال الوضوء على نسق ما هو مرتب في آياته الكريمة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المالكية و الحنفية و سفيان الثوري و داود إلى عدم اشتراطه و عدم وجوبه، و اعتبروه سنّة لا يبطل الوضوء 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بصحة وضوء المتوضئ إذا ابتدأ بغسل رجله اليسرى منتهيا من الوضوء بغسل وجهه على عكس الآية في كل أفعاله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حجتنا في ذلك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فلتبادر الترتيب منه، و إن كان العطف فيه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بثم و لا بالفاء، لأن الواو كثيرة ما يعطف بها الأشياء المرتبة و لا تجوّز في ذلك، و هذا ثابت باستقراء كلام العرب لا ريب فيه لأحد، و لذا قال الكوفيون من النحاة بأنها حقيقة في الترتيب و النسق بالخصوص، و إن كانت ثم و الفاء أظهر منها في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فوضوء رسول اللّٰه صلّى اللّٰه عليه و آله إذ كان ملتزما فيه بالترتيب، سواء أ كان وضوؤه لإحدى الفرائض الخمس أم كان لغيرها من واجب أو ندب، و قد كان مدة حياته صلّى اللّٰه عليه و آله على طهارة يسبغ الوضوء</w:t>
      </w:r>
      <w:bookmarkStart w:id="45" w:name="pg1797_24391"/>
    </w:p>
    <w:p>
      <w:pPr>
        <w:pStyle w:val="BookText"/>
        <w:rPr/>
      </w:pPr>
      <w:bookmarkEnd w:id="45"/>
      <w:r>
        <w:rPr>
          <w:rFonts w:ascii="Amiri" w:hAnsi="Amiri" w:eastAsia="Amiri" w:cs="Amiri"/>
          <w:color w:val="111111"/>
          <w:sz w:val="28"/>
          <w:sz w:val="28"/>
          <w:szCs w:val="28"/>
          <w:rtl w:val="true"/>
          <w:lang w:bidi="ar-SA"/>
        </w:rPr>
        <w:t>كلما انتقض و يسبغ الوضوء على الوضوء، و ربما قال صلّى اللّٰه عليه و آله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أجمعت الأمة على أنه صلّى اللّٰه عليه و آله لم يتوضأ قط إلا مرتبا، و لو لا اشتراط الترتيب و افتراضه في الوضوء لخالفه و لو مرة واحدة، أو صدع بجواز المخالفة بيانا للحكم كما هي سنّته، و حيث لم يخالف الترتيب و لم يصدع بجواز المخالفة علمنا عدم جوازها، على أن الأصل العملي يوجب هنا إحراز الشي‌ء المشكوك في شرطيته و استصحاب الحدث جار مع عدم إحرازه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72300_3650668749"/>
      <w:bookmarkStart w:id="47" w:name="_Toc16"/>
      <w:bookmarkEnd w:id="46"/>
      <w:r>
        <w:rPr/>
        <w:t>4</w:t>
      </w:r>
      <w:r>
        <w:rPr>
          <w:rtl w:val="true"/>
        </w:rPr>
        <w:t xml:space="preserve">- </w:t>
      </w:r>
      <w:r>
        <w:rPr>
          <w:rtl w:val="true"/>
        </w:rPr>
        <w:t>الموالاة</w:t>
      </w:r>
      <w:r>
        <w:rPr>
          <w:rtl w:val="true"/>
        </w:rPr>
        <w:t>:</w:t>
      </w:r>
      <w:bookmarkEnd w:id="47"/>
    </w:p>
    <w:p>
      <w:pPr>
        <w:pStyle w:val="BookText"/>
        <w:rPr/>
      </w:pPr>
      <w:r>
        <w:rPr>
          <w:rFonts w:ascii="Amiri" w:hAnsi="Amiri" w:eastAsia="Amiri" w:cs="Amiri"/>
          <w:color w:val="111111"/>
          <w:sz w:val="28"/>
          <w:sz w:val="28"/>
          <w:szCs w:val="28"/>
          <w:rtl w:val="true"/>
          <w:lang w:bidi="ar-SA"/>
        </w:rPr>
        <w:t>ذهب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الموالاة بين أفعال الوضوء شرط في صحته، و ضابطها أن لا يجف العضو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اعتدال الزمان و المكان و مزاج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الفراغ من العضو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الشافعية و الحنفية إلى أن الموالاة ليست بفرض و لا بشرط و لا بواجب و إنما هي سنّة، فيكره عندهم التفريق بين الأعضاء إذا كان بغير عذر، أما للعذر فلا يكره، و ذلك كما إذا كان ناسيا، أو فرغ الماء المعدّ لوضوئه، فذهب ليأتي بغيره ليكمل به وضوءه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المالكية إلى أن الموالاة فرض مع الذكر و القدرة، ساقطة مع</w:t>
      </w:r>
      <w:bookmarkStart w:id="48" w:name="pg1797_24392"/>
    </w:p>
    <w:p>
      <w:pPr>
        <w:pStyle w:val="BookText"/>
        <w:rPr/>
      </w:pPr>
      <w:bookmarkEnd w:id="48"/>
      <w:r>
        <w:rPr>
          <w:rFonts w:ascii="Amiri" w:hAnsi="Amiri" w:eastAsia="Amiri" w:cs="Amiri"/>
          <w:color w:val="111111"/>
          <w:sz w:val="28"/>
          <w:sz w:val="28"/>
          <w:szCs w:val="28"/>
          <w:rtl w:val="true"/>
          <w:lang w:bidi="ar-SA"/>
        </w:rPr>
        <w:t xml:space="preserve">النسيان و مع العذر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حجّتنا في ذلك فعل رسول اللّٰه صلّى اللّٰه عليه و آله إذ كان يوالي في وضوئه كما كان يرتّبه، و لم يرو عنه التراخي في أفعال الوضوء مطلقا، كما لم يرو عنه عدم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اشتراط الموالاة لتركها و لو مرة واحدة، أو صدع بجواز تركها بيانا للحكم الشرعي، جريا على سننه في التشريع عن اللّٰه تعالى، و حيث لم يفعل علمنا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خلاف في صحة الوضوء جامعا لهذه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جامعا لها فصحته محل نزاع، و أئمة أهل البيت عليهم السّلام لا يرونه حينئذ رافعا للحدث، و لا مبيحا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فاحتط لدينك، و الاحتياط هنا مما لا بد منه لأن الأصل العملي يوجب إحراز الشي‌ء المشكوك في شرطيته، و استصحاب الحدث جار مع عدم إحرازه كما أسلفناه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72302_3650668749"/>
      <w:bookmarkStart w:id="50" w:name="_Toc17"/>
      <w:bookmarkEnd w:id="49"/>
      <w:r>
        <w:rPr/>
        <w:t>5</w:t>
      </w:r>
      <w:r>
        <w:rPr>
          <w:rtl w:val="true"/>
        </w:rPr>
        <w:t xml:space="preserve">- </w:t>
      </w:r>
      <w:r>
        <w:rPr>
          <w:rtl w:val="true"/>
        </w:rPr>
        <w:t>النية</w:t>
      </w:r>
      <w:r>
        <w:rPr>
          <w:rtl w:val="true"/>
        </w:rPr>
        <w:t>:</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لأئمة الثقلين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النية في صحة الوضوء و الغسل، لكونهما من العبادات التي أمر اللّٰه بها وَ مٰا أُمِرُوا إِلّٰا لِيَعْبُدُوا اللّٰهَ مُخْلِصِينَ لَهُ الدِّينَ و هذا مذهب الشافعي و مالك و أحمد و داود و أبي ثور و كثير من أئمة الجمهور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الوضوء و الغسل بالماء المطلق ليس إلا توصليا إلى الطهارة التي تحصل بمجرد سيلانه على الأعضاء، سواء أ كان ذلك عن نية أم لم يكن عن نية، بل و لا عن اختيار، نظير غسل الثوب المتنجّس، لأن الماء مطهّر بطبعه،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شخص بالماء بدون اختيار أو دخل الماء عابثا أو بقصد التبرّد أو النظافة، أو كان حاكيا لفعل غيره أو مرائيا فشمل الماء أعضاء وضوئه صح له أن يصلي بهذا الوضوء حتى لو كان عند دخول الماء كافرا فأسلم عند خروجه إذ لم يشترطوا الإسلام في صحة الوضوء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اشترطوا النية في صحة التيمم </w:t>
      </w:r>
      <w:r>
        <w:rPr>
          <w:rStyle w:val="FootnoteAnchor"/>
          <w:rtl w:val="true"/>
        </w:rPr>
        <w:footnoteReference w:id="98"/>
      </w:r>
      <w:r>
        <w:rPr>
          <w:rFonts w:ascii="Amiri" w:hAnsi="Amiri" w:eastAsia="Amiri" w:cs="Amiri"/>
          <w:color w:val="111111"/>
          <w:sz w:val="28"/>
          <w:sz w:val="28"/>
          <w:szCs w:val="28"/>
          <w:rtl w:val="true"/>
          <w:lang w:bidi="ar-SA"/>
        </w:rPr>
        <w:t>، لأن الصعيد غير مطهّر بطبعه، و إنما طهوريته تعبدية فلا بد في التيمم به من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الوضوء و الغسل بنبيذ التمر أو سؤر الحمار أو البغل، لأن طهورية هذا النبيذ و السؤرين تعبدية كالصعيد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فصلوا في الوضوء و الغسل بين ما كان منهما بنبيذ تمر أو سؤر الحمار أو البغل، و بين ما كان بغير ذلك من المياه المطلقة، فاعتبروا الأول عبادة غير معقولة المعنى، فأوجبوا لها النية كالتيمم، و اعتبروا الثاني من الواجبات التوصلية إلى النظافة المحسوسة كالطهارة من</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من أين علموا أن غرض الشارع من الوضوء و الغسل ليس إلا الطهارة المحسوسة التي يوجدها سيلان الماء بمجرد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كل مسلم و مسلمة أن الوضوء و الغسل إنما هما لرفع أثر الحدث استباحة للصلاة و نحوها مما هو مشروط برفعه، و هذا غير محسوس و لا مفهوم لولا التعبّد بالأوامر المقدّسة الصادرة من لدن حكيم مطلق بكل حقيقة و دقيقة تخفى على الإنس و الجن و الملائكة و 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بأن الوضوء لرفع أثر الحدث الأصغر، و أن الغسل لرفع الحدث الأكبر تعبّدا، كما نؤمن بفرائض الصلاة و الصوم و الزكاة و الحج كيفا و كما و وقتا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حصول النظافة المحسوسة بالوضوء و الغسل في كثير من الأوقات لا يجعلهما توصليين إليها، كما أن إنعاش مستحقي الزكاة بأدائها إليهم لا يخرجها عن العبادة فيجعلها توصلية إلى إنعاشهم، و كذلك الخمس و الكفارات و سائر الصدقات و العبادات المالية، و لو كان الغرض من الوضوء و الغسل مجرد الطهارة المحسوسة وجبا على المحدث إذا كان في غاية النظافة و النقاء، و هذا خارق لإجماع المسلمين مخالف لما هو ثابت عن سيد النبيين إذ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صلاة بغير طهور و لا صدقة من غلول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على اشتراط النية هنا بالكتاب و السنّة مضافا إلى ما يقتضيه الأصل العملي من وجوب إحراز الشرط المشكوك في شرطيته و استصحاب بقاء الحدث في صورة التوضؤ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فمجموع آيتي المائدة و البينة، فإن آية المائدة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قُمْتُمْ إِلَى الصَّلٰاةِ فَاغْسِلُوا وُجُوهَكُمْ إلى آخرها تثبت الصغرى في شكل القياس، و هي أن الوضوء و الغسل مما أمرنا به، و آية البينة و هي وَ مٰا أُمِرُوا إِلّٰا لِيَعْبُدُوا اللّٰهَ مُخْلِصِينَ لَهُ الدِّينَ تثبت كبرى الشكل و هي كل ما أمرنا به يجب الإخلاص للّٰه فيه، لكن في هذا الاستدلال نظرا بل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فقوله صلّى اللّٰه عليه و آله في الصحيح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التقدير إنما صحة الأعمال كائنة بالنيات، لكن للحنفية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إنما كمال الأعمال بالنيات، و حينئذ لا يصلح دليلا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الأول أولى، لأن الصحة أكثر لزوما للحقيقة من الكمال، فالحمل عليها أولى، لأن ما كان ألزم للشي‌ء كان أقرب خطورا للذهن عند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 فيه تأملا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الإمامية في كل ما ندين اللّٰه به تبع لأئمة العترة الطاهرة عليهم السّلام و مذهبهم عندنا حجة بنفسه، لأنهم أعدال كتاب اللّٰه، و عيبة سنن</w:t>
      </w:r>
      <w:bookmarkStart w:id="51" w:name="pg1797_24396"/>
    </w:p>
    <w:p>
      <w:pPr>
        <w:pStyle w:val="BookText"/>
        <w:rPr/>
      </w:pPr>
      <w:bookmarkEnd w:id="51"/>
      <w:r>
        <w:rPr>
          <w:rFonts w:ascii="Amiri" w:hAnsi="Amiri" w:eastAsia="Amiri" w:cs="Amiri"/>
          <w:color w:val="111111"/>
          <w:sz w:val="28"/>
          <w:sz w:val="28"/>
          <w:szCs w:val="28"/>
          <w:rtl w:val="true"/>
          <w:lang w:bidi="ar-SA"/>
        </w:rPr>
        <w:t>رسول اللّٰه صلّى اللّٰه عليه و آله و سفن نجاة الأمة، يسلم من ركبها و يغرق من تخلّف عنها، و باب حطة يأمن من دخلها، و العروة الوثقى لا انفصام لها، و أمان الأمة من الاختلاف و أمنها من العذاب، و بيضة رسول اللّٰه صلّى اللّٰه عليه و آله التي تفقأت عنه، و أولياؤه و أوصياؤه، و وارثو علمه و حكمه، و أولى الناس به و بشرائع اللّٰه تعالى، كما هو مبرهن عليه في محلّه من مراجعاتنا الأزهرية و غيرها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472304_3650668749"/>
      <w:bookmarkStart w:id="53" w:name="_Toc18"/>
      <w:bookmarkEnd w:id="52"/>
      <w:r>
        <w:rPr/>
        <w:t>6</w:t>
      </w:r>
      <w:r>
        <w:rPr>
          <w:rtl w:val="true"/>
        </w:rPr>
        <w:t xml:space="preserve">- </w:t>
      </w:r>
      <w:r>
        <w:rPr>
          <w:rtl w:val="true"/>
        </w:rPr>
        <w:t>الوضوء بالنبيذ</w:t>
      </w:r>
      <w:r>
        <w:rPr>
          <w:rtl w:val="true"/>
        </w:rPr>
        <w:t>:</w:t>
      </w:r>
      <w:bookmarkEnd w:id="53"/>
    </w:p>
    <w:p>
      <w:pPr>
        <w:pStyle w:val="BookText"/>
        <w:rPr/>
      </w:pPr>
      <w:r>
        <w:rPr>
          <w:rFonts w:ascii="Amiri" w:hAnsi="Amiri" w:eastAsia="Amiri" w:cs="Amiri"/>
          <w:color w:val="111111"/>
          <w:sz w:val="28"/>
          <w:sz w:val="28"/>
          <w:szCs w:val="28"/>
          <w:rtl w:val="true"/>
          <w:lang w:bidi="ar-SA"/>
        </w:rPr>
        <w:t>أجمع الإمامية تبعا للأئمة عليهم السّلام من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الإطلاق في ماء الوضوء و الغسل، سواء أ كان في الحضر أم في السفر، و أجمعوا أيضا على أنه إن تعذر الماء تعيّن على المكلف تيمم الصعيد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مذهب الشافعي و مالك و أحمد و غيرهم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الإمام أبو حنيفة و سفيان الثوري إلى جواز الوضوء و الغسل بنبيذ التمر </w:t>
      </w:r>
      <w:r>
        <w:rPr>
          <w:rStyle w:val="FootnoteAnchor"/>
          <w:rtl w:val="true"/>
        </w:rPr>
        <w:footnoteReference w:id="102"/>
      </w:r>
      <w:r>
        <w:rPr>
          <w:rFonts w:ascii="Amiri" w:hAnsi="Amiri" w:eastAsia="Amiri" w:cs="Amiri"/>
          <w:color w:val="111111"/>
          <w:sz w:val="28"/>
          <w:sz w:val="28"/>
          <w:szCs w:val="28"/>
          <w:rtl w:val="true"/>
          <w:lang w:bidi="ar-SA"/>
        </w:rPr>
        <w:t xml:space="preserve">في السفر مع فقد الماء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تفسيره الكبير، و أورده السندي في باب الوضوء بالنبيذ من تعليقته على سنن ابن ماجة نقلا عن أبي حنيفة و الثوري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كرهه الحسن البصري</w:t>
      </w:r>
    </w:p>
    <w:p>
      <w:pPr>
        <w:pStyle w:val="BookText"/>
        <w:rPr/>
      </w:pPr>
      <w:r>
        <w:rPr>
          <w:rFonts w:ascii="Amiri" w:hAnsi="Amiri" w:eastAsia="Amiri" w:cs="Amiri"/>
          <w:color w:val="111111"/>
          <w:sz w:val="28"/>
          <w:sz w:val="28"/>
          <w:szCs w:val="28"/>
          <w:rtl w:val="true"/>
          <w:lang w:bidi="ar-SA"/>
        </w:rPr>
        <w:t>و أبو العالية رفيع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أحب إليّ من الوضوء بالحليب و اللبن </w:t>
      </w:r>
      <w:r>
        <w:rPr>
          <w:rStyle w:val="FootnoteAnchor"/>
          <w:rtl w:val="true"/>
        </w:rPr>
        <w:footnoteReference w:id="104"/>
      </w:r>
      <w:r>
        <w:rPr>
          <w:rFonts w:ascii="Amiri" w:hAnsi="Amiri" w:eastAsia="Amiri" w:cs="Amiri"/>
          <w:color w:val="111111"/>
          <w:sz w:val="28"/>
          <w:sz w:val="28"/>
          <w:szCs w:val="28"/>
          <w:rtl w:val="true"/>
          <w:lang w:bidi="ar-SA"/>
        </w:rPr>
        <w:t xml:space="preserve">، و جوّز الأوزاعي الوضوء و الغسل بسائر الأنبذة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إرشاد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بسائر المائعات الطاهرة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الحادي عشر من تفسيره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الأوزاعي و الأصم إلى انه يجوز الوضوء و الغسل بسائر المائعات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الإمامية و من يرى في هذه المسألة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و سنة نبيه صلّى اللّٰه عليه و آله و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فَلَمْ تَجِدُوا مٰاءً فَتَيَمَّمُوا صَعِيداً طَيِّباً فَامْسَحُوا بِوُجُوهِكُمْ وَ أَيْدِيكُمْ </w:t>
      </w:r>
      <w:r>
        <w:rPr>
          <w:rStyle w:val="FootnoteAnchor"/>
          <w:rtl w:val="true"/>
        </w:rPr>
        <w:footnoteReference w:id="106"/>
      </w:r>
      <w:r>
        <w:rPr>
          <w:rFonts w:ascii="Amiri" w:hAnsi="Amiri" w:eastAsia="Amiri" w:cs="Amiri"/>
          <w:color w:val="111111"/>
          <w:sz w:val="28"/>
          <w:sz w:val="28"/>
          <w:szCs w:val="28"/>
          <w:rtl w:val="true"/>
          <w:lang w:bidi="ar-SA"/>
        </w:rPr>
        <w:t>إذ أطلق الأمر بالتيمم مع فقد الماء، و لم يجعل وسطا بينه و بين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فحسبنا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الطيب وضوء المسلم إن لم يجد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كالآية في الإطلاق و عدم الواسطة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فلأن أهل القبلة كافة في هذه المسألة على رأي واحد، و من خالف فيه فإنما هو شاذ خارق لإجماع المسلمين لا يعبأ بشذوذه،</w:t>
      </w:r>
    </w:p>
    <w:p>
      <w:pPr>
        <w:pStyle w:val="BookText"/>
        <w:rPr/>
      </w:pPr>
      <w:r>
        <w:rPr>
          <w:rFonts w:ascii="Amiri" w:hAnsi="Amiri" w:eastAsia="Amiri" w:cs="Amiri"/>
          <w:color w:val="111111"/>
          <w:sz w:val="28"/>
          <w:sz w:val="28"/>
          <w:szCs w:val="28"/>
          <w:rtl w:val="true"/>
          <w:lang w:bidi="ar-SA"/>
        </w:rPr>
        <w:t xml:space="preserve">كمن شذّ بقوله لا يجوز الوضوء بماء البحر </w:t>
      </w:r>
      <w:r>
        <w:rPr>
          <w:rStyle w:val="FootnoteAnchor"/>
          <w:rtl w:val="true"/>
        </w:rPr>
        <w:footnoteReference w:id="108"/>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أبو حنيفة و الثوري و من رأى رأيهما بما روي عن ابن مسعود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الوليد بن صبح الخلّال الدمشقي، عن مروان بن محمد الطاطري الدمشقي، عن عبد اللّٰه بن لهيعة عن قيس بن الحجاج، عن حنش الصنعاني، عن عبد اللّٰه بن عباس، عن ابن مسعود أن رسول اللّٰه صلّى اللّٰه عليه و آله قال له 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نبيذا في سطيحة </w:t>
      </w:r>
      <w:r>
        <w:rPr>
          <w:rStyle w:val="FootnoteAnchor"/>
          <w:rtl w:val="true"/>
        </w:rPr>
        <w:footnoteReference w:id="109"/>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طيبة و 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فصببت عليه، فتوضأ به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هذا الحديث من هذا الطريق محمد بن يزيد بن ماجة القزويني في سننه، و لم يخرجه من هذا الطريق أحد من أصحاب السنن سواء فيما أعلم، لظلماته المتراكمة بعضها على بعض، فإن العباس بن الوليد لم يكن بثقة و لا مأمونا، و قد تركه جهابذة الجرح و التعديل، حتى سئل عنه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بالرجال و الأخبار لا أحدث عنه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تعلم أنهم إنما تركوه</w:t>
      </w:r>
    </w:p>
    <w:p>
      <w:pPr>
        <w:pStyle w:val="BookText"/>
        <w:rPr/>
      </w:pPr>
      <w:r>
        <w:rPr>
          <w:rFonts w:ascii="Amiri" w:hAnsi="Amiri" w:eastAsia="Amiri" w:cs="Amiri"/>
          <w:color w:val="111111"/>
          <w:sz w:val="28"/>
          <w:sz w:val="28"/>
          <w:szCs w:val="28"/>
          <w:rtl w:val="true"/>
          <w:lang w:bidi="ar-SA"/>
        </w:rPr>
        <w:t>لوهنه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شيخه مروان بن محمد الطاطري فقد كان من ضلّال المرجئة، و أورده العقيلي في كتاب الضعفاء </w:t>
      </w:r>
      <w:r>
        <w:rPr>
          <w:rStyle w:val="FootnoteAnchor"/>
          <w:rtl w:val="true"/>
        </w:rPr>
        <w:footnoteReference w:id="112"/>
      </w:r>
      <w:r>
        <w:rPr>
          <w:rFonts w:ascii="Amiri" w:hAnsi="Amiri" w:eastAsia="Amiri" w:cs="Amiri"/>
          <w:color w:val="111111"/>
          <w:sz w:val="28"/>
          <w:sz w:val="28"/>
          <w:szCs w:val="28"/>
          <w:rtl w:val="true"/>
          <w:lang w:bidi="ar-SA"/>
        </w:rPr>
        <w:t>، و صرح بضعفه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هذا كله من ترجمته في ميزان الاعتدال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شيخه عبد اللّٰه بن لهيعة ممن ضعّفه أئمتهم في الجرح و التعديل، فراجع أقوالهم في أحواله من معاجم التراجم، كميزان الاعتدال و غيره، تجده مشهودا عليه بالضعف من ابن معين و ابن سعيد و غيرهما </w:t>
      </w:r>
      <w:r>
        <w:rPr>
          <w:rStyle w:val="FootnoteAnchor"/>
          <w:rtl w:val="true"/>
        </w:rPr>
        <w:footnoteReference w:id="114"/>
      </w:r>
      <w:r>
        <w:rPr>
          <w:rFonts w:ascii="Amiri" w:hAnsi="Amiri" w:eastAsia="Amiri" w:cs="Amiri"/>
          <w:color w:val="111111"/>
          <w:sz w:val="28"/>
          <w:sz w:val="28"/>
          <w:szCs w:val="28"/>
          <w:rtl w:val="true"/>
          <w:lang w:bidi="ar-SA"/>
        </w:rPr>
        <w:t>، و هناك مغامز أخر في غير هؤلاء الثلاثة من رجال هذا الطريق لسنا في حاجة إلى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الثاني من طريقي الحديث فينتهي إلى أبي زيد مولى عمرو بن حريث، عن عبد اللّٰه بن مسعود أن رسول اللّٰه صلّى اللّٰه عليه و آله قال له 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شي‌ء من نبيذ في 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طيبة و 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ماجة و الترمذي و أبو داود </w:t>
      </w:r>
      <w:r>
        <w:rPr>
          <w:rStyle w:val="FootnoteAnchor"/>
          <w:rtl w:val="true"/>
        </w:rPr>
        <w:footnoteReference w:id="115"/>
      </w:r>
      <w:r>
        <w:rPr>
          <w:rFonts w:ascii="Amiri" w:hAnsi="Amiri" w:eastAsia="Amiri" w:cs="Amiri"/>
          <w:color w:val="111111"/>
          <w:sz w:val="28"/>
          <w:sz w:val="28"/>
          <w:szCs w:val="28"/>
          <w:rtl w:val="true"/>
          <w:lang w:bidi="ar-SA"/>
        </w:rPr>
        <w:t xml:space="preserve">، و ليس فيما رواه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باطل من هذا الطريق أيضا، كما هو باطل من طريقه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في بطلانه أن مداره على أبي زيد</w:t>
      </w:r>
    </w:p>
    <w:p>
      <w:pPr>
        <w:pStyle w:val="BookText"/>
        <w:rPr/>
      </w:pPr>
      <w:r>
        <w:rPr>
          <w:rFonts w:ascii="Amiri" w:hAnsi="Amiri" w:eastAsia="Amiri" w:cs="Amiri"/>
          <w:color w:val="111111"/>
          <w:sz w:val="28"/>
          <w:sz w:val="28"/>
          <w:szCs w:val="28"/>
          <w:rtl w:val="true"/>
          <w:lang w:bidi="ar-SA"/>
        </w:rPr>
        <w:t xml:space="preserve">مولى عمرو بن حريث، و هو مجهول عند أهل الحديث، كما نص عليه الترمذي </w:t>
      </w:r>
      <w:r>
        <w:rPr>
          <w:rStyle w:val="FootnoteAnchor"/>
          <w:rtl w:val="true"/>
        </w:rPr>
        <w:footnoteReference w:id="116"/>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الذهبي في الكنى من ميزانه، فنص على أنه لا يعرف، و أنه روى عن ابن مسعود، و أنه لا يصح حديثه، و أن البخاري ذكره في الضعفاء، و أن متن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توضأ بالنبيذ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مجهول، و أنه ليس له سوى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فإن علماء السلف أطبقوا على تضعيف هذا الحديث </w:t>
      </w:r>
      <w:r>
        <w:rPr>
          <w:rStyle w:val="FootnoteAnchor"/>
          <w:rtl w:val="true"/>
        </w:rPr>
        <w:footnoteReference w:id="118"/>
      </w:r>
      <w:r>
        <w:rPr>
          <w:rFonts w:ascii="Amiri" w:hAnsi="Amiri" w:eastAsia="Amiri" w:cs="Amiri"/>
          <w:color w:val="111111"/>
          <w:sz w:val="28"/>
          <w:sz w:val="28"/>
          <w:szCs w:val="28"/>
          <w:rtl w:val="true"/>
          <w:lang w:bidi="ar-SA"/>
        </w:rPr>
        <w:t>بكلا طريقيه، على أنه معارض بما أخرجه الترمذي في صحيحه، و أبو داود في باب الوضوء من سننه، و صححه الأئمة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أنه سأل ابن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مع رسول اللّٰه صلّى اللّٰه عليه و آله ليلة الجن؟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معه أحد منا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صحته و عدم معارضته لكانت آية التيمم ناسخة له لأن ليلة الجن كانت في مكة قبل الهجرة و آية التيمم مدينة بلا خلاف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حمل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فرضت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في الإداوة مع الماء تميرات قليلة يابسة لم تخرج الماء عن الإطلاق و ما غيرت له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الأوزاعي و الأصم و من رأى رأيهما في الوضوء و الغسل بسائر المائعات الطاهرة و أن اللّٰه تعالى إنما أمر بالغسل و المسح و هما كما يتحققان بالماء المطلق يتحققان بغيره من المائعات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أوجب التيمم عند عدم الماء، فتجويز الوضوء بغيره يبطل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يجعل الغسل المأمور به في الآية مقيدا بالماء كما هو واضح و الحمد للّٰه على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الحنفية إنما جوزوا الوضوء باللبن الممزوج بالماء فيما حكي عنهم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إرشاد الساري و إليك نصه بلفظة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اللبن الخالص فلا يجوز التوضؤ به إجماعا، فإن خالط ماء فيجوز عند الحنفية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استند إليه الأوزاعي و الأصم حاتم بن عنوان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يسر اللّٰه تعالى لعبده و ابن عبديه، عبد الحسين ابن الشريف يوسف ابن الجواد بن إسماعيل بن محمد بن محمد بن شرف الدين إبراهيم بن زين العابدين بن علي نور الدين بن نور الدين علي بن الحسين آل أبي الحسن الموسوي العاملي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عنهما فخر الدين الرازي حول آية الوضوء من تفسيره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كأنهما وقعا في حيرة فالتبس الأمر عليهما بسبب التعارض بين الآية و الأخبار، فأوجبا الجمع عملا بهما معا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كالحسن البصري، و محمد بن جرير الطبري فيما نقله عنهما الرازي في تفسيره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بعضهم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ذلك، و لا يجوز كون العامل فاغسلوا لما ستسمعه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يجوز ذلك قطعا لاستلزامه عطف الأرجل على الوجوه، و هذا ممنوع باتفاق أهل اللغة لعدم جواز الفصل بين العاطف و المعطوف عليه بمفرد فضلا عن الجملة الأجنبية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هنا إلا عامل واحد و هو و امسحوا لما بيناه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مما لم يثبت عندنا أصلا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 الاحتياط إلا بالجمع بين المسح و الغسل لكونهما حقيقتين مختلفتين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الغسل مأخوذ في مفهومه سيلان الماء على المغسول و لو قليلا، و المسح مأخوذ في مفهومه عدم السيلان و الاكتفاء بمرور اليد على الممسوح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في</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ما جاء في غسل القدمين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الكشاف،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الوضوء،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الطهارة، باب صفة الوضوء،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أجمعوا عليهم السّلام على وجوب المسح، و تلك نصوصهم في وسائل الشيعة إلى تحصيل مسائل الشريعة، باب وجوب المسح على الرجلين،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المؤلفات في فقههم و حديثهم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التاسع من كنز العمال و هو الحديث </w:t>
      </w:r>
      <w:r>
        <w:rPr>
          <w:rFonts w:eastAsia="IRNazanin" w:cs="IRNazanin"/>
          <w:b w:val="false"/>
          <w:bCs w:val="false"/>
          <w:i w:val="false"/>
          <w:iCs w:val="false"/>
          <w:color w:val="333333"/>
          <w:sz w:val="20"/>
          <w:szCs w:val="20"/>
        </w:rPr>
        <w:t>26842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التاسع من الكنز و هو الحديث </w:t>
      </w:r>
      <w:r>
        <w:rPr>
          <w:rFonts w:eastAsia="IRNazanin" w:cs="IRNazanin"/>
          <w:b w:val="false"/>
          <w:bCs w:val="false"/>
          <w:i w:val="false"/>
          <w:iCs w:val="false"/>
          <w:color w:val="333333"/>
          <w:sz w:val="20"/>
          <w:szCs w:val="20"/>
        </w:rPr>
        <w:t>26840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أخذ الإمام الشريف بحر العلوم في منظومته الفقهية درة النجف إذ يقول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فيما جاء في غسل القدمين من سننه،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غير واحد من أصحاب المسانيد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لابن حجر العسقلاني في ترجمة تميم بن زيد المازني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تأريخه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لكننا لم نعثر عليه لا في الصحيح و لا في التأريخ في الطبعات المتوفرة لدينا، و لعله مما أسقطته أيدي التحريف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المسح على القدمين، 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للبغوي الشافعي،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المائدة، الآية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الحديث في كتاب الحاوي الكبير للماوردي و لكن هناك آخر في معناه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بكونهم كلهم ثقات ابن حجر العسقلاني حيث أورد هذا الحديث في ترجمة تميم بن زيد من الجزء الأول من الإصابة،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عمن ذكرناهم من أصحاب المسانيد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للحر العاملي،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ترى حفاة الشيعة و العمال منهم كأهل الحرث و أمثالهم و سائر من لا يبالون بطهارة أرجلهم في غير أوقات العبادة المشروطة بالطهارة إذا أرادوا الوضوء غسلوا أرجلهم ثم توضأوا فمسحوا عليها نقية جافة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سنن ابن ماجة،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غسل القدمين،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الكنى، ترجمة رقم </w:t>
      </w:r>
      <w:r>
        <w:rPr>
          <w:rFonts w:eastAsia="IRNazanin" w:cs="IRNazanin"/>
          <w:b w:val="false"/>
          <w:bCs w:val="false"/>
          <w:i w:val="false"/>
          <w:iCs w:val="false"/>
          <w:color w:val="333333"/>
          <w:sz w:val="20"/>
          <w:szCs w:val="20"/>
        </w:rPr>
        <w:t>10138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الذهبي حيث أورد أبا حيّة في الكنى من ميزانه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مذكور في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عمرو بن عبد اللّٰه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معاجم التراجم كميزان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الذهبي إذ أورد أبا حيّة و حديثه هذا في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زهير بن معاوية هو ثبت فيما روى عن المشايخ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حديثه عن أبي إسحاق لين سمع منه بآخره، انتهى،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معاوية ثقة، إلا أنه سمع من أبي إسحاق بعد الاختلاط،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عن أحمد و أبي زرعة ما قد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روايته عن أبي إسحاق من قبل أبي إسحاق لا من قبله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هما قبتا القدمين كما في التهذيب للطوسي،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أحوط و أقوى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رواه بسنده الصحيح إليهما، و قد قالا للإمام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الكعبان؟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دون عظم الساق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صفة وضوء النبي صلّى اللّه عليه و آله،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عن الباقر عليه السّلام و قد حكى صفة وضوء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مسح على مقدم رأسه و ظهر قدميه دون عظمي الساقين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معاجم اللغة تعلن ذلك، فراجع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للفيروزآبادي،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محمد بن الحسن الشيباني و الأصمعي إلى ان الكعب في آية الوضوء إنما هو هذا العظم تحت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الأصمعي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العظمين الناتئين في جانب الساق يسميان المنجمين، و ظن الرازي أن هذا هو مذهب الإمامية، فرد عليهم بأن العظم المستدير الموضوع تحت الساق شي‌ء خفي لا يعرفه إلا المشرحون بخلاف الناتئين في طرفي كل ساق فإنهما محسوسان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مناط التكاليف الظاهرة يجب أن يكون شيئا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تفسيره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الرازي لما رأى الإمامية يمسحون إلى مفصل الساق ظنهم يقولون بما قاله الشيباني و الأصمعي، و لم يدر أن الكعب عندهم هو المفصل نفسه المحسوس المعلوم لكل أحد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هذا الإمام الفقيه الأصولي الفيلسوف ابن رشد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كتابه بداية المجتهد و نهاية المقتصد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الشافعي،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ابن نافع، انظر 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أبي حنيفة و داود و سفيان و جماعة آخرين، انظر المصدر السابق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أشهب، انظر 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أجازه سفيان الثوري و أبو يوسف و محمد بن الحسن الشيباني، و منعه أبو حنيفة و الشافعي و آخرون، انظر 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مروي عن سفيان الثوري،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قولي الشافعي في المسألة، انظر 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مروي عن مالك و أصحابه، و حدد أبو حنيفة الخرق بأن يكون أقل من ثلاثة أصابع،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مروي عن مالك،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أبي حنيفة و الشافعي، انظر 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ابن لبانة في المنتخب، و قد روى عن ابن القاسم عن مالك، انظر 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قال بالاكتفاء أبو حنيفة، و ممن قال بعدمه الشافعي،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قال بهذا القول داود و ابن أبي ليلى،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الحسن بن حي،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بذلك الشافعي، و بكل واحد من هذه الأقوال الثلاثة قالت طائفة من فقهاء التابعين، انظر 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الإجماع فخر الدين الرازي</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الحديث في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به ابن رشد في أول 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بدايته، حيث ذكر اختلافهم في تحديد محل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اختلافهم تعارض الآثار الواردة في ذلك، و اعترف به أيضا في</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إجماعهم عليه السّلام على هذا غير واحد من أعلام الإمامية، أحدهم الإمام السيد علي الطباطبائي في كتابه البرهان القاطع،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كيفية مسح الرجلين،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أعلام الإمامية يدينون للّٰه متقربين اليه بالعمل على ما يقتضيه مذهب أئمة أهل البيت عليهم السّلام في الفروع و الأصول منذ عهدهم عليهم السّلام إلى يومنا، فهم أعرف الناس بفقههم و حديثهم و سرّهم و علانيتهم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أخبارهم المعارضة لأخبار الجمهور في هذه المسألة كثيرة، حتى قال الإمام الطباطبائي في برهانه القاطع،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كيفية مسح الرجلين،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الإمام أبا حنيفة يرى أن الوضوء من الواجبات التوصلية، لا تتوقف صحته على نية كغسل الثوب المتنجس، و هذا الرأي في المسح على الخفّين في الخصوص كما ترى،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 محمد جواد مغنية،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أول تفسير سورة المائدة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الطهارة، باب المسح على الخفّين،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تعليقه على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قال في سورة المائدة فَاغْسِلُوا وُجُوهَكُمْ وَ أَيْدِيَكُمْ إِلَى الْمَرٰافِقِ وَ امْسَحُوا بِرُؤُسِكُمْ وَ أَرْجُلَكُمْ إِلَى الْكَعْبَيْنِ، فلو كان إسلام جرير متقدما على نزول المائدة لاحتمل كون حديثه في مسح الخف منسوخا بآية المائدة، فلما كان إسلامه متأخرا علمنا أن حديثه يعمل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لنا العلم بتأخره و قد بيّنا في الأصل تأخّر المائدة؟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الإصابة،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حسبك ما أخرجه البخاري في صحيحه في الجزء الخامس في كتاب التفسير في تفسيره لسورة المائدة من نزول بعض آياتها على رسول اللّٰه صلّى اللّه عليه و آله يوم عرفة و هو على راحلته في حجة الوداع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التأريخ،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 إرشاد الساري،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الوضوء، باب المسح على الخفين،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المغازي، غزوة المريسيع،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أسباب النزول،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قولها هذا في 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الحادي عشر من تفسير الرازي، و هناك كلمة ابن عباس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 كما في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قال ذلك الكرخي، كما نقله عنه القسطلاني في إرشاد الساري،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الوضوء، باب المسح على الخف،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الخلاف نقله ابن رشد في بدايته،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أحمد و أبي ثور و القاسم بن سلام، و نقله الرازي في تفسيره،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عن الأوزاعي و الثوري و أحمد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الطهارة، باب المسح على مقدّم الرأس،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رشد في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القضية ابن سعد في ترجمة المغيرة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 الجزء الرابع من كتاب الطبقات بسنده إلى المغيرة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قوما من العرب متمسكين بديننا و نحن سدنة اللات، فأراني لو رأيت قومنا قد أسلموا ما تبعتهم، فأجمع نفر من بني مالك الوفود على المقوقس و أهدوا له هدايا، فأجمعت الخروج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قد سمعت مضمونه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تفصيلها في ترجمة يزيد بن زياد الحميري من وفيات الأعيان لابن خلكان،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إليها أصحاب المعاجم في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ترجموا المغيرة و الشهود عليه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بكرة و شبل بن معبد الصحابيان و نافع بن الحارث بن كلدة و زياد بن أبيه، و هي مما لا يخلو منها كتاب يشتمل على 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كان رسول اللّٰه صلّى اللّٰه عليه و آله يمسح على مقدّم رأسه اختصوه بالمسح اقتصارا على القدر المتيقّن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ابن رشد في بدايته،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 الفقه على المذاهب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فرائض الوضوء،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جزئه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 الفقه على المذاهب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فرائض الوضوء،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اشترطوا الترتيب في نفس الأعضاء، فأوجبوا غسل الأعلى قبل الأسفل اقتداء بأئمتهم و عملا بنصوصهم عليهم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عنهم ابن رشد في بداية المجتهد،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 الفقه على المذاهب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فرائض الوضوء،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بداية المجتهد،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 الفقه على المذاهب الأربعة،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شروط الوضوء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عابدين،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جواد مغنية، الفقه على المذاهب الخمسة، 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كيفية الوضوء، 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الفقه على المذاهب الخمسة،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النبيذ فعيل بمعنى مفعول، و هو الماء الذي ينبذ فيه نحو التمر و الزبيب لتخرج حلاوته إلى الماء، و هو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مسكر و غير مسكر، و محل النزاع هنا انما هو غير المسكر، اما المسكر فلا خلاف في عدم جواز الوضوء به نبيذا كان أم غير نبيذ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متواتر عن أبي حنيفة، و قد نقله عنه ابن رشد في بداية المجتهد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الإمام الرازي حول آية التيمم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البخاري في الجزء الأول، كتاب الوضوء، باب لا يجوز الوضوء بالنبيذ و لا المسكر من صحيحه،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عن كل من الحسن البصري و أبي العالية و عطاء ما قد نقلناه في الأصل عنهم فراجع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القسطلاني في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اشتراط طهارة الماء في الوضوء،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بداية المجتهد لابن رشد،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عمرو بن العاص لا يجيز الوضوء بماء البحر كما هو مشهور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الرازي عنه ذلك حول آية الوضوء من سورة المائدة،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السطيحة من أواني الماء ما كان من جلدين قوبل أحدهما بالآخر فسطح عليه، تكون صغيرة و كبيرة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الوضوء بالنبيذ،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 الضعفاء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الوضوء بالنبيذ،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الترمذي، في سننه،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الوضوء بالنبيذ،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أبو داود في سننه،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الوضوء بالنبيذ،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الوضوء بالنبيذ،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القسطلاني في شرحه لصحيح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الوضوء، باب لا يجوز الوضوء بالنبيذ و لا المسكر،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 شرح صحيح البخاري للشيخ زكريا الأنصاري،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المطبوع مع شرح القسطلاني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 الوضوء بالنبيذ،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الترمذي في سننه،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تفسير القرآن، سورة الأحقاف،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الوضوء قبلها سنّة مستحبة، و لم يكن التيمم مشروعا حتى نزلت آيته بعد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القسطلاني في شرحه لصحيح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الوضوء، باب لا يجوز الوضوء بالنبيذ،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حكى ذلك عنهم الامام القسطلاني في الجزء الأول، كتاب الوضوء، باب لا يجوز الوضوء بالنبيذ و لا المسكر،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10196</Words>
  <Characters>40205</Characters>
  <CharactersWithSpaces>50096</CharactersWithSpaces>
  <Paragraphs>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2026-08-16T18:49:56Z</dcterms:created>
  <dc:creator>ghaemiyeh.com</dc:creator>
  <dc:description/>
  <dc:language>en-US</dc:language>
  <cp:lastModifiedBy/>
  <dcterms:modified xsi:type="dcterms:W3CDTF">2026-08-16T22:19:58Z</dcterms:modified>
  <cp:revision>1</cp:revision>
  <dc:subject/>
  <dc:title>المسح علی الارجل او غسلها فی الوضوء</dc:title>
</cp:coreProperties>
</file>

<file path=docProps/custom.xml><?xml version="1.0" encoding="utf-8"?>
<Properties xmlns="http://schemas.openxmlformats.org/officeDocument/2006/custom-properties" xmlns:vt="http://schemas.openxmlformats.org/officeDocument/2006/docPropsVTypes"/>
</file>