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خدای مجسم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641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8642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86423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886425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886427_3650668749">
            <w:r>
              <w:rPr>
                <w:webHidden/>
                <w:rStyle w:val="IndexLink"/>
                <w:rtl w:val="true"/>
              </w:rPr>
              <w:t>تاريخچه قول به تجسيم‌</w:t>
            </w:r>
            <w:r>
              <w:rPr>
                <w:rStyle w:val="IndexLink"/>
                <w:rtl w:val="true"/>
              </w:rPr>
              <w:tab/>
            </w:r>
            <w:r>
              <w:rPr>
                <w:rStyle w:val="IndexLink"/>
              </w:rPr>
              <w:t>13</w:t>
            </w:r>
          </w:hyperlink>
        </w:p>
        <w:p>
          <w:pPr>
            <w:pStyle w:val="Contents3"/>
            <w:tabs>
              <w:tab w:val="clear" w:pos="8459"/>
              <w:tab w:val="right" w:pos="9026" w:leader="dot"/>
            </w:tabs>
            <w:rPr/>
          </w:pPr>
          <w:hyperlink w:anchor="__RefHeading___Toc1886429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886431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886433_3650668749">
            <w:r>
              <w:rPr>
                <w:webHidden/>
                <w:rStyle w:val="IndexLink"/>
                <w:rtl w:val="true"/>
              </w:rPr>
              <w:t>دوره اول</w:t>
            </w:r>
            <w:r>
              <w:rPr>
                <w:rStyle w:val="IndexLink"/>
                <w:rtl w:val="true"/>
              </w:rPr>
              <w:t xml:space="preserve">: </w:t>
            </w:r>
            <w:r>
              <w:rPr>
                <w:rStyle w:val="IndexLink"/>
                <w:rtl w:val="true"/>
              </w:rPr>
              <w:t>عصر يهود</w:t>
            </w:r>
            <w:r>
              <w:rPr>
                <w:rStyle w:val="IndexLink"/>
                <w:rtl w:val="true"/>
              </w:rPr>
              <w:tab/>
            </w:r>
            <w:r>
              <w:rPr>
                <w:rStyle w:val="IndexLink"/>
              </w:rPr>
              <w:t>15</w:t>
            </w:r>
          </w:hyperlink>
        </w:p>
        <w:p>
          <w:pPr>
            <w:pStyle w:val="Contents3"/>
            <w:tabs>
              <w:tab w:val="clear" w:pos="8459"/>
              <w:tab w:val="right" w:pos="9026" w:leader="dot"/>
            </w:tabs>
            <w:rPr/>
          </w:pPr>
          <w:hyperlink w:anchor="__RefHeading___Toc1886435_3650668749">
            <w:r>
              <w:rPr>
                <w:webHidden/>
                <w:rStyle w:val="IndexLink"/>
                <w:rtl w:val="true"/>
              </w:rPr>
              <w:t>دوره دوم</w:t>
            </w:r>
            <w:r>
              <w:rPr>
                <w:rStyle w:val="IndexLink"/>
                <w:rtl w:val="true"/>
              </w:rPr>
              <w:t xml:space="preserve">: </w:t>
            </w:r>
            <w:r>
              <w:rPr>
                <w:rStyle w:val="IndexLink"/>
                <w:rtl w:val="true"/>
              </w:rPr>
              <w:t>عصر صحابه‌</w:t>
            </w:r>
            <w:r>
              <w:rPr>
                <w:rStyle w:val="IndexLink"/>
                <w:rtl w:val="true"/>
              </w:rPr>
              <w:tab/>
            </w:r>
            <w:r>
              <w:rPr>
                <w:rStyle w:val="IndexLink"/>
              </w:rPr>
              <w:t>15</w:t>
            </w:r>
          </w:hyperlink>
        </w:p>
        <w:p>
          <w:pPr>
            <w:pStyle w:val="Contents3"/>
            <w:tabs>
              <w:tab w:val="clear" w:pos="8459"/>
              <w:tab w:val="right" w:pos="9026" w:leader="dot"/>
            </w:tabs>
            <w:rPr/>
          </w:pPr>
          <w:hyperlink w:anchor="__RefHeading___Toc1886437_3650668749">
            <w:r>
              <w:rPr>
                <w:webHidden/>
                <w:rStyle w:val="IndexLink"/>
                <w:rtl w:val="true"/>
              </w:rPr>
              <w:t>دوره سوم</w:t>
            </w:r>
            <w:r>
              <w:rPr>
                <w:rStyle w:val="IndexLink"/>
                <w:rtl w:val="true"/>
              </w:rPr>
              <w:t xml:space="preserve">: </w:t>
            </w:r>
            <w:r>
              <w:rPr>
                <w:rStyle w:val="IndexLink"/>
                <w:rtl w:val="true"/>
              </w:rPr>
              <w:t>از زمان تابعين تا احمد بن حنبل‌</w:t>
            </w:r>
            <w:r>
              <w:rPr>
                <w:rStyle w:val="IndexLink"/>
                <w:rtl w:val="true"/>
              </w:rPr>
              <w:tab/>
            </w:r>
            <w:r>
              <w:rPr>
                <w:rStyle w:val="IndexLink"/>
              </w:rPr>
              <w:t>18</w:t>
            </w:r>
          </w:hyperlink>
        </w:p>
        <w:p>
          <w:pPr>
            <w:pStyle w:val="Contents4"/>
            <w:tabs>
              <w:tab w:val="clear" w:pos="8176"/>
              <w:tab w:val="right" w:pos="9026" w:leader="dot"/>
            </w:tabs>
            <w:rPr/>
          </w:pPr>
          <w:hyperlink w:anchor="__RefHeading___Toc1886439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86441_3650668749">
            <w:r>
              <w:rPr>
                <w:webHidden/>
                <w:rStyle w:val="IndexLink"/>
              </w:rPr>
              <w:t>1</w:t>
            </w:r>
            <w:r>
              <w:rPr>
                <w:rStyle w:val="IndexLink"/>
                <w:rtl w:val="true"/>
              </w:rPr>
              <w:t xml:space="preserve">. </w:t>
            </w:r>
            <w:r>
              <w:rPr>
                <w:rStyle w:val="IndexLink"/>
                <w:rtl w:val="true"/>
              </w:rPr>
              <w:t xml:space="preserve">نعيم بن حماد </w:t>
            </w:r>
            <w:r>
              <w:rPr>
                <w:rStyle w:val="IndexLink"/>
                <w:rtl w:val="true"/>
              </w:rPr>
              <w:t>(</w:t>
            </w:r>
            <w:r>
              <w:rPr>
                <w:rStyle w:val="IndexLink"/>
              </w:rPr>
              <w:t>228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w:t>
            </w:r>
          </w:hyperlink>
        </w:p>
        <w:p>
          <w:pPr>
            <w:pStyle w:val="Contents4"/>
            <w:tabs>
              <w:tab w:val="clear" w:pos="8176"/>
              <w:tab w:val="right" w:pos="9026" w:leader="dot"/>
            </w:tabs>
            <w:rPr/>
          </w:pPr>
          <w:hyperlink w:anchor="__RefHeading___Toc1886443_3650668749">
            <w:r>
              <w:rPr>
                <w:webHidden/>
                <w:rStyle w:val="IndexLink"/>
              </w:rPr>
              <w:t>2</w:t>
            </w:r>
            <w:r>
              <w:rPr>
                <w:rStyle w:val="IndexLink"/>
                <w:rtl w:val="true"/>
              </w:rPr>
              <w:t xml:space="preserve">. </w:t>
            </w:r>
            <w:r>
              <w:rPr>
                <w:rStyle w:val="IndexLink"/>
                <w:rtl w:val="true"/>
              </w:rPr>
              <w:t xml:space="preserve">مقاتل بن سليمان </w:t>
            </w:r>
            <w:r>
              <w:rPr>
                <w:rStyle w:val="IndexLink"/>
                <w:rtl w:val="true"/>
              </w:rPr>
              <w:t>(</w:t>
            </w:r>
            <w:r>
              <w:rPr>
                <w:rStyle w:val="IndexLink"/>
              </w:rPr>
              <w:t>155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4"/>
            <w:tabs>
              <w:tab w:val="clear" w:pos="8176"/>
              <w:tab w:val="right" w:pos="9026" w:leader="dot"/>
            </w:tabs>
            <w:rPr/>
          </w:pPr>
          <w:hyperlink w:anchor="__RefHeading___Toc1886445_3650668749">
            <w:r>
              <w:rPr>
                <w:webHidden/>
                <w:rStyle w:val="IndexLink"/>
              </w:rPr>
              <w:t>3</w:t>
            </w:r>
            <w:r>
              <w:rPr>
                <w:rStyle w:val="IndexLink"/>
                <w:rtl w:val="true"/>
              </w:rPr>
              <w:t xml:space="preserve">. </w:t>
            </w:r>
            <w:r>
              <w:rPr>
                <w:rStyle w:val="IndexLink"/>
                <w:rtl w:val="true"/>
              </w:rPr>
              <w:t xml:space="preserve">وهب بن منبه </w:t>
            </w:r>
            <w:r>
              <w:rPr>
                <w:rStyle w:val="IndexLink"/>
                <w:rtl w:val="true"/>
              </w:rPr>
              <w:t>(</w:t>
            </w:r>
            <w:r>
              <w:rPr>
                <w:rStyle w:val="IndexLink"/>
              </w:rPr>
              <w:t>114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5"/>
            <w:tabs>
              <w:tab w:val="clear" w:pos="7892"/>
              <w:tab w:val="right" w:pos="9026" w:leader="dot"/>
            </w:tabs>
            <w:rPr/>
          </w:pPr>
          <w:hyperlink w:anchor="__RefHeading___Toc1886447_365066874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86449_3650668749">
            <w:r>
              <w:rPr>
                <w:webHidden/>
                <w:rStyle w:val="IndexLink"/>
              </w:rPr>
              <w:t>4</w:t>
            </w:r>
            <w:r>
              <w:rPr>
                <w:rStyle w:val="IndexLink"/>
                <w:rtl w:val="true"/>
              </w:rPr>
              <w:t xml:space="preserve">. </w:t>
            </w:r>
            <w:r>
              <w:rPr>
                <w:rStyle w:val="IndexLink"/>
                <w:rtl w:val="true"/>
              </w:rPr>
              <w:t xml:space="preserve">محمّد بن كرّام سجستانى </w:t>
            </w:r>
            <w:r>
              <w:rPr>
                <w:rStyle w:val="IndexLink"/>
                <w:rtl w:val="true"/>
              </w:rPr>
              <w:t>(</w:t>
            </w:r>
            <w:r>
              <w:rPr>
                <w:rStyle w:val="IndexLink"/>
              </w:rPr>
              <w:t>255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4"/>
            <w:tabs>
              <w:tab w:val="clear" w:pos="8176"/>
              <w:tab w:val="right" w:pos="9026" w:leader="dot"/>
            </w:tabs>
            <w:rPr/>
          </w:pPr>
          <w:hyperlink w:anchor="__RefHeading___Toc1886451_3650668749">
            <w:r>
              <w:rPr>
                <w:webHidden/>
                <w:rStyle w:val="IndexLink"/>
              </w:rPr>
              <w:t>6</w:t>
            </w:r>
            <w:r>
              <w:rPr>
                <w:rStyle w:val="IndexLink"/>
                <w:rtl w:val="true"/>
              </w:rPr>
              <w:t xml:space="preserve">. </w:t>
            </w:r>
            <w:r>
              <w:rPr>
                <w:rStyle w:val="IndexLink"/>
                <w:rtl w:val="true"/>
              </w:rPr>
              <w:t xml:space="preserve">نوح ابن ابى مريم </w:t>
            </w:r>
            <w:r>
              <w:rPr>
                <w:rStyle w:val="IndexLink"/>
                <w:rtl w:val="true"/>
              </w:rPr>
              <w:t>(</w:t>
            </w:r>
            <w:r>
              <w:rPr>
                <w:rStyle w:val="IndexLink"/>
              </w:rPr>
              <w:t>173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5"/>
            <w:tabs>
              <w:tab w:val="clear" w:pos="7892"/>
              <w:tab w:val="right" w:pos="9026" w:leader="dot"/>
            </w:tabs>
            <w:rPr/>
          </w:pPr>
          <w:hyperlink w:anchor="__RefHeading___Toc1886453_365066874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86455_3650668749">
            <w:r>
              <w:rPr>
                <w:webHidden/>
                <w:rStyle w:val="IndexLink"/>
              </w:rPr>
              <w:t>5</w:t>
            </w:r>
            <w:r>
              <w:rPr>
                <w:rStyle w:val="IndexLink"/>
                <w:rtl w:val="true"/>
              </w:rPr>
              <w:t xml:space="preserve">. </w:t>
            </w:r>
            <w:r>
              <w:rPr>
                <w:rStyle w:val="IndexLink"/>
                <w:rtl w:val="true"/>
              </w:rPr>
              <w:t xml:space="preserve">حماد بن سلمه </w:t>
            </w:r>
            <w:r>
              <w:rPr>
                <w:rStyle w:val="IndexLink"/>
                <w:rtl w:val="true"/>
              </w:rPr>
              <w:t>(</w:t>
            </w:r>
            <w:r>
              <w:rPr>
                <w:rStyle w:val="IndexLink"/>
              </w:rPr>
              <w:t>167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3"/>
            <w:tabs>
              <w:tab w:val="clear" w:pos="8459"/>
              <w:tab w:val="right" w:pos="9026" w:leader="dot"/>
            </w:tabs>
            <w:rPr/>
          </w:pPr>
          <w:hyperlink w:anchor="__RefHeading___Toc1886457_3650668749">
            <w:r>
              <w:rPr>
                <w:webHidden/>
                <w:rStyle w:val="IndexLink"/>
                <w:rtl w:val="true"/>
              </w:rPr>
              <w:t>حشويه وقول به تجسيم‌</w:t>
            </w:r>
            <w:r>
              <w:rPr>
                <w:rStyle w:val="IndexLink"/>
                <w:rtl w:val="true"/>
              </w:rPr>
              <w:tab/>
            </w:r>
            <w:r>
              <w:rPr>
                <w:rStyle w:val="IndexLink"/>
              </w:rPr>
              <w:t>21</w:t>
            </w:r>
          </w:hyperlink>
        </w:p>
        <w:p>
          <w:pPr>
            <w:pStyle w:val="Contents3"/>
            <w:tabs>
              <w:tab w:val="clear" w:pos="8459"/>
              <w:tab w:val="right" w:pos="9026" w:leader="dot"/>
            </w:tabs>
            <w:rPr/>
          </w:pPr>
          <w:hyperlink w:anchor="__RefHeading___Toc1886459_3650668749">
            <w:r>
              <w:rPr>
                <w:webHidden/>
                <w:rStyle w:val="IndexLink"/>
                <w:rtl w:val="true"/>
              </w:rPr>
              <w:t>دور چهارم</w:t>
            </w:r>
            <w:r>
              <w:rPr>
                <w:rStyle w:val="IndexLink"/>
                <w:rtl w:val="true"/>
              </w:rPr>
              <w:t xml:space="preserve">: </w:t>
            </w:r>
            <w:r>
              <w:rPr>
                <w:rStyle w:val="IndexLink"/>
                <w:rtl w:val="true"/>
              </w:rPr>
              <w:t>از عصر احمد بن حنبل تا ابن تيميمه‌</w:t>
            </w:r>
            <w:r>
              <w:rPr>
                <w:rStyle w:val="IndexLink"/>
                <w:rtl w:val="true"/>
              </w:rPr>
              <w:tab/>
            </w:r>
            <w:r>
              <w:rPr>
                <w:rStyle w:val="IndexLink"/>
              </w:rPr>
              <w:t>24</w:t>
            </w:r>
          </w:hyperlink>
        </w:p>
        <w:p>
          <w:pPr>
            <w:pStyle w:val="Contents3"/>
            <w:tabs>
              <w:tab w:val="clear" w:pos="8459"/>
              <w:tab w:val="right" w:pos="9026" w:leader="dot"/>
            </w:tabs>
            <w:rPr/>
          </w:pPr>
          <w:hyperlink w:anchor="__RefHeading___Toc1886461_3650668749">
            <w:r>
              <w:rPr>
                <w:webHidden/>
                <w:rStyle w:val="IndexLink"/>
                <w:rtl w:val="true"/>
              </w:rPr>
              <w:t>دوره پنجم</w:t>
            </w:r>
            <w:r>
              <w:rPr>
                <w:rStyle w:val="IndexLink"/>
                <w:rtl w:val="true"/>
              </w:rPr>
              <w:t xml:space="preserve">: </w:t>
            </w:r>
            <w:r>
              <w:rPr>
                <w:rStyle w:val="IndexLink"/>
                <w:rtl w:val="true"/>
              </w:rPr>
              <w:t>از عصر ابن تيميه تا محمد بن عبدالوهاب‌</w:t>
            </w:r>
            <w:r>
              <w:rPr>
                <w:rStyle w:val="IndexLink"/>
                <w:rtl w:val="true"/>
              </w:rPr>
              <w:tab/>
            </w:r>
            <w:r>
              <w:rPr>
                <w:rStyle w:val="IndexLink"/>
              </w:rPr>
              <w:t>29</w:t>
            </w:r>
          </w:hyperlink>
        </w:p>
        <w:p>
          <w:pPr>
            <w:pStyle w:val="Contents3"/>
            <w:tabs>
              <w:tab w:val="clear" w:pos="8459"/>
              <w:tab w:val="right" w:pos="9026" w:leader="dot"/>
            </w:tabs>
            <w:rPr/>
          </w:pPr>
          <w:hyperlink w:anchor="__RefHeading___Toc1886463_3650668749">
            <w:r>
              <w:rPr>
                <w:webHidden/>
                <w:rStyle w:val="IndexLink"/>
                <w:rtl w:val="true"/>
              </w:rPr>
              <w:t>دوره ششم</w:t>
            </w:r>
            <w:r>
              <w:rPr>
                <w:rStyle w:val="IndexLink"/>
                <w:rtl w:val="true"/>
              </w:rPr>
              <w:t xml:space="preserve">: </w:t>
            </w:r>
            <w:r>
              <w:rPr>
                <w:rStyle w:val="IndexLink"/>
                <w:rtl w:val="true"/>
              </w:rPr>
              <w:t>عصر محمد بن عبدالوهاب‌</w:t>
            </w:r>
            <w:r>
              <w:rPr>
                <w:rStyle w:val="IndexLink"/>
                <w:rtl w:val="true"/>
              </w:rPr>
              <w:tab/>
            </w:r>
            <w:r>
              <w:rPr>
                <w:rStyle w:val="IndexLink"/>
              </w:rPr>
              <w:t>31</w:t>
            </w:r>
          </w:hyperlink>
        </w:p>
        <w:p>
          <w:pPr>
            <w:pStyle w:val="Contents3"/>
            <w:tabs>
              <w:tab w:val="clear" w:pos="8459"/>
              <w:tab w:val="right" w:pos="9026" w:leader="dot"/>
            </w:tabs>
            <w:rPr/>
          </w:pPr>
          <w:hyperlink w:anchor="__RefHeading___Toc1886465_3650668749">
            <w:r>
              <w:rPr>
                <w:webHidden/>
                <w:rStyle w:val="IndexLink"/>
                <w:rtl w:val="true"/>
              </w:rPr>
              <w:t>دوره هفتم</w:t>
            </w:r>
            <w:r>
              <w:rPr>
                <w:rStyle w:val="IndexLink"/>
                <w:rtl w:val="true"/>
              </w:rPr>
              <w:t xml:space="preserve">: </w:t>
            </w:r>
            <w:r>
              <w:rPr>
                <w:rStyle w:val="IndexLink"/>
                <w:rtl w:val="true"/>
              </w:rPr>
              <w:t>عصر وهابيان معاصر</w:t>
            </w:r>
            <w:r>
              <w:rPr>
                <w:rStyle w:val="IndexLink"/>
                <w:rtl w:val="true"/>
              </w:rPr>
              <w:tab/>
            </w:r>
            <w:r>
              <w:rPr>
                <w:rStyle w:val="IndexLink"/>
              </w:rPr>
              <w:t>40</w:t>
            </w:r>
          </w:hyperlink>
        </w:p>
        <w:p>
          <w:pPr>
            <w:pStyle w:val="Contents2"/>
            <w:tabs>
              <w:tab w:val="clear" w:pos="8743"/>
              <w:tab w:val="right" w:pos="9026" w:leader="dot"/>
            </w:tabs>
            <w:rPr/>
          </w:pPr>
          <w:hyperlink w:anchor="__RefHeading___Toc1886467_3650668749">
            <w:r>
              <w:rPr>
                <w:webHidden/>
                <w:rStyle w:val="IndexLink"/>
                <w:rtl w:val="true"/>
              </w:rPr>
              <w:t>تجسيم وهابيان از ديدگاه اهل سنت‌</w:t>
            </w:r>
            <w:r>
              <w:rPr>
                <w:rStyle w:val="IndexLink"/>
                <w:rtl w:val="true"/>
              </w:rPr>
              <w:tab/>
            </w:r>
            <w:r>
              <w:rPr>
                <w:rStyle w:val="IndexLink"/>
              </w:rPr>
              <w:t>40</w:t>
            </w:r>
          </w:hyperlink>
        </w:p>
        <w:p>
          <w:pPr>
            <w:pStyle w:val="Contents3"/>
            <w:tabs>
              <w:tab w:val="clear" w:pos="8459"/>
              <w:tab w:val="right" w:pos="9026" w:leader="dot"/>
            </w:tabs>
            <w:rPr/>
          </w:pPr>
          <w:hyperlink w:anchor="__RefHeading___Toc1886469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886471_3650668749">
            <w:r>
              <w:rPr>
                <w:webHidden/>
                <w:rStyle w:val="IndexLink"/>
              </w:rPr>
              <w:t>1</w:t>
            </w:r>
            <w:r>
              <w:rPr>
                <w:rStyle w:val="IndexLink"/>
                <w:rtl w:val="true"/>
              </w:rPr>
              <w:t xml:space="preserve">. </w:t>
            </w:r>
            <w:r>
              <w:rPr>
                <w:rStyle w:val="IndexLink"/>
                <w:rtl w:val="true"/>
              </w:rPr>
              <w:t>شيخ محمّد ابوزهره‌</w:t>
            </w:r>
            <w:r>
              <w:rPr>
                <w:rStyle w:val="IndexLink"/>
                <w:rtl w:val="true"/>
              </w:rPr>
              <w:tab/>
            </w:r>
            <w:r>
              <w:rPr>
                <w:rStyle w:val="IndexLink"/>
              </w:rPr>
              <w:t>40</w:t>
            </w:r>
          </w:hyperlink>
        </w:p>
        <w:p>
          <w:pPr>
            <w:pStyle w:val="Contents3"/>
            <w:tabs>
              <w:tab w:val="clear" w:pos="8459"/>
              <w:tab w:val="right" w:pos="9026" w:leader="dot"/>
            </w:tabs>
            <w:rPr/>
          </w:pPr>
          <w:hyperlink w:anchor="__RefHeading___Toc1886473_3650668749">
            <w:r>
              <w:rPr>
                <w:webHidden/>
                <w:rStyle w:val="IndexLink"/>
              </w:rPr>
              <w:t>2</w:t>
            </w:r>
            <w:r>
              <w:rPr>
                <w:rStyle w:val="IndexLink"/>
                <w:rtl w:val="true"/>
              </w:rPr>
              <w:t xml:space="preserve">. </w:t>
            </w:r>
            <w:r>
              <w:rPr>
                <w:rStyle w:val="IndexLink"/>
                <w:rtl w:val="true"/>
              </w:rPr>
              <w:t>ابن بطوطه‌</w:t>
            </w:r>
            <w:r>
              <w:rPr>
                <w:rStyle w:val="IndexLink"/>
                <w:rtl w:val="true"/>
              </w:rPr>
              <w:tab/>
            </w:r>
            <w:r>
              <w:rPr>
                <w:rStyle w:val="IndexLink"/>
              </w:rPr>
              <w:t>41</w:t>
            </w:r>
          </w:hyperlink>
        </w:p>
        <w:p>
          <w:pPr>
            <w:pStyle w:val="Contents3"/>
            <w:tabs>
              <w:tab w:val="clear" w:pos="8459"/>
              <w:tab w:val="right" w:pos="9026" w:leader="dot"/>
            </w:tabs>
            <w:rPr/>
          </w:pPr>
          <w:hyperlink w:anchor="__RefHeading___Toc1886475_3650668749">
            <w:r>
              <w:rPr>
                <w:webHidden/>
                <w:rStyle w:val="IndexLink"/>
              </w:rPr>
              <w:t>3</w:t>
            </w:r>
            <w:r>
              <w:rPr>
                <w:rStyle w:val="IndexLink"/>
                <w:rtl w:val="true"/>
              </w:rPr>
              <w:t xml:space="preserve">. </w:t>
            </w:r>
            <w:r>
              <w:rPr>
                <w:rStyle w:val="IndexLink"/>
                <w:rtl w:val="true"/>
              </w:rPr>
              <w:t>ابن الوردى‌</w:t>
            </w:r>
            <w:r>
              <w:rPr>
                <w:rStyle w:val="IndexLink"/>
                <w:rtl w:val="true"/>
              </w:rPr>
              <w:tab/>
            </w:r>
            <w:r>
              <w:rPr>
                <w:rStyle w:val="IndexLink"/>
              </w:rPr>
              <w:t>42</w:t>
            </w:r>
          </w:hyperlink>
        </w:p>
        <w:p>
          <w:pPr>
            <w:pStyle w:val="Contents3"/>
            <w:tabs>
              <w:tab w:val="clear" w:pos="8459"/>
              <w:tab w:val="right" w:pos="9026" w:leader="dot"/>
            </w:tabs>
            <w:rPr/>
          </w:pPr>
          <w:hyperlink w:anchor="__RefHeading___Toc1886477_3650668749">
            <w:r>
              <w:rPr>
                <w:webHidden/>
                <w:rStyle w:val="IndexLink"/>
              </w:rPr>
              <w:t>4</w:t>
            </w:r>
            <w:r>
              <w:rPr>
                <w:rStyle w:val="IndexLink"/>
                <w:rtl w:val="true"/>
              </w:rPr>
              <w:t xml:space="preserve">. </w:t>
            </w:r>
            <w:r>
              <w:rPr>
                <w:rStyle w:val="IndexLink"/>
                <w:rtl w:val="true"/>
              </w:rPr>
              <w:t>مصطفى بن عبدالله قسطنطنى حنفى معروف به حاجى خليفه‌</w:t>
            </w:r>
            <w:r>
              <w:rPr>
                <w:rStyle w:val="IndexLink"/>
                <w:rtl w:val="true"/>
              </w:rPr>
              <w:tab/>
            </w:r>
            <w:r>
              <w:rPr>
                <w:rStyle w:val="IndexLink"/>
              </w:rPr>
              <w:t>42</w:t>
            </w:r>
          </w:hyperlink>
        </w:p>
        <w:p>
          <w:pPr>
            <w:pStyle w:val="Contents3"/>
            <w:tabs>
              <w:tab w:val="clear" w:pos="8459"/>
              <w:tab w:val="right" w:pos="9026" w:leader="dot"/>
            </w:tabs>
            <w:rPr/>
          </w:pPr>
          <w:hyperlink w:anchor="__RefHeading___Toc1886479_3650668749">
            <w:r>
              <w:rPr>
                <w:webHidden/>
                <w:rStyle w:val="IndexLink"/>
              </w:rPr>
              <w:t>5</w:t>
            </w:r>
            <w:r>
              <w:rPr>
                <w:rStyle w:val="IndexLink"/>
                <w:rtl w:val="true"/>
              </w:rPr>
              <w:t xml:space="preserve">. </w:t>
            </w:r>
            <w:r>
              <w:rPr>
                <w:rStyle w:val="IndexLink"/>
                <w:rtl w:val="true"/>
              </w:rPr>
              <w:t>دكتر عيسى بن مانع حميرى، معاصر، سلفى‌</w:t>
            </w:r>
            <w:r>
              <w:rPr>
                <w:rStyle w:val="IndexLink"/>
                <w:rtl w:val="true"/>
              </w:rPr>
              <w:tab/>
            </w:r>
            <w:r>
              <w:rPr>
                <w:rStyle w:val="IndexLink"/>
              </w:rPr>
              <w:t>43</w:t>
            </w:r>
          </w:hyperlink>
        </w:p>
        <w:p>
          <w:pPr>
            <w:pStyle w:val="Contents3"/>
            <w:tabs>
              <w:tab w:val="clear" w:pos="8459"/>
              <w:tab w:val="right" w:pos="9026" w:leader="dot"/>
            </w:tabs>
            <w:rPr/>
          </w:pPr>
          <w:hyperlink w:anchor="__RefHeading___Toc1886481_3650668749">
            <w:r>
              <w:rPr>
                <w:webHidden/>
                <w:rStyle w:val="IndexLink"/>
              </w:rPr>
              <w:t>6</w:t>
            </w:r>
            <w:r>
              <w:rPr>
                <w:rStyle w:val="IndexLink"/>
                <w:rtl w:val="true"/>
              </w:rPr>
              <w:t xml:space="preserve">. </w:t>
            </w:r>
            <w:r>
              <w:rPr>
                <w:rStyle w:val="IndexLink"/>
                <w:rtl w:val="true"/>
              </w:rPr>
              <w:t>ابوالفداء سعيد عبداللطيف فوده‌</w:t>
            </w:r>
            <w:r>
              <w:rPr>
                <w:rStyle w:val="IndexLink"/>
                <w:rtl w:val="true"/>
              </w:rPr>
              <w:tab/>
            </w:r>
            <w:r>
              <w:rPr>
                <w:rStyle w:val="IndexLink"/>
              </w:rPr>
              <w:t>44</w:t>
            </w:r>
          </w:hyperlink>
        </w:p>
        <w:p>
          <w:pPr>
            <w:pStyle w:val="Contents3"/>
            <w:tabs>
              <w:tab w:val="clear" w:pos="8459"/>
              <w:tab w:val="right" w:pos="9026" w:leader="dot"/>
            </w:tabs>
            <w:rPr/>
          </w:pPr>
          <w:hyperlink w:anchor="__RefHeading___Toc1886483_3650668749">
            <w:r>
              <w:rPr>
                <w:webHidden/>
                <w:rStyle w:val="IndexLink"/>
              </w:rPr>
              <w:t>7</w:t>
            </w:r>
            <w:r>
              <w:rPr>
                <w:rStyle w:val="IndexLink"/>
                <w:rtl w:val="true"/>
              </w:rPr>
              <w:t xml:space="preserve">. </w:t>
            </w:r>
            <w:r>
              <w:rPr>
                <w:rStyle w:val="IndexLink"/>
                <w:rtl w:val="true"/>
              </w:rPr>
              <w:t>عبدالغنى حماده‌</w:t>
            </w:r>
            <w:r>
              <w:rPr>
                <w:rStyle w:val="IndexLink"/>
                <w:rtl w:val="true"/>
              </w:rPr>
              <w:tab/>
            </w:r>
            <w:r>
              <w:rPr>
                <w:rStyle w:val="IndexLink"/>
              </w:rPr>
              <w:t>45</w:t>
            </w:r>
          </w:hyperlink>
        </w:p>
        <w:p>
          <w:pPr>
            <w:pStyle w:val="Contents3"/>
            <w:tabs>
              <w:tab w:val="clear" w:pos="8459"/>
              <w:tab w:val="right" w:pos="9026" w:leader="dot"/>
            </w:tabs>
            <w:rPr/>
          </w:pPr>
          <w:hyperlink w:anchor="__RefHeading___Toc1886485_3650668749">
            <w:r>
              <w:rPr>
                <w:webHidden/>
                <w:rStyle w:val="IndexLink"/>
              </w:rPr>
              <w:t>8</w:t>
            </w:r>
            <w:r>
              <w:rPr>
                <w:rStyle w:val="IndexLink"/>
                <w:rtl w:val="true"/>
              </w:rPr>
              <w:t xml:space="preserve">. </w:t>
            </w:r>
            <w:r>
              <w:rPr>
                <w:rStyle w:val="IndexLink"/>
                <w:rtl w:val="true"/>
              </w:rPr>
              <w:t xml:space="preserve">شيخ سلامه قضاعى عزامى شافعى </w:t>
            </w:r>
            <w:r>
              <w:rPr>
                <w:rStyle w:val="IndexLink"/>
                <w:rtl w:val="true"/>
              </w:rPr>
              <w:t>(</w:t>
            </w:r>
            <w:r>
              <w:rPr>
                <w:rStyle w:val="IndexLink"/>
                <w:rtl w:val="true"/>
              </w:rPr>
              <w:t xml:space="preserve">م </w:t>
            </w:r>
            <w:r>
              <w:rPr>
                <w:rStyle w:val="IndexLink"/>
              </w:rPr>
              <w:t>1376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3"/>
            <w:tabs>
              <w:tab w:val="clear" w:pos="8459"/>
              <w:tab w:val="right" w:pos="9026" w:leader="dot"/>
            </w:tabs>
            <w:rPr/>
          </w:pPr>
          <w:hyperlink w:anchor="__RefHeading___Toc1886487_3650668749">
            <w:r>
              <w:rPr>
                <w:webHidden/>
                <w:rStyle w:val="IndexLink"/>
              </w:rPr>
              <w:t>9</w:t>
            </w:r>
            <w:r>
              <w:rPr>
                <w:rStyle w:val="IndexLink"/>
                <w:rtl w:val="true"/>
              </w:rPr>
              <w:t xml:space="preserve">. </w:t>
            </w:r>
            <w:r>
              <w:rPr>
                <w:rStyle w:val="IndexLink"/>
                <w:rtl w:val="true"/>
              </w:rPr>
              <w:t xml:space="preserve">نجم الدين محمّد امين كردى شافعى </w:t>
            </w:r>
            <w:r>
              <w:rPr>
                <w:rStyle w:val="IndexLink"/>
                <w:rtl w:val="true"/>
              </w:rPr>
              <w:t>(</w:t>
            </w:r>
            <w:r>
              <w:rPr>
                <w:rStyle w:val="IndexLink"/>
                <w:rtl w:val="true"/>
              </w:rPr>
              <w:t xml:space="preserve">م </w:t>
            </w:r>
            <w:r>
              <w:rPr>
                <w:rStyle w:val="IndexLink"/>
              </w:rPr>
              <w:t>1400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3"/>
            <w:tabs>
              <w:tab w:val="clear" w:pos="8459"/>
              <w:tab w:val="right" w:pos="9026" w:leader="dot"/>
            </w:tabs>
            <w:rPr/>
          </w:pPr>
          <w:hyperlink w:anchor="__RefHeading___Toc1886489_3650668749">
            <w:r>
              <w:rPr>
                <w:webHidden/>
                <w:rStyle w:val="IndexLink"/>
              </w:rPr>
              <w:t>10</w:t>
            </w:r>
            <w:r>
              <w:rPr>
                <w:rStyle w:val="IndexLink"/>
                <w:rtl w:val="true"/>
              </w:rPr>
              <w:t xml:space="preserve">. </w:t>
            </w:r>
            <w:r>
              <w:rPr>
                <w:rStyle w:val="IndexLink"/>
                <w:rtl w:val="true"/>
              </w:rPr>
              <w:t xml:space="preserve">تقى‌الدين ابوبكر بن محمّد حسينى حصنى شافعى </w:t>
            </w:r>
            <w:r>
              <w:rPr>
                <w:rStyle w:val="IndexLink"/>
                <w:rtl w:val="true"/>
              </w:rPr>
              <w:t>(</w:t>
            </w:r>
            <w:r>
              <w:rPr>
                <w:rStyle w:val="IndexLink"/>
                <w:rtl w:val="true"/>
              </w:rPr>
              <w:t xml:space="preserve">م </w:t>
            </w:r>
            <w:r>
              <w:rPr>
                <w:rStyle w:val="IndexLink"/>
              </w:rPr>
              <w:t>829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w:t>
            </w:r>
          </w:hyperlink>
        </w:p>
        <w:p>
          <w:pPr>
            <w:pStyle w:val="Contents3"/>
            <w:tabs>
              <w:tab w:val="clear" w:pos="8459"/>
              <w:tab w:val="right" w:pos="9026" w:leader="dot"/>
            </w:tabs>
            <w:rPr/>
          </w:pPr>
          <w:hyperlink w:anchor="__RefHeading___Toc1886491_3650668749">
            <w:r>
              <w:rPr>
                <w:webHidden/>
                <w:rStyle w:val="IndexLink"/>
              </w:rPr>
              <w:t>11</w:t>
            </w:r>
            <w:r>
              <w:rPr>
                <w:rStyle w:val="IndexLink"/>
                <w:rtl w:val="true"/>
              </w:rPr>
              <w:t xml:space="preserve">. </w:t>
            </w:r>
            <w:r>
              <w:rPr>
                <w:rStyle w:val="IndexLink"/>
                <w:rtl w:val="true"/>
              </w:rPr>
              <w:t>قاضى سبكى‌</w:t>
            </w:r>
            <w:r>
              <w:rPr>
                <w:rStyle w:val="IndexLink"/>
                <w:rtl w:val="true"/>
              </w:rPr>
              <w:tab/>
            </w:r>
            <w:r>
              <w:rPr>
                <w:rStyle w:val="IndexLink"/>
              </w:rPr>
              <w:t>50</w:t>
            </w:r>
          </w:hyperlink>
        </w:p>
        <w:p>
          <w:pPr>
            <w:pStyle w:val="Contents3"/>
            <w:tabs>
              <w:tab w:val="clear" w:pos="8459"/>
              <w:tab w:val="right" w:pos="9026" w:leader="dot"/>
            </w:tabs>
            <w:rPr/>
          </w:pPr>
          <w:hyperlink w:anchor="__RefHeading___Toc1886493_3650668749">
            <w:r>
              <w:rPr>
                <w:webHidden/>
                <w:rStyle w:val="IndexLink"/>
              </w:rPr>
              <w:t>12</w:t>
            </w:r>
            <w:r>
              <w:rPr>
                <w:rStyle w:val="IndexLink"/>
                <w:rtl w:val="true"/>
              </w:rPr>
              <w:t xml:space="preserve">. </w:t>
            </w:r>
            <w:r>
              <w:rPr>
                <w:rStyle w:val="IndexLink"/>
                <w:rtl w:val="true"/>
              </w:rPr>
              <w:t>شيخ سليم البشرى‌</w:t>
            </w:r>
            <w:r>
              <w:rPr>
                <w:rStyle w:val="IndexLink"/>
                <w:rtl w:val="true"/>
              </w:rPr>
              <w:tab/>
            </w:r>
            <w:r>
              <w:rPr>
                <w:rStyle w:val="IndexLink"/>
              </w:rPr>
              <w:t>51</w:t>
            </w:r>
          </w:hyperlink>
        </w:p>
        <w:p>
          <w:pPr>
            <w:pStyle w:val="Contents3"/>
            <w:tabs>
              <w:tab w:val="clear" w:pos="8459"/>
              <w:tab w:val="right" w:pos="9026" w:leader="dot"/>
            </w:tabs>
            <w:rPr/>
          </w:pPr>
          <w:hyperlink w:anchor="__RefHeading___Toc1886495_3650668749">
            <w:r>
              <w:rPr>
                <w:webHidden/>
                <w:rStyle w:val="IndexLink"/>
              </w:rPr>
              <w:t>13</w:t>
            </w:r>
            <w:r>
              <w:rPr>
                <w:rStyle w:val="IndexLink"/>
                <w:rtl w:val="true"/>
              </w:rPr>
              <w:t xml:space="preserve">. </w:t>
            </w:r>
            <w:r>
              <w:rPr>
                <w:rStyle w:val="IndexLink"/>
                <w:rtl w:val="true"/>
              </w:rPr>
              <w:t>ابن حجر هيتمى مكّى شافعى‌</w:t>
            </w:r>
            <w:r>
              <w:rPr>
                <w:rStyle w:val="IndexLink"/>
                <w:rtl w:val="true"/>
              </w:rPr>
              <w:tab/>
            </w:r>
            <w:r>
              <w:rPr>
                <w:rStyle w:val="IndexLink"/>
              </w:rPr>
              <w:t>51</w:t>
            </w:r>
          </w:hyperlink>
        </w:p>
        <w:p>
          <w:pPr>
            <w:pStyle w:val="Contents3"/>
            <w:tabs>
              <w:tab w:val="clear" w:pos="8459"/>
              <w:tab w:val="right" w:pos="9026" w:leader="dot"/>
            </w:tabs>
            <w:rPr/>
          </w:pPr>
          <w:hyperlink w:anchor="__RefHeading___Toc1886497_3650668749">
            <w:r>
              <w:rPr>
                <w:webHidden/>
                <w:rStyle w:val="IndexLink"/>
              </w:rPr>
              <w:t>14</w:t>
            </w:r>
            <w:r>
              <w:rPr>
                <w:rStyle w:val="IndexLink"/>
                <w:rtl w:val="true"/>
              </w:rPr>
              <w:t xml:space="preserve">. </w:t>
            </w:r>
            <w:r>
              <w:rPr>
                <w:rStyle w:val="IndexLink"/>
                <w:rtl w:val="true"/>
              </w:rPr>
              <w:t>ابوالفدا</w:t>
            </w:r>
            <w:r>
              <w:rPr>
                <w:rStyle w:val="IndexLink"/>
                <w:rtl w:val="true"/>
              </w:rPr>
              <w:tab/>
            </w:r>
            <w:r>
              <w:rPr>
                <w:rStyle w:val="IndexLink"/>
              </w:rPr>
              <w:t>51</w:t>
            </w:r>
          </w:hyperlink>
        </w:p>
        <w:p>
          <w:pPr>
            <w:pStyle w:val="Contents2"/>
            <w:tabs>
              <w:tab w:val="clear" w:pos="8743"/>
              <w:tab w:val="right" w:pos="9026" w:leader="dot"/>
            </w:tabs>
            <w:rPr/>
          </w:pPr>
          <w:hyperlink w:anchor="__RefHeading___Toc1886499_3650668749">
            <w:r>
              <w:rPr>
                <w:webHidden/>
                <w:rStyle w:val="IndexLink"/>
                <w:rtl w:val="true"/>
              </w:rPr>
              <w:t>تجسيم از منظر اسلامى‌</w:t>
            </w:r>
            <w:r>
              <w:rPr>
                <w:rStyle w:val="IndexLink"/>
                <w:rtl w:val="true"/>
              </w:rPr>
              <w:tab/>
            </w:r>
            <w:r>
              <w:rPr>
                <w:rStyle w:val="IndexLink"/>
              </w:rPr>
              <w:t>52</w:t>
            </w:r>
          </w:hyperlink>
        </w:p>
        <w:p>
          <w:pPr>
            <w:pStyle w:val="Contents3"/>
            <w:tabs>
              <w:tab w:val="clear" w:pos="8459"/>
              <w:tab w:val="right" w:pos="9026" w:leader="dot"/>
            </w:tabs>
            <w:rPr/>
          </w:pPr>
          <w:hyperlink w:anchor="__RefHeading___Toc1886501_3650668749">
            <w:r>
              <w:rPr>
                <w:webHidden/>
                <w:rStyle w:val="IndexLink"/>
                <w:rtl w:val="true"/>
              </w:rPr>
              <w:t>قرآن ونفى جسميت از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1886503_3650668749">
            <w:r>
              <w:rPr>
                <w:webHidden/>
                <w:rStyle w:val="IndexLink"/>
                <w:rtl w:val="true"/>
              </w:rPr>
              <w:t>اهل بيت‌</w:t>
            </w:r>
            <w:r>
              <w:rPr>
                <w:rStyle w:val="IndexLink"/>
                <w:rtl w:val="true"/>
              </w:rPr>
              <w:tab/>
            </w:r>
            <w:r>
              <w:rPr>
                <w:rStyle w:val="IndexLink"/>
              </w:rPr>
              <w:t>55</w:t>
            </w:r>
          </w:hyperlink>
        </w:p>
        <w:p>
          <w:pPr>
            <w:pStyle w:val="Contents3"/>
            <w:tabs>
              <w:tab w:val="clear" w:pos="8459"/>
              <w:tab w:val="right" w:pos="9026" w:leader="dot"/>
            </w:tabs>
            <w:rPr/>
          </w:pPr>
          <w:hyperlink w:anchor="__RefHeading___Toc1886505_3650668749">
            <w:r>
              <w:rPr>
                <w:webHidden/>
                <w:rStyle w:val="IndexLink"/>
                <w:rtl w:val="true"/>
              </w:rPr>
              <w:t>ونفى جسميت از خدا</w:t>
            </w:r>
            <w:r>
              <w:rPr>
                <w:rStyle w:val="IndexLink"/>
                <w:rtl w:val="true"/>
              </w:rPr>
              <w:tab/>
            </w:r>
            <w:r>
              <w:rPr>
                <w:rStyle w:val="IndexLink"/>
              </w:rPr>
              <w:t>55</w:t>
            </w:r>
          </w:hyperlink>
        </w:p>
        <w:p>
          <w:pPr>
            <w:pStyle w:val="Contents3"/>
            <w:tabs>
              <w:tab w:val="clear" w:pos="8459"/>
              <w:tab w:val="right" w:pos="9026" w:leader="dot"/>
            </w:tabs>
            <w:rPr/>
          </w:pPr>
          <w:hyperlink w:anchor="__RefHeading___Toc1886507_3650668749">
            <w:r>
              <w:rPr>
                <w:webHidden/>
                <w:rStyle w:val="IndexLink"/>
                <w:rtl w:val="true"/>
              </w:rPr>
              <w:t>آراى علماى شيعه در مسأله تجسيم‌</w:t>
            </w:r>
            <w:r>
              <w:rPr>
                <w:rStyle w:val="IndexLink"/>
                <w:rtl w:val="true"/>
              </w:rPr>
              <w:tab/>
            </w:r>
            <w:r>
              <w:rPr>
                <w:rStyle w:val="IndexLink"/>
              </w:rPr>
              <w:t>55</w:t>
            </w:r>
          </w:hyperlink>
        </w:p>
        <w:p>
          <w:pPr>
            <w:pStyle w:val="Contents3"/>
            <w:tabs>
              <w:tab w:val="clear" w:pos="8459"/>
              <w:tab w:val="right" w:pos="9026" w:leader="dot"/>
            </w:tabs>
            <w:rPr/>
          </w:pPr>
          <w:hyperlink w:anchor="__RefHeading___Toc1886509_3650668749">
            <w:r>
              <w:rPr>
                <w:webHidden/>
                <w:rStyle w:val="IndexLink"/>
                <w:rtl w:val="true"/>
              </w:rPr>
              <w:t>اتهام به بزرگان شيعه در قول به تجسيم‌</w:t>
            </w:r>
            <w:r>
              <w:rPr>
                <w:rStyle w:val="IndexLink"/>
                <w:rtl w:val="true"/>
              </w:rPr>
              <w:tab/>
            </w:r>
            <w:r>
              <w:rPr>
                <w:rStyle w:val="IndexLink"/>
              </w:rPr>
              <w:t>59</w:t>
            </w:r>
          </w:hyperlink>
        </w:p>
        <w:p>
          <w:pPr>
            <w:pStyle w:val="Contents3"/>
            <w:tabs>
              <w:tab w:val="clear" w:pos="8459"/>
              <w:tab w:val="right" w:pos="9026" w:leader="dot"/>
            </w:tabs>
            <w:rPr/>
          </w:pPr>
          <w:hyperlink w:anchor="__RefHeading___Toc1886511_3650668749">
            <w:r>
              <w:rPr>
                <w:webHidden/>
                <w:rStyle w:val="IndexLink"/>
                <w:rtl w:val="true"/>
              </w:rPr>
              <w:t>تبرئه هشام بن حكم از قول به تجسيم‌</w:t>
            </w:r>
            <w:r>
              <w:rPr>
                <w:rStyle w:val="IndexLink"/>
                <w:rtl w:val="true"/>
              </w:rPr>
              <w:tab/>
            </w:r>
            <w:r>
              <w:rPr>
                <w:rStyle w:val="IndexLink"/>
              </w:rPr>
              <w:t>60</w:t>
            </w:r>
          </w:hyperlink>
        </w:p>
        <w:p>
          <w:pPr>
            <w:pStyle w:val="Contents4"/>
            <w:tabs>
              <w:tab w:val="clear" w:pos="8176"/>
              <w:tab w:val="right" w:pos="9026" w:leader="dot"/>
            </w:tabs>
            <w:rPr/>
          </w:pPr>
          <w:hyperlink w:anchor="__RefHeading___Toc1886513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886515_3650668749">
            <w:r>
              <w:rPr>
                <w:webHidden/>
                <w:rStyle w:val="IndexLink"/>
                <w:rtl w:val="true"/>
              </w:rPr>
              <w:t>مرحله اول</w:t>
            </w:r>
            <w:r>
              <w:rPr>
                <w:rStyle w:val="IndexLink"/>
                <w:rtl w:val="true"/>
              </w:rPr>
              <w:t xml:space="preserve">: </w:t>
            </w:r>
            <w:r>
              <w:rPr>
                <w:rStyle w:val="IndexLink"/>
                <w:rtl w:val="true"/>
              </w:rPr>
              <w:t>بررسى اصل نسبت‌</w:t>
            </w:r>
            <w:r>
              <w:rPr>
                <w:rStyle w:val="IndexLink"/>
                <w:rtl w:val="true"/>
              </w:rPr>
              <w:tab/>
            </w:r>
            <w:r>
              <w:rPr>
                <w:rStyle w:val="IndexLink"/>
              </w:rPr>
              <w:t>61</w:t>
            </w:r>
          </w:hyperlink>
        </w:p>
        <w:p>
          <w:pPr>
            <w:pStyle w:val="Contents4"/>
            <w:tabs>
              <w:tab w:val="clear" w:pos="8176"/>
              <w:tab w:val="right" w:pos="9026" w:leader="dot"/>
            </w:tabs>
            <w:rPr/>
          </w:pPr>
          <w:hyperlink w:anchor="__RefHeading___Toc1886517_3650668749">
            <w:r>
              <w:rPr>
                <w:webHidden/>
                <w:rStyle w:val="IndexLink"/>
                <w:rtl w:val="true"/>
              </w:rPr>
              <w:t>مرحله دوم</w:t>
            </w:r>
            <w:r>
              <w:rPr>
                <w:rStyle w:val="IndexLink"/>
                <w:rtl w:val="true"/>
              </w:rPr>
              <w:t xml:space="preserve">: </w:t>
            </w:r>
            <w:r>
              <w:rPr>
                <w:rStyle w:val="IndexLink"/>
                <w:rtl w:val="true"/>
              </w:rPr>
              <w:t>بررسى كلام‌</w:t>
            </w:r>
            <w:r>
              <w:rPr>
                <w:rStyle w:val="IndexLink"/>
                <w:rtl w:val="true"/>
              </w:rPr>
              <w:tab/>
            </w:r>
            <w:r>
              <w:rPr>
                <w:rStyle w:val="IndexLink"/>
              </w:rPr>
              <w:t>65</w:t>
            </w:r>
          </w:hyperlink>
        </w:p>
        <w:p>
          <w:pPr>
            <w:pStyle w:val="Contents5"/>
            <w:tabs>
              <w:tab w:val="clear" w:pos="7892"/>
              <w:tab w:val="right" w:pos="9026" w:leader="dot"/>
            </w:tabs>
            <w:rPr/>
          </w:pPr>
          <w:hyperlink w:anchor="__RefHeading___Toc1886519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886521_3650668749">
            <w:r>
              <w:rPr>
                <w:webHidden/>
                <w:rStyle w:val="IndexLink"/>
              </w:rPr>
              <w:t>1</w:t>
            </w:r>
            <w:r>
              <w:rPr>
                <w:rStyle w:val="IndexLink"/>
                <w:rtl w:val="true"/>
              </w:rPr>
              <w:t xml:space="preserve">. </w:t>
            </w:r>
            <w:r>
              <w:rPr>
                <w:rStyle w:val="IndexLink"/>
                <w:rtl w:val="true"/>
              </w:rPr>
              <w:t>قرينه لفظى‌</w:t>
            </w:r>
            <w:r>
              <w:rPr>
                <w:rStyle w:val="IndexLink"/>
                <w:rtl w:val="true"/>
              </w:rPr>
              <w:tab/>
            </w:r>
            <w:r>
              <w:rPr>
                <w:rStyle w:val="IndexLink"/>
              </w:rPr>
              <w:t>67</w:t>
            </w:r>
          </w:hyperlink>
        </w:p>
        <w:p>
          <w:pPr>
            <w:pStyle w:val="Contents5"/>
            <w:tabs>
              <w:tab w:val="clear" w:pos="7892"/>
              <w:tab w:val="right" w:pos="9026" w:leader="dot"/>
            </w:tabs>
            <w:rPr/>
          </w:pPr>
          <w:hyperlink w:anchor="__RefHeading___Toc1886523_3650668749">
            <w:r>
              <w:rPr>
                <w:webHidden/>
                <w:rStyle w:val="IndexLink"/>
              </w:rPr>
              <w:t>2</w:t>
            </w:r>
            <w:r>
              <w:rPr>
                <w:rStyle w:val="IndexLink"/>
                <w:rtl w:val="true"/>
              </w:rPr>
              <w:t xml:space="preserve">. </w:t>
            </w:r>
            <w:r>
              <w:rPr>
                <w:rStyle w:val="IndexLink"/>
                <w:rtl w:val="true"/>
              </w:rPr>
              <w:t>قرينه خارجى‌</w:t>
            </w:r>
            <w:r>
              <w:rPr>
                <w:rStyle w:val="IndexLink"/>
                <w:rtl w:val="true"/>
              </w:rPr>
              <w:tab/>
            </w:r>
            <w:r>
              <w:rPr>
                <w:rStyle w:val="IndexLink"/>
              </w:rPr>
              <w:t>67</w:t>
            </w:r>
          </w:hyperlink>
        </w:p>
        <w:p>
          <w:pPr>
            <w:pStyle w:val="Contents5"/>
            <w:tabs>
              <w:tab w:val="clear" w:pos="7892"/>
              <w:tab w:val="right" w:pos="9026" w:leader="dot"/>
            </w:tabs>
            <w:rPr/>
          </w:pPr>
          <w:hyperlink w:anchor="__RefHeading___Toc1886525_3650668749">
            <w:r>
              <w:rPr>
                <w:webHidden/>
                <w:rStyle w:val="IndexLink"/>
              </w:rPr>
              <w:t>3</w:t>
            </w:r>
            <w:r>
              <w:rPr>
                <w:rStyle w:val="IndexLink"/>
                <w:rtl w:val="true"/>
              </w:rPr>
              <w:t xml:space="preserve">. </w:t>
            </w:r>
            <w:r>
              <w:rPr>
                <w:rStyle w:val="IndexLink"/>
                <w:rtl w:val="true"/>
              </w:rPr>
              <w:t>اختلاف در معناى جسم‌</w:t>
            </w:r>
            <w:r>
              <w:rPr>
                <w:rStyle w:val="IndexLink"/>
                <w:rtl w:val="true"/>
              </w:rPr>
              <w:tab/>
            </w:r>
            <w:r>
              <w:rPr>
                <w:rStyle w:val="IndexLink"/>
              </w:rPr>
              <w:t>68</w:t>
            </w:r>
          </w:hyperlink>
        </w:p>
        <w:p>
          <w:pPr>
            <w:pStyle w:val="Contents5"/>
            <w:tabs>
              <w:tab w:val="clear" w:pos="7892"/>
              <w:tab w:val="right" w:pos="9026" w:leader="dot"/>
            </w:tabs>
            <w:rPr/>
          </w:pPr>
          <w:hyperlink w:anchor="__RefHeading___Toc1886527_3650668749">
            <w:r>
              <w:rPr>
                <w:webHidden/>
                <w:rStyle w:val="IndexLink"/>
              </w:rPr>
              <w:t>4</w:t>
            </w:r>
            <w:r>
              <w:rPr>
                <w:rStyle w:val="IndexLink"/>
                <w:rtl w:val="true"/>
              </w:rPr>
              <w:t>. «</w:t>
            </w:r>
            <w:r>
              <w:rPr>
                <w:rStyle w:val="IndexLink"/>
                <w:rtl w:val="true"/>
              </w:rPr>
              <w:t>جسم لا كالاجسام</w:t>
            </w:r>
            <w:r>
              <w:rPr>
                <w:rStyle w:val="IndexLink"/>
                <w:rtl w:val="true"/>
              </w:rPr>
              <w:t xml:space="preserve">» </w:t>
            </w:r>
            <w:r>
              <w:rPr>
                <w:rStyle w:val="IndexLink"/>
                <w:rtl w:val="true"/>
              </w:rPr>
              <w:t>عبارتى شايع‌</w:t>
            </w:r>
            <w:r>
              <w:rPr>
                <w:rStyle w:val="IndexLink"/>
                <w:rtl w:val="true"/>
              </w:rPr>
              <w:tab/>
            </w:r>
            <w:r>
              <w:rPr>
                <w:rStyle w:val="IndexLink"/>
              </w:rPr>
              <w:t>69</w:t>
            </w:r>
          </w:hyperlink>
        </w:p>
        <w:p>
          <w:pPr>
            <w:pStyle w:val="Contents3"/>
            <w:tabs>
              <w:tab w:val="clear" w:pos="8459"/>
              <w:tab w:val="right" w:pos="9026" w:leader="dot"/>
            </w:tabs>
            <w:rPr/>
          </w:pPr>
          <w:hyperlink w:anchor="__RefHeading___Toc1886529_3650668749">
            <w:r>
              <w:rPr>
                <w:webHidden/>
                <w:rStyle w:val="IndexLink"/>
                <w:rtl w:val="true"/>
              </w:rPr>
              <w:t>بررسى روايات در مذمّت هشام‌</w:t>
            </w:r>
            <w:r>
              <w:rPr>
                <w:rStyle w:val="IndexLink"/>
                <w:rtl w:val="true"/>
              </w:rPr>
              <w:tab/>
            </w:r>
            <w:r>
              <w:rPr>
                <w:rStyle w:val="IndexLink"/>
              </w:rPr>
              <w:t>71</w:t>
            </w:r>
          </w:hyperlink>
        </w:p>
        <w:p>
          <w:pPr>
            <w:pStyle w:val="Contents3"/>
            <w:tabs>
              <w:tab w:val="clear" w:pos="8459"/>
              <w:tab w:val="right" w:pos="9026" w:leader="dot"/>
            </w:tabs>
            <w:rPr/>
          </w:pPr>
          <w:hyperlink w:anchor="__RefHeading___Toc1886531_3650668749">
            <w:r>
              <w:rPr>
                <w:webHidden/>
                <w:rStyle w:val="IndexLink"/>
                <w:rtl w:val="true"/>
              </w:rPr>
              <w:t>ديدگاه علماى اهل سنت درباره تجسيم‌</w:t>
            </w:r>
            <w:r>
              <w:rPr>
                <w:rStyle w:val="IndexLink"/>
                <w:rtl w:val="true"/>
              </w:rPr>
              <w:tab/>
            </w:r>
            <w:r>
              <w:rPr>
                <w:rStyle w:val="IndexLink"/>
              </w:rPr>
              <w:t>72</w:t>
            </w:r>
          </w:hyperlink>
        </w:p>
        <w:p>
          <w:pPr>
            <w:pStyle w:val="Contents4"/>
            <w:tabs>
              <w:tab w:val="clear" w:pos="8176"/>
              <w:tab w:val="right" w:pos="9026" w:leader="dot"/>
            </w:tabs>
            <w:rPr/>
          </w:pPr>
          <w:hyperlink w:anchor="__RefHeading___Toc1886533_3650668749">
            <w:r>
              <w:rPr>
                <w:webHidden/>
                <w:rStyle w:val="IndexLink"/>
              </w:rPr>
              <w:t>1</w:t>
            </w:r>
            <w:r>
              <w:rPr>
                <w:rStyle w:val="IndexLink"/>
                <w:rtl w:val="true"/>
              </w:rPr>
              <w:t xml:space="preserve">. </w:t>
            </w:r>
            <w:r>
              <w:rPr>
                <w:rStyle w:val="IndexLink"/>
                <w:rtl w:val="true"/>
              </w:rPr>
              <w:t>ديدگاه محمد بن علوى مالكى درباره تجسيم‌</w:t>
            </w:r>
            <w:r>
              <w:rPr>
                <w:rStyle w:val="IndexLink"/>
                <w:rtl w:val="true"/>
              </w:rPr>
              <w:tab/>
            </w:r>
            <w:r>
              <w:rPr>
                <w:rStyle w:val="IndexLink"/>
              </w:rPr>
              <w:t>72</w:t>
            </w:r>
          </w:hyperlink>
        </w:p>
        <w:p>
          <w:pPr>
            <w:pStyle w:val="Contents4"/>
            <w:tabs>
              <w:tab w:val="clear" w:pos="8176"/>
              <w:tab w:val="right" w:pos="9026" w:leader="dot"/>
            </w:tabs>
            <w:rPr/>
          </w:pPr>
          <w:hyperlink w:anchor="__RefHeading___Toc1886535_3650668749">
            <w:r>
              <w:rPr>
                <w:webHidden/>
                <w:rStyle w:val="IndexLink"/>
              </w:rPr>
              <w:t>2</w:t>
            </w:r>
            <w:r>
              <w:rPr>
                <w:rStyle w:val="IndexLink"/>
                <w:rtl w:val="true"/>
              </w:rPr>
              <w:t xml:space="preserve">. </w:t>
            </w:r>
            <w:r>
              <w:rPr>
                <w:rStyle w:val="IndexLink"/>
                <w:rtl w:val="true"/>
              </w:rPr>
              <w:t>ديدگاه بدرالدين بن جماعه درباره تجسيم‌</w:t>
            </w:r>
            <w:r>
              <w:rPr>
                <w:rStyle w:val="IndexLink"/>
                <w:rtl w:val="true"/>
              </w:rPr>
              <w:tab/>
            </w:r>
            <w:r>
              <w:rPr>
                <w:rStyle w:val="IndexLink"/>
              </w:rPr>
              <w:t>75</w:t>
            </w:r>
          </w:hyperlink>
        </w:p>
        <w:p>
          <w:pPr>
            <w:pStyle w:val="Contents2"/>
            <w:tabs>
              <w:tab w:val="clear" w:pos="8743"/>
              <w:tab w:val="right" w:pos="9026" w:leader="dot"/>
            </w:tabs>
            <w:rPr/>
          </w:pPr>
          <w:hyperlink w:anchor="__RefHeading___Toc1886537_3650668749">
            <w:r>
              <w:rPr>
                <w:webHidden/>
                <w:rStyle w:val="IndexLink"/>
                <w:rtl w:val="true"/>
              </w:rPr>
              <w:t>عوامل پيدايش نظريه تجسيم‌</w:t>
            </w:r>
            <w:r>
              <w:rPr>
                <w:rStyle w:val="IndexLink"/>
                <w:rtl w:val="true"/>
              </w:rPr>
              <w:tab/>
            </w:r>
            <w:r>
              <w:rPr>
                <w:rStyle w:val="IndexLink"/>
              </w:rPr>
              <w:t>77</w:t>
            </w:r>
          </w:hyperlink>
        </w:p>
        <w:p>
          <w:pPr>
            <w:pStyle w:val="Contents3"/>
            <w:tabs>
              <w:tab w:val="clear" w:pos="8459"/>
              <w:tab w:val="right" w:pos="9026" w:leader="dot"/>
            </w:tabs>
            <w:rPr/>
          </w:pPr>
          <w:hyperlink w:anchor="__RefHeading___Toc1886539_3650668749">
            <w:r>
              <w:rPr>
                <w:webHidden/>
                <w:rStyle w:val="IndexLink"/>
              </w:rPr>
              <w:t>1</w:t>
            </w:r>
            <w:r>
              <w:rPr>
                <w:rStyle w:val="IndexLink"/>
                <w:rtl w:val="true"/>
              </w:rPr>
              <w:t xml:space="preserve">. </w:t>
            </w:r>
            <w:r>
              <w:rPr>
                <w:rStyle w:val="IndexLink"/>
                <w:rtl w:val="true"/>
              </w:rPr>
              <w:t>ميل عوام به تجسيم‌</w:t>
            </w:r>
            <w:r>
              <w:rPr>
                <w:rStyle w:val="IndexLink"/>
                <w:rtl w:val="true"/>
              </w:rPr>
              <w:tab/>
            </w:r>
            <w:r>
              <w:rPr>
                <w:rStyle w:val="IndexLink"/>
              </w:rPr>
              <w:t>77</w:t>
            </w:r>
          </w:hyperlink>
        </w:p>
        <w:p>
          <w:pPr>
            <w:pStyle w:val="Contents3"/>
            <w:tabs>
              <w:tab w:val="clear" w:pos="8459"/>
              <w:tab w:val="right" w:pos="9026" w:leader="dot"/>
            </w:tabs>
            <w:rPr/>
          </w:pPr>
          <w:hyperlink w:anchor="__RefHeading___Toc1886541_3650668749">
            <w:r>
              <w:rPr>
                <w:webHidden/>
                <w:rStyle w:val="IndexLink"/>
              </w:rPr>
              <w:t>2</w:t>
            </w:r>
            <w:r>
              <w:rPr>
                <w:rStyle w:val="IndexLink"/>
                <w:rtl w:val="true"/>
              </w:rPr>
              <w:t xml:space="preserve">. </w:t>
            </w:r>
            <w:r>
              <w:rPr>
                <w:rStyle w:val="IndexLink"/>
                <w:rtl w:val="true"/>
              </w:rPr>
              <w:t>خوف از افتادن در تعطيل‌</w:t>
            </w:r>
            <w:r>
              <w:rPr>
                <w:rStyle w:val="IndexLink"/>
                <w:rtl w:val="true"/>
              </w:rPr>
              <w:tab/>
            </w:r>
            <w:r>
              <w:rPr>
                <w:rStyle w:val="IndexLink"/>
              </w:rPr>
              <w:t>77</w:t>
            </w:r>
          </w:hyperlink>
        </w:p>
        <w:p>
          <w:pPr>
            <w:pStyle w:val="Contents3"/>
            <w:tabs>
              <w:tab w:val="clear" w:pos="8459"/>
              <w:tab w:val="right" w:pos="9026" w:leader="dot"/>
            </w:tabs>
            <w:rPr/>
          </w:pPr>
          <w:hyperlink w:anchor="__RefHeading___Toc1886543_3650668749">
            <w:r>
              <w:rPr>
                <w:webHidden/>
                <w:rStyle w:val="IndexLink"/>
              </w:rPr>
              <w:t>3</w:t>
            </w:r>
            <w:r>
              <w:rPr>
                <w:rStyle w:val="IndexLink"/>
                <w:rtl w:val="true"/>
              </w:rPr>
              <w:t xml:space="preserve">. </w:t>
            </w:r>
            <w:r>
              <w:rPr>
                <w:rStyle w:val="IndexLink"/>
                <w:rtl w:val="true"/>
              </w:rPr>
              <w:t>تأثّر از فرهنگ يهود</w:t>
            </w:r>
            <w:r>
              <w:rPr>
                <w:rStyle w:val="IndexLink"/>
                <w:rtl w:val="true"/>
              </w:rPr>
              <w:tab/>
            </w:r>
            <w:r>
              <w:rPr>
                <w:rStyle w:val="IndexLink"/>
              </w:rPr>
              <w:t>77</w:t>
            </w:r>
          </w:hyperlink>
        </w:p>
        <w:p>
          <w:pPr>
            <w:pStyle w:val="Contents2"/>
            <w:tabs>
              <w:tab w:val="clear" w:pos="8743"/>
              <w:tab w:val="right" w:pos="9026" w:leader="dot"/>
            </w:tabs>
            <w:rPr/>
          </w:pPr>
          <w:hyperlink w:anchor="__RefHeading___Toc1886545_3650668749">
            <w:r>
              <w:rPr>
                <w:webHidden/>
                <w:rStyle w:val="IndexLink"/>
                <w:rtl w:val="true"/>
              </w:rPr>
              <w:t>نفوذ اسرائيليات در منابع حديثى‌</w:t>
            </w:r>
            <w:r>
              <w:rPr>
                <w:rStyle w:val="IndexLink"/>
                <w:rtl w:val="true"/>
              </w:rPr>
              <w:tab/>
            </w:r>
            <w:r>
              <w:rPr>
                <w:rStyle w:val="IndexLink"/>
              </w:rPr>
              <w:t>80</w:t>
            </w:r>
          </w:hyperlink>
        </w:p>
        <w:p>
          <w:pPr>
            <w:pStyle w:val="Contents3"/>
            <w:tabs>
              <w:tab w:val="clear" w:pos="8459"/>
              <w:tab w:val="right" w:pos="9026" w:leader="dot"/>
            </w:tabs>
            <w:rPr/>
          </w:pPr>
          <w:hyperlink w:anchor="__RefHeading___Toc1886547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886549_3650668749">
            <w:r>
              <w:rPr>
                <w:webHidden/>
                <w:rStyle w:val="IndexLink"/>
                <w:rtl w:val="true"/>
              </w:rPr>
              <w:t>واژه اسرائيليات‌</w:t>
            </w:r>
            <w:r>
              <w:rPr>
                <w:rStyle w:val="IndexLink"/>
                <w:rtl w:val="true"/>
              </w:rPr>
              <w:tab/>
            </w:r>
            <w:r>
              <w:rPr>
                <w:rStyle w:val="IndexLink"/>
              </w:rPr>
              <w:t>80</w:t>
            </w:r>
          </w:hyperlink>
        </w:p>
        <w:p>
          <w:pPr>
            <w:pStyle w:val="Contents3"/>
            <w:tabs>
              <w:tab w:val="clear" w:pos="8459"/>
              <w:tab w:val="right" w:pos="9026" w:leader="dot"/>
            </w:tabs>
            <w:rPr/>
          </w:pPr>
          <w:hyperlink w:anchor="__RefHeading___Toc1886551_3650668749">
            <w:r>
              <w:rPr>
                <w:webHidden/>
                <w:rStyle w:val="IndexLink"/>
                <w:rtl w:val="true"/>
              </w:rPr>
              <w:t>معرفى يهوديان توسط قرآن‌</w:t>
            </w:r>
            <w:r>
              <w:rPr>
                <w:rStyle w:val="IndexLink"/>
                <w:rtl w:val="true"/>
              </w:rPr>
              <w:tab/>
            </w:r>
            <w:r>
              <w:rPr>
                <w:rStyle w:val="IndexLink"/>
              </w:rPr>
              <w:t>81</w:t>
            </w:r>
          </w:hyperlink>
        </w:p>
        <w:p>
          <w:pPr>
            <w:pStyle w:val="Contents4"/>
            <w:tabs>
              <w:tab w:val="clear" w:pos="8176"/>
              <w:tab w:val="right" w:pos="9026" w:leader="dot"/>
            </w:tabs>
            <w:rPr/>
          </w:pPr>
          <w:hyperlink w:anchor="__RefHeading___Toc1886553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886555_3650668749">
            <w:r>
              <w:rPr>
                <w:webHidden/>
                <w:rStyle w:val="IndexLink"/>
              </w:rPr>
              <w:t>1</w:t>
            </w:r>
            <w:r>
              <w:rPr>
                <w:rStyle w:val="IndexLink"/>
                <w:rtl w:val="true"/>
              </w:rPr>
              <w:t xml:space="preserve">. </w:t>
            </w:r>
            <w:r>
              <w:rPr>
                <w:rStyle w:val="IndexLink"/>
                <w:rtl w:val="true"/>
              </w:rPr>
              <w:t>تلاش يهود براى تحريف كلام الهى‌</w:t>
            </w:r>
            <w:r>
              <w:rPr>
                <w:rStyle w:val="IndexLink"/>
                <w:rtl w:val="true"/>
              </w:rPr>
              <w:tab/>
            </w:r>
            <w:r>
              <w:rPr>
                <w:rStyle w:val="IndexLink"/>
              </w:rPr>
              <w:t>81</w:t>
            </w:r>
          </w:hyperlink>
        </w:p>
        <w:p>
          <w:pPr>
            <w:pStyle w:val="Contents4"/>
            <w:tabs>
              <w:tab w:val="clear" w:pos="8176"/>
              <w:tab w:val="right" w:pos="9026" w:leader="dot"/>
            </w:tabs>
            <w:rPr/>
          </w:pPr>
          <w:hyperlink w:anchor="__RefHeading___Toc1886557_3650668749">
            <w:r>
              <w:rPr>
                <w:webHidden/>
                <w:rStyle w:val="IndexLink"/>
              </w:rPr>
              <w:t>2</w:t>
            </w:r>
            <w:r>
              <w:rPr>
                <w:rStyle w:val="IndexLink"/>
                <w:rtl w:val="true"/>
              </w:rPr>
              <w:t xml:space="preserve">. </w:t>
            </w:r>
            <w:r>
              <w:rPr>
                <w:rStyle w:val="IndexLink"/>
                <w:rtl w:val="true"/>
              </w:rPr>
              <w:t>كينه‌توزى ودشمنى يهود</w:t>
            </w:r>
            <w:r>
              <w:rPr>
                <w:rStyle w:val="IndexLink"/>
                <w:rtl w:val="true"/>
              </w:rPr>
              <w:tab/>
            </w:r>
            <w:r>
              <w:rPr>
                <w:rStyle w:val="IndexLink"/>
              </w:rPr>
              <w:t>82</w:t>
            </w:r>
          </w:hyperlink>
        </w:p>
        <w:p>
          <w:pPr>
            <w:pStyle w:val="Contents4"/>
            <w:tabs>
              <w:tab w:val="clear" w:pos="8176"/>
              <w:tab w:val="right" w:pos="9026" w:leader="dot"/>
            </w:tabs>
            <w:rPr/>
          </w:pPr>
          <w:hyperlink w:anchor="__RefHeading___Toc1886559_3650668749">
            <w:r>
              <w:rPr>
                <w:webHidden/>
                <w:rStyle w:val="IndexLink"/>
              </w:rPr>
              <w:t>3</w:t>
            </w:r>
            <w:r>
              <w:rPr>
                <w:rStyle w:val="IndexLink"/>
                <w:rtl w:val="true"/>
              </w:rPr>
              <w:t xml:space="preserve">. </w:t>
            </w:r>
            <w:r>
              <w:rPr>
                <w:rStyle w:val="IndexLink"/>
                <w:rtl w:val="true"/>
              </w:rPr>
              <w:t>ارتداد مسلمانان، خواست يهود</w:t>
            </w:r>
            <w:r>
              <w:rPr>
                <w:rStyle w:val="IndexLink"/>
                <w:rtl w:val="true"/>
              </w:rPr>
              <w:tab/>
            </w:r>
            <w:r>
              <w:rPr>
                <w:rStyle w:val="IndexLink"/>
              </w:rPr>
              <w:t>83</w:t>
            </w:r>
          </w:hyperlink>
        </w:p>
        <w:p>
          <w:pPr>
            <w:pStyle w:val="Contents4"/>
            <w:tabs>
              <w:tab w:val="clear" w:pos="8176"/>
              <w:tab w:val="right" w:pos="9026" w:leader="dot"/>
            </w:tabs>
            <w:rPr/>
          </w:pPr>
          <w:hyperlink w:anchor="__RefHeading___Toc1886561_3650668749">
            <w:r>
              <w:rPr>
                <w:webHidden/>
                <w:rStyle w:val="IndexLink"/>
              </w:rPr>
              <w:t>4</w:t>
            </w:r>
            <w:r>
              <w:rPr>
                <w:rStyle w:val="IndexLink"/>
                <w:rtl w:val="true"/>
              </w:rPr>
              <w:t xml:space="preserve">. </w:t>
            </w:r>
            <w:r>
              <w:rPr>
                <w:rStyle w:val="IndexLink"/>
                <w:rtl w:val="true"/>
              </w:rPr>
              <w:t>دور شدن از اهل كتاب‌</w:t>
            </w:r>
            <w:r>
              <w:rPr>
                <w:rStyle w:val="IndexLink"/>
                <w:rtl w:val="true"/>
              </w:rPr>
              <w:tab/>
            </w:r>
            <w:r>
              <w:rPr>
                <w:rStyle w:val="IndexLink"/>
              </w:rPr>
              <w:t>84</w:t>
            </w:r>
          </w:hyperlink>
        </w:p>
        <w:p>
          <w:pPr>
            <w:pStyle w:val="Contents4"/>
            <w:tabs>
              <w:tab w:val="clear" w:pos="8176"/>
              <w:tab w:val="right" w:pos="9026" w:leader="dot"/>
            </w:tabs>
            <w:rPr/>
          </w:pPr>
          <w:hyperlink w:anchor="__RefHeading___Toc1886563_3650668749">
            <w:r>
              <w:rPr>
                <w:webHidden/>
                <w:rStyle w:val="IndexLink"/>
              </w:rPr>
              <w:t>5</w:t>
            </w:r>
            <w:r>
              <w:rPr>
                <w:rStyle w:val="IndexLink"/>
                <w:rtl w:val="true"/>
              </w:rPr>
              <w:t xml:space="preserve">. </w:t>
            </w:r>
            <w:r>
              <w:rPr>
                <w:rStyle w:val="IndexLink"/>
                <w:rtl w:val="true"/>
              </w:rPr>
              <w:t>از اهل كتاب نپرسيد</w:t>
            </w:r>
            <w:r>
              <w:rPr>
                <w:rStyle w:val="IndexLink"/>
                <w:rtl w:val="true"/>
              </w:rPr>
              <w:tab/>
            </w:r>
            <w:r>
              <w:rPr>
                <w:rStyle w:val="IndexLink"/>
              </w:rPr>
              <w:t>84</w:t>
            </w:r>
          </w:hyperlink>
        </w:p>
        <w:p>
          <w:pPr>
            <w:pStyle w:val="Contents4"/>
            <w:tabs>
              <w:tab w:val="clear" w:pos="8176"/>
              <w:tab w:val="right" w:pos="9026" w:leader="dot"/>
            </w:tabs>
            <w:rPr/>
          </w:pPr>
          <w:hyperlink w:anchor="__RefHeading___Toc1886565_3650668749">
            <w:r>
              <w:rPr>
                <w:webHidden/>
                <w:rStyle w:val="IndexLink"/>
              </w:rPr>
              <w:t>6</w:t>
            </w:r>
            <w:r>
              <w:rPr>
                <w:rStyle w:val="IndexLink"/>
                <w:rtl w:val="true"/>
              </w:rPr>
              <w:t xml:space="preserve">. </w:t>
            </w:r>
            <w:r>
              <w:rPr>
                <w:rStyle w:val="IndexLink"/>
                <w:rtl w:val="true"/>
              </w:rPr>
              <w:t>با وجود قرآن نيازى به غير نيست‌</w:t>
            </w:r>
            <w:r>
              <w:rPr>
                <w:rStyle w:val="IndexLink"/>
                <w:rtl w:val="true"/>
              </w:rPr>
              <w:tab/>
            </w:r>
            <w:r>
              <w:rPr>
                <w:rStyle w:val="IndexLink"/>
              </w:rPr>
              <w:t>84</w:t>
            </w:r>
          </w:hyperlink>
        </w:p>
        <w:p>
          <w:pPr>
            <w:pStyle w:val="Contents3"/>
            <w:tabs>
              <w:tab w:val="clear" w:pos="8459"/>
              <w:tab w:val="right" w:pos="9026" w:leader="dot"/>
            </w:tabs>
            <w:rPr/>
          </w:pPr>
          <w:hyperlink w:anchor="__RefHeading___Toc1886567_3650668749">
            <w:r>
              <w:rPr>
                <w:webHidden/>
                <w:rStyle w:val="IndexLink"/>
                <w:rtl w:val="true"/>
              </w:rPr>
              <w:t>نهى از فراگيرى از يهود</w:t>
            </w:r>
            <w:r>
              <w:rPr>
                <w:rStyle w:val="IndexLink"/>
                <w:rtl w:val="true"/>
              </w:rPr>
              <w:tab/>
            </w:r>
            <w:r>
              <w:rPr>
                <w:rStyle w:val="IndexLink"/>
              </w:rPr>
              <w:t>84</w:t>
            </w:r>
          </w:hyperlink>
        </w:p>
        <w:p>
          <w:pPr>
            <w:pStyle w:val="Contents3"/>
            <w:tabs>
              <w:tab w:val="clear" w:pos="8459"/>
              <w:tab w:val="right" w:pos="9026" w:leader="dot"/>
            </w:tabs>
            <w:rPr/>
          </w:pPr>
          <w:hyperlink w:anchor="__RefHeading___Toc1886569_3650668749">
            <w:r>
              <w:rPr>
                <w:webHidden/>
                <w:rStyle w:val="IndexLink"/>
                <w:rtl w:val="true"/>
              </w:rPr>
              <w:t>ممنوعيت نگارش حديث‌</w:t>
            </w:r>
            <w:r>
              <w:rPr>
                <w:rStyle w:val="IndexLink"/>
                <w:rtl w:val="true"/>
              </w:rPr>
              <w:tab/>
            </w:r>
            <w:r>
              <w:rPr>
                <w:rStyle w:val="IndexLink"/>
              </w:rPr>
              <w:t>86</w:t>
            </w:r>
          </w:hyperlink>
        </w:p>
        <w:p>
          <w:pPr>
            <w:pStyle w:val="Contents3"/>
            <w:tabs>
              <w:tab w:val="clear" w:pos="8459"/>
              <w:tab w:val="right" w:pos="9026" w:leader="dot"/>
            </w:tabs>
            <w:rPr/>
          </w:pPr>
          <w:hyperlink w:anchor="__RefHeading___Toc1886571_3650668749">
            <w:r>
              <w:rPr>
                <w:webHidden/>
                <w:rStyle w:val="IndexLink"/>
                <w:rtl w:val="true"/>
              </w:rPr>
              <w:t>عنايت خليفه دوم به تعليمات تورات‌</w:t>
            </w:r>
            <w:r>
              <w:rPr>
                <w:rStyle w:val="IndexLink"/>
                <w:rtl w:val="true"/>
              </w:rPr>
              <w:tab/>
            </w:r>
            <w:r>
              <w:rPr>
                <w:rStyle w:val="IndexLink"/>
              </w:rPr>
              <w:t>86</w:t>
            </w:r>
          </w:hyperlink>
        </w:p>
        <w:p>
          <w:pPr>
            <w:pStyle w:val="Contents3"/>
            <w:tabs>
              <w:tab w:val="clear" w:pos="8459"/>
              <w:tab w:val="right" w:pos="9026" w:leader="dot"/>
            </w:tabs>
            <w:rPr/>
          </w:pPr>
          <w:hyperlink w:anchor="__RefHeading___Toc1886573_3650668749">
            <w:r>
              <w:rPr>
                <w:webHidden/>
                <w:rStyle w:val="IndexLink"/>
                <w:rtl w:val="true"/>
              </w:rPr>
              <w:t>تأثير افكار كعب الاحبار</w:t>
            </w:r>
            <w:r>
              <w:rPr>
                <w:rStyle w:val="IndexLink"/>
                <w:rtl w:val="true"/>
              </w:rPr>
              <w:tab/>
            </w:r>
            <w:r>
              <w:rPr>
                <w:rStyle w:val="IndexLink"/>
              </w:rPr>
              <w:t>90</w:t>
            </w:r>
          </w:hyperlink>
        </w:p>
        <w:p>
          <w:pPr>
            <w:pStyle w:val="Contents3"/>
            <w:tabs>
              <w:tab w:val="clear" w:pos="8459"/>
              <w:tab w:val="right" w:pos="9026" w:leader="dot"/>
            </w:tabs>
            <w:rPr/>
          </w:pPr>
          <w:hyperlink w:anchor="__RefHeading___Toc1886575_3650668749">
            <w:r>
              <w:rPr>
                <w:webHidden/>
                <w:rStyle w:val="IndexLink"/>
                <w:rtl w:val="true"/>
              </w:rPr>
              <w:t>تأثيرپذيرى مسلمين از كعب الاحبار</w:t>
            </w:r>
            <w:r>
              <w:rPr>
                <w:rStyle w:val="IndexLink"/>
                <w:rtl w:val="true"/>
              </w:rPr>
              <w:tab/>
            </w:r>
            <w:r>
              <w:rPr>
                <w:rStyle w:val="IndexLink"/>
              </w:rPr>
              <w:t>94</w:t>
            </w:r>
          </w:hyperlink>
        </w:p>
        <w:p>
          <w:pPr>
            <w:pStyle w:val="Contents3"/>
            <w:tabs>
              <w:tab w:val="clear" w:pos="8459"/>
              <w:tab w:val="right" w:pos="9026" w:leader="dot"/>
            </w:tabs>
            <w:rPr/>
          </w:pPr>
          <w:hyperlink w:anchor="__RefHeading___Toc1886577_3650668749">
            <w:r>
              <w:rPr>
                <w:webHidden/>
                <w:rStyle w:val="IndexLink"/>
                <w:rtl w:val="true"/>
              </w:rPr>
              <w:t>كعب الاحبار كيست؟</w:t>
            </w:r>
            <w:r>
              <w:rPr>
                <w:rStyle w:val="IndexLink"/>
                <w:rtl w:val="true"/>
              </w:rPr>
              <w:tab/>
            </w:r>
            <w:r>
              <w:rPr>
                <w:rStyle w:val="IndexLink"/>
              </w:rPr>
              <w:t>96</w:t>
            </w:r>
          </w:hyperlink>
        </w:p>
        <w:p>
          <w:pPr>
            <w:pStyle w:val="Contents3"/>
            <w:tabs>
              <w:tab w:val="clear" w:pos="8459"/>
              <w:tab w:val="right" w:pos="9026" w:leader="dot"/>
            </w:tabs>
            <w:rPr/>
          </w:pPr>
          <w:hyperlink w:anchor="__RefHeading___Toc1886579_3650668749">
            <w:r>
              <w:rPr>
                <w:webHidden/>
                <w:rStyle w:val="IndexLink"/>
                <w:rtl w:val="true"/>
              </w:rPr>
              <w:t>نقش كعب الاحبار در عصر عثمان‌</w:t>
            </w:r>
            <w:r>
              <w:rPr>
                <w:rStyle w:val="IndexLink"/>
                <w:rtl w:val="true"/>
              </w:rPr>
              <w:tab/>
            </w:r>
            <w:r>
              <w:rPr>
                <w:rStyle w:val="IndexLink"/>
              </w:rPr>
              <w:t>98</w:t>
            </w:r>
          </w:hyperlink>
        </w:p>
        <w:p>
          <w:pPr>
            <w:pStyle w:val="Contents3"/>
            <w:tabs>
              <w:tab w:val="clear" w:pos="8459"/>
              <w:tab w:val="right" w:pos="9026" w:leader="dot"/>
            </w:tabs>
            <w:rPr/>
          </w:pPr>
          <w:hyperlink w:anchor="__RefHeading___Toc1886581_3650668749">
            <w:r>
              <w:rPr>
                <w:webHidden/>
                <w:rStyle w:val="IndexLink"/>
                <w:rtl w:val="true"/>
              </w:rPr>
              <w:t>كعب الاحبار وقول به تجسيم‌</w:t>
            </w:r>
            <w:r>
              <w:rPr>
                <w:rStyle w:val="IndexLink"/>
                <w:rtl w:val="true"/>
              </w:rPr>
              <w:tab/>
            </w:r>
            <w:r>
              <w:rPr>
                <w:rStyle w:val="IndexLink"/>
              </w:rPr>
              <w:t>100</w:t>
            </w:r>
          </w:hyperlink>
        </w:p>
        <w:p>
          <w:pPr>
            <w:pStyle w:val="Contents3"/>
            <w:tabs>
              <w:tab w:val="clear" w:pos="8459"/>
              <w:tab w:val="right" w:pos="9026" w:leader="dot"/>
            </w:tabs>
            <w:rPr/>
          </w:pPr>
          <w:hyperlink w:anchor="__RefHeading___Toc1886583_3650668749">
            <w:r>
              <w:rPr>
                <w:webHidden/>
                <w:rStyle w:val="IndexLink"/>
                <w:rtl w:val="true"/>
              </w:rPr>
              <w:t>وهب بن منبه وتميم الدارى‌</w:t>
            </w:r>
            <w:r>
              <w:rPr>
                <w:rStyle w:val="IndexLink"/>
                <w:rtl w:val="true"/>
              </w:rPr>
              <w:tab/>
            </w:r>
            <w:r>
              <w:rPr>
                <w:rStyle w:val="IndexLink"/>
              </w:rPr>
              <w:t>101</w:t>
            </w:r>
          </w:hyperlink>
        </w:p>
        <w:p>
          <w:pPr>
            <w:pStyle w:val="Contents3"/>
            <w:tabs>
              <w:tab w:val="clear" w:pos="8459"/>
              <w:tab w:val="right" w:pos="9026" w:leader="dot"/>
            </w:tabs>
            <w:rPr/>
          </w:pPr>
          <w:hyperlink w:anchor="__RefHeading___Toc1886585_3650668749">
            <w:r>
              <w:rPr>
                <w:webHidden/>
                <w:rStyle w:val="IndexLink"/>
                <w:rtl w:val="true"/>
              </w:rPr>
              <w:t>برخى از افكار نفوذى‌</w:t>
            </w:r>
            <w:r>
              <w:rPr>
                <w:rStyle w:val="IndexLink"/>
                <w:rtl w:val="true"/>
              </w:rPr>
              <w:tab/>
            </w:r>
            <w:r>
              <w:rPr>
                <w:rStyle w:val="IndexLink"/>
              </w:rPr>
              <w:t>102</w:t>
            </w:r>
          </w:hyperlink>
        </w:p>
        <w:p>
          <w:pPr>
            <w:pStyle w:val="Contents3"/>
            <w:tabs>
              <w:tab w:val="clear" w:pos="8459"/>
              <w:tab w:val="right" w:pos="9026" w:leader="dot"/>
            </w:tabs>
            <w:rPr/>
          </w:pPr>
          <w:hyperlink w:anchor="__RefHeading___Toc1886587_3650668749">
            <w:r>
              <w:rPr>
                <w:webHidden/>
                <w:rStyle w:val="IndexLink"/>
                <w:rtl w:val="true"/>
              </w:rPr>
              <w:t>مقابله مدرسه اهل بيت‌</w:t>
            </w:r>
            <w:r>
              <w:rPr>
                <w:rStyle w:val="IndexLink"/>
                <w:rtl w:val="true"/>
              </w:rPr>
              <w:tab/>
            </w:r>
            <w:r>
              <w:rPr>
                <w:rStyle w:val="IndexLink"/>
              </w:rPr>
              <w:t>103</w:t>
            </w:r>
          </w:hyperlink>
        </w:p>
        <w:p>
          <w:pPr>
            <w:pStyle w:val="Contents3"/>
            <w:tabs>
              <w:tab w:val="clear" w:pos="8459"/>
              <w:tab w:val="right" w:pos="9026" w:leader="dot"/>
            </w:tabs>
            <w:rPr/>
          </w:pPr>
          <w:hyperlink w:anchor="__RefHeading___Toc1886589_3650668749">
            <w:r>
              <w:rPr>
                <w:webHidden/>
                <w:rStyle w:val="IndexLink"/>
                <w:rtl w:val="true"/>
              </w:rPr>
              <w:t>با فرهنگ اهل كتاب‌</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9_10413"/>
      <w:bookmarkStart w:id="1" w:name="pg1739_10413"/>
      <w:bookmarkEnd w:id="1"/>
    </w:p>
    <w:p>
      <w:pPr>
        <w:pStyle w:val="Heading2"/>
        <w:numPr>
          <w:ilvl w:val="1"/>
          <w:numId w:val="1"/>
        </w:numPr>
        <w:rPr/>
      </w:pPr>
      <w:bookmarkStart w:id="2" w:name="pg1739_10413"/>
      <w:bookmarkStart w:id="3" w:name="__RefHeading___Toc188641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مجسم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978-964-540-304-9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۲۳۳۴۹۸۸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642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bookmarkStart w:id="7" w:name="pg1739_10418"/>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pStyle w:val="Heading2"/>
        <w:numPr>
          <w:ilvl w:val="1"/>
          <w:numId w:val="1"/>
        </w:numPr>
        <w:rPr/>
      </w:pPr>
      <w:bookmarkStart w:id="8" w:name="__RefHeading___Toc1886423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اين‌رو، شناخت راز و رمزها و سير تحول و انديشه‌هاى اين فرقه كارى است بايسته تحقيق كه استاد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739_10420"/>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886425_3650668749"/>
      <w:bookmarkStart w:id="12" w:name="_Toc4"/>
      <w:bookmarkEnd w:id="11"/>
      <w:r>
        <w:rPr>
          <w:rtl w:val="true"/>
        </w:rPr>
        <w:t>پيشگفتار</w:t>
      </w:r>
      <w:bookmarkStart w:id="13" w:name="pg1739_10421"/>
      <w:bookmarkEnd w:id="12"/>
    </w:p>
    <w:p>
      <w:pPr>
        <w:pStyle w:val="BookText"/>
        <w:rPr/>
      </w:pPr>
      <w:bookmarkEnd w:id="13"/>
      <w:r>
        <w:rPr>
          <w:rFonts w:ascii="IRNazanin" w:hAnsi="IRNazanin" w:eastAsia="IRNazanin"/>
          <w:color w:val="111111"/>
          <w:sz w:val="28"/>
          <w:sz w:val="28"/>
          <w:szCs w:val="28"/>
          <w:rtl w:val="true"/>
          <w:lang w:bidi="fa-IR"/>
        </w:rPr>
        <w:t>از جمله مسايل اختلافى در كلام اسلامى مبحث صفات خداوند سبحان مسأله تجسيم و جسم بودن خداوند است كه اعتقاد به آن را به اهل حديث و حشويه و وهابيان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 علماى اسلامى بر عدم جسمانيت خداوند متعال اتفاق داشته و بر آن ادلّه‌اى از عقل و قرآن و حديث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اين موضوع را مورد بحث و بررسى قرار دهيم</w:t>
      </w:r>
      <w:r>
        <w:rPr>
          <w:rFonts w:eastAsia="IRNazanin" w:cs="IRNazanin"/>
          <w:color w:val="111111"/>
          <w:sz w:val="28"/>
          <w:szCs w:val="28"/>
          <w:rtl w:val="true"/>
          <w:lang w:bidi="fa-IR"/>
        </w:rPr>
        <w:t>.</w:t>
      </w:r>
    </w:p>
    <w:p>
      <w:pPr>
        <w:pStyle w:val="Heading2"/>
        <w:numPr>
          <w:ilvl w:val="1"/>
          <w:numId w:val="1"/>
        </w:numPr>
        <w:rPr/>
      </w:pPr>
      <w:bookmarkStart w:id="14" w:name="__RefHeading___Toc1886427_3650668749"/>
      <w:bookmarkStart w:id="15" w:name="_Toc5"/>
      <w:bookmarkEnd w:id="14"/>
      <w:r>
        <w:rPr>
          <w:rtl w:val="true"/>
        </w:rPr>
        <w:t>تاريخچه قول به تجسيم‌</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86429_3650668749"/>
      <w:bookmarkStart w:id="17" w:name="_Toc6"/>
      <w:bookmarkEnd w:id="16"/>
      <w:r>
        <w:rPr>
          <w:rtl w:val="true"/>
        </w:rPr>
        <w:t>اشاره</w:t>
      </w:r>
      <w:bookmarkStart w:id="18" w:name="pg1739_10422"/>
      <w:bookmarkEnd w:id="17"/>
    </w:p>
    <w:p>
      <w:pPr>
        <w:pStyle w:val="Heading3"/>
        <w:numPr>
          <w:ilvl w:val="2"/>
          <w:numId w:val="1"/>
        </w:numPr>
        <w:rPr/>
      </w:pPr>
      <w:bookmarkStart w:id="19" w:name="__RefHeading___Toc1886431_3650668749"/>
      <w:bookmarkStart w:id="20" w:name="_Toc7"/>
      <w:bookmarkEnd w:id="18"/>
      <w:bookmarkEnd w:id="19"/>
      <w:r>
        <w:rPr>
          <w:rtl w:val="true"/>
        </w:rPr>
        <w:t>اشاره</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تاريخ قبل از اسلام وبعد از آن پى مى‌بريم كه اعتقاد به تجسيم، ادوارى را گذرانده تا به وضع امروز رسيده است، ولى آنچه جاى خوشوقتى دارد اين است كه جامعه شيعى از ابتدا، با حراستى كه امامان شيعه واصحاب آنها وعلماى شيعى در طول تاريخ از عقايد اصيل اسلامى داشته نگذاشته‌اند كه عقيده تجسيم در بين عقايد اسلامى رسوخ كند، ولى مع الاسف آنچه اكنون مشاهده مى‌كنيم اين است كه اين عقيده در بين سلفيه ووهابيان عقيده‌اى رايج است، اما اينكه اين عقيده از كجا وارد شده وچه دوران‌هايى را گذرانده است، مطلبى است كه احتياج به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موضوع مى‌پردازيم</w:t>
      </w:r>
      <w:r>
        <w:rPr>
          <w:rFonts w:eastAsia="IRNazanin" w:cs="IRNazanin"/>
          <w:color w:val="111111"/>
          <w:sz w:val="28"/>
          <w:szCs w:val="28"/>
          <w:rtl w:val="true"/>
          <w:lang w:bidi="fa-IR"/>
        </w:rPr>
        <w:t>.</w:t>
      </w:r>
      <w:bookmarkStart w:id="21" w:name="pg1739_10423"/>
    </w:p>
    <w:p>
      <w:pPr>
        <w:pStyle w:val="Heading3"/>
        <w:numPr>
          <w:ilvl w:val="2"/>
          <w:numId w:val="1"/>
        </w:numPr>
        <w:rPr/>
      </w:pPr>
      <w:bookmarkStart w:id="22" w:name="__RefHeading___Toc1886433_3650668749"/>
      <w:bookmarkStart w:id="23" w:name="_Toc8"/>
      <w:bookmarkEnd w:id="21"/>
      <w:bookmarkEnd w:id="22"/>
      <w:r>
        <w:rPr>
          <w:rtl w:val="true"/>
        </w:rPr>
        <w:t>دوره اول</w:t>
      </w:r>
      <w:r>
        <w:rPr>
          <w:rtl w:val="true"/>
        </w:rPr>
        <w:t xml:space="preserve">: </w:t>
      </w:r>
      <w:r>
        <w:rPr>
          <w:rtl w:val="true"/>
        </w:rPr>
        <w:t>عصر يهود</w:t>
      </w:r>
      <w:bookmarkEnd w:id="23"/>
    </w:p>
    <w:p>
      <w:pPr>
        <w:pStyle w:val="BookText"/>
        <w:rPr/>
      </w:pPr>
      <w:r>
        <w:rPr>
          <w:rFonts w:ascii="IRNazanin" w:hAnsi="IRNazanin" w:eastAsia="IRNazanin"/>
          <w:color w:val="111111"/>
          <w:sz w:val="28"/>
          <w:sz w:val="28"/>
          <w:szCs w:val="28"/>
          <w:rtl w:val="true"/>
          <w:lang w:bidi="fa-IR"/>
        </w:rPr>
        <w:t>با مراجعه به تاريخ قبل از اسلام پى مى‌بريم كه يهود، خدا را جسم دانسته وآن را به شكل انسان به حساب آورده‌اند ونيز معتقدند كه خدا داراى همسر وفرزند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ردّ اين تصور باطل</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تَعالى جَدُّ رَبِّنا مَا اتَّخَذَ صاحِبَةً وَ لا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بلند است مقام باعظمت پروردگار ما، واو هرگز براى خود همسر وفرزندى انتخاب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بود كه از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خواستند تا خداوند را به طور آشكار به آنها نشان دهد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86435_3650668749"/>
      <w:bookmarkStart w:id="25" w:name="_Toc9"/>
      <w:bookmarkEnd w:id="24"/>
      <w:r>
        <w:rPr>
          <w:rtl w:val="true"/>
        </w:rPr>
        <w:t>دوره دوم</w:t>
      </w:r>
      <w:r>
        <w:rPr>
          <w:rtl w:val="true"/>
        </w:rPr>
        <w:t xml:space="preserve">: </w:t>
      </w:r>
      <w:r>
        <w:rPr>
          <w:rtl w:val="true"/>
        </w:rPr>
        <w:t>عصر صحابه‌</w:t>
      </w:r>
      <w:bookmarkEnd w:id="25"/>
    </w:p>
    <w:p>
      <w:pPr>
        <w:pStyle w:val="BookText"/>
        <w:rPr/>
      </w:pPr>
      <w:r>
        <w:rPr>
          <w:rFonts w:ascii="IRNazanin" w:hAnsi="IRNazanin" w:eastAsia="IRNazanin"/>
          <w:color w:val="111111"/>
          <w:sz w:val="28"/>
          <w:sz w:val="28"/>
          <w:szCs w:val="28"/>
          <w:rtl w:val="true"/>
          <w:lang w:bidi="fa-IR"/>
        </w:rPr>
        <w:t>اين عقيده از يهود كه توسط برخى از كسانى كه به جهت كيد بر اسلام مسلمان شدند؛ همچون كعب الاحبار وديگران، داخل در اسلام شد، وبه سرعت جاى خود را در بين مسلمانان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 الاحبار با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مى‌كرد واز كتاب‌هاى بنى‌اسرائيل براى آنان سخن مى‌گفت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رضاء الله مباركفورى در مقدمه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اصبهانى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اسرائيليات در بين مسلمانان رسوخ كرد، و مى‌توان مبدأ ورود آن را در بين علوم مسلمانان به عصر صحابه باز گرداند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ناصرالدين البانى نيز بر اين مطلب تصريح كرده ودر اثناى بررسى سند حديثى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ضعيف ومتن آن منكر است، گويا از جعليات يهود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يهودى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جي‌ء بنبيّكم حتي يجلس بين يدي الله على كرسيه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هرگاه روز قيامت فرا رسد، پيامبر شما آورده مى‌شود تا اينكه نزد خداوند بر روى كرسى او مى‌نشيند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 به سندش از وهب بن منبه يهودى درباره عظمت خداوند متعال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السماوات والبحار لفي الهيكل وأنّ الهيكل لفي الكرسي، وإنّ قدميه عزّوجلّ لعلى الكرسي، وقد عادالكرسي كالنعل في‌قدميه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همانا آسمان‌ها ودرياها در هيكل است وهيكل در كرسى، وهر دو قدم خداوند عزّوجلّ بر روى كرسى است وكرسى همانند نعل در دو پا برمى‌گردد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وكعبدالله بن عمرو بن العاص؛ فإنّه كان حصل له في وقعة اليرموك كتب كثيرة من كتب أهل الكتاب، فكان يخبر فيها من الأمور المغيبة، حتى كان بعض الصحابة ربما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تحدثنا عن الصحيفة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همانند عبدالله بن عمرو بن عاص؛ زيرا او در واقعه يرموك بر كتاب‌هاى بسيارى از كتب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كرد، وبه آنچه در آن كتب از اخبار غيبى بود نقل مى‌كرد، حتى برخى از صحابه در اعتراض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كن نه از صحيفه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لايجوز تقليد جماعة من الصحابة في بعض المسائل</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جماعتى از صحابه در برخى از مسائل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 بن سعيد كه از بزرگان تابعين واز رجال كتب ستّه واز شاگردان ابوهريره به شمار مى‌آيد، 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إتقوا الله وتحفظوا من الحديث، فوالله لقد رأينا نجالس أبي‌هريره فيحدّث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ويحدثنا عن كعب ثمّ يقوم، فاسمع بعض من كان معنا يجعل حديث رسول الله عن كعب ويجعل حديث كعب عن</w:t>
      </w:r>
      <w:bookmarkStart w:id="26" w:name="pg1739_10426"/>
    </w:p>
    <w:p>
      <w:pPr>
        <w:pStyle w:val="BookText"/>
        <w:rPr/>
      </w:pPr>
      <w:bookmarkEnd w:id="26"/>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خدا بترسيد وتحفّظ بر حديث داشته باشيد،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مشاهده مى‌كرديم كه با ابوهريره مجالست مى‌نموديم، او براى 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وكعب الاحبار حديث مى‌گفت، آن‌گاه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برخى از افراد كه با ما بودند مى‌شنيدم كه حديثى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كعب الاحبار نسبت مى‌داد وحديثى را كه از كعب الاحبار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انس از ابوهريره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إلى الطور فلقيت كعب الاحبار، فجلست معه فحدثني عن التوراة وحدّثته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من به طرف كوه طور رفتم ودر آنجا كعب الاحبار را ملاقات نمودم، با او نشستم، او از تورات براى من حديث مى‌گفت ومن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نقل حديث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احاديث وكلمات استفاده مى‌شود كه اسرائيليات در همان قرن اوّل وارد منابع اسلامى شد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86437_3650668749"/>
      <w:bookmarkStart w:id="28" w:name="_Toc10"/>
      <w:bookmarkEnd w:id="27"/>
      <w:r>
        <w:rPr>
          <w:rtl w:val="true"/>
        </w:rPr>
        <w:t>دوره سوم</w:t>
      </w:r>
      <w:r>
        <w:rPr>
          <w:rtl w:val="true"/>
        </w:rPr>
        <w:t xml:space="preserve">: </w:t>
      </w:r>
      <w:r>
        <w:rPr>
          <w:rtl w:val="true"/>
        </w:rPr>
        <w:t>از زمان تابعين تا احمد بن حنبل‌</w:t>
      </w:r>
      <w:bookmarkEnd w:id="28"/>
    </w:p>
    <w:p>
      <w:pPr>
        <w:pStyle w:val="Heading4"/>
        <w:numPr>
          <w:ilvl w:val="3"/>
          <w:numId w:val="1"/>
        </w:numPr>
        <w:rPr/>
      </w:pPr>
      <w:bookmarkStart w:id="29" w:name="__RefHeading___Toc1886439_3650668749"/>
      <w:bookmarkStart w:id="30" w:name="_Toc11"/>
      <w:bookmarkEnd w:id="29"/>
      <w:r>
        <w:rPr>
          <w:rtl w:val="true"/>
        </w:rPr>
        <w:t>اشاره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عصر صحابه، دور جديدى از مجسّمه ومشبّهه پديد</w:t>
      </w:r>
      <w:bookmarkStart w:id="31" w:name="pg1739_10427"/>
    </w:p>
    <w:p>
      <w:pPr>
        <w:pStyle w:val="BookText"/>
        <w:rPr/>
      </w:pPr>
      <w:bookmarkEnd w:id="3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 گروهى از مسلمانان، افكار اسرائيلى؛ خصوصاً تجسيم را كه در عصر صحابه رواج يافته بود، اخذ كرده وآن را به عنوان اصلى از اصول اعتقادى پذيرفته وبه آن اعتقاد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راويان بسيارى پيدا شدند كه اين‌گونه احاديث را كه صريح در تجسيم بود، بدون هيچ‌گونه تأمّل ودرك واينكه چه خطرى در مجال عقايد پديد خواهد آورد، در بين مسلمانان منتشر ساختند، كه از آن جمله مى‌توان به اين افراد اشاره كرد</w:t>
      </w:r>
      <w:r>
        <w:rPr>
          <w:rFonts w:eastAsia="IRNazanin" w:cs="IRNazanin"/>
          <w:color w:val="111111"/>
          <w:sz w:val="28"/>
          <w:szCs w:val="28"/>
          <w:rtl w:val="true"/>
          <w:lang w:bidi="fa-IR"/>
        </w:rPr>
        <w:t>:</w:t>
      </w:r>
    </w:p>
    <w:p>
      <w:pPr>
        <w:pStyle w:val="Heading4"/>
        <w:numPr>
          <w:ilvl w:val="3"/>
          <w:numId w:val="1"/>
        </w:numPr>
        <w:rPr/>
      </w:pPr>
      <w:bookmarkStart w:id="32" w:name="__RefHeading___Toc1886441_3650668749"/>
      <w:bookmarkStart w:id="33" w:name="_Toc12"/>
      <w:bookmarkEnd w:id="32"/>
      <w:r>
        <w:rPr/>
        <w:t>1</w:t>
      </w:r>
      <w:r>
        <w:rPr>
          <w:rtl w:val="true"/>
        </w:rPr>
        <w:t xml:space="preserve">. </w:t>
      </w:r>
      <w:r>
        <w:rPr>
          <w:rtl w:val="true"/>
        </w:rPr>
        <w:t xml:space="preserve">نعيم بن حماد </w:t>
      </w:r>
      <w:r>
        <w:rPr>
          <w:rtl w:val="true"/>
        </w:rPr>
        <w:t>(</w:t>
      </w:r>
      <w:r>
        <w:rPr/>
        <w:t>228</w:t>
      </w:r>
      <w:r>
        <w:rPr>
          <w:rtl w:val="true"/>
        </w:rPr>
        <w:t xml:space="preserve"> </w:t>
      </w:r>
      <w:r>
        <w:rPr>
          <w:rtl w:val="true"/>
        </w:rPr>
        <w:t>ه</w:t>
      </w:r>
      <w:r>
        <w:rPr>
          <w:rtl w:val="true"/>
        </w:rPr>
        <w:t xml:space="preserve">. </w:t>
      </w:r>
      <w:r>
        <w:rPr>
          <w:rtl w:val="true"/>
        </w:rPr>
        <w:t>ق</w:t>
      </w:r>
      <w:r>
        <w:rPr>
          <w:rtl w:val="true"/>
        </w:rPr>
        <w:t>)</w:t>
      </w:r>
      <w:bookmarkEnd w:id="33"/>
    </w:p>
    <w:p>
      <w:pPr>
        <w:pStyle w:val="BookText"/>
        <w:rPr/>
      </w:pPr>
      <w:r>
        <w:rPr>
          <w:rFonts w:ascii="IRNazanin" w:hAnsi="IRNazanin" w:eastAsia="IRNazanin"/>
          <w:color w:val="111111"/>
          <w:sz w:val="28"/>
          <w:sz w:val="28"/>
          <w:szCs w:val="28"/>
          <w:rtl w:val="true"/>
          <w:lang w:bidi="fa-IR"/>
        </w:rPr>
        <w:t xml:space="preserve">گرچه ذهبى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اوعية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كسانى كه ظرفيت‌هاى علمى متعددى دارد، معرفى كرده است، ولى حقيقت امر آن است كه او از وضّاعين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ابن عدى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بود كه در تقويت سنّت، حديث جعل مى‌كرد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سيوطى از او روايت نقل كرده كه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خداوند اراده نزول به آسمان دنيا كند، از عرش خود پايين خواهد آمد</w:t>
      </w:r>
      <w:r>
        <w:rPr>
          <w:rFonts w:eastAsia="IRNazanin" w:cs="IRNazanin"/>
          <w:color w:val="111111"/>
          <w:sz w:val="28"/>
          <w:szCs w:val="28"/>
          <w:rtl w:val="true"/>
          <w:lang w:bidi="fa-IR"/>
        </w:rPr>
        <w:t xml:space="preserve">». </w:t>
      </w:r>
      <w:r>
        <w:rPr>
          <w:rStyle w:val="FootnoteAnchor"/>
          <w:rtl w:val="true"/>
        </w:rPr>
        <w:footnoteReference w:id="13"/>
      </w:r>
      <w:bookmarkStart w:id="34" w:name="pg1739_10428"/>
    </w:p>
    <w:p>
      <w:pPr>
        <w:pStyle w:val="Heading4"/>
        <w:numPr>
          <w:ilvl w:val="3"/>
          <w:numId w:val="1"/>
        </w:numPr>
        <w:rPr/>
      </w:pPr>
      <w:bookmarkStart w:id="35" w:name="__RefHeading___Toc1886443_3650668749"/>
      <w:bookmarkStart w:id="36" w:name="_Toc13"/>
      <w:bookmarkEnd w:id="34"/>
      <w:bookmarkEnd w:id="35"/>
      <w:r>
        <w:rPr/>
        <w:t>2</w:t>
      </w:r>
      <w:r>
        <w:rPr>
          <w:rtl w:val="true"/>
        </w:rPr>
        <w:t xml:space="preserve">. </w:t>
      </w:r>
      <w:r>
        <w:rPr>
          <w:rtl w:val="true"/>
        </w:rPr>
        <w:t xml:space="preserve">مقاتل بن سليمان </w:t>
      </w:r>
      <w:r>
        <w:rPr>
          <w:rtl w:val="true"/>
        </w:rPr>
        <w:t>(</w:t>
      </w:r>
      <w:r>
        <w:rPr/>
        <w:t>155</w:t>
      </w:r>
      <w:r>
        <w:rPr>
          <w:rtl w:val="true"/>
        </w:rPr>
        <w:t xml:space="preserve"> </w:t>
      </w:r>
      <w:r>
        <w:rPr>
          <w:rtl w:val="true"/>
        </w:rPr>
        <w:t>ه</w:t>
      </w:r>
      <w:r>
        <w:rPr>
          <w:rtl w:val="true"/>
        </w:rPr>
        <w:t xml:space="preserve">. </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او شيخ مجسّمه در عصر خود بود، ولذا به جهت شهرت او در قول به تجسيم، احتياج به هيچ برهانى نيست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7" w:name="__RefHeading___Toc1886445_3650668749"/>
      <w:bookmarkStart w:id="38" w:name="_Toc14"/>
      <w:bookmarkEnd w:id="37"/>
      <w:r>
        <w:rPr/>
        <w:t>3</w:t>
      </w:r>
      <w:r>
        <w:rPr>
          <w:rtl w:val="true"/>
        </w:rPr>
        <w:t xml:space="preserve">. </w:t>
      </w:r>
      <w:r>
        <w:rPr>
          <w:rtl w:val="true"/>
        </w:rPr>
        <w:t xml:space="preserve">وهب بن منبه </w:t>
      </w:r>
      <w:r>
        <w:rPr>
          <w:rtl w:val="true"/>
        </w:rPr>
        <w:t>(</w:t>
      </w:r>
      <w:r>
        <w:rPr/>
        <w:t>114</w:t>
      </w:r>
      <w:r>
        <w:rPr>
          <w:rtl w:val="true"/>
        </w:rPr>
        <w:t xml:space="preserve"> </w:t>
      </w:r>
      <w:r>
        <w:rPr>
          <w:rtl w:val="true"/>
        </w:rPr>
        <w:t>ه</w:t>
      </w:r>
      <w:r>
        <w:rPr>
          <w:rtl w:val="true"/>
        </w:rPr>
        <w:t xml:space="preserve">. </w:t>
      </w:r>
      <w:r>
        <w:rPr>
          <w:rtl w:val="true"/>
        </w:rPr>
        <w:t>ق</w:t>
      </w:r>
      <w:r>
        <w:rPr>
          <w:rtl w:val="true"/>
        </w:rPr>
        <w:t>)</w:t>
      </w:r>
      <w:bookmarkEnd w:id="38"/>
    </w:p>
    <w:p>
      <w:pPr>
        <w:pStyle w:val="Heading5"/>
        <w:numPr>
          <w:ilvl w:val="4"/>
          <w:numId w:val="1"/>
        </w:numPr>
        <w:rPr/>
      </w:pPr>
      <w:bookmarkStart w:id="39" w:name="__RefHeading___Toc1886447_365066874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ذهبى در ترجمه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سنددار او كم است وبيشتر علوم او در اسرائيليات وصحيفه‌هاى اهل كتاب است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1" w:name="__RefHeading___Toc1886449_3650668749"/>
      <w:bookmarkStart w:id="42" w:name="_Toc16"/>
      <w:bookmarkEnd w:id="41"/>
      <w:r>
        <w:rPr/>
        <w:t>4</w:t>
      </w:r>
      <w:r>
        <w:rPr>
          <w:rtl w:val="true"/>
        </w:rPr>
        <w:t xml:space="preserve">. </w:t>
      </w:r>
      <w:r>
        <w:rPr>
          <w:rtl w:val="true"/>
        </w:rPr>
        <w:t xml:space="preserve">محمّد بن كرّام سجستانى </w:t>
      </w:r>
      <w:r>
        <w:rPr>
          <w:rtl w:val="true"/>
        </w:rPr>
        <w:t>(</w:t>
      </w:r>
      <w:r>
        <w:rPr/>
        <w:t>255</w:t>
      </w:r>
      <w:r>
        <w:rPr>
          <w:rtl w:val="true"/>
        </w:rPr>
        <w:t xml:space="preserve"> </w:t>
      </w:r>
      <w:r>
        <w:rPr>
          <w:rtl w:val="true"/>
        </w:rPr>
        <w:t>ه</w:t>
      </w:r>
      <w:r>
        <w:rPr>
          <w:rtl w:val="true"/>
        </w:rPr>
        <w:t xml:space="preserve">. </w:t>
      </w:r>
      <w:r>
        <w:rPr>
          <w:rtl w:val="true"/>
        </w:rPr>
        <w:t>ق</w:t>
      </w:r>
      <w:r>
        <w:rPr>
          <w:rtl w:val="true"/>
        </w:rPr>
        <w:t>)</w:t>
      </w:r>
      <w:bookmarkEnd w:id="42"/>
    </w:p>
    <w:p>
      <w:pPr>
        <w:pStyle w:val="BookText"/>
        <w:rPr/>
      </w:pPr>
      <w:r>
        <w:rPr>
          <w:rFonts w:ascii="IRNazanin" w:hAnsi="IRNazanin" w:eastAsia="IRNazanin"/>
          <w:color w:val="111111"/>
          <w:sz w:val="28"/>
          <w:sz w:val="28"/>
          <w:szCs w:val="28"/>
          <w:rtl w:val="true"/>
          <w:lang w:bidi="fa-IR"/>
        </w:rPr>
        <w:t>ذهبى در ترجمه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 متكلّم، شيخ كراميه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بدعت‌هاى كراميه قول آنها در مورد خداوند است كه او جسم است نه مانند اجسام </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3" w:name="__RefHeading___Toc1886451_3650668749"/>
      <w:bookmarkStart w:id="44" w:name="_Toc17"/>
      <w:bookmarkEnd w:id="43"/>
      <w:r>
        <w:rPr/>
        <w:t>6</w:t>
      </w:r>
      <w:r>
        <w:rPr>
          <w:rtl w:val="true"/>
        </w:rPr>
        <w:t xml:space="preserve">. </w:t>
      </w:r>
      <w:r>
        <w:rPr>
          <w:rtl w:val="true"/>
        </w:rPr>
        <w:t xml:space="preserve">نوح ابن ابى مريم </w:t>
      </w:r>
      <w:r>
        <w:rPr>
          <w:rtl w:val="true"/>
        </w:rPr>
        <w:t>(</w:t>
      </w:r>
      <w:r>
        <w:rPr/>
        <w:t>173</w:t>
      </w:r>
      <w:r>
        <w:rPr>
          <w:rtl w:val="true"/>
        </w:rPr>
        <w:t xml:space="preserve"> </w:t>
      </w:r>
      <w:r>
        <w:rPr>
          <w:rtl w:val="true"/>
        </w:rPr>
        <w:t>ه</w:t>
      </w:r>
      <w:r>
        <w:rPr>
          <w:rtl w:val="true"/>
        </w:rPr>
        <w:t xml:space="preserve">. </w:t>
      </w:r>
      <w:r>
        <w:rPr>
          <w:rtl w:val="true"/>
        </w:rPr>
        <w:t>ق</w:t>
      </w:r>
      <w:r>
        <w:rPr>
          <w:rtl w:val="true"/>
        </w:rPr>
        <w:t>)</w:t>
      </w:r>
      <w:bookmarkEnd w:id="44"/>
    </w:p>
    <w:p>
      <w:pPr>
        <w:pStyle w:val="Heading5"/>
        <w:numPr>
          <w:ilvl w:val="4"/>
          <w:numId w:val="1"/>
        </w:numPr>
        <w:rPr/>
      </w:pPr>
      <w:bookmarkStart w:id="45" w:name="__RefHeading___Toc1886453_3650668749"/>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شرح حال او گفته شده كه تفسير را از مقاتل بن سليمان كه مشهور به تجسيم بوده، اخذ كرده است</w:t>
      </w:r>
      <w:r>
        <w:rPr>
          <w:rFonts w:eastAsia="IRNazanin" w:cs="IRNazanin"/>
          <w:color w:val="111111"/>
          <w:sz w:val="28"/>
          <w:szCs w:val="28"/>
          <w:rtl w:val="true"/>
          <w:lang w:bidi="fa-IR"/>
        </w:rPr>
        <w:t>.</w:t>
      </w:r>
    </w:p>
    <w:p>
      <w:pPr>
        <w:pStyle w:val="Heading5"/>
        <w:numPr>
          <w:ilvl w:val="4"/>
          <w:numId w:val="1"/>
        </w:numPr>
        <w:rPr/>
      </w:pPr>
      <w:bookmarkStart w:id="47" w:name="__RefHeading___Toc1886455_3650668749"/>
      <w:bookmarkStart w:id="48" w:name="_Toc19"/>
      <w:bookmarkEnd w:id="47"/>
      <w:r>
        <w:rPr/>
        <w:t>5</w:t>
      </w:r>
      <w:r>
        <w:rPr>
          <w:rtl w:val="true"/>
        </w:rPr>
        <w:t xml:space="preserve">. </w:t>
      </w:r>
      <w:r>
        <w:rPr>
          <w:rtl w:val="true"/>
        </w:rPr>
        <w:t xml:space="preserve">حماد بن سلمه </w:t>
      </w:r>
      <w:r>
        <w:rPr>
          <w:rtl w:val="true"/>
        </w:rPr>
        <w:t>(</w:t>
      </w:r>
      <w:r>
        <w:rPr/>
        <w:t>167</w:t>
      </w:r>
      <w:r>
        <w:rPr>
          <w:rtl w:val="true"/>
        </w:rPr>
        <w:t xml:space="preserve"> </w:t>
      </w:r>
      <w:r>
        <w:rPr>
          <w:rtl w:val="true"/>
        </w:rPr>
        <w:t>ه</w:t>
      </w:r>
      <w:r>
        <w:rPr>
          <w:rtl w:val="true"/>
        </w:rPr>
        <w:t xml:space="preserve">. </w:t>
      </w:r>
      <w:r>
        <w:rPr>
          <w:rtl w:val="true"/>
        </w:rPr>
        <w:t>ق</w:t>
      </w:r>
      <w:r>
        <w:rPr>
          <w:rtl w:val="true"/>
        </w:rPr>
        <w:t>)</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كسى است كه احاديث منكر بسيارى را در باب صفات خداوند؛ همانند تجسيم نقل كرده است؛ از جمله احاديث تجسيم حماد، روايتى است كه 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وترمذى </w:t>
      </w:r>
      <w:r>
        <w:rPr>
          <w:rStyle w:val="FootnoteAnchor"/>
          <w:rtl w:val="true"/>
        </w:rPr>
        <w:footnoteReference w:id="18"/>
      </w:r>
      <w:r>
        <w:rPr>
          <w:rFonts w:ascii="IRNazanin" w:hAnsi="IRNazanin" w:eastAsia="IRNazanin"/>
          <w:color w:val="111111"/>
          <w:sz w:val="28"/>
          <w:sz w:val="28"/>
          <w:szCs w:val="28"/>
          <w:rtl w:val="true"/>
          <w:lang w:bidi="fa-IR"/>
        </w:rPr>
        <w:t xml:space="preserve">به توسط او از انس بن مالك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49" w:name="pg1739_10429"/>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اين‌چنين تجلّى كرد؛ يعنى سرانگشت كوچك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متعال با سرانگشت خود به كوه اشاره كرده و تجلى نمود</w:t>
      </w:r>
      <w:r>
        <w:rPr>
          <w:rFonts w:eastAsia="IRNazanin" w:cs="IRNazanin"/>
          <w:color w:val="111111"/>
          <w:sz w:val="28"/>
          <w:szCs w:val="28"/>
          <w:rtl w:val="true"/>
          <w:lang w:bidi="fa-IR"/>
        </w:rPr>
        <w:t>.</w:t>
      </w:r>
    </w:p>
    <w:p>
      <w:pPr>
        <w:pStyle w:val="Heading3"/>
        <w:numPr>
          <w:ilvl w:val="2"/>
          <w:numId w:val="1"/>
        </w:numPr>
        <w:rPr/>
      </w:pPr>
      <w:bookmarkStart w:id="50" w:name="__RefHeading___Toc1886457_3650668749"/>
      <w:bookmarkStart w:id="51" w:name="_Toc20"/>
      <w:bookmarkEnd w:id="50"/>
      <w:r>
        <w:rPr>
          <w:rtl w:val="true"/>
        </w:rPr>
        <w:t>حشويه وقول به تجسيم‌</w:t>
      </w:r>
      <w:bookmarkEnd w:id="51"/>
    </w:p>
    <w:p>
      <w:pPr>
        <w:pStyle w:val="BookText"/>
        <w:rPr/>
      </w:pPr>
      <w:r>
        <w:rPr>
          <w:rFonts w:ascii="IRNazanin" w:hAnsi="IRNazanin" w:eastAsia="IRNazanin"/>
          <w:color w:val="111111"/>
          <w:sz w:val="28"/>
          <w:sz w:val="28"/>
          <w:szCs w:val="28"/>
          <w:rtl w:val="true"/>
          <w:lang w:bidi="fa-IR"/>
        </w:rPr>
        <w:t>حشويه به دو صورت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وزن دَهْريه وديگرى بر وزن 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عدّه‌اى از اهل حديث اطلاق شده كه به تشبيه وتجسيم گرايش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تسميه آنان به اين نام،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 به تجسيم بوده‌اند؛ زيرا جسم، محشوّ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حشاء به معناى جانب وكنار يا حاشيه مجلس است، چون آنان در مجلس درس حسن بصرى حاضر مى‌شدند و سخنان نادرست مى‌گفتند، وى دستور داد تا آنان را در كنار وحاشيه مجلس جاى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سيد شريف جرجانى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الحشوية حشوية؛ لأنّهم يحشون الأحاديث التي لا أساس لها في الأحاديث</w:t>
      </w:r>
    </w:p>
    <w:p>
      <w:pPr>
        <w:pStyle w:val="BookText"/>
        <w:rPr/>
      </w:pPr>
      <w:r>
        <w:rPr>
          <w:rFonts w:ascii="Amiri" w:hAnsi="Amiri" w:eastAsia="Amiri" w:cs="Amiri"/>
          <w:color w:val="111111"/>
          <w:sz w:val="28"/>
          <w:sz w:val="28"/>
          <w:szCs w:val="28"/>
          <w:rtl w:val="true"/>
          <w:lang w:bidi="ar-SA"/>
        </w:rPr>
        <w:t xml:space="preserve">المرويّة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الحشوية يقولون بالجبر والتشبيه وتوصيفه تعالي بالنفس واليد والسمع</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حشويه را حشويه ناميدند؛ زيرا آنان از احاديثى استفاده مى‌كنند كه اصل واساسى براى آنها در احاديث روايت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حشويه قائل به جبر وتشبيه وتوصيف خداوند متعال به داشتن نفس ودست وگوش وچشمند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منسوب به حشوه، از قرّاء خراسانند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صَفَدى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الغيث المجسّم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مذهب حنفيه، تفكّر معتزلى غلبه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مذهب شافعى، تفكر اشاعره ودر مذهب مالكى، انديشه 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مذهب حنابله، روش حشويه غلبه دارد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شهرستانى درباره حشويه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حشويه اصحاب حديث، آشكارا قائل به تشبيه شده، براى خداوند اعضا وابعاض، نزول وصعود، حركت وانتقال 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روايات بى‌اساس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كه اكثر اين روايات از يهود اقتباس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ودرباره قرآن بر اين عقيده بودند كه حتى حروف واصوات وكلمات آن نيز قديم وازلى است</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ابن رشد اندلسى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الحشوية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معرفة وجود الله تعالي هو السمع لا العقل، أعني أنّ الإيمان بوجوده الّذي كلّف الناس التصديق به يكفي فيه أن يتلقّى من صاحب الشرع ويؤمن به إيماناً كما تتلقّي منه أحوال المعاد وغير ذلك مما لا دخل للعقل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الفرقة الضالّة، الظاهر من أمرها أنّها مقصّرة عن مقصود الشارع في الطريق الّتي نصبها للجميع مفيضة إلي معرفة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يظهر من آية من كتاب الله تعالي إنّه دعي الناس إلي التصديق بوجود الباري سبحانه بأدلة عقلية منصوص عليها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حشويه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معرفتِ وجودِ خداوند متعال سمع است نه عقل؛ يعنى تنها راه ايمان به وجود خدا كه مردم مكلّف به تصديق به آن مى‌باشند، آن ايمانى است كه از صاحب شرع</w:t>
      </w:r>
      <w:bookmarkStart w:id="52" w:name="pg1739_10432"/>
    </w:p>
    <w:p>
      <w:pPr>
        <w:pStyle w:val="BookText"/>
        <w:rPr/>
      </w:pPr>
      <w:bookmarkEnd w:id="52"/>
      <w:r>
        <w:rPr>
          <w:rFonts w:ascii="IRNazanin" w:hAnsi="IRNazanin" w:eastAsia="IRNazanin"/>
          <w:color w:val="111111"/>
          <w:sz w:val="28"/>
          <w:sz w:val="28"/>
          <w:szCs w:val="28"/>
          <w:rtl w:val="true"/>
          <w:lang w:bidi="fa-IR"/>
        </w:rPr>
        <w:t>گرفته شود؛ همان‌گونه كه احوال معاد وديگر امورى كه عقل در آنها مدخليت ندارد، از شرع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فرقه گمراه، امرشان ظاهر است كه در فهم مقصود شارع راهى را كه خداوند براى تمام مردم نصب كرده وبه معرفت خداوند متعال مى‌انجامد قاصرند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 از آيات متعددى از كتاب خداوند متعال استفاده مى‌شود؛ زيرا آيات، مردم را دعوت به تصديق وجود بارى تعالى به ادله عقلى كرده كه بر آنها نصّ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عقيده حشويه را مى‌توان سه مطلب 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براى رسيدن به معرفت اعتقادى، نصّ شرعى است وعقل هرگز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عقايد، اعتماد بر احاديث ضعيف وجعلى مى‌كنند، بدون آنكه آنها را مورد بررسى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تأويلند ولذا هر چه را در باب عقايد در احاديث آمده، حمل بر ظاهر آن مى‌نمايند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3" w:name="__RefHeading___Toc1886459_3650668749"/>
      <w:bookmarkStart w:id="54" w:name="_Toc21"/>
      <w:bookmarkEnd w:id="53"/>
      <w:r>
        <w:rPr>
          <w:rtl w:val="true"/>
        </w:rPr>
        <w:t>دور چهارم</w:t>
      </w:r>
      <w:r>
        <w:rPr>
          <w:rtl w:val="true"/>
        </w:rPr>
        <w:t xml:space="preserve">: </w:t>
      </w:r>
      <w:r>
        <w:rPr>
          <w:rtl w:val="true"/>
        </w:rPr>
        <w:t>از عصر احمد بن حنبل تا ابن تيميمه‌</w:t>
      </w:r>
      <w:bookmarkEnd w:id="54"/>
    </w:p>
    <w:p>
      <w:pPr>
        <w:pStyle w:val="BookText"/>
        <w:rPr/>
      </w:pPr>
      <w:r>
        <w:rPr>
          <w:rFonts w:ascii="IRNazanin" w:hAnsi="IRNazanin" w:eastAsia="IRNazanin"/>
          <w:color w:val="111111"/>
          <w:sz w:val="28"/>
          <w:sz w:val="28"/>
          <w:szCs w:val="28"/>
          <w:rtl w:val="true"/>
          <w:lang w:bidi="fa-IR"/>
        </w:rPr>
        <w:t>اين دور از ادوار تشبيه وتجسيم، از زمان احمد بن حنبل وحنابله شروع شده وتا عصر ابن تيميه ادامه پيدا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احمد بن حنبل كتابى را در اين باره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وحنابله نيز كتابى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w:t>
      </w:r>
    </w:p>
    <w:p>
      <w:pPr>
        <w:pStyle w:val="BookText"/>
        <w:rPr/>
      </w:pPr>
      <w:r>
        <w:rPr>
          <w:rFonts w:ascii="IRNazanin" w:hAnsi="IRNazanin" w:eastAsia="IRNazanin"/>
          <w:color w:val="111111"/>
          <w:sz w:val="28"/>
          <w:sz w:val="28"/>
          <w:szCs w:val="28"/>
          <w:rtl w:val="true"/>
          <w:lang w:bidi="fa-IR"/>
        </w:rPr>
        <w:t>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پر از احاديث تشبيه وتجسيم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دوران، پيروان اين خط كتاب‌هاى بسيارى را تأليف كرده ودر آن احاديث تشبيه وتجسيم را جمع نمودند،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خشيش بن اصرم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احمد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بن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حرب ابن اسماعيل سيرجانى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بن معبد خزاعى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عثمان بن سعيد دارمى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ابى نصر سجرى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التأويلات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ابى يعلى قاضى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حنابله در اوائل قرن پنجم؛ يعنى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توانستند خليفه قادر بالله عباسى را هم‌عقيده خود كنند، لذا از اين راه مردم را هم‌عقيده خود كرده وهر كس از معتزله وحنفيه وديگران كه با آن مخالفت مى‌كرد را تهديد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ابواحمد كَرَجى درباره عقيده خود كتابى 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قادر بالله آن را كتابت كرده ومردم را بر آن جمع وبر تعليم آن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در اوائل صده پنجم ودر آخر ايام امام ابى‌حامد اسفرايينى، شيخ شافعيه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هر كس كه اعتقاد به آنچه در اين كتاب است ندارد؛ چه معتزلى يا رافضى يا خارجى، بايد 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عقايد در آن كتاب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ربّنا عزّ وجلّ وحده لا شي‌ء معه ولا مكان يحويه، فخلق كلّ شي‌ء بقدرته، وخلق العرش بلا احتياج إليه فاستقر عليه شاء وأراد، لااستقرار راحة كما يستريح الخلق</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عزّوجلّ ما تنها است وچيزى همراه او نيست ومكانى او را احاطه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 را به قدرت خود آفريد، وعرش را بدون آنكه به آن احتياج داشته باشد خلق كرد،</w:t>
      </w:r>
    </w:p>
    <w:p>
      <w:pPr>
        <w:pStyle w:val="BookText"/>
        <w:rPr/>
      </w:pPr>
      <w:r>
        <w:rPr>
          <w:rFonts w:ascii="IRNazanin" w:hAnsi="IRNazanin" w:eastAsia="IRNazanin"/>
          <w:color w:val="111111"/>
          <w:sz w:val="28"/>
          <w:sz w:val="28"/>
          <w:szCs w:val="28"/>
          <w:rtl w:val="true"/>
          <w:lang w:bidi="fa-IR"/>
        </w:rPr>
        <w:t>پس بر روى آن به نحو استقرار قرار گرفت آن‌گونه كه بخواهد واراده كند، نه به نحو استقرار راحت، همان‌گونه كه خلق استراحت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بود كه قادر بالله معتزله وشيعه وديگران از صاحبان گفتار ومقالات مخالف را دستور به توبه داد وآنان را از مناظره در عقايدشان نهى نمود، واگر كسى چنين مى‌كرد عقوبت مى‌نمود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حافظ ابن جوزى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بود كه قادر، بدعت‌گذاران را دستور به توبه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هبة الله بن حسن طبرى كه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اميرالمؤمنين قادر بالله، فقهاى معتزله وحنفيه را دستور به توبه داد وآنان نيز اظهار رجوع كردند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نصوص تاريخى استفاده مى‌شود كه دست سياست در كنار حنابله قرار گرفت وبه كمك آنان آمد ولذا مخالفين خود را با انواع اذيت وآزارها از ميدان بيرون كردند واز اين طريق عقايد خود را گسترش داده وبراى خود شوكتى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حنابله از اين فرصت به نفع خود سوء استفاده كرده ودر مقابل مخالفان با مقابله عملى وفكرى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يحيى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معروف به شيخ مجسّم ابى اسماعيل هروى است، كه خودش</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حبّان را از سجستان بيرون كردم؛ زيرا او منكر حدّ براى خداوند متعال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بعد از او امامان حنبلى يكى پس از ديگرى ظهور كرده وخطّ فكرى خود را ادامه دادند كه از جمله آنان، قاضى ابويعلى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تأليف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تشبيه وتجسيم را دنبال كرده وبر نظريه تأويل در باب صفات، خطّ بطلان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او نيز ابن قدامه مقدسى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دهنده اين راه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تأليف كتاب‌هايى درباره اين عقيده به نام‌هاى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عقيده تشبيه وتجسيم جان تازه‌اى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مؤلفات ابن قدامه را در شرح حالش آورده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اين تأليفات اكنون چاپ شده ودر دسترس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ابوشامه مقدسى درباره 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كلامه في العقائد على الطريقة المشهورة عن أهل مذهبه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كلام او در عقايد بر روش مشهور از اهل مذهبش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ابوزهره مى‌نويسد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تيميه يقرّر أنّ مذهب السلف هو إثبات كلّ ما جاء في القرآن من</w:t>
      </w:r>
      <w:bookmarkStart w:id="55" w:name="pg1739_10437"/>
    </w:p>
    <w:p>
      <w:pPr>
        <w:pStyle w:val="BookText"/>
        <w:rPr/>
      </w:pPr>
      <w:bookmarkEnd w:id="55"/>
      <w:r>
        <w:rPr>
          <w:rFonts w:ascii="Amiri" w:hAnsi="Amiri" w:eastAsia="Amiri" w:cs="Amiri"/>
          <w:color w:val="111111"/>
          <w:sz w:val="28"/>
          <w:sz w:val="28"/>
          <w:szCs w:val="28"/>
          <w:rtl w:val="true"/>
          <w:lang w:bidi="ar-SA"/>
        </w:rPr>
        <w:t xml:space="preserve">فوقيّة وتحتيّة واستواء علي العرش ووجه ويد ومحبّة وبغض، وما جاء في السنة من ذلك ايضاً من غير تأويل وبالظاهر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سبقه بهذا الحنابلة في القرن الرابع الهجري كما بيّنا، وأدعوا أنّ ذلك مذهب السلف، وناقشهم العلماء في ذلك الوقت، وأثبتوا أنّ اعتقادهم هذا يؤدّي إلي التشبيه والجسميّة لامحالة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 تيميه چنين تقرير مى‌كرد كه مذهب سلف اثبات هر چيزى است كه در قرآن آمده است؛ از قبيل فوقيت وتحتيت واستواء بر عرش وصورت ودست ومحبت وبغض، ونيز آنچه در سنّت از اين قبيل آمده است، بدون آنكه تأويل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رأى، حنابله در قرن چهارم هجرى قمرى سبقت گرفتند آن‌گونه كه بيان شد وادّعا كردند كه اين رأى مذهب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همان وقت علما با آنان مناقشه كرده واثبات نمودند كه اعتقادشان منجرّ به تشبيه وجسميت خواهد شد </w:t>
      </w:r>
      <w:r>
        <w:rPr>
          <w:rFonts w:eastAsia="IRNazanin" w:cs="IRNazanin"/>
          <w:color w:val="111111"/>
          <w:sz w:val="28"/>
          <w:szCs w:val="28"/>
          <w:rtl w:val="true"/>
          <w:lang w:bidi="fa-IR"/>
        </w:rPr>
        <w:t>...</w:t>
      </w:r>
    </w:p>
    <w:p>
      <w:pPr>
        <w:pStyle w:val="Heading3"/>
        <w:numPr>
          <w:ilvl w:val="2"/>
          <w:numId w:val="1"/>
        </w:numPr>
        <w:rPr/>
      </w:pPr>
      <w:bookmarkStart w:id="56" w:name="__RefHeading___Toc1886461_3650668749"/>
      <w:bookmarkStart w:id="57" w:name="_Toc22"/>
      <w:bookmarkEnd w:id="56"/>
      <w:r>
        <w:rPr>
          <w:rtl w:val="true"/>
        </w:rPr>
        <w:t>دوره پنجم</w:t>
      </w:r>
      <w:r>
        <w:rPr>
          <w:rtl w:val="true"/>
        </w:rPr>
        <w:t xml:space="preserve">: </w:t>
      </w:r>
      <w:r>
        <w:rPr>
          <w:rtl w:val="true"/>
        </w:rPr>
        <w:t>از عصر ابن تيميه تا محمد بن عبدالوهاب‌</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دوران از زمان ابن تيميه وشاگردان او شروع مى‌شود وتا زمان محمّد بن عبدالوهاب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اصول افكار حنابله وقائلين به تجسيم را از گذشتگان خود به ارث برد وبراى آن، اساس وبرنامه‌اى خاص قرار داده وآنها را منظم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يكى از كتاب‌هاى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اساس التقديس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نقص بودن اسم مشبه بر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كذلك فاسم المشبهة ليس له ذكر بذمّ في الكتاب والسنة ولا كلام أحد من الصحابة والتابعين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هرگاه چنين باشد، پس براى معتقدان به تشبيه يادى به مذمّت در كتاب وسنّت ونه كلام هيچ يك از صحابه وتابعين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كتاب الله ولا سنّة رسوله ولا قول أحد من سلف الأمة وأئمّتها أنّه ليس بجسم، وأنّ صفاته ليس أجساماً وأعراضاً، فنفي المعاني الثابتة بالشرع بنفي ألفاظ لم ينف معناها شرع ولا عقل، جهل وضلال</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خدا وسنّت رسولش ونيز در كلام احدى از سلف</w:t>
      </w:r>
      <w:bookmarkStart w:id="58" w:name="pg1739_10439"/>
    </w:p>
    <w:p>
      <w:pPr>
        <w:pStyle w:val="BookText"/>
        <w:rPr/>
      </w:pPr>
      <w:bookmarkEnd w:id="58"/>
      <w:r>
        <w:rPr>
          <w:rFonts w:ascii="IRNazanin" w:hAnsi="IRNazanin" w:eastAsia="IRNazanin"/>
          <w:color w:val="111111"/>
          <w:sz w:val="28"/>
          <w:sz w:val="28"/>
          <w:szCs w:val="28"/>
          <w:rtl w:val="true"/>
          <w:lang w:bidi="fa-IR"/>
        </w:rPr>
        <w:t>وامامان امت چنين نيامده كه خداوند جسم نيست، واينكه صفات او جسم وعرض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معانى ثابت به شرع به نفى الفاظى كه شرع وعقل معناى آن را نفى نكرده، نادانى وضلالت است</w:t>
      </w:r>
      <w:r>
        <w:rPr>
          <w:rFonts w:eastAsia="IRNazanin" w:cs="IRNazanin"/>
          <w:color w:val="111111"/>
          <w:sz w:val="28"/>
          <w:szCs w:val="28"/>
          <w:rtl w:val="true"/>
          <w:lang w:bidi="fa-IR"/>
        </w:rPr>
        <w:t>.</w:t>
      </w:r>
    </w:p>
    <w:p>
      <w:pPr>
        <w:pStyle w:val="Heading3"/>
        <w:numPr>
          <w:ilvl w:val="2"/>
          <w:numId w:val="1"/>
        </w:numPr>
        <w:rPr/>
      </w:pPr>
      <w:bookmarkStart w:id="59" w:name="__RefHeading___Toc1886463_3650668749"/>
      <w:bookmarkStart w:id="60" w:name="_Toc23"/>
      <w:bookmarkEnd w:id="59"/>
      <w:r>
        <w:rPr>
          <w:rtl w:val="true"/>
        </w:rPr>
        <w:t>دوره ششم</w:t>
      </w:r>
      <w:r>
        <w:rPr>
          <w:rtl w:val="true"/>
        </w:rPr>
        <w:t xml:space="preserve">: </w:t>
      </w:r>
      <w:r>
        <w:rPr>
          <w:rtl w:val="true"/>
        </w:rPr>
        <w:t>عصر محمد بن عبدالوهاب‌</w:t>
      </w:r>
      <w:bookmarkEnd w:id="60"/>
    </w:p>
    <w:p>
      <w:pPr>
        <w:pStyle w:val="BookText"/>
        <w:rPr/>
      </w:pPr>
      <w:r>
        <w:rPr>
          <w:rFonts w:ascii="IRNazanin" w:hAnsi="IRNazanin" w:eastAsia="IRNazanin"/>
          <w:color w:val="111111"/>
          <w:sz w:val="28"/>
          <w:sz w:val="28"/>
          <w:szCs w:val="28"/>
          <w:rtl w:val="true"/>
          <w:lang w:bidi="fa-IR"/>
        </w:rPr>
        <w:t>دور ششم از ادوار قول به تشبيه، دوران محمّد بن‌عبدالوهاب نجدى وپيروان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ذكر التجسيم و ذم المجسمة، فهذا لايعرف في كلام أحد من السلف و الأئمة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اما ذكر تجسيم و مذمت مجسمه، اين چيزى است كه در كلام هيچ يك از پيشينيان و امامان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دفاع از قول به تجسيم 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ان يكون الربّ يشار اليه برفع الأيدي في الدعاء و تعرج الملائكة و الروح اليه، و يعرج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 تنزل الملائكة من عنده و ينزل منه القرآن، و نحو ذلك من اللوازم التي نطق بها الكتاب و السنة</w:t>
      </w:r>
    </w:p>
    <w:p>
      <w:pPr>
        <w:pStyle w:val="BookText"/>
        <w:rPr/>
      </w:pPr>
      <w:r>
        <w:rPr>
          <w:rFonts w:ascii="Amiri" w:hAnsi="Amiri" w:eastAsia="Amiri" w:cs="Amiri"/>
          <w:color w:val="111111"/>
          <w:sz w:val="28"/>
          <w:sz w:val="28"/>
          <w:szCs w:val="28"/>
          <w:rtl w:val="true"/>
          <w:lang w:bidi="ar-SA"/>
        </w:rPr>
        <w:t>وماكان في معناها؟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انتفاء هذا اللازم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اگر كسى اشكال كند كه در صورت قول به تجسيم لازم مى‌آيد كه به سوى پروردگارت با بلند كردن دست‌ها در حال دعا اشاره شود و ملائكه و روح به سوى او بالا روند،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سوى او رود، و ملائكه از جانب او فرود آيند و از ناحيه او قرآن نازل شود، و امثال اينها از لوازمى كه قرآن و سنت بر آن نطق كرده و آنچه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بودن اين امور لازم را مسلّم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ثبت بالكتاب و السنة و اجمع عليه سلف الأمة هو حقّ، و اذا لزم من ذلك ان يكون هو الذي يعنيه بعض المتكلّمين بلفظ الجسم، فلازم الحقّ حقّ</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كتاب و سنت ثابت شده و اجماع امت بر آن است حق مى‌باشد، و اگر لازمه آن عقيده اعتراف به جسميت خداست اشكالى ندارد؛ زيرا لازمه حقّ،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محمّداً رسول الله يجلسه ربّه علي</w:t>
      </w:r>
    </w:p>
    <w:p>
      <w:pPr>
        <w:pStyle w:val="BookText"/>
        <w:rPr/>
      </w:pPr>
      <w:r>
        <w:rPr>
          <w:rFonts w:ascii="IRNazanin" w:hAnsi="IRNazanin" w:eastAsia="IRNazanin"/>
          <w:color w:val="111111"/>
          <w:sz w:val="28"/>
          <w:sz w:val="28"/>
          <w:szCs w:val="28"/>
          <w:rtl w:val="true"/>
          <w:lang w:bidi="fa-IR"/>
        </w:rPr>
        <w:t>العرش معه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همانا محمّد رسول خدا، پروردگارش او را بر روى عرش كنار خود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درباره فتنه بنى‌اسرائيل در اتخاذ گوساله براى پرستش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أَنَّهُ لا يُكَلِّمُهُمْ وَ لا يَهْدِيهِمْ سَبِيلًا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فلم يذكر فيما عابه به كونه ذا جسد، و لكن ذكر فيما عابه به انّه لايكلّمهم و لايهديهم سبيلا؛ و لو كان مجرد كونه ذا بدن عيباً و نقصاً لذكر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انّ الآية تدلّ علي نقص حجة من يحتج بها علي انّ كون الشي‌ء ذا بدن عيباً و نقصاً </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نمى‌بينند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سخن نمى‌گويد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هدايتشان نمى‌نمايد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آنچه كه به آن سرزنش كرده داراى جسدبودن گوساله را نگفته، بلكه از جمله آنچه كه بر آن</w:t>
      </w:r>
    </w:p>
    <w:p>
      <w:pPr>
        <w:pStyle w:val="BookText"/>
        <w:rPr/>
      </w:pPr>
      <w:r>
        <w:rPr>
          <w:rFonts w:ascii="IRNazanin" w:hAnsi="IRNazanin" w:eastAsia="IRNazanin"/>
          <w:color w:val="111111"/>
          <w:sz w:val="28"/>
          <w:sz w:val="28"/>
          <w:szCs w:val="28"/>
          <w:rtl w:val="true"/>
          <w:lang w:bidi="fa-IR"/>
        </w:rPr>
        <w:t xml:space="preserve">سرزنش كرده اين است كه گوساله با آنان سخن نمى‌گويد و هدايتشان نمى‌كند، و اگر مجرد بدن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دانستن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و نقص بود آن را ذكر مى‌كرد، پس دانسته شد كه آيه دلالت مى‌كند بر نقص استدلال هركس كه مى‌گويد بدن داشتن چيزى عيب و نقص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حسن بن محمّد بن عبدالوهاب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يجلس علي العرش و الكرسي</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بر روى عرش و كرسى 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فوزان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استقر علي العرش</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روى كرسى خود استقرار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باز مفتى سابق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 الجسمية و الجوارح و الاعضاء عن الله من الكلام المذموم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نفى جسميت و جوارح و اعضاء از خداوند از جمله سخنان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يجي‌ء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يكشف لعباده المؤمنين عن ساقه، و هي العلامة بينه و بينهم، فاذا كشف عن ساقه عرفوه و تبعوه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روزى كه پروردگار در روز قيامت مى‌آيد و ساقش را براى بندگان مؤمنش كشف مى‌كند كه اين نشانه‌اى بين او و آنان است، در اين هنگام است كه همگى او را شناخته و از او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از محدثان وهابى در فتاواى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وديگران منكر نعمت رؤيت خدايند، وهر كسى كه معتقد به آن باشد گمراه دانسته واو را به تشبيه وتجسيم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اهل سنّت ايمان داريم كه از منّت‌هاى خداوند بر بندگانش آن است كه در روز قيامت بر آنان تجلّى كرده واو را مانند ماه شب چهارده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عثيمين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اثبات القول لله، و انّه بحرف و صوت؛ لانّ اصل القول لابدّ ان يكون بصوت، و لو كان قولا بالنفس لقيده الله،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فِي أَنْفُسِهِمْ لَوْ لا يُعَذِّبُنَا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فاذا</w:t>
      </w:r>
    </w:p>
    <w:p>
      <w:pPr>
        <w:pStyle w:val="BookText"/>
        <w:rPr/>
      </w:pPr>
      <w:r>
        <w:rPr>
          <w:rFonts w:ascii="Amiri" w:hAnsi="Amiri" w:eastAsia="Amiri" w:cs="Amiri"/>
          <w:color w:val="111111"/>
          <w:sz w:val="28"/>
          <w:sz w:val="28"/>
          <w:szCs w:val="28"/>
          <w:rtl w:val="true"/>
          <w:lang w:bidi="ar-SA"/>
        </w:rPr>
        <w:t>اطلق القول فلابدّ ان يكون بصوت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اثبات قول براى خداست و اينكه گفتارش با حرف و صوت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با نفس بود آن را خداوند مقيد مى‌آورد، همان‌گونه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 در نفسشان چرا ما را عذاب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قول مطلق ذكر شود پس بايد همراه با صوت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زينو از نويسندگان وهابى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رسائل التوجيهات الاسلامية لاصلاح الفرد و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فوق العرش بذاته منفصل من خلقه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ذاتش بالاى عرش قرار گرفته و از خلقش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خليل هرّاس در شرح نونيه ابن قيم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فوقية الذات، لانّه ذكر انّ العرش فوق السماوات، و هي فوقية حسية بالمكان فتكون فوقية الله علي العرش كذلك، و لايصحّ ابداً حمل الفوقية هنا على فوقية القهر و الغلبة</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صريح است در فوقيت ذات؛ زيرا ذكر كرده به اينكه عرش بالاى آسمان‌هاست، و اين فوقيت حسّى مكانى است، پس</w:t>
      </w:r>
    </w:p>
    <w:p>
      <w:pPr>
        <w:pStyle w:val="BookText"/>
        <w:rPr/>
      </w:pPr>
      <w:r>
        <w:rPr>
          <w:rFonts w:ascii="IRNazanin" w:hAnsi="IRNazanin" w:eastAsia="IRNazanin"/>
          <w:color w:val="111111"/>
          <w:sz w:val="28"/>
          <w:sz w:val="28"/>
          <w:szCs w:val="28"/>
          <w:rtl w:val="true"/>
          <w:lang w:bidi="fa-IR"/>
        </w:rPr>
        <w:t>فوقيت خدا بر عرش نيز اين چنين است، و هرگز صحيح نيست كه فوقيت در اينجا را حمل بر فوقيت قهر و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علوّ الذات فهو انّ الله عال بذاته فوق كلّ شي‌ء، و كل الأشياء تحته، والله عزوجلّ فوقها بذاته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علوّ ذات، پس آن به اين است كه خداوند به ذاتش عالى و بالاى هر چيزى است، و تمام موجودات زير اوست، و خداوند عزّوجلّ ذاتش بالاى تمام اشياء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خليل هرّاس در تعليقه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خزيمه در حديثى كه در آن سخن از قبض به وسيله دست از سوى خدا آمده،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القبض انّما يكون باليد الحقيقية لا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الباء هنا للسببية، اي بسبب ارادته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قبض، فانّ القبض محتاج إلى آلة، فلا مناص لهم لو انصفوا من انفسهم إلّا ان يعترفوا بثبوت ما صرّح به الكتاب و السنة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همانا قبض به دست حقيقى است نه به نعمت، پس اگر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سببيت است، يعنى به سبب اراده انعام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قبض كرده؛ زيرا قبض محتاج به وسيله‌اى است، پس راهى نيست براى آنان اگر از خود انصاف دهند جز آنكه اعتراف كنند به ثبوت آنچه كه قرآن و سنت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صريحة في اثبات اليد؛ فانّ الله يخبر فيها انّ يده تكون فوق ايدي المبايعين لرسوله، و لا شك انّ المبايعة انّما تكون بالأيدي، لا النعمة ولا بالقدرة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صريح است در اثبات دست؛ زيرا خداوند در آن خبر مى‌دهد كه دستش فوق دستان بيعت‌كنندگان رسولش مى‌باشد، و شكى نيست كه بيعت با دست مى‌باشد، نه نعمت و نه به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صالح العثيمين مى‌نويسد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كلّ، فانّ يديه سبحانه اثنتان بلاشك؛ و كلّ واحدة غير الأخري، و إذا وصفنا اليد الأخري بالشمال فليس المراد انّها نقص من اليد اليمني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على اى حال، همانا دست خداوند سبحان دوتاست بدون شك و هر كدام غير ديگرى است، و هرگاه توصيف كرديم دست ديگر را به شمال معناى آن اين نيست كه نسبت به دست راست نقص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صالح العثيمين از مفتيان وهابى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يأتي اتياناً حقيقياً للفصل بين عباده يوم القيمة علي الوجه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مانع من ان نؤمن بانّ الله تعالى يأتي هرولة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همانا خداوند به طور حقيقى مى‌آيد، به جهت جدا كردن بندگانش در روز قيامت به نحوى كه لايق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مانعى است از اينكه خداوند متعال هروله كنان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ثبوت اتيان الله هرولة، و هذا الظاهر ليس ممتنعاً علي الله، فيثبت لله حقيقة</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ثبوت آمدن خداوند به صورت هروله است، و اين ظاهر بر خداوند ممتنع نمى‌باشد، لذا بر خداوند به طور حقيقى ثابت مى‌شود</w:t>
      </w:r>
      <w:r>
        <w:rPr>
          <w:rFonts w:eastAsia="Amiri" w:cs="Amiri" w:ascii="Amiri" w:hAnsi="Amiri"/>
          <w:color w:val="111111"/>
          <w:sz w:val="28"/>
          <w:szCs w:val="28"/>
          <w:rtl w:val="true"/>
          <w:lang w:bidi="ar-SA"/>
        </w:rPr>
        <w:t>.</w:t>
      </w:r>
      <w:bookmarkStart w:id="61" w:name="pg1739_10448"/>
    </w:p>
    <w:p>
      <w:pPr>
        <w:pStyle w:val="BookText"/>
        <w:rPr/>
      </w:pPr>
      <w:bookmarkEnd w:id="61"/>
      <w:r>
        <w:rPr>
          <w:rFonts w:ascii="IRNazanin" w:hAnsi="IRNazanin" w:eastAsia="IRNazanin"/>
          <w:color w:val="111111"/>
          <w:sz w:val="28"/>
          <w:sz w:val="28"/>
          <w:szCs w:val="28"/>
          <w:rtl w:val="true"/>
          <w:lang w:bidi="fa-IR"/>
        </w:rPr>
        <w:t>محمّد بن صالح العثيمين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ونؤمن بانّ لله عينين اثنتين حقيقيتين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داريم به اينكه براى خداوند متعال دو چشم حقيقى است</w:t>
      </w:r>
      <w:r>
        <w:rPr>
          <w:rFonts w:eastAsia="IRNazanin" w:cs="IRNazanin"/>
          <w:color w:val="111111"/>
          <w:sz w:val="28"/>
          <w:szCs w:val="28"/>
          <w:rtl w:val="true"/>
          <w:lang w:bidi="fa-IR"/>
        </w:rPr>
        <w:t>».</w:t>
      </w:r>
    </w:p>
    <w:p>
      <w:pPr>
        <w:pStyle w:val="Heading3"/>
        <w:numPr>
          <w:ilvl w:val="2"/>
          <w:numId w:val="1"/>
        </w:numPr>
        <w:rPr/>
      </w:pPr>
      <w:bookmarkStart w:id="62" w:name="__RefHeading___Toc1886465_3650668749"/>
      <w:bookmarkStart w:id="63" w:name="_Toc24"/>
      <w:bookmarkEnd w:id="62"/>
      <w:r>
        <w:rPr>
          <w:rtl w:val="true"/>
        </w:rPr>
        <w:t>دوره هفتم</w:t>
      </w:r>
      <w:r>
        <w:rPr>
          <w:rtl w:val="true"/>
        </w:rPr>
        <w:t xml:space="preserve">: </w:t>
      </w:r>
      <w:r>
        <w:rPr>
          <w:rtl w:val="true"/>
        </w:rPr>
        <w:t>عصر وهابيان معاصر</w:t>
      </w:r>
      <w:bookmarkEnd w:id="63"/>
    </w:p>
    <w:p>
      <w:pPr>
        <w:pStyle w:val="BookText"/>
        <w:rPr/>
      </w:pPr>
      <w:r>
        <w:rPr>
          <w:rFonts w:ascii="IRNazanin" w:hAnsi="IRNazanin" w:eastAsia="IRNazanin"/>
          <w:color w:val="111111"/>
          <w:sz w:val="28"/>
          <w:sz w:val="28"/>
          <w:szCs w:val="28"/>
          <w:rtl w:val="true"/>
          <w:lang w:bidi="fa-IR"/>
        </w:rPr>
        <w:t>دوره هفتم از ادوار تجسيم وتشبيه، دوران سلفيه ووهابيان معاصر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هيئت بحث‌ها وفتاوى ودعوت وارشاد ظهور وبروز داشته ودارند ونيز محمد ناصرالدين البانى وپيروان خط فكرى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عصر حاضر توانسته‌اند، دانشگاه‌هاى مختلف را تسخير كرده ودسته‌هاى گوناگون از طلاب را با اصول افكار خود در آنجا تعليم دهند</w:t>
      </w:r>
      <w:r>
        <w:rPr>
          <w:rFonts w:eastAsia="IRNazanin" w:cs="IRNazanin"/>
          <w:color w:val="111111"/>
          <w:sz w:val="28"/>
          <w:szCs w:val="28"/>
          <w:rtl w:val="true"/>
          <w:lang w:bidi="fa-IR"/>
        </w:rPr>
        <w:t>.</w:t>
      </w:r>
    </w:p>
    <w:p>
      <w:pPr>
        <w:pStyle w:val="Heading2"/>
        <w:numPr>
          <w:ilvl w:val="1"/>
          <w:numId w:val="1"/>
        </w:numPr>
        <w:rPr/>
      </w:pPr>
      <w:bookmarkStart w:id="64" w:name="__RefHeading___Toc1886467_3650668749"/>
      <w:bookmarkStart w:id="65" w:name="_Toc25"/>
      <w:bookmarkEnd w:id="64"/>
      <w:r>
        <w:rPr>
          <w:rtl w:val="true"/>
        </w:rPr>
        <w:t>تجسيم وهابيان از ديدگاه اهل سنت‌</w:t>
      </w:r>
      <w:bookmarkEnd w:id="65"/>
    </w:p>
    <w:p>
      <w:pPr>
        <w:pStyle w:val="Heading3"/>
        <w:numPr>
          <w:ilvl w:val="2"/>
          <w:numId w:val="1"/>
        </w:numPr>
        <w:rPr/>
      </w:pPr>
      <w:bookmarkStart w:id="66" w:name="__RefHeading___Toc1886469_3650668749"/>
      <w:bookmarkStart w:id="67" w:name="_Toc26"/>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علاوه بر اينكه وهابيان و اسلافشان خود بر تجسيم تصريح يا اشاره دارند برخى از علماى اهل سنت آن را به ابن تيميه نسبت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عبارات اشاره مى‌كنيم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86471_3650668749"/>
      <w:bookmarkStart w:id="69" w:name="_Toc27"/>
      <w:bookmarkEnd w:id="68"/>
      <w:r>
        <w:rPr/>
        <w:t>1</w:t>
      </w:r>
      <w:r>
        <w:rPr>
          <w:rtl w:val="true"/>
        </w:rPr>
        <w:t xml:space="preserve">. </w:t>
      </w:r>
      <w:r>
        <w:rPr>
          <w:rtl w:val="true"/>
        </w:rPr>
        <w:t>شيخ محمّد ابوزهره‌</w:t>
      </w:r>
      <w:bookmarkEnd w:id="69"/>
    </w:p>
    <w:p>
      <w:pPr>
        <w:pStyle w:val="BookText"/>
        <w:rPr/>
      </w:pPr>
      <w:r>
        <w:rPr>
          <w:rFonts w:ascii="Amiri" w:hAnsi="Amiri" w:eastAsia="Amiri" w:cs="Amiri"/>
          <w:color w:val="111111"/>
          <w:sz w:val="28"/>
          <w:sz w:val="28"/>
          <w:szCs w:val="28"/>
          <w:rtl w:val="true"/>
          <w:lang w:bidi="ar-SA"/>
        </w:rPr>
        <w:t>او در كتاب تاريخ المذاهب الاسلاميه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سلفيه هر صفت وشأنى را كه در قرآن يا روايات براى خداوند ذكر شده، حمل بر حقيقت كرده وبر خداوند ثابت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حالى كه علما به اثبات رسانده‌اند كه اين عمل منجرّ به تشبيه وجسميت خداوند متعال خواهد شد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سلفيه معتقدند كه هر چه در قرآن يا روايات در مورد اوصاف خداوند وارد شده؛ از قبيل محبّت، غضب، سخط، رضا، ندا، كلام، فرود آمدن در سايه ابرها، استقرار بر عرش، وجه،</w:t>
      </w:r>
      <w:bookmarkStart w:id="70" w:name="pg1739_10449"/>
    </w:p>
    <w:p>
      <w:pPr>
        <w:pStyle w:val="BookText"/>
        <w:rPr/>
      </w:pPr>
      <w:bookmarkEnd w:id="70"/>
      <w:r>
        <w:rPr>
          <w:rFonts w:ascii="IRNazanin" w:hAnsi="IRNazanin" w:eastAsia="IRNazanin"/>
          <w:color w:val="111111"/>
          <w:sz w:val="28"/>
          <w:sz w:val="28"/>
          <w:szCs w:val="28"/>
          <w:rtl w:val="true"/>
          <w:lang w:bidi="fa-IR"/>
        </w:rPr>
        <w:t xml:space="preserve">دست، همگى بايد بر ظاهرش حمل شود، بدون هيچ‌گونه تأويل وتفسيرى كه مخالف با ظاهرش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ونظر ابن تيميه نيز همين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1" w:name="__RefHeading___Toc1886473_3650668749"/>
      <w:bookmarkStart w:id="72" w:name="_Toc28"/>
      <w:bookmarkEnd w:id="71"/>
      <w:r>
        <w:rPr/>
        <w:t>2</w:t>
      </w:r>
      <w:r>
        <w:rPr>
          <w:rtl w:val="true"/>
        </w:rPr>
        <w:t xml:space="preserve">. </w:t>
      </w:r>
      <w:r>
        <w:rPr>
          <w:rtl w:val="true"/>
        </w:rPr>
        <w:t>ابن بطوطه‌</w:t>
      </w:r>
      <w:bookmarkEnd w:id="72"/>
    </w:p>
    <w:p>
      <w:pPr>
        <w:pStyle w:val="BookText"/>
        <w:rPr/>
      </w:pPr>
      <w:r>
        <w:rPr>
          <w:rFonts w:ascii="IRNazanin" w:hAnsi="IRNazanin" w:eastAsia="IRNazanin"/>
          <w:color w:val="111111"/>
          <w:sz w:val="28"/>
          <w:sz w:val="28"/>
          <w:szCs w:val="28"/>
          <w:rtl w:val="true"/>
          <w:lang w:bidi="fa-IR"/>
        </w:rPr>
        <w:t>او در سفرنامه خود به دمشق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بدمشق من كبار فقهاء الحنابلة تقي الدين بن تيمية، كبير الشام، يتكلّم في الفنون، الّا انّ في عقله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اذ ذاك بدمشق، فحضرته يوم الجمعة و هو يعظ الناس علي منبر الجامع و يذكرهم، فكان من جملة كلامه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ينزل إلي السماء الدنيا كنزولي هذا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دمشق از بزرگان حنابله شخصى بود به نام تقى الدين ابن تيميه، بزرگ شام كه در فنون مختلف سخن مى‌گفت، جز آنكه مشكلى در عقلش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دمشق بودم، روز جمعه نزد او حاضر شدم در حالى كه مردم را بر روى منبر مسجد جامع مردم را موعظه مى‌كرد و آنان را تذكر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كلماتش</w:t>
      </w:r>
      <w:bookmarkStart w:id="73" w:name="pg1739_10450"/>
    </w:p>
    <w:p>
      <w:pPr>
        <w:pStyle w:val="BookText"/>
        <w:rPr/>
      </w:pPr>
      <w:bookmarkEnd w:id="73"/>
      <w:r>
        <w:rPr>
          <w:rFonts w:ascii="IRNazanin" w:hAnsi="IRNazanin" w:eastAsia="IRNazanin"/>
          <w:color w:val="111111"/>
          <w:sz w:val="28"/>
          <w:sz w:val="28"/>
          <w:szCs w:val="28"/>
          <w:rtl w:val="true"/>
          <w:lang w:bidi="fa-IR"/>
        </w:rPr>
        <w:t xml:space="preserve">اين بود كه خداوند به آسمان دنيا فرود مى‌آيد همان‌گونه كه من از منبر پايين مى‌آيم </w:t>
      </w:r>
      <w:r>
        <w:rPr>
          <w:rFonts w:eastAsia="IRNazanin" w:cs="IRNazanin"/>
          <w:color w:val="111111"/>
          <w:sz w:val="28"/>
          <w:szCs w:val="28"/>
          <w:rtl w:val="true"/>
          <w:lang w:bidi="fa-IR"/>
        </w:rPr>
        <w:t>...</w:t>
      </w:r>
    </w:p>
    <w:p>
      <w:pPr>
        <w:pStyle w:val="Heading3"/>
        <w:numPr>
          <w:ilvl w:val="2"/>
          <w:numId w:val="1"/>
        </w:numPr>
        <w:rPr/>
      </w:pPr>
      <w:bookmarkStart w:id="74" w:name="__RefHeading___Toc1886475_3650668749"/>
      <w:bookmarkStart w:id="75" w:name="_Toc29"/>
      <w:bookmarkEnd w:id="74"/>
      <w:r>
        <w:rPr/>
        <w:t>3</w:t>
      </w:r>
      <w:r>
        <w:rPr>
          <w:rtl w:val="true"/>
        </w:rPr>
        <w:t xml:space="preserve">. </w:t>
      </w:r>
      <w:r>
        <w:rPr>
          <w:rtl w:val="true"/>
        </w:rPr>
        <w:t>ابن الوردى‌</w:t>
      </w:r>
      <w:bookmarkEnd w:id="75"/>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استدعي الشيخ إلي مصر و عقد له مجلس، و اعتقل بما نسب إليه من التجسيم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فراخوانده شد و براى او مجلسى برپا گشت و به جهت قول به تجسيم كه به او نسبت داده شده بود او را زندانى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به جهت قول به تجسيم زندانى شد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76" w:name="__RefHeading___Toc1886477_3650668749"/>
      <w:bookmarkStart w:id="77" w:name="_Toc30"/>
      <w:bookmarkEnd w:id="76"/>
      <w:r>
        <w:rPr/>
        <w:t>4</w:t>
      </w:r>
      <w:r>
        <w:rPr>
          <w:rtl w:val="true"/>
        </w:rPr>
        <w:t xml:space="preserve">. </w:t>
      </w:r>
      <w:r>
        <w:rPr>
          <w:rtl w:val="true"/>
        </w:rPr>
        <w:t>مصطفى بن عبدالله قسطنطنى حنفى معروف به حاجى خليفه‌</w:t>
      </w:r>
      <w:bookmarkEnd w:id="77"/>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العرش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يجلس علي الكرسي، و قد اخلي مكاناً يقعد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العرش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كه خداوند متعال بر روى كرسى مى‌نشيند و تنها مكانى را به جهت نشستن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مى‌گذارد</w:t>
      </w:r>
      <w:r>
        <w:rPr>
          <w:rFonts w:eastAsia="IRNazanin" w:cs="IRNazanin"/>
          <w:color w:val="111111"/>
          <w:sz w:val="28"/>
          <w:szCs w:val="28"/>
          <w:rtl w:val="true"/>
          <w:lang w:bidi="fa-IR"/>
        </w:rPr>
        <w:t>.</w:t>
      </w:r>
      <w:bookmarkStart w:id="78" w:name="pg1739_10451"/>
    </w:p>
    <w:p>
      <w:pPr>
        <w:pStyle w:val="Heading3"/>
        <w:numPr>
          <w:ilvl w:val="2"/>
          <w:numId w:val="1"/>
        </w:numPr>
        <w:rPr/>
      </w:pPr>
      <w:bookmarkStart w:id="79" w:name="__RefHeading___Toc1886479_3650668749"/>
      <w:bookmarkStart w:id="80" w:name="_Toc31"/>
      <w:bookmarkEnd w:id="78"/>
      <w:bookmarkEnd w:id="79"/>
      <w:r>
        <w:rPr/>
        <w:t>5</w:t>
      </w:r>
      <w:r>
        <w:rPr>
          <w:rtl w:val="true"/>
        </w:rPr>
        <w:t xml:space="preserve">. </w:t>
      </w:r>
      <w:r>
        <w:rPr>
          <w:rtl w:val="true"/>
        </w:rPr>
        <w:t>دكتر عيسى بن مانع حميرى، معاصر، سلفى‌</w:t>
      </w:r>
      <w:bookmarkEnd w:id="80"/>
    </w:p>
    <w:p>
      <w:pPr>
        <w:pStyle w:val="BookText"/>
        <w:rPr/>
      </w:pPr>
      <w:r>
        <w:rPr>
          <w:rFonts w:ascii="IRNazanin" w:hAnsi="IRNazanin" w:eastAsia="IRNazanin"/>
          <w:color w:val="111111"/>
          <w:sz w:val="28"/>
          <w:sz w:val="28"/>
          <w:szCs w:val="28"/>
          <w:rtl w:val="true"/>
          <w:lang w:bidi="fa-IR"/>
        </w:rPr>
        <w:t>او كه مدير كلّ اداره اوقاف و شؤون اسلامى دبى است درباره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ترك من ابن تيمية لمذهب السلف بالكلية، و ادعاء عليهم بمذهب غير مذهبهم و دخول في مضايق وعره و شنائع امور استبشعها العلماء و استبعدوها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لهذا المخالف و من شايعه الفاظاً شنيعة لم ترد في الكتاب و السنة و لم تنطق بها احد من السلف، فأثبتوا الجسمية صراحة و اثبتوا الجهة و الحدّ و التحيز و الحركة و الصوت و الانتقال و الكيف و غيرذلك من التجسيم الصريح</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در حقيقت عبارت است از اعراض ابن تيميه به طور كلّى نسبت به مذهب سلف و ادعاى مذهبى غير از مذهب سلف، و وارد شدن در تنگناهايى بسيار پست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علما آنها را زشت دانسته و از خود دور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اين مخالف و پيروان او الفاظى زشت ديديم كه در كتاب و سنت يافت نمى‌شود و هرگز فردى از سلف به آن نطق نكرده است</w:t>
      </w:r>
      <w:r>
        <w:rPr>
          <w:rFonts w:eastAsia="IRNazanin" w:cs="IRNazanin"/>
          <w:color w:val="111111"/>
          <w:sz w:val="28"/>
          <w:szCs w:val="28"/>
          <w:rtl w:val="true"/>
          <w:lang w:bidi="fa-IR"/>
        </w:rPr>
        <w:t>.</w:t>
      </w:r>
      <w:bookmarkStart w:id="81" w:name="pg1739_10452"/>
    </w:p>
    <w:p>
      <w:pPr>
        <w:pStyle w:val="BookText"/>
        <w:rPr/>
      </w:pPr>
      <w:bookmarkEnd w:id="81"/>
      <w:r>
        <w:rPr>
          <w:rFonts w:ascii="IRNazanin" w:hAnsi="IRNazanin" w:eastAsia="IRNazanin"/>
          <w:color w:val="111111"/>
          <w:sz w:val="28"/>
          <w:sz w:val="28"/>
          <w:szCs w:val="28"/>
          <w:rtl w:val="true"/>
          <w:lang w:bidi="fa-IR"/>
        </w:rPr>
        <w:t>آنان جسميت را به صراحت ثابت كرده و نيز جهت و حدّ و مكان و حركت و صوت و انتقال و كيف و ديگر عوارض جسميت را بر او ثابت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من هذا انّه يتبيّن لك انّ ابن تيمية عشوائي في فهمه و لايمشي علي قاعدة مستقيمة بل يتبع مايبدو له اذا استطاع بذلك ان ينصر مذهبه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حاصل اين مطالب اينكه براى تو روشن شد كه ابن تيميه در فهمش هوايى است و مطابق قاعده مستقيم مشى نمى‌كند بلكه آنچه كه موجب تأييد مذهبش مى‌باشد را تنها پيروى و متابعت مى‌نمايد</w:t>
      </w:r>
      <w:r>
        <w:rPr>
          <w:rFonts w:eastAsia="IRNazanin" w:cs="IRNazanin"/>
          <w:color w:val="111111"/>
          <w:sz w:val="28"/>
          <w:szCs w:val="28"/>
          <w:rtl w:val="true"/>
          <w:lang w:bidi="fa-IR"/>
        </w:rPr>
        <w:t>.</w:t>
      </w:r>
    </w:p>
    <w:p>
      <w:pPr>
        <w:pStyle w:val="Heading3"/>
        <w:numPr>
          <w:ilvl w:val="2"/>
          <w:numId w:val="1"/>
        </w:numPr>
        <w:rPr/>
      </w:pPr>
      <w:bookmarkStart w:id="82" w:name="__RefHeading___Toc1886481_3650668749"/>
      <w:bookmarkStart w:id="83" w:name="_Toc32"/>
      <w:bookmarkEnd w:id="82"/>
      <w:r>
        <w:rPr/>
        <w:t>6</w:t>
      </w:r>
      <w:r>
        <w:rPr>
          <w:rtl w:val="true"/>
        </w:rPr>
        <w:t xml:space="preserve">. </w:t>
      </w:r>
      <w:r>
        <w:rPr>
          <w:rtl w:val="true"/>
        </w:rPr>
        <w:t>ابوالفداء سعيد عبداللطيف فوده‌</w:t>
      </w:r>
      <w:bookmarkEnd w:id="83"/>
    </w:p>
    <w:p>
      <w:pPr>
        <w:pStyle w:val="BookText"/>
        <w:rPr/>
      </w:pPr>
      <w:r>
        <w:rPr>
          <w:rFonts w:ascii="IRNazanin" w:hAnsi="IRNazanin" w:eastAsia="IRNazanin"/>
          <w:color w:val="111111"/>
          <w:sz w:val="28"/>
          <w:sz w:val="28"/>
          <w:szCs w:val="28"/>
          <w:rtl w:val="true"/>
          <w:lang w:bidi="fa-IR"/>
        </w:rPr>
        <w:t>او كه از علماى معاصر اردن است در ردّ ابن تيميه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عندنا فما كتبه واضح في مذهب الضلال و نصّ صريح في نصرة مذهب المجسمة و الكرامية المبتدعة، و نحن في ردّنا عليه و نقضنا لكلامه لايتوقف هجومنا لصدّ افكاره و توهّماته علي موافقة</w:t>
      </w:r>
      <w:bookmarkStart w:id="84" w:name="pg1739_10453"/>
    </w:p>
    <w:p>
      <w:pPr>
        <w:pStyle w:val="BookText"/>
        <w:rPr/>
      </w:pPr>
      <w:bookmarkEnd w:id="84"/>
      <w:r>
        <w:rPr>
          <w:rFonts w:ascii="Amiri" w:hAnsi="Amiri" w:eastAsia="Amiri" w:cs="Amiri"/>
          <w:color w:val="111111"/>
          <w:sz w:val="28"/>
          <w:sz w:val="28"/>
          <w:szCs w:val="28"/>
          <w:rtl w:val="true"/>
          <w:lang w:bidi="ar-SA"/>
        </w:rPr>
        <w:t>الناس لنا، بل انّنا نعلم انّ كثيراً منهم علي عينيه غشاوة، نرجو من الله تعالي ازالتها بما تقوم به من الردود و التنبيهات</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نزد ما، آنچه را كه او نوشته واضح است كه همگى آنها مذهب گمراه و نصّ صريح در يارى مذهب اهل تجسيم و كراميه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ردّيه بر او و نقض كلامش تنها در هجوم خود به مقابله با افكار و توهمّات او بر موافقت مردم با ما توقف نمى‌كنيم، بلكه مى‌دانيم كه بسيارى از آنها بر روى چشمانشان پرده‌اى افكنده‌اند، و لذا از خداوند متعال مى‌خواهيم كه آن را با ردّيه‌ها و تنبيهاتى كه نوشته شد ازاله نمايد</w:t>
      </w:r>
      <w:r>
        <w:rPr>
          <w:rFonts w:eastAsia="IRNazanin" w:cs="IRNazanin"/>
          <w:color w:val="111111"/>
          <w:sz w:val="28"/>
          <w:szCs w:val="28"/>
          <w:rtl w:val="true"/>
          <w:lang w:bidi="fa-IR"/>
        </w:rPr>
        <w:t>.</w:t>
      </w:r>
    </w:p>
    <w:p>
      <w:pPr>
        <w:pStyle w:val="Heading3"/>
        <w:numPr>
          <w:ilvl w:val="2"/>
          <w:numId w:val="1"/>
        </w:numPr>
        <w:rPr/>
      </w:pPr>
      <w:bookmarkStart w:id="85" w:name="__RefHeading___Toc1886483_3650668749"/>
      <w:bookmarkStart w:id="86" w:name="_Toc33"/>
      <w:bookmarkEnd w:id="85"/>
      <w:r>
        <w:rPr/>
        <w:t>7</w:t>
      </w:r>
      <w:r>
        <w:rPr>
          <w:rtl w:val="true"/>
        </w:rPr>
        <w:t xml:space="preserve">. </w:t>
      </w:r>
      <w:r>
        <w:rPr>
          <w:rtl w:val="true"/>
        </w:rPr>
        <w:t>عبدالغنى حماده‌</w:t>
      </w:r>
      <w:bookmarkEnd w:id="86"/>
    </w:p>
    <w:p>
      <w:pPr>
        <w:pStyle w:val="BookText"/>
        <w:rPr/>
      </w:pPr>
      <w:r>
        <w:rPr>
          <w:rFonts w:ascii="IRNazanin" w:hAnsi="IRNazanin" w:eastAsia="IRNazanin"/>
          <w:color w:val="111111"/>
          <w:sz w:val="28"/>
          <w:sz w:val="28"/>
          <w:szCs w:val="28"/>
          <w:rtl w:val="true"/>
          <w:lang w:bidi="fa-IR"/>
        </w:rPr>
        <w:t>او در ردّ وهابيان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شيخهم ابن تيمية قال عنه علامة زمانه علاء الدين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تيمية كافر، كما قاله علامة زمانه زين الدين الحنبلي انّه يعتقد كفر ابن تيمية،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السبكي معذور بتكفير ابن‌تيمية؛ لانّه</w:t>
      </w:r>
      <w:bookmarkStart w:id="87" w:name="pg1739_10454"/>
    </w:p>
    <w:p>
      <w:pPr>
        <w:pStyle w:val="BookText"/>
        <w:rPr/>
      </w:pPr>
      <w:bookmarkEnd w:id="87"/>
      <w:r>
        <w:rPr>
          <w:rFonts w:ascii="Amiri" w:hAnsi="Amiri" w:eastAsia="Amiri" w:cs="Amiri"/>
          <w:color w:val="111111"/>
          <w:sz w:val="28"/>
          <w:sz w:val="28"/>
          <w:szCs w:val="28"/>
          <w:rtl w:val="true"/>
          <w:lang w:bidi="ar-SA"/>
        </w:rPr>
        <w:t>كفّر الأمة الاسلامية و شبّهها باليهود و النصاري في تفسيره عند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كتبه مشحونة بالتشبيه و التجسيم لله تعالي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شيخ آنها ابن تيميه كسى است كه علّامه زمانش علاء الدين بخارى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به‌طور حتم كافر است، همان‌گونه كه علّامه زمانش زين‌الدين حنبلى معتقد به كفر ابن تيميه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سبكى در تكفير ابن تيميه معذور است؛ زيرا او كسى بود كه امت اسلامى را تكفير نموده و آنان را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 و نصارا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مذهب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تيميه زنديق است؛ زيرا كتاب‌هاى ايشان پر از اعتقاد به تشبيه و تجسيم نسبت به خداوند متعال مى‌باشد</w:t>
      </w:r>
      <w:r>
        <w:rPr>
          <w:rFonts w:eastAsia="IRNazanin" w:cs="IRNazanin"/>
          <w:color w:val="111111"/>
          <w:sz w:val="28"/>
          <w:szCs w:val="28"/>
          <w:rtl w:val="true"/>
          <w:lang w:bidi="fa-IR"/>
        </w:rPr>
        <w:t>.</w:t>
      </w:r>
    </w:p>
    <w:p>
      <w:pPr>
        <w:pStyle w:val="Heading3"/>
        <w:numPr>
          <w:ilvl w:val="2"/>
          <w:numId w:val="1"/>
        </w:numPr>
        <w:rPr/>
      </w:pPr>
      <w:bookmarkStart w:id="88" w:name="__RefHeading___Toc1886485_3650668749"/>
      <w:bookmarkStart w:id="89" w:name="_Toc34"/>
      <w:bookmarkEnd w:id="88"/>
      <w:r>
        <w:rPr/>
        <w:t>8</w:t>
      </w:r>
      <w:r>
        <w:rPr>
          <w:rtl w:val="true"/>
        </w:rPr>
        <w:t xml:space="preserve">. </w:t>
      </w:r>
      <w:r>
        <w:rPr>
          <w:rtl w:val="true"/>
        </w:rPr>
        <w:t xml:space="preserve">شيخ سلامه قضاعى عزامى شافعى </w:t>
      </w:r>
      <w:r>
        <w:rPr>
          <w:rtl w:val="true"/>
        </w:rPr>
        <w:t>(</w:t>
      </w:r>
      <w:r>
        <w:rPr>
          <w:rtl w:val="true"/>
        </w:rPr>
        <w:t xml:space="preserve">م </w:t>
      </w:r>
      <w:r>
        <w:rPr/>
        <w:t>1376</w:t>
      </w:r>
      <w:r>
        <w:rPr>
          <w:rtl w:val="true"/>
        </w:rPr>
        <w:t xml:space="preserve"> </w:t>
      </w:r>
      <w:r>
        <w:rPr>
          <w:rtl w:val="true"/>
        </w:rPr>
        <w:t>ه</w:t>
      </w:r>
      <w:r>
        <w:rPr>
          <w:rtl w:val="true"/>
        </w:rPr>
        <w:t xml:space="preserve">. </w:t>
      </w:r>
      <w:r>
        <w:rPr>
          <w:rtl w:val="true"/>
        </w:rPr>
        <w:t>ق</w:t>
      </w:r>
      <w:r>
        <w:rPr>
          <w:rtl w:val="true"/>
        </w:rPr>
        <w:t>)</w:t>
      </w:r>
      <w:bookmarkEnd w:id="89"/>
    </w:p>
    <w:p>
      <w:pPr>
        <w:pStyle w:val="BookText"/>
        <w:rPr/>
      </w:pPr>
      <w:r>
        <w:rPr>
          <w:rFonts w:ascii="IRNazanin" w:hAnsi="IRNazanin" w:eastAsia="IRNazanin"/>
          <w:color w:val="111111"/>
          <w:sz w:val="28"/>
          <w:sz w:val="28"/>
          <w:szCs w:val="28"/>
          <w:rtl w:val="true"/>
          <w:lang w:bidi="fa-IR"/>
        </w:rPr>
        <w:t>او در ردّ ابن تيميه 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انّك تري امام المدافعين عن بيضة اهل التشبيه و شيخ اسلام اهل التجسيم ممّن سبقه من الكرامية و</w:t>
      </w:r>
      <w:bookmarkStart w:id="90" w:name="pg1739_10455"/>
    </w:p>
    <w:p>
      <w:pPr>
        <w:pStyle w:val="BookText"/>
        <w:rPr/>
      </w:pPr>
      <w:bookmarkEnd w:id="90"/>
      <w:r>
        <w:rPr>
          <w:rFonts w:ascii="Amiri" w:hAnsi="Amiri" w:eastAsia="Amiri" w:cs="Amiri"/>
          <w:color w:val="111111"/>
          <w:sz w:val="28"/>
          <w:sz w:val="28"/>
          <w:szCs w:val="28"/>
          <w:rtl w:val="true"/>
          <w:lang w:bidi="ar-SA"/>
        </w:rPr>
        <w:t xml:space="preserve">جهلة المحدثين الذين يحفظون و ليس لهم فقه فيما يحفظون، احمد بن عبدالحليم المعروف بابن تيمية، يرمي امام الحرمين و حجة الإسلام الغزالي بانّهما اشد كفراً من اليهود و النصاري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عجيب اينكه تو امام مدافعان از حيثيت اهل تشبيه و شيخ اسلام اهل تجسيم از كراميه سابق و محدثان جاهل را مشاهده مى‌كنى كه حفظ حديث مى‌كنند در حالى كه در آن چه حفظ مى‌نمايند فهم و تأمل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احمد بن عبدالحليم معروف به ابن تيميه است، امام الحرمين و حجت الاسلام غزالى را متهم مى‌سازد كه كفرش از يهود و نصارا شديدتر است </w:t>
      </w:r>
      <w:r>
        <w:rPr>
          <w:rFonts w:eastAsia="IRNazanin" w:cs="IRNazanin"/>
          <w:color w:val="111111"/>
          <w:sz w:val="28"/>
          <w:szCs w:val="28"/>
          <w:rtl w:val="true"/>
          <w:lang w:bidi="fa-IR"/>
        </w:rPr>
        <w:t>...</w:t>
      </w:r>
    </w:p>
    <w:p>
      <w:pPr>
        <w:pStyle w:val="Heading3"/>
        <w:numPr>
          <w:ilvl w:val="2"/>
          <w:numId w:val="1"/>
        </w:numPr>
        <w:rPr/>
      </w:pPr>
      <w:bookmarkStart w:id="91" w:name="__RefHeading___Toc1886487_3650668749"/>
      <w:bookmarkStart w:id="92" w:name="_Toc35"/>
      <w:bookmarkEnd w:id="91"/>
      <w:r>
        <w:rPr/>
        <w:t>9</w:t>
      </w:r>
      <w:r>
        <w:rPr>
          <w:rtl w:val="true"/>
        </w:rPr>
        <w:t xml:space="preserve">. </w:t>
      </w:r>
      <w:r>
        <w:rPr>
          <w:rtl w:val="true"/>
        </w:rPr>
        <w:t xml:space="preserve">نجم الدين محمّد امين كردى شافعى </w:t>
      </w:r>
      <w:r>
        <w:rPr>
          <w:rtl w:val="true"/>
        </w:rPr>
        <w:t>(</w:t>
      </w:r>
      <w:r>
        <w:rPr>
          <w:rtl w:val="true"/>
        </w:rPr>
        <w:t xml:space="preserve">م </w:t>
      </w:r>
      <w:r>
        <w:rPr/>
        <w:t>1400</w:t>
      </w:r>
      <w:r>
        <w:rPr>
          <w:rtl w:val="true"/>
        </w:rPr>
        <w:t xml:space="preserve"> </w:t>
      </w:r>
      <w:r>
        <w:rPr>
          <w:rtl w:val="true"/>
        </w:rPr>
        <w:t>ه</w:t>
      </w:r>
      <w:r>
        <w:rPr>
          <w:rtl w:val="true"/>
        </w:rPr>
        <w:t xml:space="preserve">. </w:t>
      </w:r>
      <w:r>
        <w:rPr>
          <w:rtl w:val="true"/>
        </w:rPr>
        <w:t>ق</w:t>
      </w:r>
      <w:r>
        <w:rPr>
          <w:rtl w:val="true"/>
        </w:rPr>
        <w:t>)</w:t>
      </w:r>
      <w:bookmarkEnd w:id="92"/>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نجمت في القرون الماضية بين اهل الاسلام بدع يهودية من القول بالتشبيه و التجسيم و الجهة و المكان في حق الله تعالي، ممّا عملته ايدي اعداء الاسلام تنفيذاً لحقدهم عليه، و دخلت الغفلة علي بعض اهل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 xml:space="preserve">إذا كانت اوائل القرن الثامن اخذت هذه البدع تنتعش إلى اخوات لها لاتقل عنها خطراً علي يد رجل يدعي احمد بن عبدالحليم بن تيمية الحراني، فقام العلماء من اهل السنة والجماعة في دفعها حتّى لم يبق في عصره من يناصره إلّا من كان له غرض أو في قلبه مرض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قرن‌هاى پيشين بين اهل اسلام بدعت‌هايى يهودى از قبيل قول به تشبيه و تجسيم و اعتقاد به جهت و مكان در حق خداى متعال وجود داشته كه از ساخته و پرداخته‌هاى دشمنان اسلام بوده است، تا كينه خود را بر ضدّ اسلام محكم سازند، در حالى كه برخى از اهل اسلام از آنها غافل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اوايل قرن هشتم كه اين بدعت‌ها به صورت ديگرى شبيه آنها صورت به خود گرفت كه خطر آنها كمتر از كارهاى يهود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به دست فردى به نام احمد بن عبدالحليم بن تيميه حرّانى انجام گرفت، كه علماى اهل سنت و جماعت در مقابل آنها قيام كردند، به طورى كه در عصر او كسى باقى نماند تا او را يارى و نصرت كند مگر كسى كه داراى غرض بوده و يا در قلبش مرض بوده است </w:t>
      </w:r>
      <w:r>
        <w:rPr>
          <w:rFonts w:eastAsia="IRNazanin" w:cs="IRNazanin"/>
          <w:color w:val="111111"/>
          <w:sz w:val="28"/>
          <w:szCs w:val="28"/>
          <w:rtl w:val="true"/>
          <w:lang w:bidi="fa-IR"/>
        </w:rPr>
        <w:t>...</w:t>
      </w:r>
      <w:bookmarkStart w:id="93" w:name="pg1739_10457"/>
    </w:p>
    <w:p>
      <w:pPr>
        <w:pStyle w:val="Heading3"/>
        <w:numPr>
          <w:ilvl w:val="2"/>
          <w:numId w:val="1"/>
        </w:numPr>
        <w:rPr/>
      </w:pPr>
      <w:bookmarkStart w:id="94" w:name="__RefHeading___Toc1886489_3650668749"/>
      <w:bookmarkStart w:id="95" w:name="_Toc36"/>
      <w:bookmarkEnd w:id="93"/>
      <w:bookmarkEnd w:id="94"/>
      <w:r>
        <w:rPr/>
        <w:t>10</w:t>
      </w:r>
      <w:r>
        <w:rPr>
          <w:rtl w:val="true"/>
        </w:rPr>
        <w:t xml:space="preserve">. </w:t>
      </w:r>
      <w:r>
        <w:rPr>
          <w:rtl w:val="true"/>
        </w:rPr>
        <w:t xml:space="preserve">تقى‌الدين ابوبكر بن محمّد حسينى حصنى شافعى </w:t>
      </w:r>
      <w:r>
        <w:rPr>
          <w:rtl w:val="true"/>
        </w:rPr>
        <w:t>(</w:t>
      </w:r>
      <w:r>
        <w:rPr>
          <w:rtl w:val="true"/>
        </w:rPr>
        <w:t xml:space="preserve">م </w:t>
      </w:r>
      <w:r>
        <w:rPr/>
        <w:t>829</w:t>
      </w:r>
      <w:r>
        <w:rPr>
          <w:rtl w:val="true"/>
        </w:rPr>
        <w:t xml:space="preserve"> </w:t>
      </w:r>
      <w:r>
        <w:rPr>
          <w:rtl w:val="true"/>
        </w:rPr>
        <w:t>ه</w:t>
      </w:r>
      <w:r>
        <w:rPr>
          <w:rtl w:val="true"/>
        </w:rPr>
        <w:t xml:space="preserve">. </w:t>
      </w:r>
      <w:r>
        <w:rPr>
          <w:rtl w:val="true"/>
        </w:rPr>
        <w:t>ق</w:t>
      </w:r>
      <w:r>
        <w:rPr>
          <w:rtl w:val="true"/>
        </w:rPr>
        <w:t>)</w:t>
      </w:r>
      <w:bookmarkEnd w:id="95"/>
    </w:p>
    <w:p>
      <w:pPr>
        <w:pStyle w:val="BookText"/>
        <w:rPr/>
      </w:pPr>
      <w:r>
        <w:rPr>
          <w:rFonts w:ascii="IRNazanin" w:hAnsi="IRNazanin" w:eastAsia="IRNazanin"/>
          <w:color w:val="111111"/>
          <w:sz w:val="28"/>
          <w:sz w:val="28"/>
          <w:szCs w:val="28"/>
          <w:rtl w:val="true"/>
          <w:lang w:bidi="fa-IR"/>
        </w:rPr>
        <w:t>او درباره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تيمية الذي كان يوصف بانّه بحر من العلم، لايستغرب فيه ما قاله بعض الأئمة عنه من انّه زنديق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قوله ذلك انّه تتبع كلامه فلم يقف له على اعتقاد حتى انّه في مواضع عديدة يكفر فرقة و يضلّلها، و في آخر يعتقد ما قالته او بعضه، مع انّ كتبه مشحونة بالتشبيه والتجسيم، و الاشارة إلي 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والشيخين وتكفير عبدالله بن عباس و انّه من الملحدين، وجعل عبدالله بن عمر من المجرمين و انّه ضالّ مبتدع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كسى كه به دريايى از علم توصيف مى‌شد، و غريب به نظر نمى‌رسد آنچه‌كه برخى از امامان او را زنديق مطلق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گفتار درباره ابن تيميه اين است كه كلام او پيگيرى شده و به اين نتيجه رسيده‌اند كه او كسى است كه در مواضع بسيارى فرقه‌اى</w:t>
      </w:r>
      <w:bookmarkStart w:id="96" w:name="pg1739_10458"/>
    </w:p>
    <w:p>
      <w:pPr>
        <w:pStyle w:val="BookText"/>
        <w:rPr/>
      </w:pPr>
      <w:bookmarkEnd w:id="96"/>
      <w:r>
        <w:rPr>
          <w:rFonts w:ascii="IRNazanin" w:hAnsi="IRNazanin" w:eastAsia="IRNazanin"/>
          <w:color w:val="111111"/>
          <w:sz w:val="28"/>
          <w:sz w:val="28"/>
          <w:szCs w:val="28"/>
          <w:rtl w:val="true"/>
          <w:lang w:bidi="fa-IR"/>
        </w:rPr>
        <w:t xml:space="preserve">را تكفير كرده و نسبت گمراهى به آنان داده است، در حالى كه در جايى ديگر همان عقايد آنان را پذيرفته، و كتاب‌هاى او پر از اعتقاد به تشبيه و تجسيم و اهانت و تنقيص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تكفير عبدالله بن عباس است، و عبدالله بن عمر را از مجرمان و گمراهان و بدعت گزاران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درباره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انّه و اتباعه من الغلاة في التشبيه و التجسيم و الازدراء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وبغيض الشيخين، و بإنكار الأبدال الذين هم خلفوا الأنبياء، و لهم دواهي أخر لو نطقوا بها لأحرقهم الناس في لحظة واحدة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حاصل اينكه او و پيروانش از غاليان در تشبيه و تجسيم و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ابوبكر و عمر، و انكار شخصيت‌هايى كه جانشينان انبياء بوده‌اند، مى‌باشند كه داراى انگيزه‌ها و اهداف ديگرى نيز هستندكه اگر از اهداف خود سخن بگويند مردم آنان را در يك لحظه به آتش مى‌كشند</w:t>
      </w:r>
      <w:r>
        <w:rPr>
          <w:rFonts w:eastAsia="IRNazanin" w:cs="IRNazanin"/>
          <w:color w:val="111111"/>
          <w:sz w:val="28"/>
          <w:szCs w:val="28"/>
          <w:rtl w:val="true"/>
          <w:lang w:bidi="fa-IR"/>
        </w:rPr>
        <w:t>.</w:t>
      </w:r>
    </w:p>
    <w:p>
      <w:pPr>
        <w:pStyle w:val="Heading3"/>
        <w:numPr>
          <w:ilvl w:val="2"/>
          <w:numId w:val="1"/>
        </w:numPr>
        <w:rPr/>
      </w:pPr>
      <w:bookmarkStart w:id="97" w:name="__RefHeading___Toc1886491_3650668749"/>
      <w:bookmarkStart w:id="98" w:name="_Toc37"/>
      <w:bookmarkEnd w:id="97"/>
      <w:r>
        <w:rPr/>
        <w:t>11</w:t>
      </w:r>
      <w:r>
        <w:rPr>
          <w:rtl w:val="true"/>
        </w:rPr>
        <w:t xml:space="preserve">. </w:t>
      </w:r>
      <w:r>
        <w:rPr>
          <w:rtl w:val="true"/>
        </w:rPr>
        <w:t>قاضى سبكى‌</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توحيد بر اينكه خداوند در جهت خاصى نيست،</w:t>
      </w:r>
      <w:bookmarkStart w:id="99" w:name="pg1739_10459"/>
    </w:p>
    <w:p>
      <w:pPr>
        <w:pStyle w:val="BookText"/>
        <w:rPr/>
      </w:pPr>
      <w:bookmarkEnd w:id="99"/>
      <w:r>
        <w:rPr>
          <w:rFonts w:ascii="IRNazanin" w:hAnsi="IRNazanin" w:eastAsia="IRNazanin"/>
          <w:color w:val="111111"/>
          <w:sz w:val="28"/>
          <w:sz w:val="28"/>
          <w:szCs w:val="28"/>
          <w:rtl w:val="true"/>
          <w:lang w:bidi="fa-IR"/>
        </w:rPr>
        <w:t>اتفاق كرده‌اند مگر برخى از افرادى كه قول شاذ دارند؛ همانند ابن‌تيميه</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00" w:name="__RefHeading___Toc1886493_3650668749"/>
      <w:bookmarkStart w:id="101" w:name="_Toc38"/>
      <w:bookmarkEnd w:id="100"/>
      <w:r>
        <w:rPr/>
        <w:t>12</w:t>
      </w:r>
      <w:r>
        <w:rPr>
          <w:rtl w:val="true"/>
        </w:rPr>
        <w:t xml:space="preserve">. </w:t>
      </w:r>
      <w:r>
        <w:rPr>
          <w:rtl w:val="true"/>
        </w:rPr>
        <w:t>شيخ سليم البشرى‌</w:t>
      </w:r>
      <w:bookmarkEnd w:id="101"/>
    </w:p>
    <w:p>
      <w:pPr>
        <w:pStyle w:val="BookText"/>
        <w:rPr/>
      </w:pPr>
      <w:r>
        <w:rPr>
          <w:rFonts w:ascii="IRNazanin" w:hAnsi="IRNazanin" w:eastAsia="IRNazanin"/>
          <w:color w:val="111111"/>
          <w:sz w:val="28"/>
          <w:sz w:val="28"/>
          <w:szCs w:val="28"/>
          <w:rtl w:val="true"/>
          <w:lang w:bidi="fa-IR"/>
        </w:rPr>
        <w:t>او كه رئيس جامعة الازهر در عصر خود مى‌باشد،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به او نسبت داده شده كه قائل به جهت براى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عبدالسلام بن تيميه حرّانى حنبلى دمشقى است </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3"/>
        <w:numPr>
          <w:ilvl w:val="2"/>
          <w:numId w:val="1"/>
        </w:numPr>
        <w:rPr/>
      </w:pPr>
      <w:bookmarkStart w:id="102" w:name="__RefHeading___Toc1886495_3650668749"/>
      <w:bookmarkStart w:id="103" w:name="_Toc39"/>
      <w:bookmarkEnd w:id="102"/>
      <w:r>
        <w:rPr/>
        <w:t>13</w:t>
      </w:r>
      <w:r>
        <w:rPr>
          <w:rtl w:val="true"/>
        </w:rPr>
        <w:t xml:space="preserve">. </w:t>
      </w:r>
      <w:r>
        <w:rPr>
          <w:rtl w:val="true"/>
        </w:rPr>
        <w:t>ابن حجر هيتمى مكّى شافعى‌</w:t>
      </w:r>
      <w:bookmarkEnd w:id="103"/>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نسبت به ساحت مقدس خداوند جسارت كرده ودر حقّ او ادّعاى جهت وجسمانيت كرده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4" w:name="__RefHeading___Toc1886497_3650668749"/>
      <w:bookmarkStart w:id="105" w:name="_Toc40"/>
      <w:bookmarkEnd w:id="104"/>
      <w:r>
        <w:rPr/>
        <w:t>14</w:t>
      </w:r>
      <w:r>
        <w:rPr>
          <w:rtl w:val="true"/>
        </w:rPr>
        <w:t xml:space="preserve">. </w:t>
      </w:r>
      <w:r>
        <w:rPr>
          <w:rtl w:val="true"/>
        </w:rPr>
        <w:t>ابوالفدا</w:t>
      </w:r>
      <w:bookmarkEnd w:id="1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تاريخش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از دمشق به شام فرستاده شد، واز آنجا كه وى قائل به تجسيم بود او را در زندانى حبس كردند</w:t>
      </w:r>
      <w:r>
        <w:rPr>
          <w:rFonts w:eastAsia="IRNazanin" w:cs="IRNazanin"/>
          <w:color w:val="111111"/>
          <w:sz w:val="28"/>
          <w:szCs w:val="28"/>
          <w:rtl w:val="true"/>
          <w:lang w:bidi="fa-IR"/>
        </w:rPr>
        <w:t xml:space="preserve">». </w:t>
      </w:r>
      <w:r>
        <w:rPr>
          <w:rStyle w:val="FootnoteAnchor"/>
          <w:rtl w:val="true"/>
        </w:rPr>
        <w:footnoteReference w:id="72"/>
      </w:r>
      <w:bookmarkStart w:id="106" w:name="pg1739_10460"/>
    </w:p>
    <w:p>
      <w:pPr>
        <w:pStyle w:val="Heading2"/>
        <w:numPr>
          <w:ilvl w:val="1"/>
          <w:numId w:val="1"/>
        </w:numPr>
        <w:rPr/>
      </w:pPr>
      <w:bookmarkStart w:id="107" w:name="__RefHeading___Toc1886499_3650668749"/>
      <w:bookmarkStart w:id="108" w:name="_Toc41"/>
      <w:bookmarkEnd w:id="106"/>
      <w:bookmarkEnd w:id="107"/>
      <w:r>
        <w:rPr>
          <w:rtl w:val="true"/>
        </w:rPr>
        <w:t>تجسيم از منظر اسلامى‌</w:t>
      </w:r>
      <w:bookmarkEnd w:id="108"/>
    </w:p>
    <w:p>
      <w:pPr>
        <w:pStyle w:val="Heading3"/>
        <w:numPr>
          <w:ilvl w:val="2"/>
          <w:numId w:val="1"/>
        </w:numPr>
        <w:rPr/>
      </w:pPr>
      <w:bookmarkStart w:id="109" w:name="__RefHeading___Toc1886501_3650668749"/>
      <w:bookmarkStart w:id="110" w:name="_Toc42"/>
      <w:bookmarkEnd w:id="109"/>
      <w:r>
        <w:rPr>
          <w:rtl w:val="true"/>
        </w:rPr>
        <w:t>قرآن ونفى جسميت از خداوند</w:t>
      </w:r>
      <w:bookmarkEnd w:id="110"/>
    </w:p>
    <w:p>
      <w:pPr>
        <w:pStyle w:val="BookText"/>
        <w:rPr/>
      </w:pPr>
      <w:r>
        <w:rPr>
          <w:rFonts w:ascii="IRNazanin" w:hAnsi="IRNazanin" w:eastAsia="IRNazanin"/>
          <w:color w:val="111111"/>
          <w:sz w:val="28"/>
          <w:sz w:val="28"/>
          <w:szCs w:val="28"/>
          <w:rtl w:val="true"/>
          <w:lang w:bidi="fa-IR"/>
        </w:rPr>
        <w:t>با ملاحظه دقيق آيات قرآنى به اين نكته پى مى‌بريم كه خداوند متعال از جسم وجسمانيت مبرّاست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هر چه در زمين فرو رود وهر چه برايد وآنچه از آسمان نازل شود وآنچه بالا رود، همه را مى‌داند واو با شماست هر كجا باشيد وبه هر چه كنيد به خوبى آگاه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به طور صراحت دلالت بر سعه وجود خداوند سبحان دارد و اينكه او در هر مكانى با ما است، وكسى كه چنين شأنى دارد، نمى‌تواند جسم يا حلول كننده در محلّى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كه آنچه در آسمان‌ها وزمين است،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رازى سه كس با هم نگويند، جز آنكه خداوند چهارم آنهاست ونه پنج كس جز آنكه خدا ششم آنهاست ونه كمتر از آن ونه بيشتر، جز آنكه خدا با آنهاست هر كجا باشند، پس روز قيامت همه را به نتيجه اعمالشان آگاه خواهد ساخت كه خدا به كليه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طور وضوح دلالت بر سعه وجود خداوند متعال دارد، واينكه در همه جا موجود وبا همه كس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واين‌گونه خدايى نمى‌تواند جسم باشد؛ زيرا جسم احتياج به مكان دارد وبا وجودش در مكانى، مكان ديگر از او خالى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ومغرب هر دو ملك خداست، پس به هر طرف كه روى كنيد به سوى خدا روى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جا محيط وبر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همانند آيه پيشين، دلالت بر نفى جسميت خداوند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همانند او نيست واو شنواى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اگر خداوند جسم بود، بايد همانند ساير اجسام وشبيه آنها مى‌بود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الْغَنِيُّ وَ أَنْتُمُ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از خلق بى‌نياز است وشما فقير ونيازمنديد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اگر خداوند جسم بود، مركب از اجزا مى‌بود، وهر مركبى محتاج به اجزاى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 غناى خداوند سازگارى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وآخر هستى وپيدا ونهان وجود همه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خداوند متعال خود را ظاهر وباطن معرفى كرده، واگر جسم مى‌بود بايد ظاهر آن غير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ودر نتيجه لازم مى‌آيد كه او ظاهر وباطن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ديده‌ها او را درك نمى‌كنند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111" w:name="pg1739_10463"/>
    </w:p>
    <w:p>
      <w:pPr>
        <w:pStyle w:val="BookText"/>
        <w:rPr/>
      </w:pPr>
      <w:bookmarkEnd w:id="111"/>
      <w:r>
        <w:rPr>
          <w:rFonts w:ascii="IRNazanin" w:hAnsi="IRNazanin" w:eastAsia="IRNazanin"/>
          <w:color w:val="111111"/>
          <w:sz w:val="28"/>
          <w:sz w:val="28"/>
          <w:szCs w:val="28"/>
          <w:rtl w:val="true"/>
          <w:lang w:bidi="fa-IR"/>
        </w:rPr>
        <w:t>و اگر خداوند جسم بود چرا ديده‌ها او را ادراك نكنند؟</w:t>
      </w:r>
      <w:r>
        <w:rPr>
          <w:rFonts w:eastAsia="IRNazanin" w:cs="IRNazanin"/>
          <w:color w:val="111111"/>
          <w:sz w:val="28"/>
          <w:szCs w:val="28"/>
          <w:rtl w:val="true"/>
          <w:lang w:bidi="fa-IR"/>
        </w:rPr>
        <w:t>!</w:t>
      </w:r>
    </w:p>
    <w:p>
      <w:pPr>
        <w:pStyle w:val="Heading3"/>
        <w:numPr>
          <w:ilvl w:val="2"/>
          <w:numId w:val="1"/>
        </w:numPr>
        <w:rPr/>
      </w:pPr>
      <w:bookmarkStart w:id="112" w:name="__RefHeading___Toc1886503_3650668749"/>
      <w:bookmarkStart w:id="113" w:name="_Toc43"/>
      <w:bookmarkEnd w:id="112"/>
      <w:r>
        <w:rPr>
          <w:rtl w:val="true"/>
        </w:rPr>
        <w:t>اهل بيت‌</w:t>
      </w:r>
      <w:bookmarkEnd w:id="113"/>
    </w:p>
    <w:p>
      <w:pPr>
        <w:pStyle w:val="Heading3"/>
        <w:numPr>
          <w:ilvl w:val="2"/>
          <w:numId w:val="1"/>
        </w:numPr>
        <w:rPr/>
      </w:pPr>
      <w:bookmarkStart w:id="114" w:name="__RefHeading___Toc1886505_3650668749"/>
      <w:bookmarkStart w:id="115" w:name="_Toc44"/>
      <w:bookmarkEnd w:id="114"/>
      <w:r>
        <w:rPr>
          <w:rtl w:val="true"/>
        </w:rPr>
        <w:t>ونفى جسميت از خدا</w:t>
      </w:r>
      <w:bookmarkEnd w:id="11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خداوندى كه جز او كسى ديگر از كيفيتش اطلاعى ندارد، همانندى براى او نيست واو شنواى بيناست، محدود نشده، ومحسوس نخواهد بود ومورد تجسّس واقع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وحواس او را ادراك نكرده وچيزى او را احاطه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وصورت نيست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نيز در حديثى ديگر در توصيف خداوند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جسم است ونه صورت، بلكه او جسم كننده اجسام وصورت دهنده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نشده ومتناهى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ونقصان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خداوند آن‌گونه باشد كه مى‌گويند، پس فرقى بين خالق ومخلوق نيست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از امام جواد وهادى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قائل به جسميت خداوند شد به او زكات ندهيد وبه او اقتدا نكنيد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116" w:name="__RefHeading___Toc1886507_3650668749"/>
      <w:bookmarkStart w:id="117" w:name="_Toc45"/>
      <w:bookmarkEnd w:id="116"/>
      <w:r>
        <w:rPr>
          <w:rtl w:val="true"/>
        </w:rPr>
        <w:t>آراى علماى شيعه در مسأله تجسيم‌</w:t>
      </w:r>
      <w:bookmarkEnd w:id="1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وهابيان برآنند تا قول به تجسيم را به علماى شيعه نسبت دهند؛ لذا جا دارد اين موضوع را در لابه‌لاى كلمات آنها</w:t>
      </w:r>
    </w:p>
    <w:p>
      <w:pPr>
        <w:pStyle w:val="BookText"/>
        <w:rPr/>
      </w:pPr>
      <w:r>
        <w:rPr>
          <w:rFonts w:ascii="IRNazanin" w:hAnsi="IRNazanin" w:eastAsia="IRNazanin"/>
          <w:color w:val="111111"/>
          <w:sz w:val="28"/>
          <w:sz w:val="28"/>
          <w:szCs w:val="28"/>
          <w:rtl w:val="true"/>
          <w:lang w:bidi="fa-IR"/>
        </w:rPr>
        <w:t>بررسى كنيم تا از صحت يا فساد آن آگاهى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را منعقد كرده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النهى عن الجسم والصورة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كه به تبع روايات، اين خود دلالت بر عدم اعتقاد او، به تجسيم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 الله عزّوجلّ ليس بجسم ولاصورة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كلام در توحيد ونفى تشبيه از خداوند وتنزيه وتقديس براى او، چيزى است كه به آن امر شده ومورد رغبت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بسيارى بر آن دلالت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مى‌دانيم كه تجسيم داخل در تشبيه است، لذا كلام شيخ مفيد شامل تجسيم نيز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كراجكى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دارد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الاستدلال على انّ الله تعالى ليس بجسم</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ذبيحه وكشتارشان را حرام مى‌داند، كسانى را برمى شمارد كه</w:t>
      </w:r>
    </w:p>
    <w:p>
      <w:pPr>
        <w:pStyle w:val="BookText"/>
        <w:rPr/>
      </w:pPr>
      <w:r>
        <w:rPr>
          <w:rFonts w:ascii="Amiri" w:hAnsi="Amiri" w:eastAsia="Amiri" w:cs="Amiri"/>
          <w:color w:val="111111"/>
          <w:sz w:val="28"/>
          <w:sz w:val="28"/>
          <w:szCs w:val="28"/>
          <w:rtl w:val="true"/>
          <w:lang w:bidi="ar-SA"/>
        </w:rPr>
        <w:t>قائل به تجسيم‌اند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همان‌گونه كه حكم به نجاست مجسّمه كرده وآنها را در زمره كفّار به شمار آورده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تنزيه خداوند از جسم ولوازم آن كرده است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 صحت نماز در پوست حيوانى داده كه مجسِّم آن را ذبح كرده وانتفاع به آن را نيز جايز نمى‌داند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ودر جاى ديگر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تجسيم از مذاهب فاسد است</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 هجرى 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عدم جواز خوردن ذبيحه كسى شده كه معتقد به تجسيم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به نجاست نيم‌خورده مجسِّمه داده است وآنها ومشبِّهه را در حكم نواصب وغلات دانسته وحكم به كفر همه آنها داده است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مجسّمه را از جمله كسانى به حساب آورده كه داخل در عنوان كافر بوده ومحكوم به نجاستند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نجاست مجسّمه فتوا داده است </w:t>
      </w:r>
      <w:r>
        <w:rPr>
          <w:rStyle w:val="FootnoteAnchor"/>
          <w:rtl w:val="true"/>
        </w:rPr>
        <w:footnoteReference w:id="88"/>
      </w:r>
      <w:r>
        <w:rPr>
          <w:rFonts w:ascii="Amiri" w:hAnsi="Amiri" w:eastAsia="Amiri" w:cs="Amiri"/>
          <w:color w:val="111111"/>
          <w:sz w:val="28"/>
          <w:sz w:val="28"/>
          <w:szCs w:val="28"/>
          <w:rtl w:val="true"/>
          <w:lang w:bidi="ar-SA"/>
        </w:rPr>
        <w:t xml:space="preserve">، ودر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عدم جسمانيت خداوند اشاره كرده است</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دهم 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اصول شيعه را تنزيه خداوند تبارك وتعالى از تشبيه وديگر نقائص برشمرده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الجسم والصورة والتشبيه والحلول والاتحاد وانّه لا يدرك بالحواس والاوهام والعقول والافهام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بابى ديگر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الزمان والمكان والحركة والانتقال عنه تعالى وتأويل الآيات والاخبار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نفى تجسيم وتركيب از خداوند استدلال كرده است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ملا هادى سبزوارى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bookmarkStart w:id="118" w:name="pg1739_10467"/>
    </w:p>
    <w:p>
      <w:pPr>
        <w:pStyle w:val="BookText"/>
        <w:rPr/>
      </w:pPr>
      <w:bookmarkEnd w:id="118"/>
      <w:r>
        <w:rPr>
          <w:rFonts w:ascii="Amiri" w:hAnsi="Amiri" w:eastAsia="Amiri" w:cs="Amiri"/>
          <w:color w:val="111111"/>
          <w:sz w:val="28"/>
          <w:sz w:val="28"/>
          <w:szCs w:val="28"/>
          <w:rtl w:val="true"/>
          <w:lang w:bidi="ar-SA"/>
        </w:rPr>
        <w:t>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دارد بر اينكه تنزيه خداوند از صفات مخلوقات واجسام، انسان را بر اقامه برهان بر ضدّ برخى از عقايد باطل كمك خواهد كرد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بطلان عقيده تجسيم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عبارات استفاده مى‌شود كه علماى شيعه، همگى بر تنزيه خداوند از جسم ولوازم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مراجعه به روايات پى به وجود احاديث بسيارى خواهيم برد كه دلالت برعدم تجسيم دارد، وتنها 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باره آورده است، واين خود دلالت دارد بر اينكه عدم تجسيم نزد شيعه اصلى مسلّم است</w:t>
      </w:r>
      <w:r>
        <w:rPr>
          <w:rFonts w:eastAsia="IRNazanin" w:cs="IRNazanin"/>
          <w:color w:val="111111"/>
          <w:sz w:val="28"/>
          <w:szCs w:val="28"/>
          <w:rtl w:val="true"/>
          <w:lang w:bidi="fa-IR"/>
        </w:rPr>
        <w:t>.</w:t>
      </w:r>
    </w:p>
    <w:p>
      <w:pPr>
        <w:pStyle w:val="Heading3"/>
        <w:numPr>
          <w:ilvl w:val="2"/>
          <w:numId w:val="1"/>
        </w:numPr>
        <w:rPr/>
      </w:pPr>
      <w:bookmarkStart w:id="119" w:name="__RefHeading___Toc1886509_3650668749"/>
      <w:bookmarkStart w:id="120" w:name="_Toc46"/>
      <w:bookmarkEnd w:id="119"/>
      <w:r>
        <w:rPr>
          <w:rtl w:val="true"/>
        </w:rPr>
        <w:t>اتهام به بزرگان شيعه در قول به تجسيم‌</w:t>
      </w:r>
      <w:bookmarkEnd w:id="120"/>
    </w:p>
    <w:p>
      <w:pPr>
        <w:pStyle w:val="BookText"/>
        <w:rPr/>
      </w:pPr>
      <w:r>
        <w:rPr>
          <w:rFonts w:ascii="IRNazanin" w:hAnsi="IRNazanin" w:eastAsia="IRNazanin"/>
          <w:color w:val="111111"/>
          <w:sz w:val="28"/>
          <w:sz w:val="28"/>
          <w:szCs w:val="28"/>
          <w:rtl w:val="true"/>
          <w:lang w:bidi="fa-IR"/>
        </w:rPr>
        <w:t xml:space="preserve">از جمله اتهاماتى كه به شيعه زده شده اين است كه آنان قائل به تجسيم‌اند؛ يعنى معتقدند به اينكه براى خداوند جسمى است داراى ابعاد وحدود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زمينه ادّعا مى‌كنند، اوّل كسانى كه قائل به جسميت خداوند در بين شيعيان بوده، هشام بن حكم ويونس بن عبدالرحمان قمّى وبرخى ديگر از بزرگان شيعه در قرن دوم مى‌باشند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قفارى مى‌گويد</w:t>
      </w:r>
      <w:r>
        <w:rPr>
          <w:rFonts w:eastAsia="IRNazanin" w:cs="IRNazanin"/>
          <w:color w:val="111111"/>
          <w:sz w:val="28"/>
          <w:szCs w:val="28"/>
          <w:rtl w:val="true"/>
          <w:lang w:bidi="fa-IR"/>
        </w:rPr>
        <w:t>:</w:t>
      </w:r>
      <w:bookmarkStart w:id="121" w:name="pg1739_10468"/>
    </w:p>
    <w:p>
      <w:pPr>
        <w:pStyle w:val="BookText"/>
        <w:rPr/>
      </w:pPr>
      <w:bookmarkEnd w:id="121"/>
      <w:r>
        <w:rPr>
          <w:rFonts w:ascii="IRNazanin" w:hAnsi="IRNazanin" w:eastAsia="IRNazanin"/>
          <w:color w:val="111111"/>
          <w:sz w:val="28"/>
          <w:sz w:val="28"/>
          <w:szCs w:val="28"/>
          <w:rtl w:val="true"/>
          <w:lang w:bidi="fa-IR"/>
        </w:rPr>
        <w:t>اصل افكار تجسيم ومذهب آن از شيعه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اوّل كسى است كه اين را به اثبات رسانده وگفته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در اسلام قائل به جسمانيت خداوند شده، هشام بن حكم مى‌باشد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خداوند سبحان به مخلوقاتش در يهود سابقه داشته واز آنجا به تشيع سرايت كرده است؛ زيرا تشيع مأوى وملجأ هر كسى است كه قصد سوء نسبت به اسلام ومسلمين دارد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جا دارد اين تهمت را بررسى كرده ودامان شيعه را از آن پاك نماييم</w:t>
      </w:r>
      <w:r>
        <w:rPr>
          <w:rFonts w:eastAsia="IRNazanin" w:cs="IRNazanin"/>
          <w:color w:val="111111"/>
          <w:sz w:val="28"/>
          <w:szCs w:val="28"/>
          <w:rtl w:val="true"/>
          <w:lang w:bidi="fa-IR"/>
        </w:rPr>
        <w:t>.</w:t>
      </w:r>
    </w:p>
    <w:p>
      <w:pPr>
        <w:pStyle w:val="Heading3"/>
        <w:numPr>
          <w:ilvl w:val="2"/>
          <w:numId w:val="1"/>
        </w:numPr>
        <w:rPr/>
      </w:pPr>
      <w:bookmarkStart w:id="122" w:name="__RefHeading___Toc1886511_3650668749"/>
      <w:bookmarkStart w:id="123" w:name="_Toc47"/>
      <w:bookmarkEnd w:id="122"/>
      <w:r>
        <w:rPr>
          <w:rtl w:val="true"/>
        </w:rPr>
        <w:t>تبرئه هشام بن حكم از قول به تجسيم‌</w:t>
      </w:r>
      <w:bookmarkEnd w:id="123"/>
    </w:p>
    <w:p>
      <w:pPr>
        <w:pStyle w:val="Heading4"/>
        <w:numPr>
          <w:ilvl w:val="3"/>
          <w:numId w:val="1"/>
        </w:numPr>
        <w:rPr/>
      </w:pPr>
      <w:bookmarkStart w:id="124" w:name="__RefHeading___Toc1886513_3650668749"/>
      <w:bookmarkStart w:id="125" w:name="_Toc48"/>
      <w:bookmarkEnd w:id="124"/>
      <w:r>
        <w:rPr>
          <w:rtl w:val="true"/>
        </w:rPr>
        <w:t>اشاره</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كتاب‌هاى مخالفين مشاهده مى‌كنيم كه تنها دليلى كه آنها به آن تمسك كرده ونسبت تجسيم را به هشام داده‌اند، جمله‌اى است كه از او روايت شده كه درباره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كالاجسام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نسبت را در دو مرحله مورد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اصل اين نسبت كه آيا صحيح است يا خير، وديگرى آنكه بر فرض صحت نسبت، آيا اين جمله دلالت بر اعتقاد هشام به تجسيم دارد يا خير؟</w:t>
      </w:r>
      <w:bookmarkStart w:id="126" w:name="pg1739_10469"/>
    </w:p>
    <w:p>
      <w:pPr>
        <w:pStyle w:val="Heading4"/>
        <w:numPr>
          <w:ilvl w:val="3"/>
          <w:numId w:val="1"/>
        </w:numPr>
        <w:rPr/>
      </w:pPr>
      <w:bookmarkStart w:id="127" w:name="__RefHeading___Toc1886515_3650668749"/>
      <w:bookmarkStart w:id="128" w:name="_Toc49"/>
      <w:bookmarkEnd w:id="126"/>
      <w:bookmarkEnd w:id="127"/>
      <w:r>
        <w:rPr>
          <w:rtl w:val="true"/>
        </w:rPr>
        <w:t>مرحله اول</w:t>
      </w:r>
      <w:r>
        <w:rPr>
          <w:rtl w:val="true"/>
        </w:rPr>
        <w:t xml:space="preserve">: </w:t>
      </w:r>
      <w:r>
        <w:rPr>
          <w:rtl w:val="true"/>
        </w:rPr>
        <w:t>بررسى اصل نسبت‌</w:t>
      </w:r>
      <w:bookmarkEnd w:id="128"/>
    </w:p>
    <w:p>
      <w:pPr>
        <w:pStyle w:val="BookText"/>
        <w:rPr/>
      </w:pPr>
      <w:r>
        <w:rPr>
          <w:rFonts w:ascii="IRNazanin" w:hAnsi="IRNazanin" w:eastAsia="IRNazanin"/>
          <w:color w:val="111111"/>
          <w:sz w:val="28"/>
          <w:sz w:val="28"/>
          <w:szCs w:val="28"/>
          <w:rtl w:val="true"/>
          <w:lang w:bidi="fa-IR"/>
        </w:rPr>
        <w:t>شواهدى اين احتمال را تقويت مى‌كند كه اين نسبت به هشام چيزى جز افترا وتهمت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از جمله اصحاب امامان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مى‌آمده كه به عنوان مدافع از حريم حقّ وحقيقت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مقابل خطوط انحرافى ايستادگى كرده ودرصدد ابطال شبهه‌هاى آنان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او را متّهم به چنين عقيده‌اى كرد كه از خارج اسلام وارد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كتب رجالى پى خواهيم برد كه هشام ويونس با مشكلى از درون مذهب وآن هم از ناحيه برخى از اصحاب خود مواجه بودند؛ زيرا برخى نمى‌توانستند مقام ومنزلت آن دو را مشاهده كنند ولذا به جهت حسدى كه به او داشتند او را به قول به تجسيم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در رجال خود از سليمان بن جعفر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هشام بن حكم سؤال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بنده‌اى نصيحت كننده بود كه از ناحيه اصحاب خود به جهت حسدى كه به او داشتند اذيت وآزار 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عبدالرحمن واصحاب او نيز از طرف جماعتى مورد سعايت قرار گرفته وبه جهت جلالت قدر وقربش نزد امام، مورد</w:t>
      </w:r>
    </w:p>
    <w:p>
      <w:pPr>
        <w:pStyle w:val="BookText"/>
        <w:rPr/>
      </w:pPr>
      <w:r>
        <w:rPr>
          <w:rFonts w:ascii="IRNazanin" w:hAnsi="IRNazanin" w:eastAsia="IRNazanin"/>
          <w:color w:val="111111"/>
          <w:sz w:val="28"/>
          <w:sz w:val="28"/>
          <w:szCs w:val="28"/>
          <w:rtl w:val="true"/>
          <w:lang w:bidi="fa-IR"/>
        </w:rPr>
        <w:t>سرزنش وتعقيب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احتمال قوى مى‌توان رواياتى را كه در مذمّت او رسيده يا دلالت بر انحراف او دارد، از جعل همين افراد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حكم به اعتراف شيعه وسنّى، يكى از متكلمين اماميه ودريايى عميق از معارف عقلى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 كسى بود كه در مباحث اصول، غور بسيار نموده بود و نمى‌توان مباحث ومناظرات او را با معتزله ناديده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ذهبى نيز او را متكلّمى زبردست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خصوصاً آنكه بزرگان شيعه به تبع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تمجيد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تعبيرات مى‌توان چنين تهمتى را به هشام نسبت داد؟ آيا مقام ومنزلت او شاهدى بر كذب اين نسبت وافتراء به او 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بحث از خداوند وصفات ثبوتى وسلبى در آن عصر آسان نبوده وتازه در حوزه‌هاى اسلامى مطرح شده وذهن افراد به اين مسائل نامأنوس بوده است، لذا طبيعى به نظر مى‌رسد كه گروهى كلام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نفهميده ولذا او را به تجسيم متهم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هشام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لا كالاشياء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مستمع خيال كرده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كالاجسام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نقل به معنا كرده ويا</w:t>
      </w:r>
    </w:p>
    <w:p>
      <w:pPr>
        <w:pStyle w:val="BookText"/>
        <w:rPr/>
      </w:pPr>
      <w:r>
        <w:rPr>
          <w:rFonts w:ascii="IRNazanin" w:hAnsi="IRNazanin" w:eastAsia="IRNazanin"/>
          <w:color w:val="111111"/>
          <w:sz w:val="28"/>
          <w:sz w:val="28"/>
          <w:szCs w:val="28"/>
          <w:rtl w:val="true"/>
          <w:lang w:bidi="fa-IR"/>
        </w:rPr>
        <w:t>خيال كرده كه لازمه كلام او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گاهى برداشت‌ها وتصوّرات غلط از سخنان كسى، سبب نسبت‌هاى ناروا به او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كتب تراجم پى مى‌بريم كه هشام مورد مدح از ناحيه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مدحى كه هرگز با وجود انحرافات عقايدى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ناصر ما به دست وزبان وقلب است</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ونيز در جايى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بايد براى مردم عقايد بگويد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حقّ او دعا كرده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توحيد نفع رساند وتو را ثابت قدم گرداند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قصّه‌اى بعد از آنكه كافرى به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حضرت او را به جهت تعليم دين در جهت عقيده وشريعت به هشام بن حكم سپرد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ونيز 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هشام بن حكم رسيده كه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پرچمدار حقّ ما، ودنبال كننده گفتار ما، تأييدكننده</w:t>
      </w:r>
    </w:p>
    <w:p>
      <w:pPr>
        <w:pStyle w:val="BookText"/>
        <w:rPr/>
      </w:pPr>
      <w:r>
        <w:rPr>
          <w:rFonts w:ascii="IRNazanin" w:hAnsi="IRNazanin" w:eastAsia="IRNazanin"/>
          <w:color w:val="111111"/>
          <w:sz w:val="28"/>
          <w:sz w:val="28"/>
          <w:szCs w:val="28"/>
          <w:rtl w:val="true"/>
          <w:lang w:bidi="fa-IR"/>
        </w:rPr>
        <w:t>صدق ما، ودفع كننده باطل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او واثرش را دنبال كند ما را دنبال وپيروى كرده وهر كس كه او را مخالفت كرده وهتك حرمت او كند با ما دشمنى كرده وهتك حرمت ما را كرده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دعايى كه بعد از بر آوردن حاجت هشام مى‌كند،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ثواب تو را بهشت قرار دهد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دوستى با هشام نموده است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ترحّم كرده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رحمت كند، او بنده نصيحت‌گرى بوده كه از ناحيه اصحابش به جهت حسد مورد اذيت وآزار واقع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مورد يونس بن عبدالرحمان نيز روايات فراوانى در مدح وستايش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اين مورد خبر عبدالعزيز بن مهتدى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هميشه شما را زيارت كنم، از چه كسى معالم دينم را اخذ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يونس بن عبدالرحمن فرا گير</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به چنين افرادى كه اين‌گونه مورد مدح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چنان نسبتى را داد؟</w:t>
      </w:r>
      <w:bookmarkStart w:id="129" w:name="pg1739_10473"/>
    </w:p>
    <w:p>
      <w:pPr>
        <w:pStyle w:val="BookText"/>
        <w:rPr/>
      </w:pPr>
      <w:bookmarkEnd w:id="12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روايات هشام بن حكم ويونس بن عبدالرحمان كه درباره توحيد وصفات خداوند متعال رسيده پى مى‌بريم كه هرگز با عقيده به تجسيم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اين‌گونه روايات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در مناظره‌اى كه بين او ويكى از كافران واقع شد، به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كرده وفرمود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آنكه خداوند جسم وصورت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حواس پنچ‌گانه درك نمى‌شود، اوهام او را درك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بدون وسيله شنوايى وبينا است بدون وسيله بينايى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يونس بن عبدالرحمان نيز در روايت آمده كه او از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عروج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سؤال كرد، با آنكه خداوند توصيف به‌مكان نمى‌شود؟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تبارك وتعالى به مكان توصيف نشده وزمان بر او جارى نمى‌گردد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يونس نيز با سؤال از امام واعتقاد به جواب امام، قائل به عدم تجسيم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با اعتقاد به جواب امام اين روايت را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Heading4"/>
        <w:numPr>
          <w:ilvl w:val="3"/>
          <w:numId w:val="1"/>
        </w:numPr>
        <w:rPr/>
      </w:pPr>
      <w:bookmarkStart w:id="130" w:name="__RefHeading___Toc1886517_3650668749"/>
      <w:bookmarkStart w:id="131" w:name="_Toc50"/>
      <w:bookmarkEnd w:id="130"/>
      <w:r>
        <w:rPr>
          <w:rtl w:val="true"/>
        </w:rPr>
        <w:t>مرحله دوم</w:t>
      </w:r>
      <w:r>
        <w:rPr>
          <w:rtl w:val="true"/>
        </w:rPr>
        <w:t xml:space="preserve">: </w:t>
      </w:r>
      <w:r>
        <w:rPr>
          <w:rtl w:val="true"/>
        </w:rPr>
        <w:t>بررسى كلام‌</w:t>
      </w:r>
      <w:bookmarkEnd w:id="131"/>
    </w:p>
    <w:p>
      <w:pPr>
        <w:pStyle w:val="Heading5"/>
        <w:numPr>
          <w:ilvl w:val="4"/>
          <w:numId w:val="1"/>
        </w:numPr>
        <w:rPr/>
      </w:pPr>
      <w:bookmarkStart w:id="132" w:name="__RefHeading___Toc1886519_3650668749"/>
      <w:bookmarkStart w:id="133" w:name="_Toc51"/>
      <w:bookmarkEnd w:id="132"/>
      <w:r>
        <w:rPr>
          <w:rtl w:val="true"/>
        </w:rPr>
        <w:t>اشاره</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به اثبات رسانديم كه اصل انتساب اين اتهام به</w:t>
      </w:r>
    </w:p>
    <w:p>
      <w:pPr>
        <w:pStyle w:val="BookText"/>
        <w:rPr/>
      </w:pPr>
      <w:r>
        <w:rPr>
          <w:rFonts w:ascii="IRNazanin" w:hAnsi="IRNazanin" w:eastAsia="IRNazanin"/>
          <w:color w:val="111111"/>
          <w:sz w:val="28"/>
          <w:sz w:val="28"/>
          <w:szCs w:val="28"/>
          <w:rtl w:val="true"/>
          <w:lang w:bidi="fa-IR"/>
        </w:rPr>
        <w:t>هشام بن حكم ويونس بن عبدالرحمان بى‌پايه واساس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ثبوت آن درصدد بررسى جمله‌اى هستيم كه به جهت انتساب آن به هشام او را متهم به اعتقاد به تجسيم كرده‌اند، وآن اينكه او خداوند را اين‌گونه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كالاجسام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توجّه به يك نكته ضرورى مى‌نمايد، وآن اينكه براى فهم يك جمله يا يك كلمه رجوع به لغت كافى نيست، خصوصاً وقتى كه اين عبارت از يك متخصص صادر شده باشد، بلكه بايد قصد متكلم را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اصطلاح خاص را مشاهده كرد؛ زيرا گاهى متكلّم از كلامش معنايى را اراده مى‌كند كه نمى‌توان با مراجعه به لغت آن را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با ذكر اين نكته به سراغ اين مطلب مى‌رويم كه آيا هشام بن حكم از اين جمله‌اى كه به او نسبت داده‌اند، معناى خاص را اراده كرده ويا همان معناى لغوى را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نموده است؟</w:t>
      </w:r>
    </w:p>
    <w:p>
      <w:pPr>
        <w:pStyle w:val="BookText"/>
        <w:rPr/>
      </w:pPr>
      <w:r>
        <w:rPr>
          <w:rFonts w:ascii="IRNazanin" w:hAnsi="IRNazanin" w:eastAsia="IRNazanin"/>
          <w:color w:val="111111"/>
          <w:sz w:val="28"/>
          <w:sz w:val="28"/>
          <w:szCs w:val="28"/>
          <w:rtl w:val="true"/>
          <w:lang w:bidi="fa-IR"/>
        </w:rPr>
        <w:t xml:space="preserve">با مشاهده قراين خاص پى مى‌بريم كه هشام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لاكالاجسام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ومقصود خاصى را اراده كرده است كه با تنزيه خداوند از جسميت ولوازم آن نيز سازگارى دارد، وآن اينكه مقصود او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شئ قائم به نفس وثابت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اشعرى همين معنا را از هشام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حكم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جسم اين است كه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گفتارم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موجود، وشى‌ء، وقائم بنفسه را</w:t>
      </w:r>
      <w:bookmarkStart w:id="134" w:name="pg1739_10475"/>
    </w:p>
    <w:p>
      <w:pPr>
        <w:pStyle w:val="BookText"/>
        <w:rPr/>
      </w:pPr>
      <w:bookmarkEnd w:id="134"/>
      <w:r>
        <w:rPr>
          <w:rFonts w:ascii="Amiri" w:hAnsi="Amiri" w:eastAsia="Amiri" w:cs="Amiri"/>
          <w:color w:val="111111"/>
          <w:sz w:val="28"/>
          <w:sz w:val="28"/>
          <w:szCs w:val="28"/>
          <w:rtl w:val="true"/>
          <w:lang w:bidi="ar-SA"/>
        </w:rPr>
        <w:t>كرده‌ام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كشى نيز از هشام ويونس نقل كرده كه اين دو گمان كرده‌اند كه اثبات شى‌ء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نتيجه اينكه رأى هشام ويونس در رابطه خداوند با ديگران از حيث معنا هيچ فرقى ندارد، جز در اختلاف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ديگرى نيز وجود دارد كه مى‌توان آنها را شاهد بر همين معنا به حساب آورد</w:t>
      </w:r>
      <w:r>
        <w:rPr>
          <w:rFonts w:eastAsia="IRNazanin" w:cs="IRNazanin"/>
          <w:color w:val="111111"/>
          <w:sz w:val="28"/>
          <w:szCs w:val="28"/>
          <w:rtl w:val="true"/>
          <w:lang w:bidi="fa-IR"/>
        </w:rPr>
        <w:t>.</w:t>
      </w:r>
    </w:p>
    <w:p>
      <w:pPr>
        <w:pStyle w:val="Heading5"/>
        <w:numPr>
          <w:ilvl w:val="4"/>
          <w:numId w:val="1"/>
        </w:numPr>
        <w:rPr/>
      </w:pPr>
      <w:bookmarkStart w:id="135" w:name="__RefHeading___Toc1886521_3650668749"/>
      <w:bookmarkStart w:id="136" w:name="_Toc52"/>
      <w:bookmarkEnd w:id="135"/>
      <w:r>
        <w:rPr/>
        <w:t>1</w:t>
      </w:r>
      <w:r>
        <w:rPr>
          <w:rtl w:val="true"/>
        </w:rPr>
        <w:t xml:space="preserve">. </w:t>
      </w:r>
      <w:r>
        <w:rPr>
          <w:rtl w:val="true"/>
        </w:rPr>
        <w:t>قرينه لفظى‌</w:t>
      </w:r>
      <w:bookmarkEnd w:id="136"/>
    </w:p>
    <w:p>
      <w:pPr>
        <w:pStyle w:val="BookText"/>
        <w:rPr/>
      </w:pPr>
      <w:r>
        <w:rPr>
          <w:rFonts w:ascii="IRNazanin" w:hAnsi="IRNazanin" w:eastAsia="IRNazanin"/>
          <w:color w:val="111111"/>
          <w:sz w:val="28"/>
          <w:sz w:val="28"/>
          <w:szCs w:val="28"/>
          <w:rtl w:val="true"/>
          <w:lang w:bidi="fa-IR"/>
        </w:rPr>
        <w:t xml:space="preserve">هشام گرچه خداوند را متصف به جسمانيت كرده، ولى به دنبال آن كلمه‌اى را به كار برده كه مى‌توان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معناى لغوى تغيير داده وبه معناى ديگرى رهنمون ساخت؛ زيرا در جمله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كالاجسام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جسمى است نه مانند ساير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خود دلالت بر اراده معناى خاصى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دارد</w:t>
      </w:r>
      <w:r>
        <w:rPr>
          <w:rFonts w:eastAsia="IRNazanin" w:cs="IRNazanin"/>
          <w:color w:val="111111"/>
          <w:sz w:val="28"/>
          <w:szCs w:val="28"/>
          <w:rtl w:val="true"/>
          <w:lang w:bidi="fa-IR"/>
        </w:rPr>
        <w:t>.</w:t>
      </w:r>
    </w:p>
    <w:p>
      <w:pPr>
        <w:pStyle w:val="Heading5"/>
        <w:numPr>
          <w:ilvl w:val="4"/>
          <w:numId w:val="1"/>
        </w:numPr>
        <w:rPr/>
      </w:pPr>
      <w:bookmarkStart w:id="137" w:name="__RefHeading___Toc1886523_3650668749"/>
      <w:bookmarkStart w:id="138" w:name="_Toc53"/>
      <w:bookmarkEnd w:id="137"/>
      <w:r>
        <w:rPr/>
        <w:t>2</w:t>
      </w:r>
      <w:r>
        <w:rPr>
          <w:rtl w:val="true"/>
        </w:rPr>
        <w:t xml:space="preserve">. </w:t>
      </w:r>
      <w:r>
        <w:rPr>
          <w:rtl w:val="true"/>
        </w:rPr>
        <w:t>قرينه خارجى‌</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جسم لا كالاجسام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هشام بن حكم نسبت داده شده، با ملاحظه قرينه خارجى نيز پى خواهيم برد كه بر مدّعاى خصم؛ يعنى اعتقاد به تجسيم سازگارى ندارد؛ زيرا اين جمله را بنابر نقل شهرستانى، در محاجّه با علّاف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علّاف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خداوند عالم است به علم، لازمه اين حرف اين است كه</w:t>
      </w:r>
      <w:bookmarkStart w:id="139" w:name="pg1739_10476"/>
    </w:p>
    <w:p>
      <w:pPr>
        <w:pStyle w:val="BookText"/>
        <w:rPr/>
      </w:pPr>
      <w:bookmarkEnd w:id="139"/>
      <w:r>
        <w:rPr>
          <w:rFonts w:ascii="IRNazanin" w:hAnsi="IRNazanin" w:eastAsia="IRNazanin"/>
          <w:color w:val="111111"/>
          <w:sz w:val="28"/>
          <w:sz w:val="28"/>
          <w:szCs w:val="28"/>
          <w:rtl w:val="true"/>
          <w:lang w:bidi="fa-IR"/>
        </w:rPr>
        <w:t xml:space="preserve">خداوند علمش همانند بقيه مردم باشد پس چرا تو نمى‌گويى كه خداوند جسم است نه مثل ساير اجسام؟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اين‌گونه تعبير به خوبى استفاده مى‌شود كه هشام درصدد معارضه ومقابله با علّاف است، نه اينكه عقيده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هر كس در مقام معارضه، چيزى مى‌گويد آن را اعتقاد داشته باشد؛ زيرا ممكن است كه قصد او امتحان علّاف باشد؛ همان‌گونه كه شهرستانى نيز همين مطلب را 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كه از اين عبارت عقيده به تجسم استفاده شود، ممكن است كه اين حرف از او هنگامى صادر شده باشد كه داخل در مذهب جهميه بوده وقبل از آن بوده كه به بركت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است؛ زيرا جهميه قائل به تجسيمند، ولى بعد از دخول در مكتب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آنان با تجسيم مقابله كرده است</w:t>
      </w:r>
      <w:r>
        <w:rPr>
          <w:rFonts w:eastAsia="IRNazanin" w:cs="IRNazanin"/>
          <w:color w:val="111111"/>
          <w:sz w:val="28"/>
          <w:szCs w:val="28"/>
          <w:rtl w:val="true"/>
          <w:lang w:bidi="fa-IR"/>
        </w:rPr>
        <w:t>.</w:t>
      </w:r>
    </w:p>
    <w:p>
      <w:pPr>
        <w:pStyle w:val="Heading5"/>
        <w:numPr>
          <w:ilvl w:val="4"/>
          <w:numId w:val="1"/>
        </w:numPr>
        <w:rPr/>
      </w:pPr>
      <w:bookmarkStart w:id="140" w:name="__RefHeading___Toc1886525_3650668749"/>
      <w:bookmarkStart w:id="141" w:name="_Toc54"/>
      <w:bookmarkEnd w:id="140"/>
      <w:r>
        <w:rPr/>
        <w:t>3</w:t>
      </w:r>
      <w:r>
        <w:rPr>
          <w:rtl w:val="true"/>
        </w:rPr>
        <w:t xml:space="preserve">. </w:t>
      </w:r>
      <w:r>
        <w:rPr>
          <w:rtl w:val="true"/>
        </w:rPr>
        <w:t>اختلاف در معناى جسم‌</w:t>
      </w:r>
      <w:bookmarkEnd w:id="141"/>
    </w:p>
    <w:p>
      <w:pPr>
        <w:pStyle w:val="BookText"/>
        <w:rPr/>
      </w:pPr>
      <w:r>
        <w:rPr>
          <w:rFonts w:ascii="Amiri" w:hAnsi="Amiri" w:eastAsia="Amiri" w:cs="Amiri"/>
          <w:color w:val="111111"/>
          <w:sz w:val="28"/>
          <w:sz w:val="28"/>
          <w:szCs w:val="28"/>
          <w:rtl w:val="true"/>
          <w:lang w:bidi="ar-SA"/>
        </w:rPr>
        <w:t xml:space="preserve">متكلمين از فريقين تصريح دارند بر 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اصطلاحى بوده ودر معناى آن اختلاف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اشعرى از امامان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متكلمين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قول اختلاف كرده‌اند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امر اين است كه در لفظ جسم</w:t>
      </w:r>
      <w:bookmarkStart w:id="142" w:name="pg1739_10477"/>
    </w:p>
    <w:p>
      <w:pPr>
        <w:pStyle w:val="BookText"/>
        <w:rPr/>
      </w:pPr>
      <w:bookmarkEnd w:id="142"/>
      <w:r>
        <w:rPr>
          <w:rFonts w:ascii="IRNazanin" w:hAnsi="IRNazanin" w:eastAsia="IRNazanin"/>
          <w:color w:val="111111"/>
          <w:sz w:val="28"/>
          <w:sz w:val="28"/>
          <w:szCs w:val="28"/>
          <w:rtl w:val="true"/>
          <w:lang w:bidi="fa-IR"/>
        </w:rPr>
        <w:t>نزاع‌هاى لفظى ومعنوى وجود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وحيز 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است كه در آنها ابهام واجمال وجود دارد، واينها الفاظى اصطلاحى هستند كه گاهى معانى متنوّعى از آنها اراده مى‌شود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آن افراد كسانى هستند كه لفظ جسم را اطلاق ومقصود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شيخ الاسلام ابويحيى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قائم به ذات در عالم تفسير نموده است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5"/>
        <w:numPr>
          <w:ilvl w:val="4"/>
          <w:numId w:val="1"/>
        </w:numPr>
        <w:rPr/>
      </w:pPr>
      <w:bookmarkStart w:id="143" w:name="__RefHeading___Toc1886527_3650668749"/>
      <w:bookmarkStart w:id="144" w:name="_Toc55"/>
      <w:bookmarkEnd w:id="143"/>
      <w:r>
        <w:rPr/>
        <w:t>4</w:t>
      </w:r>
      <w:r>
        <w:rPr>
          <w:rtl w:val="true"/>
        </w:rPr>
        <w:t>. «</w:t>
      </w:r>
      <w:r>
        <w:rPr>
          <w:rtl w:val="true"/>
        </w:rPr>
        <w:t>جسم لا كالاجسام</w:t>
      </w:r>
      <w:r>
        <w:rPr>
          <w:rtl w:val="true"/>
        </w:rPr>
        <w:t xml:space="preserve">» </w:t>
      </w:r>
      <w:r>
        <w:rPr>
          <w:rtl w:val="true"/>
        </w:rPr>
        <w:t>عبارتى شايع‌</w:t>
      </w:r>
      <w:bookmarkEnd w:id="144"/>
    </w:p>
    <w:p>
      <w:pPr>
        <w:pStyle w:val="BookText"/>
        <w:rPr/>
      </w:pPr>
      <w:r>
        <w:rPr>
          <w:rFonts w:ascii="IRNazanin" w:hAnsi="IRNazanin" w:eastAsia="IRNazanin"/>
          <w:color w:val="111111"/>
          <w:sz w:val="28"/>
          <w:sz w:val="28"/>
          <w:szCs w:val="28"/>
          <w:rtl w:val="true"/>
          <w:lang w:bidi="fa-IR"/>
        </w:rPr>
        <w:t xml:space="preserve">با مراجعه به كتاب‌هاى اهل سنّت پى مى‌بريم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لاكالاجسام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هشام نسبت داده شده، عبارتى شايع در بين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اهل اسلام درباره خالق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جسمى است كه شبيه ساير اجسام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وحنابله وتابعين آنها بر اين اعتقادند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ولى نه مثل ساير اجسام در عقيده خطا نكرده است، ولى در اسم گذارى بر خدا به اشتباه رفته است؛ زيرا خداوند را به اسمى نامگذارى كرده كه از او نرسيده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او جسم است، اگر جاهل يا تأويل كننده باشد معذور است وبر او چيزى نيست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ابن تيميه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نمى‌تواند نفى يا اثبات كند تا آنكه متكلّم آن را تفسير نمايد، اگر به باطل تفسير نمايد آن را ردّ كند واگر به حقّ تفسير كند آن را اثبات نمايد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كسانى‌كه خداوند را از مشابهت با مخلوقين منزّه مى‌كنند واو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نزاع آنان با كسانى كه آن‌را از خدا نفى مى‌كنند، لفظى است</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جواب از اين جمله‌اى كه به هشام بن حكم نسبت داده شده، به اين نتيجه مى‌رسيم كه تهمت تجسيم به معناى جسميت لغوى هرگز بر هشام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عباراتى مى‌ماند كه در كتب رجال وتراجم در</w:t>
      </w:r>
      <w:bookmarkStart w:id="145" w:name="pg1739_10479"/>
    </w:p>
    <w:p>
      <w:pPr>
        <w:pStyle w:val="BookText"/>
        <w:rPr/>
      </w:pPr>
      <w:bookmarkEnd w:id="145"/>
      <w:r>
        <w:rPr>
          <w:rFonts w:ascii="Amiri" w:hAnsi="Amiri" w:eastAsia="Amiri" w:cs="Amiri"/>
          <w:color w:val="111111"/>
          <w:sz w:val="28"/>
          <w:sz w:val="28"/>
          <w:szCs w:val="28"/>
          <w:rtl w:val="true"/>
          <w:lang w:bidi="ar-SA"/>
        </w:rPr>
        <w:t xml:space="preserve">مذمّت او رسيده است كه يا به جهت استناد به آن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را مورد بررسى قرار داديم ويا به جهت خصومت وحسدى كه با او داشته‌اند ذكر شده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886529_3650668749"/>
      <w:bookmarkStart w:id="147" w:name="_Toc56"/>
      <w:bookmarkEnd w:id="146"/>
      <w:r>
        <w:rPr>
          <w:rtl w:val="true"/>
        </w:rPr>
        <w:t>بررسى روايات در مذمّت هشام‌</w:t>
      </w:r>
      <w:bookmarkEnd w:id="147"/>
    </w:p>
    <w:p>
      <w:pPr>
        <w:pStyle w:val="BookText"/>
        <w:rPr/>
      </w:pPr>
      <w:r>
        <w:rPr>
          <w:rFonts w:ascii="IRNazanin" w:hAnsi="IRNazanin" w:eastAsia="IRNazanin"/>
          <w:color w:val="111111"/>
          <w:sz w:val="28"/>
          <w:sz w:val="28"/>
          <w:szCs w:val="28"/>
          <w:rtl w:val="true"/>
          <w:lang w:bidi="fa-IR"/>
        </w:rPr>
        <w:t>با مراجعه به كتاب‌هاى تراجم ورجال پى به رواياتى در مذمّت هشام خواهيم برد كه به جهت نسبت تجسيم درباره او رسيده است، ولى مى‌توان جواب‌هاى متعددى به آنها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اغلب اين روايات از حيث سند ضعيف‌اند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اين‌روايات علاوه بر اينكه تعدادشان كم‌است باروايات‌صحيحه ومستفيضه‌اى كه در فضيلت ومقام ومنزلت هشام از امامان رسيده است، معارضه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 آن روايات را حمل بر تجسيم لفظى ولغوى نمود، به اين معنا كه هشام؛ گرچه عقيده‌اى صحيح وسالم داشته ولى به جهت به كار بردن تعبيرى كه سبب شده دشمنان شيعه آن را مستمسك قرار داده وآن را بر ضدّ شيعه به كار برند، مورد انتقاد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بگوييم كه امامان شيعه، اصل اين فكر وعقيده را كه به هشام نسبت داده شده مورد مذمّت ونقد قرار داده‌اند، گرچه انتساب آن را به هشام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بر فرض كه هشام چنين حرفى را زده باشد، قطعاً باطل ومورد سرزنش است؛ زيرا به جهت اشاعه نظريه تجسيم، امام در جامعه احساس خطر كرده</w:t>
      </w:r>
      <w:bookmarkStart w:id="148" w:name="pg1739_10480"/>
    </w:p>
    <w:p>
      <w:pPr>
        <w:pStyle w:val="BookText"/>
        <w:rPr/>
      </w:pPr>
      <w:bookmarkEnd w:id="148"/>
      <w:r>
        <w:rPr>
          <w:rFonts w:ascii="IRNazanin" w:hAnsi="IRNazanin" w:eastAsia="IRNazanin"/>
          <w:color w:val="111111"/>
          <w:sz w:val="28"/>
          <w:sz w:val="28"/>
          <w:szCs w:val="28"/>
          <w:rtl w:val="true"/>
          <w:lang w:bidi="fa-IR"/>
        </w:rPr>
        <w:t>ودرصدد آن است كه به مردم بفهماند گرچه شما چنين چيزى را به هشام نسبت مى‌دهيد، هر كس كه اين حرف را بزند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درصدد تأييد يا ردّ هشام نيست</w:t>
      </w:r>
      <w:r>
        <w:rPr>
          <w:rFonts w:eastAsia="IRNazanin" w:cs="IRNazanin"/>
          <w:color w:val="111111"/>
          <w:sz w:val="28"/>
          <w:szCs w:val="28"/>
          <w:rtl w:val="true"/>
          <w:lang w:bidi="fa-IR"/>
        </w:rPr>
        <w:t>.</w:t>
      </w:r>
    </w:p>
    <w:p>
      <w:pPr>
        <w:pStyle w:val="Heading3"/>
        <w:numPr>
          <w:ilvl w:val="2"/>
          <w:numId w:val="1"/>
        </w:numPr>
        <w:rPr/>
      </w:pPr>
      <w:bookmarkStart w:id="149" w:name="__RefHeading___Toc1886531_3650668749"/>
      <w:bookmarkStart w:id="150" w:name="_Toc57"/>
      <w:bookmarkEnd w:id="149"/>
      <w:r>
        <w:rPr>
          <w:rtl w:val="true"/>
        </w:rPr>
        <w:t>ديدگاه علماى اهل سنت درباره تجسيم‌</w:t>
      </w:r>
      <w:bookmarkEnd w:id="150"/>
    </w:p>
    <w:p>
      <w:pPr>
        <w:pStyle w:val="Heading4"/>
        <w:numPr>
          <w:ilvl w:val="3"/>
          <w:numId w:val="1"/>
        </w:numPr>
        <w:rPr/>
      </w:pPr>
      <w:bookmarkStart w:id="151" w:name="__RefHeading___Toc1886533_3650668749"/>
      <w:bookmarkStart w:id="152" w:name="_Toc58"/>
      <w:bookmarkEnd w:id="151"/>
      <w:r>
        <w:rPr/>
        <w:t>1</w:t>
      </w:r>
      <w:r>
        <w:rPr>
          <w:rtl w:val="true"/>
        </w:rPr>
        <w:t xml:space="preserve">. </w:t>
      </w:r>
      <w:r>
        <w:rPr>
          <w:rtl w:val="true"/>
        </w:rPr>
        <w:t>ديدگاه محمد بن علوى مالكى درباره تجسيم‌</w:t>
      </w:r>
      <w:bookmarkEnd w:id="152"/>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وصف الخالق بصفة المخلوق فهو مشرك؛ و ذلك كمن يعتقد فيه تبارك و تعالي انّه جسد ذو طول و عرض و ارتفاع، او ينسب اليه الاتحاد بالخلق او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ويتخيل الذين لايفقهون انّ كل موجود جسماً اما من جماد او هواء او نور إلي غير ذلك، و تلك اوهام باطلة يردها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تقره العقول و الدليل، و جاءت الرسل بتحقيقه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عزّوجلّ منزه عن مشابهة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من يتخيل جسماً يعبده و بين من يعبد صنماً من حجر أو خشب أو معدن، ولا خلاف بين أهل الحق في انّ المجسم جاهل بربه كافر به، وما نسب للحق عزّ شأنه من مجيي‌ء و نزول و استواء فبديهي انّه ليس نزول الاجساد، ولا مجيئها ولا استواءها، وانما هي امور تليق بالمنزه عن الشبه و الامثال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انّ اهل السنة لا خلاف بينهم في انّ اليد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غير الجارحة المعلومة، و</w:t>
      </w:r>
    </w:p>
    <w:p>
      <w:pPr>
        <w:pStyle w:val="BookText"/>
        <w:rPr/>
      </w:pPr>
      <w:r>
        <w:rPr>
          <w:rFonts w:ascii="Amiri" w:hAnsi="Amiri" w:eastAsia="Amiri" w:cs="Amiri"/>
          <w:color w:val="111111"/>
          <w:sz w:val="28"/>
          <w:sz w:val="28"/>
          <w:szCs w:val="28"/>
          <w:rtl w:val="true"/>
          <w:lang w:bidi="ar-SA"/>
        </w:rPr>
        <w:t>كذلك الساق و الاصبع و نحو ذلك، فهي غير اليد التي نعرفها و الساق التي نعرفها و الاصبع التي نعرفها، فيجب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و مجيئه و استواءه غير النزول المعروف في الأجساد، و مجيئها و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اثبت للحق النزول و المجيي‌ء و الاستواء الجسماني فقد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آمن اهل الحق بالنزول و المجيي‌ء الالهي المنزه عن صفات الأجسام و سمات الحدوث، و كفروا بالنزول و المجيي‌ء الجسماني بالانتقال من مكان إلي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بالاستواء الالهي علي العرش وكفروا بالاستواء المعروف من الاجسام؛ لانّ الاستواء المعروف من الأجسام مكيف، اما الاستواء الالهي فانّه غير مكيّف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الطريقة السلفية الصحيحة التي كان عليها خير الأمة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استتر بالانتساب إلي السلف، و هو يثبت الجسمية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 افتراء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يتشكك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لانقول جسماً أو ليس بجسم فهو مشبه للحق تبارك و تعالي بتجويز الجسمية عليه، و هذا نفاق ظاهر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كسى كه خالق را به صفت مخلوق توصيف كند او مشرك است؛ يعنى كسى كه معتقد شود خداوند تبارك و تعالى جسدى</w:t>
      </w:r>
    </w:p>
    <w:p>
      <w:pPr>
        <w:pStyle w:val="BookText"/>
        <w:rPr/>
      </w:pPr>
      <w:r>
        <w:rPr>
          <w:rFonts w:ascii="Amiri" w:hAnsi="Amiri" w:eastAsia="Amiri" w:cs="Amiri"/>
          <w:color w:val="111111"/>
          <w:sz w:val="28"/>
          <w:sz w:val="28"/>
          <w:szCs w:val="28"/>
          <w:rtl w:val="true"/>
          <w:lang w:bidi="ar-SA"/>
        </w:rPr>
        <w:t>داراى طول و عرض و ارتفاع است، يا به او نسبت اتحاد با خلق يا حلول در خلق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كسانى كه فهم عميق ندارند گمان مى‌كنند هر موجودى جسم است؛ از جماد، يا هوا يا نور يا غير اينها، و اينها خيالات باطلى است كه دليل آنها را 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عقول و دليل آن را تقرير مى‌كند و رسولان تحقيق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حق عزّوجلّ منزه از مشابهت با موجودات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نيست بين كسى كه جسمى را خيال كرده و آن را عبادت مى‌كند، و بين كسى كه بتى از سنگ يا چوب يا معدن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خلافى بين اهل حق نيست در اينكه شخصى كه خدا را جسم فرض كرده جاهل به پروردگارش بوده و به او كافر است، و آنچه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شأنش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از آمدن، و فرود آمدن، و قرار گرفتن، بديهى است كه مقصود فرود آمدن به جسم، و آمدن و قرار گرفتن به جسم نيست، بلكه امورى است كه لايق به خداى منزه از شباهت و مثال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كه خلافى بين اهل سنت نيست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بالاى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دست معلوم است، و همچنين ساق و انگشت و امثال آن، پس آن غير از دستى است كه مى‌شناسيم و ساقى كه مى‌شناسيم و انگشتى كه مى‌شناسيم، پس واجب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آمدن و قرار گرفتن غير از نزول و آمدن و قرار گرفتن با جسدهاست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كه براى حق فرود آمدن، و آمدن و قرار گرفتن</w:t>
      </w:r>
      <w:bookmarkStart w:id="153" w:name="pg1739_10483"/>
    </w:p>
    <w:p>
      <w:pPr>
        <w:pStyle w:val="BookText"/>
        <w:rPr/>
      </w:pPr>
      <w:bookmarkEnd w:id="153"/>
      <w:r>
        <w:rPr>
          <w:rFonts w:ascii="IRNazanin" w:hAnsi="IRNazanin" w:eastAsia="IRNazanin"/>
          <w:color w:val="111111"/>
          <w:sz w:val="28"/>
          <w:sz w:val="28"/>
          <w:szCs w:val="28"/>
          <w:rtl w:val="true"/>
          <w:lang w:bidi="fa-IR"/>
        </w:rPr>
        <w:t>جسمانى ثابت كند به طور حتم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حق به نزول و آمدن الهى ايمان آورده‌اند، به نحوى كه منزه از صفات اجسام و نشانه‌هاى حدوث است، و به نزول و آمدن جسمانى كه با انتقال از مكانى به مكان ديگر صورت مى‌گيرد كافر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استواء الهى بر عرش ايمان دارند، ولى به استواء معروف كه با جسم صورت مى‌گيرد كافرند؛ زيرا استواء معروف جسمى كيفيت دارد، اما استواء الهى بدون كيفيت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طريقه صحيح سلف است كه بهترين امت از صحابه و تابعين بر آن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خود را در لاك انتساب به سلف مخفى كرده‌اند و جسميت 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تهمت افترا زنندگان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يا در آن تشكيك مى‌نمايند،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قائل به جسميت مى‌شويم و نه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نيست، آنان حق تبارك و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كرده‌اند در تجويز جسميت بر او، و اين نفاق آشكارى است</w:t>
      </w:r>
      <w:r>
        <w:rPr>
          <w:rFonts w:eastAsia="IRNazanin" w:cs="IRNazanin"/>
          <w:color w:val="111111"/>
          <w:sz w:val="28"/>
          <w:szCs w:val="28"/>
          <w:rtl w:val="true"/>
          <w:lang w:bidi="fa-IR"/>
        </w:rPr>
        <w:t>.</w:t>
      </w:r>
    </w:p>
    <w:p>
      <w:pPr>
        <w:pStyle w:val="Heading4"/>
        <w:numPr>
          <w:ilvl w:val="3"/>
          <w:numId w:val="1"/>
        </w:numPr>
        <w:rPr/>
      </w:pPr>
      <w:bookmarkStart w:id="154" w:name="__RefHeading___Toc1886535_3650668749"/>
      <w:bookmarkStart w:id="155" w:name="_Toc59"/>
      <w:bookmarkEnd w:id="154"/>
      <w:r>
        <w:rPr/>
        <w:t>2</w:t>
      </w:r>
      <w:r>
        <w:rPr>
          <w:rtl w:val="true"/>
        </w:rPr>
        <w:t xml:space="preserve">. </w:t>
      </w:r>
      <w:r>
        <w:rPr>
          <w:rtl w:val="true"/>
        </w:rPr>
        <w:t>ديدگاه بدرالدين بن جماعه درباره تجسيم‌</w:t>
      </w:r>
      <w:bookmarkEnd w:id="155"/>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ذلك فمن جعل الاستواء في حقه مايفهم من صفات المحدثين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بذاته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حقيقة، فقد ابتدع بهذه الزيادة التي لم تثبت في</w:t>
      </w:r>
    </w:p>
    <w:p>
      <w:pPr>
        <w:pStyle w:val="BookText"/>
        <w:rPr/>
      </w:pPr>
      <w:r>
        <w:rPr>
          <w:rFonts w:ascii="Amiri" w:hAnsi="Amiri" w:eastAsia="Amiri" w:cs="Amiri"/>
          <w:color w:val="111111"/>
          <w:sz w:val="28"/>
          <w:sz w:val="28"/>
          <w:szCs w:val="28"/>
          <w:rtl w:val="true"/>
          <w:lang w:bidi="ar-SA"/>
        </w:rPr>
        <w:t xml:space="preserve">السنة ولا عن احد من الأئمة المقتدي بهم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مطلب ثابت شد، پس هركس كه در حق خدا استواء را ثابت كندآن‌گونه كه از صفات موجودات حادث فهميده مى‌شود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ذاتش استقرار يافته،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حقيقى مستقر شده، او بدعت گذاشته با اين زيادتى كه در سنت ثابت نشده و از هيچ يك از امامانى كه به آنها اقتدا شده نرسيده است </w:t>
      </w:r>
      <w:r>
        <w:rPr>
          <w:rFonts w:eastAsia="IRNazanin" w:cs="IRNazanin"/>
          <w:color w:val="111111"/>
          <w:sz w:val="28"/>
          <w:szCs w:val="28"/>
          <w:rtl w:val="true"/>
          <w:lang w:bidi="fa-IR"/>
        </w:rPr>
        <w:t>...</w:t>
      </w:r>
      <w:bookmarkStart w:id="156" w:name="pg1739_10485"/>
    </w:p>
    <w:p>
      <w:pPr>
        <w:pStyle w:val="Heading2"/>
        <w:numPr>
          <w:ilvl w:val="1"/>
          <w:numId w:val="1"/>
        </w:numPr>
        <w:rPr/>
      </w:pPr>
      <w:bookmarkStart w:id="157" w:name="__RefHeading___Toc1886537_3650668749"/>
      <w:bookmarkStart w:id="158" w:name="_Toc60"/>
      <w:bookmarkEnd w:id="156"/>
      <w:bookmarkEnd w:id="157"/>
      <w:r>
        <w:rPr>
          <w:rtl w:val="true"/>
        </w:rPr>
        <w:t>عوامل پيدايش نظريه تجسيم‌</w:t>
      </w:r>
      <w:bookmarkEnd w:id="158"/>
    </w:p>
    <w:p>
      <w:pPr>
        <w:pStyle w:val="Heading3"/>
        <w:numPr>
          <w:ilvl w:val="2"/>
          <w:numId w:val="1"/>
        </w:numPr>
        <w:rPr/>
      </w:pPr>
      <w:bookmarkStart w:id="159" w:name="__RefHeading___Toc1886539_3650668749"/>
      <w:bookmarkStart w:id="160" w:name="_Toc61"/>
      <w:bookmarkEnd w:id="159"/>
      <w:r>
        <w:rPr/>
        <w:t>1</w:t>
      </w:r>
      <w:r>
        <w:rPr>
          <w:rtl w:val="true"/>
        </w:rPr>
        <w:t xml:space="preserve">. </w:t>
      </w:r>
      <w:r>
        <w:rPr>
          <w:rtl w:val="true"/>
        </w:rPr>
        <w:t>ميل عوام به تجسيم‌</w:t>
      </w:r>
      <w:bookmarkEnd w:id="160"/>
    </w:p>
    <w:p>
      <w:pPr>
        <w:pStyle w:val="BookText"/>
        <w:rPr/>
      </w:pPr>
      <w:r>
        <w:rPr>
          <w:rFonts w:ascii="IRNazanin" w:hAnsi="IRNazanin" w:eastAsia="IRNazanin"/>
          <w:color w:val="111111"/>
          <w:sz w:val="28"/>
          <w:sz w:val="28"/>
          <w:szCs w:val="28"/>
          <w:rtl w:val="true"/>
          <w:lang w:bidi="fa-IR"/>
        </w:rPr>
        <w:t>زيرا بشر به جهت آنكه به چشم خود عينك طبيعت ومادّيت را دارد، لذا مى‌كوشد همه چيز را از ديدگاه مادّيت حل كند</w:t>
      </w:r>
      <w:r>
        <w:rPr>
          <w:rFonts w:eastAsia="IRNazanin" w:cs="IRNazanin"/>
          <w:color w:val="111111"/>
          <w:sz w:val="28"/>
          <w:szCs w:val="28"/>
          <w:rtl w:val="true"/>
          <w:lang w:bidi="fa-IR"/>
        </w:rPr>
        <w:t>.</w:t>
      </w:r>
    </w:p>
    <w:p>
      <w:pPr>
        <w:pStyle w:val="Heading3"/>
        <w:numPr>
          <w:ilvl w:val="2"/>
          <w:numId w:val="1"/>
        </w:numPr>
        <w:rPr/>
      </w:pPr>
      <w:bookmarkStart w:id="161" w:name="__RefHeading___Toc1886541_3650668749"/>
      <w:bookmarkStart w:id="162" w:name="_Toc62"/>
      <w:bookmarkEnd w:id="161"/>
      <w:r>
        <w:rPr/>
        <w:t>2</w:t>
      </w:r>
      <w:r>
        <w:rPr>
          <w:rtl w:val="true"/>
        </w:rPr>
        <w:t xml:space="preserve">. </w:t>
      </w:r>
      <w:r>
        <w:rPr>
          <w:rtl w:val="true"/>
        </w:rPr>
        <w:t>خوف از افتادن در تعطيل‌</w:t>
      </w:r>
      <w:bookmarkEnd w:id="162"/>
    </w:p>
    <w:p>
      <w:pPr>
        <w:pStyle w:val="BookText"/>
        <w:rPr/>
      </w:pPr>
      <w:r>
        <w:rPr>
          <w:rFonts w:ascii="IRNazanin" w:hAnsi="IRNazanin" w:eastAsia="IRNazanin"/>
          <w:color w:val="111111"/>
          <w:sz w:val="28"/>
          <w:sz w:val="28"/>
          <w:szCs w:val="28"/>
          <w:rtl w:val="true"/>
          <w:lang w:bidi="fa-IR"/>
        </w:rPr>
        <w:t>لكن اين قول افراطگرى است كه مى‌توان با قول به تنزيه، جلوى آن را سد كرد</w:t>
      </w:r>
      <w:r>
        <w:rPr>
          <w:rFonts w:eastAsia="IRNazanin" w:cs="IRNazanin"/>
          <w:color w:val="111111"/>
          <w:sz w:val="28"/>
          <w:szCs w:val="28"/>
          <w:rtl w:val="true"/>
          <w:lang w:bidi="fa-IR"/>
        </w:rPr>
        <w:t>.</w:t>
      </w:r>
    </w:p>
    <w:p>
      <w:pPr>
        <w:pStyle w:val="Heading3"/>
        <w:numPr>
          <w:ilvl w:val="2"/>
          <w:numId w:val="1"/>
        </w:numPr>
        <w:rPr/>
      </w:pPr>
      <w:bookmarkStart w:id="163" w:name="__RefHeading___Toc1886543_3650668749"/>
      <w:bookmarkStart w:id="164" w:name="_Toc63"/>
      <w:bookmarkEnd w:id="163"/>
      <w:r>
        <w:rPr/>
        <w:t>3</w:t>
      </w:r>
      <w:r>
        <w:rPr>
          <w:rtl w:val="true"/>
        </w:rPr>
        <w:t xml:space="preserve">. </w:t>
      </w:r>
      <w:r>
        <w:rPr>
          <w:rtl w:val="true"/>
        </w:rPr>
        <w:t>تأثّر از فرهنگ يهود</w:t>
      </w:r>
      <w:bookmarkEnd w:id="164"/>
    </w:p>
    <w:p>
      <w:pPr>
        <w:pStyle w:val="BookText"/>
        <w:rPr/>
      </w:pPr>
      <w:r>
        <w:rPr>
          <w:rFonts w:ascii="IRNazanin" w:hAnsi="IRNazanin" w:eastAsia="IRNazanin"/>
          <w:color w:val="111111"/>
          <w:sz w:val="28"/>
          <w:sz w:val="28"/>
          <w:szCs w:val="28"/>
          <w:rtl w:val="true"/>
          <w:lang w:bidi="fa-IR"/>
        </w:rPr>
        <w:t>زيرا در عهد قديم از جسم بودن خداوند بسيار سخن رفته است؛ خصوصاً با در نظر گرفتن اين نكته كه عدّه‌اى از مستبصرين اهل كتاب به دستگاه خلافت نزديك شده واز اين طريق در جامعه اسلامى عقايد خود را منتشر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شهرستانى در كتاب الملل والنحل مى‌نويسد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يهود كه مسلمان شده بودند، احاديث فراوانى را در خصوص تجسيم وتشبيه در عقايد اسلامى وارد كردند كه تمام</w:t>
      </w:r>
    </w:p>
    <w:p>
      <w:pPr>
        <w:pStyle w:val="BookText"/>
        <w:rPr/>
      </w:pPr>
      <w:r>
        <w:rPr>
          <w:rFonts w:ascii="IRNazanin" w:hAnsi="IRNazanin" w:eastAsia="IRNazanin"/>
          <w:color w:val="111111"/>
          <w:sz w:val="28"/>
          <w:sz w:val="28"/>
          <w:szCs w:val="28"/>
          <w:rtl w:val="true"/>
          <w:lang w:bidi="fa-IR"/>
        </w:rPr>
        <w:t>آنها برگرفته از تورات بوده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رضوان العدل شافعى مصرى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ظهر بعد ابن‌تيميه محمّد بن عبدالوهاب في القرن الثاني عشر وتبع ابن تيميه وزاد عليه سخافة وقبحاً، وهو رئيس الطائفة الوهابيّة قبّحهم الله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بعد از ابن تيميه، محمّد بن عبدالوهاب در قرن دوازدهم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 ابن تيميه را دنبال كرد وبر آن حرف‌هاى سخيف وقبيح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طايفه وهابيه است، خداوند آنان را قبيح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التجسيم والتشبيه فقد نشر الوهابيون وروّجوا كتباً كثيرة في موضوع الصفات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احمد بن حنبل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بشر 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علماؤهم في ذلك كتباً كثيرة نقلوا فيها هذه المباحث من كتب ابن تيميه</w:t>
      </w:r>
    </w:p>
    <w:p>
      <w:pPr>
        <w:pStyle w:val="BookText"/>
        <w:rPr/>
      </w:pPr>
      <w:r>
        <w:rPr>
          <w:rFonts w:ascii="Amiri" w:hAnsi="Amiri" w:eastAsia="Amiri" w:cs="Amiri"/>
          <w:color w:val="111111"/>
          <w:sz w:val="28"/>
          <w:sz w:val="28"/>
          <w:szCs w:val="28"/>
          <w:rtl w:val="true"/>
          <w:lang w:bidi="ar-SA"/>
        </w:rPr>
        <w:t xml:space="preserve">وابن القيم وأشباههم </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تجسيم وتشبيه را وهابيان منتشر ساخته وكتاب‌هاى زيادى را در موضوع صفات ترويج ساختند؛ همانند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احمد بن حنبل،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بشر المريسى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وعلماى وهابيان در اين باره كتاب‌هاى بسيارى تأليف نمودند ودر آنها اين مباحث را از كتاب‌هاى ابن تيميه وابن قيم وديگران نقل كردند </w:t>
      </w:r>
      <w:r>
        <w:rPr>
          <w:rFonts w:eastAsia="IRNazanin" w:cs="IRNazanin"/>
          <w:color w:val="111111"/>
          <w:sz w:val="28"/>
          <w:szCs w:val="28"/>
          <w:rtl w:val="true"/>
          <w:lang w:bidi="fa-IR"/>
        </w:rPr>
        <w:t>...</w:t>
      </w:r>
      <w:bookmarkStart w:id="165" w:name="pg1739_10489"/>
    </w:p>
    <w:p>
      <w:pPr>
        <w:pStyle w:val="Heading2"/>
        <w:numPr>
          <w:ilvl w:val="1"/>
          <w:numId w:val="1"/>
        </w:numPr>
        <w:rPr/>
      </w:pPr>
      <w:bookmarkStart w:id="166" w:name="__RefHeading___Toc1886545_3650668749"/>
      <w:bookmarkStart w:id="167" w:name="_Toc64"/>
      <w:bookmarkEnd w:id="165"/>
      <w:bookmarkEnd w:id="166"/>
      <w:r>
        <w:rPr>
          <w:rtl w:val="true"/>
        </w:rPr>
        <w:t>نفوذ اسرائيليات در منابع حديثى‌</w:t>
      </w:r>
      <w:bookmarkEnd w:id="167"/>
    </w:p>
    <w:p>
      <w:pPr>
        <w:pStyle w:val="Heading3"/>
        <w:numPr>
          <w:ilvl w:val="2"/>
          <w:numId w:val="1"/>
        </w:numPr>
        <w:rPr/>
      </w:pPr>
      <w:bookmarkStart w:id="168" w:name="__RefHeading___Toc1886547_3650668749"/>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با مراجعه به تاريخ پى مى‌بريم كه بعد از وفات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كتاب از يهود ونصارا هنگامى كه نتوانستند با اسلام مقابله رودررو داشته باشند، تصميم گرفتند از راه ديگرى بر پيكره اسلام ضربه زده، تعاليم خود را از طريق غير مستقيم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اسلام آوردن خود اين هدف را دنبال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آنها به دستگاه خلافت خلفا نزديك شده وبا ضمانت وحضانت اجرايى كه پيدا نمودند در بين مردم نفوذ كرده وافكار اسرائيلى را به عنوان سنّت نبوى در جامعه پياده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موضوع مهم را مورد بررسى قرار خواهيم داد</w:t>
      </w:r>
      <w:r>
        <w:rPr>
          <w:rFonts w:eastAsia="IRNazanin" w:cs="IRNazanin"/>
          <w:color w:val="111111"/>
          <w:sz w:val="28"/>
          <w:szCs w:val="28"/>
          <w:rtl w:val="true"/>
          <w:lang w:bidi="fa-IR"/>
        </w:rPr>
        <w:t>.</w:t>
      </w:r>
    </w:p>
    <w:p>
      <w:pPr>
        <w:pStyle w:val="Heading3"/>
        <w:numPr>
          <w:ilvl w:val="2"/>
          <w:numId w:val="1"/>
        </w:numPr>
        <w:rPr/>
      </w:pPr>
      <w:bookmarkStart w:id="170" w:name="__RefHeading___Toc1886549_3650668749"/>
      <w:bookmarkStart w:id="171" w:name="_Toc66"/>
      <w:bookmarkEnd w:id="170"/>
      <w:r>
        <w:rPr>
          <w:rtl w:val="true"/>
        </w:rPr>
        <w:t>واژه اسرائيليات‌</w:t>
      </w:r>
      <w:bookmarkEnd w:id="171"/>
    </w:p>
    <w:p>
      <w:pPr>
        <w:pStyle w:val="BookText"/>
        <w:rPr/>
      </w:pPr>
      <w:r>
        <w:rPr>
          <w:rFonts w:ascii="IRNazanin" w:hAnsi="IRNazanin" w:eastAsia="IRNazanin"/>
          <w:color w:val="111111"/>
          <w:sz w:val="28"/>
          <w:sz w:val="28"/>
          <w:szCs w:val="28"/>
          <w:rtl w:val="true"/>
          <w:lang w:bidi="fa-IR"/>
        </w:rPr>
        <w:t>واژه اسرائيليات، جمع اسرائيليه است، وبه داستان يا حادثه‌اى كه از منبع اسرائيلى روايت مى‌شود،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ذهبى مى‌نويسد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رنگ يهودى</w:t>
      </w:r>
      <w:bookmarkStart w:id="172" w:name="pg1739_10490"/>
    </w:p>
    <w:p>
      <w:pPr>
        <w:pStyle w:val="BookText"/>
        <w:rPr/>
      </w:pPr>
      <w:bookmarkEnd w:id="172"/>
      <w:r>
        <w:rPr>
          <w:rFonts w:ascii="IRNazanin" w:hAnsi="IRNazanin" w:eastAsia="IRNazanin"/>
          <w:color w:val="111111"/>
          <w:sz w:val="28"/>
          <w:sz w:val="28"/>
          <w:szCs w:val="28"/>
          <w:rtl w:val="true"/>
          <w:lang w:bidi="fa-IR"/>
        </w:rPr>
        <w:t>دارد وآنچه را كه از طريق فرهنگ يهودى وارد حوزه اسلامى مى‌شود در برمى‌گيرد، ولى مراد آن معنايى گسترده‌تر وفراگيرتر است وآنچه را كه صبغه يهودى و مسيحى دارد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بر هر دو فرهنگ يهودى ومسيحى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يهود در اين خصوص از شهرت بيشترى برخوردار است؛ آنان از آغاز ظهور اسلام تا دوران گسترش آن به بلاد عالم، بيشتر از ديگران با مسلمانان مراودت وآميزش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فلوتن، خاورشناس هلندى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 اسلامى،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تمامى عقايد غير اسلامى؛ به ويژه آن دسته از عقايد وافسانه‌هايى كه يهود ونصارا از قرن اول هجرى وارد دين اسلام كرده‌اند، اطلاق نموده‌اند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73" w:name="__RefHeading___Toc1886551_3650668749"/>
      <w:bookmarkStart w:id="174" w:name="_Toc67"/>
      <w:bookmarkEnd w:id="173"/>
      <w:r>
        <w:rPr>
          <w:rtl w:val="true"/>
        </w:rPr>
        <w:t>معرفى يهوديان توسط قرآن‌</w:t>
      </w:r>
      <w:bookmarkEnd w:id="174"/>
    </w:p>
    <w:p>
      <w:pPr>
        <w:pStyle w:val="Heading4"/>
        <w:numPr>
          <w:ilvl w:val="3"/>
          <w:numId w:val="1"/>
        </w:numPr>
        <w:rPr/>
      </w:pPr>
      <w:bookmarkStart w:id="175" w:name="__RefHeading___Toc1886553_3650668749"/>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قرآن كريم درصدد بر ملا ساختن چهره واقعى يهود برآمده واز نيات باطنى آنان خبر داده است، تا كسى به آنان ميل پيدا نكرده ومنحرف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دورى از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نيات شوم يهود اشاره مى‌كنيم</w:t>
      </w:r>
      <w:r>
        <w:rPr>
          <w:rFonts w:eastAsia="IRNazanin" w:cs="IRNazanin"/>
          <w:color w:val="111111"/>
          <w:sz w:val="28"/>
          <w:szCs w:val="28"/>
          <w:rtl w:val="true"/>
          <w:lang w:bidi="fa-IR"/>
        </w:rPr>
        <w:t>:</w:t>
      </w:r>
    </w:p>
    <w:p>
      <w:pPr>
        <w:pStyle w:val="Heading4"/>
        <w:numPr>
          <w:ilvl w:val="3"/>
          <w:numId w:val="1"/>
        </w:numPr>
        <w:rPr/>
      </w:pPr>
      <w:bookmarkStart w:id="177" w:name="__RefHeading___Toc1886555_3650668749"/>
      <w:bookmarkStart w:id="178" w:name="_Toc69"/>
      <w:bookmarkEnd w:id="177"/>
      <w:r>
        <w:rPr/>
        <w:t>1</w:t>
      </w:r>
      <w:r>
        <w:rPr>
          <w:rtl w:val="true"/>
        </w:rPr>
        <w:t xml:space="preserve">. </w:t>
      </w:r>
      <w:r>
        <w:rPr>
          <w:rtl w:val="true"/>
        </w:rPr>
        <w:t>تلاش يهود براى تحريف كلام الهى‌</w:t>
      </w:r>
      <w:bookmarkEnd w:id="1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bookmarkStart w:id="179" w:name="pg1739_10491"/>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انتظار داريد به شما ايمان بياورند با اينكه گروهى از آنان سخنان خدا را مى‌شنيدند وپس از فهميدن، آن را تحريف مى‌كردند در حالى كه علم وآگاهى نيز داشتند</w:t>
      </w:r>
      <w:r>
        <w:rPr>
          <w:rFonts w:eastAsia="IRNazanin" w:cs="IRNazanin"/>
          <w:color w:val="111111"/>
          <w:sz w:val="28"/>
          <w:szCs w:val="28"/>
          <w:rtl w:val="true"/>
          <w:lang w:bidi="fa-IR"/>
        </w:rPr>
        <w:t>!</w:t>
      </w:r>
    </w:p>
    <w:p>
      <w:pPr>
        <w:pStyle w:val="Heading4"/>
        <w:numPr>
          <w:ilvl w:val="3"/>
          <w:numId w:val="1"/>
        </w:numPr>
        <w:rPr/>
      </w:pPr>
      <w:bookmarkStart w:id="180" w:name="__RefHeading___Toc1886557_3650668749"/>
      <w:bookmarkStart w:id="181" w:name="_Toc70"/>
      <w:bookmarkEnd w:id="180"/>
      <w:r>
        <w:rPr/>
        <w:t>2</w:t>
      </w:r>
      <w:r>
        <w:rPr>
          <w:rtl w:val="true"/>
        </w:rPr>
        <w:t xml:space="preserve">. </w:t>
      </w:r>
      <w:r>
        <w:rPr>
          <w:rtl w:val="true"/>
        </w:rPr>
        <w:t>كينه‌توزى ودشمنى يهود</w:t>
      </w:r>
      <w:bookmarkEnd w:id="181"/>
    </w:p>
    <w:p>
      <w:pPr>
        <w:pStyle w:val="BookText"/>
        <w:rPr/>
      </w:pPr>
      <w:r>
        <w:rPr>
          <w:rFonts w:ascii="IRNazanin" w:hAnsi="IRNazanin" w:eastAsia="IRNazanin"/>
          <w:color w:val="111111"/>
          <w:sz w:val="28"/>
          <w:sz w:val="28"/>
          <w:szCs w:val="28"/>
          <w:rtl w:val="true"/>
          <w:lang w:bidi="fa-IR"/>
        </w:rPr>
        <w:t>قرآن كريم قوم يهود را سرسخت‌ترين دشمن مسلمانان معرّفى كرده، اهل ايمان را نسبت به نيرنگ‌ها ونقشه‌هاى شوم آنان هشدار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دشمن‌ترين مردم نسبت به مؤمنان را يهود ومشركان خواهى يافت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آنان قبل از ظهور اسلام در مدينه از موقعيت اجتماعى واقتصادى قابل توجّهى برخوردار بودند وپس از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احساس خطر جدّى كردند ودر حقيقت موقعيت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درصدد حيله‌گرى وتوطئه عليه مسلمانان</w:t>
      </w:r>
      <w:bookmarkStart w:id="182" w:name="pg1739_10492"/>
    </w:p>
    <w:p>
      <w:pPr>
        <w:pStyle w:val="BookText"/>
        <w:rPr/>
      </w:pPr>
      <w:bookmarkEnd w:id="182"/>
      <w:r>
        <w:rPr>
          <w:rFonts w:ascii="Amiri" w:hAnsi="Amiri" w:eastAsia="Amiri" w:cs="Amiri"/>
          <w:color w:val="111111"/>
          <w:sz w:val="28"/>
          <w:sz w:val="28"/>
          <w:szCs w:val="28"/>
          <w:rtl w:val="true"/>
          <w:lang w:bidi="ar-SA"/>
        </w:rPr>
        <w:t>برآمدند ودر اين امر با مشركان دست دوستى وهمراهى دادند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محمود ابوريه يكى از علل اصلى اسرائيليات را مكر وحيله دانشمندان يهود ونصارا وتظاهر آنان به اسلام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كه سرسخت‌ترين دشمن مسلمانان بودند، براى رسيدن به مقاصد خود به نيرنگ وفريب متوسّل شده، در ظاهر به آيين اسلام روى آوردند ومقاصد ونيات خود را در وراى آيين خود پنهان داشتند تا از اين طريق نيرنگ خود را بر ضدّ مسلمانان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زيرك‌ترين وحيله‌گرترين آنها كعب‌الاحبار، وهب بن منبه وعبدالله بن سلام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و دسّ در روايات نبوى پرداختند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83" w:name="__RefHeading___Toc1886559_3650668749"/>
      <w:bookmarkStart w:id="184" w:name="_Toc71"/>
      <w:bookmarkEnd w:id="183"/>
      <w:r>
        <w:rPr/>
        <w:t>3</w:t>
      </w:r>
      <w:r>
        <w:rPr>
          <w:rtl w:val="true"/>
        </w:rPr>
        <w:t xml:space="preserve">. </w:t>
      </w:r>
      <w:r>
        <w:rPr>
          <w:rtl w:val="true"/>
        </w:rPr>
        <w:t>ارتداد مسلمانان، خواست يهود</w:t>
      </w:r>
      <w:bookmarkEnd w:id="184"/>
    </w:p>
    <w:p>
      <w:pPr>
        <w:pStyle w:val="BookText"/>
        <w:rPr/>
      </w:pP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اهل كتاب از روى حسد آرزو مى‌كردند كه شما را پس از ايمان آوردن به حال كفر بازگردانند، با اينكه حق براى آنان كاملًا روشن شده بود</w:t>
      </w:r>
      <w:r>
        <w:rPr>
          <w:rFonts w:eastAsia="IRNazanin" w:cs="IRNazanin"/>
          <w:color w:val="111111"/>
          <w:sz w:val="28"/>
          <w:szCs w:val="28"/>
          <w:rtl w:val="true"/>
          <w:lang w:bidi="fa-IR"/>
        </w:rPr>
        <w:t>.</w:t>
      </w:r>
      <w:bookmarkStart w:id="185" w:name="pg1739_10493"/>
    </w:p>
    <w:p>
      <w:pPr>
        <w:pStyle w:val="Heading4"/>
        <w:numPr>
          <w:ilvl w:val="3"/>
          <w:numId w:val="1"/>
        </w:numPr>
        <w:rPr/>
      </w:pPr>
      <w:bookmarkStart w:id="186" w:name="__RefHeading___Toc1886561_3650668749"/>
      <w:bookmarkStart w:id="187" w:name="_Toc72"/>
      <w:bookmarkEnd w:id="185"/>
      <w:bookmarkEnd w:id="186"/>
      <w:r>
        <w:rPr/>
        <w:t>4</w:t>
      </w:r>
      <w:r>
        <w:rPr>
          <w:rtl w:val="true"/>
        </w:rPr>
        <w:t xml:space="preserve">. </w:t>
      </w:r>
      <w:r>
        <w:rPr>
          <w:rtl w:val="true"/>
        </w:rPr>
        <w:t>دور شدن از اهل كتاب‌</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كسانى را ديدى كه آيات ما را به استهزا مى‌گيرند، از آنان روى برگردان تا به سخن ديگرى بپردازند</w:t>
      </w:r>
      <w:r>
        <w:rPr>
          <w:rFonts w:eastAsia="IRNazanin" w:cs="IRNazanin"/>
          <w:color w:val="111111"/>
          <w:sz w:val="28"/>
          <w:szCs w:val="28"/>
          <w:rtl w:val="true"/>
          <w:lang w:bidi="fa-IR"/>
        </w:rPr>
        <w:t>.</w:t>
      </w:r>
    </w:p>
    <w:p>
      <w:pPr>
        <w:pStyle w:val="Heading4"/>
        <w:numPr>
          <w:ilvl w:val="3"/>
          <w:numId w:val="1"/>
        </w:numPr>
        <w:rPr/>
      </w:pPr>
      <w:bookmarkStart w:id="188" w:name="__RefHeading___Toc1886563_3650668749"/>
      <w:bookmarkStart w:id="189" w:name="_Toc73"/>
      <w:bookmarkEnd w:id="188"/>
      <w:r>
        <w:rPr/>
        <w:t>5</w:t>
      </w:r>
      <w:r>
        <w:rPr>
          <w:rtl w:val="true"/>
        </w:rPr>
        <w:t xml:space="preserve">. </w:t>
      </w:r>
      <w:r>
        <w:rPr>
          <w:rtl w:val="true"/>
        </w:rPr>
        <w:t>از اهل كتاب نپرسيد</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رَبِّي أَعْلَمُ بِعِدَّتِهِمْ ما يَعْلَمُهُمْ إِلَّا قَلِيلٌ فَلا تُمارِ فِيهِمْ إِلَّا مِراءً ظاهِراً وَ لا تَسْتَفْتِ فِيهِمْ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تعدادشان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گروهى اندك، تعداد آنان را نمى‌دانند، پس در مورد آنان جز با دليل سخن مگو واز هيچ كس از آنان درباره اينان سؤال مكن</w:t>
      </w:r>
      <w:r>
        <w:rPr>
          <w:rFonts w:eastAsia="IRNazanin" w:cs="IRNazanin"/>
          <w:color w:val="111111"/>
          <w:sz w:val="28"/>
          <w:szCs w:val="28"/>
          <w:rtl w:val="true"/>
          <w:lang w:bidi="fa-IR"/>
        </w:rPr>
        <w:t>.</w:t>
      </w:r>
    </w:p>
    <w:p>
      <w:pPr>
        <w:pStyle w:val="Heading4"/>
        <w:numPr>
          <w:ilvl w:val="3"/>
          <w:numId w:val="1"/>
        </w:numPr>
        <w:rPr/>
      </w:pPr>
      <w:bookmarkStart w:id="190" w:name="__RefHeading___Toc1886565_3650668749"/>
      <w:bookmarkStart w:id="191" w:name="_Toc74"/>
      <w:bookmarkEnd w:id="190"/>
      <w:r>
        <w:rPr/>
        <w:t>6</w:t>
      </w:r>
      <w:r>
        <w:rPr>
          <w:rtl w:val="true"/>
        </w:rPr>
        <w:t xml:space="preserve">. </w:t>
      </w:r>
      <w:r>
        <w:rPr>
          <w:rtl w:val="true"/>
        </w:rPr>
        <w:t>با وجود قرآن نيازى به غير نيست‌</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همين اندازه براى آنان كافى نيست كه ما اين كتاب آسمانى را براى تو نازل كرديم كه پيوسته بر آنان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آن، رحمتى بزرگ ونيز پند وعبرت براى اهل ايمان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886567_3650668749"/>
      <w:bookmarkStart w:id="193" w:name="_Toc75"/>
      <w:bookmarkEnd w:id="192"/>
      <w:r>
        <w:rPr>
          <w:rtl w:val="true"/>
        </w:rPr>
        <w:t>نهى از فراگيرى از يهود</w:t>
      </w:r>
      <w:bookmarkEnd w:id="193"/>
    </w:p>
    <w:p>
      <w:pPr>
        <w:pStyle w:val="BookText"/>
        <w:rPr/>
      </w:pPr>
      <w:r>
        <w:rPr>
          <w:rFonts w:ascii="IRNazanin" w:hAnsi="IRNazanin" w:eastAsia="IRNazanin"/>
          <w:color w:val="111111"/>
          <w:sz w:val="28"/>
          <w:sz w:val="28"/>
          <w:szCs w:val="28"/>
          <w:rtl w:val="true"/>
          <w:lang w:bidi="fa-IR"/>
        </w:rPr>
        <w:t xml:space="preserve">با مراجعه به روايات پى مى‌بريم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دور كردن اصحاب خود از فراگيرى از اهل كتاب وسؤال كردن از آنان در امور 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كتب اهل كتاب نهى نموده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نيز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كتاب در مورد هيچ مطلبى سؤال نكنيد؛ زيرا آنان شما را هرگز هدايت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را گمراه نمودند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عمر بن خطّاب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فراگيرى تورات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 نگير بلكه آنچه را كه بر شما نازل شده وبه آن ايمان آورده‌ايد را ياد بگيريد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تورات را به لغت عبرانى مى‌خوانده وآن را به عربى براى اهل اسلام تفسير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را نه تصديق و نه تكذيب كنيد، بلكه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إِلَيْنا وَ ما أُنْزِلَ إِلَيْكُمْ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وآنچه بر ما وشما</w:t>
      </w:r>
      <w:bookmarkStart w:id="194" w:name="pg1739_10495"/>
    </w:p>
    <w:p>
      <w:pPr>
        <w:pStyle w:val="BookText"/>
        <w:rPr/>
      </w:pPr>
      <w:bookmarkEnd w:id="194"/>
      <w:r>
        <w:rPr>
          <w:rFonts w:ascii="Amiri" w:hAnsi="Amiri" w:eastAsia="Amiri" w:cs="Amiri"/>
          <w:color w:val="111111"/>
          <w:sz w:val="28"/>
          <w:sz w:val="28"/>
          <w:szCs w:val="28"/>
          <w:rtl w:val="true"/>
          <w:lang w:bidi="ar-SA"/>
        </w:rPr>
        <w:t>نازل شده ايمان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جهت است كه بخارى در صحيح خود 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تسألوا اهل الكتاب عن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چيزى را سؤال نكنيد، باز نموده است</w:t>
      </w:r>
      <w:r>
        <w:rPr>
          <w:rFonts w:eastAsia="IRNazanin" w:cs="IRNazanin"/>
          <w:color w:val="111111"/>
          <w:sz w:val="28"/>
          <w:szCs w:val="28"/>
          <w:rtl w:val="true"/>
          <w:lang w:bidi="fa-IR"/>
        </w:rPr>
        <w:t>.</w:t>
      </w:r>
    </w:p>
    <w:p>
      <w:pPr>
        <w:pStyle w:val="Heading3"/>
        <w:numPr>
          <w:ilvl w:val="2"/>
          <w:numId w:val="1"/>
        </w:numPr>
        <w:rPr/>
      </w:pPr>
      <w:bookmarkStart w:id="195" w:name="__RefHeading___Toc1886569_3650668749"/>
      <w:bookmarkStart w:id="196" w:name="_Toc76"/>
      <w:bookmarkEnd w:id="195"/>
      <w:r>
        <w:rPr>
          <w:rtl w:val="true"/>
        </w:rPr>
        <w:t>ممنوعيت نگارش حديث‌</w:t>
      </w:r>
      <w:bookmarkEnd w:id="196"/>
    </w:p>
    <w:p>
      <w:pPr>
        <w:pStyle w:val="BookText"/>
        <w:rPr/>
      </w:pPr>
      <w:r>
        <w:rPr>
          <w:rFonts w:ascii="IRNazanin" w:hAnsi="IRNazanin" w:eastAsia="IRNazanin"/>
          <w:color w:val="111111"/>
          <w:sz w:val="28"/>
          <w:sz w:val="28"/>
          <w:szCs w:val="28"/>
          <w:rtl w:val="true"/>
          <w:lang w:bidi="fa-IR"/>
        </w:rPr>
        <w:t xml:space="preserve">يكى از رخدادهاى تلخ تاريخ صدر اسلام، جريان ممنوعيت نقل ونگارش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خلفا؛ به ويژه خليفه دوم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پيامدهاى اين منع وتأخير در نگارش وتدوين حديث نبوى در سرنوشت تاريخ احاديث اين است كه زيان‌هاى فراوانى متوجّه فرهنگ اسلامى شد كه به هيچ وجه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زيانبار ميدان دادن براى نشر وگسترش اسرائيليات در بين جامعه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عسكرى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از همان زمانى كه مكتب خلفا باب نقل حديث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كرد، باب نقل روايات اسرائيلى را به طور كامل بر روى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امر بدين شكل صورت گرفت كه به افرادى؛ مانند تميم دارى نصرانى وكعب‌الاحبار يهودى اجازه داده شد تا احاديث اسرائيلى را به ميل خود در ميان مسلمانان گسترش دهند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886571_3650668749"/>
      <w:bookmarkStart w:id="198" w:name="_Toc77"/>
      <w:bookmarkEnd w:id="197"/>
      <w:r>
        <w:rPr>
          <w:rtl w:val="true"/>
        </w:rPr>
        <w:t>عنايت خليفه دوم به تعليمات تورات‌</w:t>
      </w:r>
      <w:bookmarkEnd w:id="198"/>
    </w:p>
    <w:p>
      <w:pPr>
        <w:pStyle w:val="BookText"/>
        <w:rPr/>
      </w:pPr>
      <w:r>
        <w:rPr>
          <w:rFonts w:ascii="Amiri" w:hAnsi="Amiri" w:eastAsia="Amiri" w:cs="Amiri"/>
          <w:color w:val="111111"/>
          <w:sz w:val="28"/>
          <w:sz w:val="28"/>
          <w:szCs w:val="28"/>
          <w:rtl w:val="true"/>
          <w:lang w:bidi="ar-SA"/>
        </w:rPr>
        <w:t>از مسلّمات تاريخى اين است كه عمر بن خطّاب عنايت خاصى نسبت به تورات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 وديگران آورده‌اند كه عمر بن خطّاب به كعب الاحبار اجازه داد تا تورات را شبانه روز بخواند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روزى عمر بن خطّاب ترجمه تورات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ومشغول خواندن آن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صورتش در هم گرفته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عوض تورات آياتى پاك ونورانى آورده‌ام،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زنده بود وظيفه داشت تا مرا متابعت كند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عمر بن خطّاب روزى مقدارى از تورات را كه يك يهودى نوشته بود،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آنها را با آب دهان خود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اين چيزها نرويد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وديگران نقل كرده‌اند كه برخى از مشاهير صحابه، به طور مستمرّ از اهل كتاب علوم فرا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وبرخى از آنان؛ همانند عمر بن خطّاب به مدارس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همه صحابه بيشتر نزد آنان رفت وآمد داشت، وبه همين دليل اهل كتاب او را دوست مى‌داشتند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سيوطى نقل مى‌كند كه عمر مرتّب به نزد يهود مى‌آمد واز آنها استماع تورات مى‌نمود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دارمى از جابر نقل كرده كه عمر بن خطّاب با نسخه‌اى از تورات به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نسخه‌اى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شروع به خواندن آن نمود در حالى كه صورت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تغيير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مادرهاى جوان‌مرده به عزايت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چگونه صورت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صورت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از غضب او وغضب رسولش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كسى كه جان محمّد به دست اوست، اگر موسى براى شما آشكار مى‌شد واو را متابعت كرده ومرا رها مى‌ساختيد به طور حتم از راه مستقيم گمراه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 زنده بود ونبوّت مرا درك مى‌كرد به طور حتم مرا متابعت مى‌نمود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كتابى از اهل كتاب را نسخه‌نويسى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دستانم مشاهده نمود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چيست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است كه از اهل كتاب استنساخ نموده‌ام تا به‌توسط آن به‌علم خود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غضبناك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من جوامع كلم وخواتم آن عطا شده است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هيثمى درباره اسلام عمر روايت كرده كه آخرين كسى كه از آنان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چهل نفر بودند به طرف مشركين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 رسول‌خدا آمدم تا با او وداع كنم؛ زيرا قصد رفتن به بيت‌المقدس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مى‌روى؟ آيا براى تجارت به آن ديار سفر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ولى مى‌خواهم در آن‌جا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ركعت نماز به جاى آوردن در اين‌جا از هزار نماز در آن‌جا بهتر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شخصى از عمر بن خطّاب به جهت رفتن به بيت‌المقدس اذن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وخود را آماده كن، هر گاه كه آماده شدى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آماده شد، عمر نزد او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آنجا را براى خود عمره به حساب آور</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عبدالله بن زبير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حديث شده كه عمر بن خطّاب هنگامى كه وارد بيت‌المقدس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Style w:val="FootnoteAnchor"/>
          <w:rtl w:val="true"/>
        </w:rPr>
        <w:footnoteReference w:id="144"/>
      </w:r>
      <w:bookmarkStart w:id="199" w:name="pg1739_10499"/>
    </w:p>
    <w:p>
      <w:pPr>
        <w:pStyle w:val="BookText"/>
        <w:rPr/>
      </w:pPr>
      <w:bookmarkEnd w:id="199"/>
      <w:r>
        <w:rPr>
          <w:rFonts w:ascii="IRNazanin" w:hAnsi="IRNazanin" w:eastAsia="IRNazanin"/>
          <w:color w:val="111111"/>
          <w:sz w:val="28"/>
          <w:sz w:val="28"/>
          <w:szCs w:val="28"/>
          <w:rtl w:val="true"/>
          <w:lang w:bidi="fa-IR"/>
        </w:rPr>
        <w:t>ابى‌مريم عبيد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عمر بن خطّاب وارد محراب داوود شديم، او در آن محراب قرائت خواند وسجده به جاى آورد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مورّخين اهل سنت از ابن شهاب زهرى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ما خبر رسيده كه اهل كتاب اول كسانى هستند كه به عمر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ومسلمانان اين لقب را از آنان اخذ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به ما نرسيده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بر او اطلاق كرده 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در عصر حكومت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نقل حديث براى عمر از كتب قديمش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عمر به سخنان او گوش فرا مى‌داد، ومردم را نيز به استماع علوم او رخصت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آنچه را از صحيح وباطل كه نزد او بود، نقل مى‌كردند، در حالى كه اين امّت هيچ احتياجى، حتّى به يك حرف او نداشتند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00" w:name="__RefHeading___Toc1886573_3650668749"/>
      <w:bookmarkStart w:id="201" w:name="_Toc78"/>
      <w:bookmarkEnd w:id="200"/>
      <w:r>
        <w:rPr>
          <w:rtl w:val="true"/>
        </w:rPr>
        <w:t>تأثير افكار كعب الاحبار</w:t>
      </w:r>
      <w:bookmarkEnd w:id="201"/>
    </w:p>
    <w:p>
      <w:pPr>
        <w:pStyle w:val="BookText"/>
        <w:rPr/>
      </w:pPr>
      <w:r>
        <w:rPr>
          <w:rFonts w:ascii="Amiri" w:hAnsi="Amiri" w:eastAsia="Amiri" w:cs="Amiri"/>
          <w:color w:val="111111"/>
          <w:sz w:val="28"/>
          <w:sz w:val="28"/>
          <w:szCs w:val="28"/>
          <w:rtl w:val="true"/>
          <w:lang w:bidi="ar-SA"/>
        </w:rPr>
        <w:t>ابونعيم نقل مى‌كند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روزى مردى را شلاق مى‌زد در حالى كه كعب نزد او بود، آن مرد در آن هنگام كه تازيانه مى‌خورد،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خنده تو شد؟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جانم به دست او است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تخفيفى از عذاب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عمر بن خطّاب به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مى‌دهم 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خليفه مى‌يابى يا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خليفه‌اى از بهترين خلفا، وزمان تو از بهترين زمان‌ها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عمر به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أَدْخِلْهُمْ جَنَّاتِ عَدْنٍ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قصرهايى در بهشت كه پيامبران و صدّيقان وامامان عدل ساكن مى‌شوند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سيوطى نقل كرده كه كعب الاحبار روزى بر عمر بن خطّاب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نقل كن كه تا چه حدّى شفاعت محمّد در قيامت امتداد مى‌يابد؟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آن خبر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چنان شفاعت مى‌كند تا اينكه شفاعت او به كسانى مى‌رسد كه هرگز نماز به جاى نياورده وهرگز مسكينى را</w:t>
      </w:r>
    </w:p>
    <w:p>
      <w:pPr>
        <w:pStyle w:val="BookText"/>
        <w:rPr/>
      </w:pPr>
      <w:r>
        <w:rPr>
          <w:rFonts w:ascii="IRNazanin" w:hAnsi="IRNazanin" w:eastAsia="IRNazanin"/>
          <w:color w:val="111111"/>
          <w:sz w:val="28"/>
          <w:sz w:val="28"/>
          <w:szCs w:val="28"/>
          <w:rtl w:val="true"/>
          <w:lang w:bidi="fa-IR"/>
        </w:rPr>
        <w:t xml:space="preserve">طعام نداده وهرگز به معاد ايمان نياورده‌اند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اين در حالى است كه ما مى‌دانيم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كفّار وملحدين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روايت كرده، اولين كسى كه از كعب الاحبار طلب كرد تا در مدينه منوّره ساكن گردد، خليفه دوم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در مدينه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از اهل مجلس او قرار داد واو را به عنوان عالم معرّفى كرد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ابى الحديد نقل مى‌كند كه كعب به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صلاحيت خلافت را ندارد جز آنكه اجتهاد به رأى داشته 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احمد امين مصرى نقل كرده كه در سفر عمر به شام، كعب الاحبار وتميم دارى وعبدالله بن سلام او را همراهى مى‌كردند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احمد بن حنبل در مسندش از عبيد بن آدم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شنيدم كه به كعب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تو در كجا نماز گزارم؟ 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رأى مرا مى‌خواهى پشت صخره نماز؛ زيرا در آن صورت تمام قدس پشت سر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من مانند يهودى‌ها خواهم بود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كعب الاحبار نقل مى‌كند كه كعبه هر صبح</w:t>
      </w:r>
    </w:p>
    <w:p>
      <w:pPr>
        <w:pStyle w:val="BookText"/>
        <w:rPr/>
      </w:pPr>
      <w:r>
        <w:rPr>
          <w:rFonts w:ascii="IRNazanin" w:hAnsi="IRNazanin" w:eastAsia="IRNazanin"/>
          <w:color w:val="111111"/>
          <w:sz w:val="28"/>
          <w:sz w:val="28"/>
          <w:szCs w:val="28"/>
          <w:rtl w:val="true"/>
          <w:lang w:bidi="fa-IR"/>
        </w:rPr>
        <w:t>هنگام، براى بيت‌المقدس سجده مى‌كند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ابن ابى الحديد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عمر با كعب در امر خلافت مشورت نمود، اسامى افرادى را به عنوان كانديد خلافت طرح كرد، به اسم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كعب به شدّت وقوّت با خلافت وامامت وبهره داشتن او در امر آن مخالفت ورزيد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ابونعيم اصفهانى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خليفه دوم در بسيارى از موارد از كعب‌الاحبار درخواست مى‌كرد تا او را موعظه كند، بشارت دهد ومعانى آيات قرآنى را براى او تشريح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تعابيرى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كن 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بترسان 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بده ما را، خطاب به كعب در كلمات عمر ديده مى‌شود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روايات بسيارى از كعب در توجيه عملكردها وتأييد انديشه‌هاى عمر ونيز درباره پيشگويى تورات در مورد برخى از صفات، خلقيات وفضايل وحتى زمان كشته‌شدن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در ملاقاتى كه با عمر داشت به وى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كسى كه جانم به دست او است ما نام تو را در كتاب تورات مى‌يابيم، كه تو بر درى از درهاى جهنم قرار گرفته، مردم را از وارد شدن به آن باز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از دنيا</w:t>
      </w:r>
      <w:r>
        <w:rPr>
          <w:rFonts w:eastAsia="IRNazanin" w:cs="IRNazanin"/>
          <w:color w:val="111111"/>
          <w:sz w:val="28"/>
          <w:szCs w:val="28"/>
          <w:rtl w:val="true"/>
          <w:lang w:bidi="fa-IR"/>
        </w:rPr>
        <w:t>.</w:t>
      </w:r>
      <w:bookmarkStart w:id="202" w:name="pg1739_10503"/>
    </w:p>
    <w:p>
      <w:pPr>
        <w:pStyle w:val="BookText"/>
        <w:rPr/>
      </w:pPr>
      <w:bookmarkEnd w:id="202"/>
      <w:r>
        <w:rPr>
          <w:rFonts w:ascii="Amiri" w:hAnsi="Amiri" w:eastAsia="Amiri" w:cs="Amiri"/>
          <w:color w:val="111111"/>
          <w:sz w:val="28"/>
          <w:sz w:val="28"/>
          <w:szCs w:val="28"/>
          <w:rtl w:val="true"/>
          <w:lang w:bidi="ar-SA"/>
        </w:rPr>
        <w:t>بروى تا روز قيامت همواره مردم به دوزخ وارد خواهند شد</w:t>
      </w:r>
      <w:r>
        <w:rPr>
          <w:rStyle w:val="FootnoteAnchor"/>
          <w:rtl w:val="true"/>
        </w:rPr>
        <w:footnoteReference w:id="161"/>
      </w:r>
    </w:p>
    <w:p>
      <w:pPr>
        <w:pStyle w:val="Heading3"/>
        <w:numPr>
          <w:ilvl w:val="2"/>
          <w:numId w:val="1"/>
        </w:numPr>
        <w:rPr/>
      </w:pPr>
      <w:bookmarkStart w:id="203" w:name="__RefHeading___Toc1886575_3650668749"/>
      <w:bookmarkStart w:id="204" w:name="_Toc79"/>
      <w:bookmarkEnd w:id="203"/>
      <w:r>
        <w:rPr>
          <w:rtl w:val="true"/>
        </w:rPr>
        <w:t>تأثيرپذيرى مسلمين از كعب الاحبار</w:t>
      </w:r>
      <w:bookmarkEnd w:id="204"/>
    </w:p>
    <w:p>
      <w:pPr>
        <w:pStyle w:val="BookText"/>
        <w:rPr/>
      </w:pPr>
      <w:r>
        <w:rPr>
          <w:rFonts w:ascii="Amiri" w:hAnsi="Amiri" w:eastAsia="Amiri" w:cs="Amiri"/>
          <w:color w:val="111111"/>
          <w:sz w:val="28"/>
          <w:sz w:val="28"/>
          <w:szCs w:val="28"/>
          <w:rtl w:val="true"/>
          <w:lang w:bidi="ar-SA"/>
        </w:rPr>
        <w:t>ذهبى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به طور مستمرّ از كعب الاحبار مطالبى را كه از كتب اسرائيلى نقل مى‌كرد، اخذ مى‌نمودند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كتّانى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بسيارى از بزرگان صحابه از كعب الاحبار معروف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علماى اهل سنت اسامى كسانى كه از علماى يهود ونصارا روايت نقل كرده‌اند را ذكر نموده‌اند؛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ابوبرده ابوموسى اشعرى، ابوهريره، عمر بن خطّاب، عبدالله بن عمر، عبدالله بن زبير، عبدالله بن عمرو بن عاص، عطاء بن يسار، عوف بن مالك، سعيد بن مسيب، زرارة بن اوفى، روح بن نباغ، عطاء بن يزيد، شهر بن هوشب، عبدالله بن وهب، عبدالله بن مغفّل، عبدالله بن حرث، انس، عبدالله بن حنظله، ابى‌درداء، مقاتل بن سليمان و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بشير بن سعد مى‌گويد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بترسيد واز حديث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مجالست با ابوهريره، مشاهده كرديم كه او از رسول خدا</w:t>
      </w:r>
    </w:p>
    <w:p>
      <w:pPr>
        <w:pStyle w:val="BookText"/>
        <w:rPr/>
      </w:pPr>
      <w:r>
        <w:rPr>
          <w:rFonts w:ascii="IRNazanin" w:hAnsi="IRNazanin" w:eastAsia="IRNazanin"/>
          <w:color w:val="111111"/>
          <w:sz w:val="28"/>
          <w:sz w:val="28"/>
          <w:szCs w:val="28"/>
          <w:rtl w:val="true"/>
          <w:lang w:bidi="fa-IR"/>
        </w:rPr>
        <w:t>حديث مى‌گفت، ونيز از كعب روايت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برخى كه با ما بودند مى‌شنيدم كه حديث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حديث كعب وحديث كعب را به جاى حديث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شيخ محمود ابوريه مى‌نويسد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قوى‌ترين اين كاهنان از حيث حيله‌گرى ومكر، كعب‌الاحبار ووهب بن منبه وعبدالله بن 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فهميدند حيله‌هاى آنان فاش شده، اسلام را به دروغ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آنها اعتماد نموده وگولشان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درصدد تحريف دين اسلام برآمدند؛ به اين نحو كه در اصول دين اسلام خرافات واوهام را وارد كردند تا سبب ضعف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به جهت حفظ وتدوين قرآن از تحريف آن عاجز ماندند، درصدد برآمدند تا با ورود در حيطه نقل حديث، آنچه مى‌خواهند افترائاتى را به اسم حديث به پيامبر اسلام نسبت داده وآن را در بين مسلمانان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منع تدوين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اين نيت سوء كمك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واسطه آنان بود كه طايفه‌اى از قصه‌هاى تلمود واسرائيليات در حديث اسلامى نفوذ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نگذشت كه اين روايات جزئى از اخبار دينى وتاريخى اسلام گرديد</w:t>
      </w:r>
      <w:r>
        <w:rPr>
          <w:rFonts w:eastAsia="IRNazanin" w:cs="IRNazanin"/>
          <w:color w:val="111111"/>
          <w:sz w:val="28"/>
          <w:szCs w:val="28"/>
          <w:rtl w:val="true"/>
          <w:lang w:bidi="fa-IR"/>
        </w:rPr>
        <w:t xml:space="preserve">. </w:t>
      </w:r>
      <w:r>
        <w:rPr>
          <w:rStyle w:val="FootnoteAnchor"/>
          <w:rtl w:val="true"/>
        </w:rPr>
        <w:footnoteReference w:id="166"/>
      </w:r>
      <w:bookmarkStart w:id="205" w:name="pg1739_10505"/>
    </w:p>
    <w:p>
      <w:pPr>
        <w:pStyle w:val="BookText"/>
        <w:rPr/>
      </w:pPr>
      <w:bookmarkEnd w:id="205"/>
      <w:r>
        <w:rPr>
          <w:rFonts w:ascii="Amiri" w:hAnsi="Amiri" w:eastAsia="Amiri" w:cs="Amiri"/>
          <w:color w:val="111111"/>
          <w:sz w:val="28"/>
          <w:sz w:val="28"/>
          <w:szCs w:val="28"/>
          <w:rtl w:val="true"/>
          <w:lang w:bidi="ar-SA"/>
        </w:rPr>
        <w:t>احمد امين مصرى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صحابه با وهب بن منبه وكعب‌الاحبار وعبدالله بن سلام ارتباط پيدا كرده وتابعين نيز با ابن‌جريح ارتباط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معلوماتى از تورات وانجيل وشروح وحواشى آن داشتند به صحابه وتابعين منتقل كرده وآنان نيز در ضمن آيات قرآن آنها را بازگو كردند، ولذا از اين جهت اين امور منبعى از منابع قرار گرفت واحاديث فراوان يافت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تاريخ آمده است كه صحابه هنگامى كه درباره قرائت يا تفسير آيات قرآنى با يك‌ديگر اختلاف مى‌كردند به كعب الاحبار مراجعه مى‌كردند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اينها همه به دليل توجه عمر بن خطّاب به او وتعليماتش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رجوع به بزرگان صحابه ودر رأس آنان، اهل‌بيت عصمت وطهارت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يهودى‌الاصل ومكّار را مرجع خود مى‌دانستند</w:t>
      </w:r>
      <w:r>
        <w:rPr>
          <w:rFonts w:eastAsia="IRNazanin" w:cs="IRNazanin"/>
          <w:color w:val="111111"/>
          <w:sz w:val="28"/>
          <w:szCs w:val="28"/>
          <w:rtl w:val="true"/>
          <w:lang w:bidi="fa-IR"/>
        </w:rPr>
        <w:t>!!</w:t>
      </w:r>
    </w:p>
    <w:p>
      <w:pPr>
        <w:pStyle w:val="Heading3"/>
        <w:numPr>
          <w:ilvl w:val="2"/>
          <w:numId w:val="1"/>
        </w:numPr>
        <w:rPr/>
      </w:pPr>
      <w:bookmarkStart w:id="206" w:name="__RefHeading___Toc1886577_3650668749"/>
      <w:bookmarkStart w:id="207" w:name="_Toc80"/>
      <w:bookmarkEnd w:id="206"/>
      <w:r>
        <w:rPr>
          <w:rtl w:val="true"/>
        </w:rPr>
        <w:t>كعب الاحبار كيست؟</w:t>
      </w:r>
      <w:bookmarkEnd w:id="207"/>
    </w:p>
    <w:p>
      <w:pPr>
        <w:pStyle w:val="BookText"/>
        <w:rPr/>
      </w:pPr>
      <w:r>
        <w:rPr>
          <w:rFonts w:ascii="IRNazanin" w:hAnsi="IRNazanin" w:eastAsia="IRNazanin"/>
          <w:color w:val="111111"/>
          <w:sz w:val="28"/>
          <w:sz w:val="28"/>
          <w:szCs w:val="28"/>
          <w:rtl w:val="true"/>
          <w:lang w:bidi="fa-IR"/>
        </w:rPr>
        <w:t>ذهبى در شرح حال كعب الاحبار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علامه دانشمند وكسى است كه در اصل يهودى بوده وسپس بعد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ايام عمر از يمن وارد مدينه شد وبا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ودائماً براى آنان از كتب اسرائيليه حديث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ومعاويه وابن‌عباس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از قبيل روايت صحابى از تابعى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از گروهى از تابعين؛ امثال عطاء بن يسار وديگران به طور مرسل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روايتى در سنن ابى‌داوود وترمذى ونسائى آمده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محمّد رشيد رضا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كسانى كه اسرائيليات روايت مى‌كنند وهب بن منبه وكعب‌الاحبار، بدترين افراد ورياكارترين و نيرنگ‌بازترين آنان هستند، به طورى كه هيچ خرافه‌اى نيست كه در كتاب‌هاى تفسيرى وتاريخى پيرامون آفرينش پيامبران الهى واقوام آنان، فتنه‌ها، رستاخيز وعالم آخرت آمده باشد، مگر اينكه از اين دو نفر اثرى در آن وجود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هر بيابانى ردّ پايى از روباهى است وكسى نبايد از فريب برخى از صحابه و تابعين نسبت به اخبار اين دو ويا امثال آنان دچار دهشت وسرگردانى شود؛ زيرا هيچ يك از افراد بشر حتى پيامبران معصوم از تصديق شخص دروغگو ايمن نبوده‌اند</w:t>
      </w:r>
      <w:r>
        <w:rPr>
          <w:rFonts w:eastAsia="IRNazanin" w:cs="IRNazanin"/>
          <w:color w:val="111111"/>
          <w:sz w:val="28"/>
          <w:szCs w:val="28"/>
          <w:rtl w:val="true"/>
          <w:lang w:bidi="fa-IR"/>
        </w:rPr>
        <w:t xml:space="preserve">. </w:t>
      </w:r>
      <w:r>
        <w:rPr>
          <w:rStyle w:val="FootnoteAnchor"/>
          <w:rtl w:val="true"/>
        </w:rPr>
        <w:footnoteReference w:id="170"/>
      </w:r>
      <w:bookmarkStart w:id="208" w:name="pg1739_10507"/>
    </w:p>
    <w:p>
      <w:pPr>
        <w:pStyle w:val="Heading3"/>
        <w:numPr>
          <w:ilvl w:val="2"/>
          <w:numId w:val="1"/>
        </w:numPr>
        <w:rPr/>
      </w:pPr>
      <w:bookmarkStart w:id="209" w:name="__RefHeading___Toc1886579_3650668749"/>
      <w:bookmarkStart w:id="210" w:name="_Toc81"/>
      <w:bookmarkEnd w:id="208"/>
      <w:bookmarkEnd w:id="209"/>
      <w:r>
        <w:rPr>
          <w:rtl w:val="true"/>
        </w:rPr>
        <w:t>نقش كعب الاحبار در عصر عثمان‌</w:t>
      </w:r>
      <w:bookmarkEnd w:id="210"/>
    </w:p>
    <w:p>
      <w:pPr>
        <w:pStyle w:val="BookText"/>
        <w:rPr/>
      </w:pPr>
      <w:r>
        <w:rPr>
          <w:rFonts w:ascii="IRNazanin" w:hAnsi="IRNazanin" w:eastAsia="IRNazanin"/>
          <w:color w:val="111111"/>
          <w:sz w:val="28"/>
          <w:sz w:val="28"/>
          <w:szCs w:val="28"/>
          <w:rtl w:val="true"/>
          <w:lang w:bidi="fa-IR"/>
        </w:rPr>
        <w:t>مسعودى نقل كرده كه ابوذر روزى در مجلس عثمان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زكات مالش را بپردازد آيا در آن حقّى براى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مشت محكمى بر سينه كعب زد،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اى فرزند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خود را به سوى مشرق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گفت‌وگوى شما، درباره قبله وتغيير آن باشد؛ وهمه وقت خود را مصروف آن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به خدا، وروز رستاخيز، وفرشتگان،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وپيامبران، ايمان آورده؛ ومال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همه علاقه‌اى كه به آن دارد، به خويشاوندان</w:t>
      </w:r>
    </w:p>
    <w:p>
      <w:pPr>
        <w:pStyle w:val="BookText"/>
        <w:rPr/>
      </w:pPr>
      <w:r>
        <w:rPr>
          <w:rFonts w:ascii="IRNazanin" w:hAnsi="IRNazanin" w:eastAsia="IRNazanin"/>
          <w:color w:val="111111"/>
          <w:sz w:val="28"/>
          <w:sz w:val="28"/>
          <w:szCs w:val="28"/>
          <w:rtl w:val="true"/>
          <w:lang w:bidi="fa-IR"/>
        </w:rPr>
        <w:t>ويتيمان ومسكينان وواماندگان در راه وسائلان وبردگان، انفاق مى‌كند؛ نماز را برپا مى‌دارد وزكات را مى‌پردازد؛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اشكالى دارد كه مالى را از بيت المال برداريم ودر امور خود مصرف كرده واز آن به شما نيز عطا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عصا بر سينه او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تو جرأت داده كه در دين ما سخن بگويى؟</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مسعودى در جاى ديگر نقل مى‌كند كه در آن روز تركه وارث عبدالرحمان بن عوف زهرى را از اموال نزد او آوردند، آن قدر زياد بود كه بين عثمان وآن شخص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خير در حقّ عبدالرحمان دارم؛ زيرا صدقه مى‌داد ومهمان‌نوازى مى‌كرد ودر آخر نيز اين مقدار ارث را به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كعب‌الاحبار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عصا را كشيد وبر سر او زد وگفت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مرده واين اموال را از خود به جاى گذارده مى‌گويى كه خداوند به او خير دنيا وآخرت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خوشنود نمى‌سازد به اينكه بميرم در حالى كه يك قيراط براى خود به جاى گذارده‌ام</w:t>
      </w:r>
      <w:r>
        <w:rPr>
          <w:rFonts w:eastAsia="IRNazanin" w:cs="IRNazanin"/>
          <w:color w:val="111111"/>
          <w:sz w:val="28"/>
          <w:szCs w:val="28"/>
          <w:rtl w:val="true"/>
          <w:lang w:bidi="fa-IR"/>
        </w:rPr>
        <w:t>.</w:t>
      </w:r>
      <w:bookmarkStart w:id="211" w:name="pg1739_10509"/>
    </w:p>
    <w:p>
      <w:pPr>
        <w:pStyle w:val="BookText"/>
        <w:rPr/>
      </w:pPr>
      <w:bookmarkEnd w:id="211"/>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را از من برگردان</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12" w:name="__RefHeading___Toc1886581_3650668749"/>
      <w:bookmarkStart w:id="213" w:name="_Toc82"/>
      <w:bookmarkEnd w:id="212"/>
      <w:r>
        <w:rPr>
          <w:rtl w:val="true"/>
        </w:rPr>
        <w:t>كعب الاحبار وقول به تجسيم‌</w:t>
      </w:r>
      <w:bookmarkEnd w:id="213"/>
    </w:p>
    <w:p>
      <w:pPr>
        <w:pStyle w:val="BookText"/>
        <w:rPr/>
      </w:pPr>
      <w:r>
        <w:rPr>
          <w:rFonts w:ascii="IRNazanin" w:hAnsi="IRNazanin" w:eastAsia="IRNazanin"/>
          <w:color w:val="111111"/>
          <w:sz w:val="28"/>
          <w:sz w:val="28"/>
          <w:szCs w:val="28"/>
          <w:rtl w:val="true"/>
          <w:lang w:bidi="fa-IR"/>
        </w:rPr>
        <w:t>از جمله ادلّه‌اى كه دلالت بر ورود اعتقاد به تجسيم درباره خداوند متعال به جامعه اسلامى از يهوديت دارد، اين است كه ابن نعيم در كتابش از كعب‌الاحبار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به سوى زمين نظرى افكند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اعضاى خود را بر تو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كوه‌ها به سوى او بلند شده وصخره‌ها براى او خار شد، آن‌گاه قدم خود را بر آن گذاشت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من ومحشر خلق من است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صنعانى در تفسيرش از كعب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دستش جز سه چيز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وتورات را با دستش خلق كرد وبهشت را با دستش غرس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شهرستانى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بسيارى كه اسلام اختيار نموده بودند، احاديث بسيارى را در مسائل تجسيم وتشبيه وضع كردند؛ در حالى كه همه آنها برگرفته از تورات بود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كوثرى از علماى اهل سنت مى‌نويسد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احبار يهود وراهبان نصارا وموبدهاى مجوس در عهد راشدين اظهار اسلام نمودند وبعد از آنان آنچه از خرافات</w:t>
      </w:r>
      <w:bookmarkStart w:id="214" w:name="pg1739_10510"/>
    </w:p>
    <w:p>
      <w:pPr>
        <w:pStyle w:val="BookText"/>
        <w:rPr/>
      </w:pPr>
      <w:bookmarkEnd w:id="214"/>
      <w:r>
        <w:rPr>
          <w:rFonts w:ascii="Amiri" w:hAnsi="Amiri" w:eastAsia="Amiri" w:cs="Amiri"/>
          <w:color w:val="111111"/>
          <w:sz w:val="28"/>
          <w:sz w:val="28"/>
          <w:szCs w:val="28"/>
          <w:rtl w:val="true"/>
          <w:lang w:bidi="ar-SA"/>
        </w:rPr>
        <w:t>بود در جامعه اسلامى منتشر كردند</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3"/>
        <w:numPr>
          <w:ilvl w:val="2"/>
          <w:numId w:val="1"/>
        </w:numPr>
        <w:rPr/>
      </w:pPr>
      <w:bookmarkStart w:id="215" w:name="__RefHeading___Toc1886583_3650668749"/>
      <w:bookmarkStart w:id="216" w:name="_Toc83"/>
      <w:bookmarkEnd w:id="215"/>
      <w:r>
        <w:rPr>
          <w:rtl w:val="true"/>
        </w:rPr>
        <w:t>وهب بن منبه وتميم الدارى‌</w:t>
      </w:r>
      <w:bookmarkEnd w:id="216"/>
    </w:p>
    <w:p>
      <w:pPr>
        <w:pStyle w:val="BookText"/>
        <w:rPr/>
      </w:pPr>
      <w:r>
        <w:rPr>
          <w:rFonts w:ascii="IRNazanin" w:hAnsi="IRNazanin" w:eastAsia="IRNazanin"/>
          <w:color w:val="111111"/>
          <w:sz w:val="28"/>
          <w:sz w:val="28"/>
          <w:szCs w:val="28"/>
          <w:rtl w:val="true"/>
          <w:lang w:bidi="fa-IR"/>
        </w:rPr>
        <w:t>مسلمانان بعد از كعب الاحبار به افراد ديگرى از اهل كتاب؛ همچون وهب بن منبه يهودى وتميم دارى نصرانى مبتلا وگرفتار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بن منبه يمانى در آخر خلافت عثمان متولّد شد وبسيارى از كتاب‌هاى اسرائيليات را در جامعه منتشر كرد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اهل يمن، در سال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 از علم اهل كتاب نزد او بسيار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عنايت بليغ خود را در اين راه صرف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وحديثش در 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برادرش همّام است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تميم الدارى نيز شخصيت سومى است كه موقعيت بسزايى در نشر تراث وفرهنگ اهل كتاب در مصادر اهل سنت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شخصى نصرانى بود، در مدينه سال نهم هجرى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داد كه براى مردم ايستاده قصه بگويد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صحيح خود از ابوهريره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17" w:name="pg1739_10511"/>
    </w:p>
    <w:p>
      <w:pPr>
        <w:pStyle w:val="BookText"/>
        <w:rPr/>
      </w:pPr>
      <w:bookmarkEnd w:id="217"/>
      <w:r>
        <w:rPr>
          <w:rFonts w:ascii="IRNazanin" w:hAnsi="IRNazanin" w:eastAsia="IRNazanin"/>
          <w:color w:val="111111"/>
          <w:sz w:val="28"/>
          <w:sz w:val="28"/>
          <w:szCs w:val="28"/>
          <w:rtl w:val="true"/>
          <w:lang w:bidi="fa-IR"/>
        </w:rPr>
        <w:t>تمام فرزندان آدم را شيطان با دو انگشتش به پهلوى آنان هنگام ولادت خواهد زد به جز عيسى بن مريم، كه خواست چنين كند كه خدا او را در حجاب فرو 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احتمال زياد اين حديث توسط ابوهريره از افرادى؛ امثال تميم الدارى نصرانى نقل شده است؛ زيرا با ظاهر كتاب خدا سازگارى ندارد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بندگانم تسلّط نخواهى يافت، مگر گمراهانى كه از تو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امين مصرى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تميم دارى اجازه داد تا پيش از خطبه‌هاى نماز جمعه به ايراد موعظه وقصه بپردازد وپس از وى عثمان اجازه داد تا او هفته‌اى دوبار به اين كار ادامه دهد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عمر به تميم دارى بسيار احترام مى‌كرد واز او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افراد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 مى‌نمود</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218" w:name="__RefHeading___Toc1886585_3650668749"/>
      <w:bookmarkStart w:id="219" w:name="_Toc84"/>
      <w:bookmarkEnd w:id="218"/>
      <w:r>
        <w:rPr>
          <w:rtl w:val="true"/>
        </w:rPr>
        <w:t>برخى از افكار نفوذى‌</w:t>
      </w:r>
      <w:bookmarkEnd w:id="2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دقيق به كتاب‌هاى سلفيه پى مى‌بريم كه برخى از عقايد وآراى آنان از اهل كتاب به منابع آنان وارد شده است؛ از قبيل</w:t>
      </w:r>
      <w:r>
        <w:rPr>
          <w:rFonts w:eastAsia="IRNazanin" w:cs="IRNazanin"/>
          <w:color w:val="111111"/>
          <w:sz w:val="28"/>
          <w:szCs w:val="28"/>
          <w:rtl w:val="true"/>
          <w:lang w:bidi="fa-IR"/>
        </w:rPr>
        <w:t>:</w:t>
      </w:r>
      <w:bookmarkStart w:id="220" w:name="pg1739_10512"/>
    </w:p>
    <w:p>
      <w:pPr>
        <w:pStyle w:val="BookText"/>
        <w:rPr/>
      </w:pPr>
      <w:bookmarkEnd w:id="2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تشبيه وتجسيم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علي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را بر صورت خود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اين ترجمه عبارتى است كه در تورات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اينكه خداوند داراى حجم بوده وبر عرش بزرگى بالاى آسمان‌ها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جبر</w:t>
      </w:r>
      <w:r>
        <w:rPr>
          <w:rFonts w:eastAsia="IRNazanin" w:cs="IRNazanin"/>
          <w:color w:val="111111"/>
          <w:sz w:val="28"/>
          <w:szCs w:val="28"/>
          <w:rtl w:val="true"/>
          <w:lang w:bidi="fa-IR"/>
        </w:rPr>
        <w:t>.</w:t>
      </w:r>
    </w:p>
    <w:p>
      <w:pPr>
        <w:pStyle w:val="Heading3"/>
        <w:numPr>
          <w:ilvl w:val="2"/>
          <w:numId w:val="1"/>
        </w:numPr>
        <w:rPr/>
      </w:pPr>
      <w:bookmarkStart w:id="221" w:name="__RefHeading___Toc1886587_3650668749"/>
      <w:bookmarkStart w:id="222" w:name="_Toc85"/>
      <w:bookmarkEnd w:id="221"/>
      <w:r>
        <w:rPr>
          <w:rtl w:val="true"/>
        </w:rPr>
        <w:t>مقابله مدرسه اهل بيت‌</w:t>
      </w:r>
      <w:bookmarkEnd w:id="222"/>
    </w:p>
    <w:p>
      <w:pPr>
        <w:pStyle w:val="Heading3"/>
        <w:numPr>
          <w:ilvl w:val="2"/>
          <w:numId w:val="1"/>
        </w:numPr>
        <w:rPr/>
      </w:pPr>
      <w:bookmarkStart w:id="223" w:name="__RefHeading___Toc1886589_3650668749"/>
      <w:bookmarkStart w:id="224" w:name="_Toc86"/>
      <w:bookmarkEnd w:id="223"/>
      <w:r>
        <w:rPr>
          <w:rtl w:val="true"/>
        </w:rPr>
        <w:t>با فرهنگ اهل كتاب‌</w:t>
      </w:r>
      <w:bookmarkEnd w:id="224"/>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اسرائيليات و قول به تجسيم مقابله جدى داشته‌اند كه كتاب توحيد صدوق بهترين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ذكر چند رويت اكتفا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علمايند كه به دنبال احاديث يهود ونصارا بوده تا به واسطه آنان علم وحديث را زياد كنند، آنان در طبقه پنجم از آتش‌اند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گوش فرزندم حسن وحسين را بر خلاف يهود سوراخ كن</w:t>
      </w:r>
      <w:r>
        <w:rPr>
          <w:rFonts w:eastAsia="IRNazanin" w:cs="IRNazanin"/>
          <w:color w:val="111111"/>
          <w:sz w:val="28"/>
          <w:szCs w:val="28"/>
          <w:rtl w:val="true"/>
          <w:lang w:bidi="fa-IR"/>
        </w:rPr>
        <w:t>».</w:t>
      </w:r>
      <w:r>
        <w:rPr>
          <w:rStyle w:val="FootnoteAnchor"/>
          <w:rtl w:val="true"/>
        </w:rPr>
        <w:footnoteReference w:id="18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نمازگزار از قرائت فاتحه فارغ شد، بايد پشت سر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وجايز نيست كه بعد از قرائت فاتحة الكتاب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كلمه را نصارا مى‌گويند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يزيد بن خليفه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حالى كه با لباس بُرطَله دور كعبه نماز مى‌گزاردم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حالى كه با لباس بُرطَله طواف مى‌كردى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دور كعبه نپوش زيرا از زى يهود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بن عبدالله بن على قفارى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السلفية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أفكارها الأساسية وجذورها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دفع شبه من شبّه وتمرد، تقي الدين محصي دمشقي، مكتب الازهرية للتراث</w:t>
      </w:r>
    </w:p>
    <w:p>
      <w:pPr>
        <w:pStyle w:val="BookText"/>
        <w:rPr/>
      </w:pPr>
      <w:r>
        <w:rPr>
          <w:rFonts w:ascii="Amiri" w:hAnsi="Amiri" w:eastAsia="Amiri" w:cs="Amiri"/>
          <w:color w:val="111111"/>
          <w:sz w:val="28"/>
          <w:sz w:val="28"/>
          <w:szCs w:val="28"/>
          <w:rtl w:val="true"/>
          <w:lang w:bidi="ar-SA"/>
        </w:rPr>
        <w:t>تصحيح المفاهيم العقدية،</w:t>
      </w:r>
    </w:p>
    <w:p>
      <w:pPr>
        <w:pStyle w:val="BookText"/>
        <w:rPr/>
      </w:pPr>
      <w:r>
        <w:rPr>
          <w:rFonts w:ascii="Amiri" w:hAnsi="Amiri" w:eastAsia="Amiri" w:cs="Amiri"/>
          <w:color w:val="111111"/>
          <w:sz w:val="28"/>
          <w:sz w:val="28"/>
          <w:szCs w:val="28"/>
          <w:rtl w:val="true"/>
          <w:lang w:bidi="ar-SA"/>
        </w:rPr>
        <w:t>تاريخ المذاهب الاسلامية،</w:t>
      </w:r>
    </w:p>
    <w:p>
      <w:pPr>
        <w:pStyle w:val="BookText"/>
        <w:rPr/>
      </w:pPr>
      <w:r>
        <w:rPr>
          <w:rFonts w:ascii="Amiri" w:hAnsi="Amiri" w:eastAsia="Amiri" w:cs="Amiri"/>
          <w:color w:val="111111"/>
          <w:sz w:val="28"/>
          <w:sz w:val="28"/>
          <w:szCs w:val="28"/>
          <w:rtl w:val="true"/>
          <w:lang w:bidi="ar-SA"/>
        </w:rPr>
        <w:t>اصول مذهب الشيعة</w:t>
      </w:r>
    </w:p>
    <w:p>
      <w:pPr>
        <w:pStyle w:val="BookText"/>
        <w:rPr/>
      </w:pPr>
      <w:r>
        <w:rPr>
          <w:rFonts w:ascii="Amiri" w:hAnsi="Amiri" w:eastAsia="Amiri" w:cs="Amiri"/>
          <w:color w:val="111111"/>
          <w:sz w:val="28"/>
          <w:sz w:val="28"/>
          <w:szCs w:val="28"/>
          <w:rtl w:val="true"/>
          <w:lang w:bidi="ar-SA"/>
        </w:rPr>
        <w:t>اصول كافي، محمد بن يعقوب كليني، بيروت، دار الأضواء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ابوزهره، قارهه، دار الفكر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حميرى، چاپ اول، مصر، دار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 من الردّ على تأويل الصفات، شيخ عبدالعزيز بن عبدالله بن باز، رياض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الصحيح لمن بدّل دين المسيح، ابن تيميه، چاپ دوم، رياض، دار العاصمة،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سقاف، چاپ اول، اردن، دار الامام النووي،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 صالح بن فوزان، رياض، دار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أهل السنة والجماعة، أندلس، مؤسسة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العقيدة، محمد بن صالح عثيمين، مصر مكتبة السنة،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المجيد، عبدالرحمان بن حسن، رياض،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 القرآن، سلامه قضاعى،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الذاكرين والردّ على المنكرين، عبدالغنى حماده، سوريه،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حاجى خليفه، بيروت، دار الفكر،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ابوالقاسم خويى، مؤسسة الامام الخوئى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الرسالة التدميرية، سعيد فودة، چاپ اول، دار الرازى،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ابى عاصم،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صلاح،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كتاب النداء للصلاة،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الموضوعات،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ترجمه محمّد بن كرام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جرجانى،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مناهج الأدلّة، ابن رشد،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الي دراسة علم الكلام، حسن محمود شافعى،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ذهبى،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ترجمه ابن حبّان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الروضتين،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ابوزهره،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عبدالرحمن بن حسن،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صالح بن فوزان، ص </w:t>
      </w:r>
      <w:r>
        <w:rPr>
          <w:rFonts w:eastAsia="IRNazanin" w:cs="IRNazanin"/>
          <w:b w:val="false"/>
          <w:bCs w:val="false"/>
          <w:i w:val="false"/>
          <w:iCs w:val="false"/>
          <w:color w:val="333333"/>
          <w:sz w:val="20"/>
          <w:szCs w:val="20"/>
        </w:rPr>
        <w:t>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التنبيهات من الردّ على تأويل الصفات، بن باز،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العقيدة، محمد بن صالح عثيمين،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التوجيهات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نونيه ابن قيم،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الكرسي، ابن عثيمين،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العقيدة، محمد بن صالح عثيمين،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العقيدة،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اهل السنة و الجماعة،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تاريخ‌المذاهب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المفاهيم العقدية، دكتر عيسى حميرى،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الرسالة التدمرية، سعيد فوده،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الذاكرين و الردّ على المنكرين،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سلامه قضاعى،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فرقان القرآن،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قضاعى،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الجوهر المنظم، ابن حجر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ابى‌الفداء، حوادث سنه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كركى،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فى الامامه،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توحيد، شيخ 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483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ورسائل وفتاوي ابن تيمية في العقيدة،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الانيقة والتعريفات الدقيقة،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ورسائل و فتاوي ابن تيمية في العقيدة،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آيت الله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هوالله، محمد بن علوى مالكى،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المحتاجين لمعرفة قواعد الدين،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الوهابية أفكارها الأساسية وجذورها التاريخية، حسن بن على سقاف،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اسرائيليات القرآن،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النبويّة،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عمر بن خطّاب، ابن جوزي،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الاسرائيليات واثرها فى كتب التفسير،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صنعانى،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تبيين المفتري،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17364</Words>
  <Characters>67926</Characters>
  <CharactersWithSpaces>84416</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2026-08-16T18:16:23Z</dcterms:created>
  <dc:creator>ghaemiyeh.com</dc:creator>
  <dc:description/>
  <dc:language>en-US</dc:language>
  <cp:lastModifiedBy/>
  <dcterms:modified xsi:type="dcterms:W3CDTF">2026-08-16T21:46:26Z</dcterms:modified>
  <cp:revision>1</cp:revision>
  <dc:subject/>
  <dc:title>خدای مجسم وهابیان</dc:title>
</cp:coreProperties>
</file>

<file path=docProps/custom.xml><?xml version="1.0" encoding="utf-8"?>
<Properties xmlns="http://schemas.openxmlformats.org/officeDocument/2006/custom-properties" xmlns:vt="http://schemas.openxmlformats.org/officeDocument/2006/docPropsVTypes"/>
</file>