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وهابیت در یک نگاه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7993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57995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7997_3650668749">
            <w:r>
              <w:rPr>
                <w:webHidden/>
                <w:rStyle w:val="IndexLink"/>
                <w:rtl w:val="true"/>
              </w:rPr>
              <w:t>ديباچه</w:t>
            </w:r>
            <w:r>
              <w:rPr>
                <w:rStyle w:val="IndexLink"/>
                <w:rtl w:val="true"/>
              </w:rPr>
              <w:tab/>
            </w:r>
            <w:r>
              <w:rPr>
                <w:rStyle w:val="IndexLink"/>
              </w:rPr>
              <w:t>13</w:t>
            </w:r>
          </w:hyperlink>
        </w:p>
        <w:p>
          <w:pPr>
            <w:pStyle w:val="Contents2"/>
            <w:tabs>
              <w:tab w:val="clear" w:pos="8743"/>
              <w:tab w:val="right" w:pos="9026" w:leader="dot"/>
            </w:tabs>
            <w:rPr/>
          </w:pPr>
          <w:hyperlink w:anchor="__RefHeading___Toc557999_365066874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558001_3650668749">
            <w:r>
              <w:rPr>
                <w:webHidden/>
                <w:rStyle w:val="IndexLink"/>
                <w:rtl w:val="true"/>
              </w:rPr>
              <w:t>تاريخچه وهابيت</w:t>
            </w:r>
            <w:r>
              <w:rPr>
                <w:rStyle w:val="IndexLink"/>
                <w:rtl w:val="true"/>
              </w:rPr>
              <w:tab/>
            </w:r>
            <w:r>
              <w:rPr>
                <w:rStyle w:val="IndexLink"/>
              </w:rPr>
              <w:t>17</w:t>
            </w:r>
          </w:hyperlink>
        </w:p>
        <w:p>
          <w:pPr>
            <w:pStyle w:val="Contents2"/>
            <w:tabs>
              <w:tab w:val="clear" w:pos="8743"/>
              <w:tab w:val="right" w:pos="9026" w:leader="dot"/>
            </w:tabs>
            <w:rPr/>
          </w:pPr>
          <w:hyperlink w:anchor="__RefHeading___Toc558003_3650668749">
            <w:r>
              <w:rPr>
                <w:webHidden/>
                <w:rStyle w:val="IndexLink"/>
                <w:rtl w:val="true"/>
              </w:rPr>
              <w:t>ويژگى‌هاى فكرى و اعتقادى وهابيون</w:t>
            </w:r>
            <w:r>
              <w:rPr>
                <w:rStyle w:val="IndexLink"/>
                <w:rtl w:val="true"/>
              </w:rPr>
              <w:tab/>
            </w:r>
            <w:r>
              <w:rPr>
                <w:rStyle w:val="IndexLink"/>
              </w:rPr>
              <w:t>27</w:t>
            </w:r>
          </w:hyperlink>
        </w:p>
        <w:p>
          <w:pPr>
            <w:pStyle w:val="Contents2"/>
            <w:tabs>
              <w:tab w:val="clear" w:pos="8743"/>
              <w:tab w:val="right" w:pos="9026" w:leader="dot"/>
            </w:tabs>
            <w:rPr/>
          </w:pPr>
          <w:hyperlink w:anchor="__RefHeading___Toc558005_3650668749">
            <w:r>
              <w:rPr>
                <w:webHidden/>
                <w:rStyle w:val="IndexLink"/>
                <w:rtl w:val="true"/>
              </w:rPr>
              <w:t>خدا در آيين وهابيت</w:t>
            </w:r>
            <w:r>
              <w:rPr>
                <w:rStyle w:val="IndexLink"/>
                <w:rtl w:val="true"/>
              </w:rPr>
              <w:tab/>
            </w:r>
            <w:r>
              <w:rPr>
                <w:rStyle w:val="IndexLink"/>
              </w:rPr>
              <w:t>29</w:t>
            </w:r>
          </w:hyperlink>
        </w:p>
        <w:p>
          <w:pPr>
            <w:pStyle w:val="Contents2"/>
            <w:tabs>
              <w:tab w:val="clear" w:pos="8743"/>
              <w:tab w:val="right" w:pos="9026" w:leader="dot"/>
            </w:tabs>
            <w:rPr/>
          </w:pPr>
          <w:hyperlink w:anchor="__RefHeading___Toc558007_3650668749">
            <w:r>
              <w:rPr>
                <w:webHidden/>
                <w:rStyle w:val="IndexLink"/>
                <w:rtl w:val="true"/>
              </w:rPr>
              <w:t>خداى وهابيت از عرش به زمين مى‌آيد</w:t>
            </w:r>
            <w:r>
              <w:rPr>
                <w:rStyle w:val="IndexLink"/>
                <w:rtl w:val="true"/>
              </w:rPr>
              <w:tab/>
            </w:r>
            <w:r>
              <w:rPr>
                <w:rStyle w:val="IndexLink"/>
              </w:rPr>
              <w:t>29</w:t>
            </w:r>
          </w:hyperlink>
        </w:p>
        <w:p>
          <w:pPr>
            <w:pStyle w:val="Contents3"/>
            <w:tabs>
              <w:tab w:val="clear" w:pos="8459"/>
              <w:tab w:val="right" w:pos="9026" w:leader="dot"/>
            </w:tabs>
            <w:rPr/>
          </w:pPr>
          <w:hyperlink w:anchor="__RefHeading___Toc558009_365066874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58011_3650668749">
            <w:r>
              <w:rPr>
                <w:webHidden/>
                <w:rStyle w:val="IndexLink"/>
                <w:rtl w:val="true"/>
              </w:rPr>
              <w:t>خداى وهابيت مى‌خندد</w:t>
            </w:r>
            <w:r>
              <w:rPr>
                <w:rStyle w:val="IndexLink"/>
                <w:rtl w:val="true"/>
              </w:rPr>
              <w:tab/>
            </w:r>
            <w:r>
              <w:rPr>
                <w:rStyle w:val="IndexLink"/>
              </w:rPr>
              <w:t>30</w:t>
            </w:r>
          </w:hyperlink>
        </w:p>
        <w:p>
          <w:pPr>
            <w:pStyle w:val="Contents3"/>
            <w:tabs>
              <w:tab w:val="clear" w:pos="8459"/>
              <w:tab w:val="right" w:pos="9026" w:leader="dot"/>
            </w:tabs>
            <w:rPr/>
          </w:pPr>
          <w:hyperlink w:anchor="__RefHeading___Toc558013_3650668749">
            <w:r>
              <w:rPr>
                <w:webHidden/>
                <w:rStyle w:val="IndexLink"/>
                <w:rtl w:val="true"/>
              </w:rPr>
              <w:t>خداى وهابيت غير از ريش و عورت، همه چيز دارد</w:t>
            </w:r>
            <w:r>
              <w:rPr>
                <w:rStyle w:val="IndexLink"/>
                <w:rtl w:val="true"/>
              </w:rPr>
              <w:tab/>
            </w:r>
            <w:r>
              <w:rPr>
                <w:rStyle w:val="IndexLink"/>
              </w:rPr>
              <w:t>30</w:t>
            </w:r>
          </w:hyperlink>
        </w:p>
        <w:p>
          <w:pPr>
            <w:pStyle w:val="Contents3"/>
            <w:tabs>
              <w:tab w:val="clear" w:pos="8459"/>
              <w:tab w:val="right" w:pos="9026" w:leader="dot"/>
            </w:tabs>
            <w:rPr/>
          </w:pPr>
          <w:hyperlink w:anchor="__RefHeading___Toc558015_3650668749">
            <w:r>
              <w:rPr>
                <w:webHidden/>
                <w:rStyle w:val="IndexLink"/>
                <w:rtl w:val="true"/>
              </w:rPr>
              <w:t>خداى وهابيت از عرش بزرگ‌تر است</w:t>
            </w:r>
            <w:r>
              <w:rPr>
                <w:rStyle w:val="IndexLink"/>
                <w:rtl w:val="true"/>
              </w:rPr>
              <w:tab/>
            </w:r>
            <w:r>
              <w:rPr>
                <w:rStyle w:val="IndexLink"/>
              </w:rPr>
              <w:t>31</w:t>
            </w:r>
          </w:hyperlink>
        </w:p>
        <w:p>
          <w:pPr>
            <w:pStyle w:val="Contents3"/>
            <w:tabs>
              <w:tab w:val="clear" w:pos="8459"/>
              <w:tab w:val="right" w:pos="9026" w:leader="dot"/>
            </w:tabs>
            <w:rPr/>
          </w:pPr>
          <w:hyperlink w:anchor="__RefHeading___Toc558017_3650668749">
            <w:r>
              <w:rPr>
                <w:webHidden/>
                <w:rStyle w:val="IndexLink"/>
                <w:rtl w:val="true"/>
              </w:rPr>
              <w:t>دست‌هاى خدا خيلى دراز است</w:t>
            </w:r>
            <w:r>
              <w:rPr>
                <w:rStyle w:val="IndexLink"/>
                <w:rtl w:val="true"/>
              </w:rPr>
              <w:tab/>
            </w:r>
            <w:r>
              <w:rPr>
                <w:rStyle w:val="IndexLink"/>
              </w:rPr>
              <w:t>31</w:t>
            </w:r>
          </w:hyperlink>
        </w:p>
        <w:p>
          <w:pPr>
            <w:pStyle w:val="Contents3"/>
            <w:tabs>
              <w:tab w:val="clear" w:pos="8459"/>
              <w:tab w:val="right" w:pos="9026" w:leader="dot"/>
            </w:tabs>
            <w:rPr/>
          </w:pPr>
          <w:hyperlink w:anchor="__RefHeading___Toc558019_3650668749">
            <w:r>
              <w:rPr>
                <w:webHidden/>
                <w:rStyle w:val="IndexLink"/>
                <w:rtl w:val="true"/>
              </w:rPr>
              <w:t>خداى وهابيت شب عرفه به زمين مى‌آيد</w:t>
            </w:r>
            <w:r>
              <w:rPr>
                <w:rStyle w:val="IndexLink"/>
                <w:rtl w:val="true"/>
              </w:rPr>
              <w:tab/>
            </w:r>
            <w:r>
              <w:rPr>
                <w:rStyle w:val="IndexLink"/>
              </w:rPr>
              <w:t>31</w:t>
            </w:r>
          </w:hyperlink>
        </w:p>
        <w:p>
          <w:pPr>
            <w:pStyle w:val="Contents3"/>
            <w:tabs>
              <w:tab w:val="clear" w:pos="8459"/>
              <w:tab w:val="right" w:pos="9026" w:leader="dot"/>
            </w:tabs>
            <w:rPr/>
          </w:pPr>
          <w:hyperlink w:anchor="__RefHeading___Toc558021_3650668749">
            <w:r>
              <w:rPr>
                <w:webHidden/>
                <w:rStyle w:val="IndexLink"/>
                <w:rtl w:val="true"/>
              </w:rPr>
              <w:t>خداى وهابيت داراى موى فرفرى است</w:t>
            </w:r>
            <w:r>
              <w:rPr>
                <w:rStyle w:val="IndexLink"/>
                <w:rtl w:val="true"/>
              </w:rPr>
              <w:t>!</w:t>
              <w:tab/>
            </w:r>
            <w:r>
              <w:rPr>
                <w:rStyle w:val="IndexLink"/>
              </w:rPr>
              <w:t>32</w:t>
            </w:r>
          </w:hyperlink>
        </w:p>
        <w:p>
          <w:pPr>
            <w:pStyle w:val="Contents2"/>
            <w:tabs>
              <w:tab w:val="clear" w:pos="8743"/>
              <w:tab w:val="right" w:pos="9026" w:leader="dot"/>
            </w:tabs>
            <w:rPr/>
          </w:pPr>
          <w:hyperlink w:anchor="__RefHeading___Toc558023_3650668749">
            <w:r>
              <w:rPr>
                <w:webHidden/>
                <w:rStyle w:val="IndexLink"/>
                <w:rtl w:val="true"/>
              </w:rPr>
              <w:t>برخى از فتاواى وهابيون</w:t>
            </w:r>
            <w:r>
              <w:rPr>
                <w:rStyle w:val="IndexLink"/>
                <w:rtl w:val="true"/>
              </w:rPr>
              <w:tab/>
            </w:r>
            <w:r>
              <w:rPr>
                <w:rStyle w:val="IndexLink"/>
              </w:rPr>
              <w:t>33</w:t>
            </w:r>
          </w:hyperlink>
        </w:p>
        <w:p>
          <w:pPr>
            <w:pStyle w:val="Contents3"/>
            <w:tabs>
              <w:tab w:val="clear" w:pos="8459"/>
              <w:tab w:val="right" w:pos="9026" w:leader="dot"/>
            </w:tabs>
            <w:rPr/>
          </w:pPr>
          <w:hyperlink w:anchor="__RefHeading___Toc558025_3650668749">
            <w:r>
              <w:rPr>
                <w:webHidden/>
                <w:rStyle w:val="IndexLink"/>
                <w:rtl w:val="true"/>
              </w:rPr>
              <w:t>اعتقاد به گردش زمين به دور خورشيد شرك است</w:t>
            </w:r>
            <w:r>
              <w:rPr>
                <w:rStyle w:val="IndexLink"/>
                <w:rtl w:val="true"/>
              </w:rPr>
              <w:tab/>
            </w:r>
            <w:r>
              <w:rPr>
                <w:rStyle w:val="IndexLink"/>
              </w:rPr>
              <w:t>33</w:t>
            </w:r>
          </w:hyperlink>
        </w:p>
        <w:p>
          <w:pPr>
            <w:pStyle w:val="Contents4"/>
            <w:tabs>
              <w:tab w:val="clear" w:pos="8176"/>
              <w:tab w:val="right" w:pos="9026" w:leader="dot"/>
            </w:tabs>
            <w:rPr/>
          </w:pPr>
          <w:hyperlink w:anchor="__RefHeading___Toc558027_365066874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58029_3650668749">
            <w:r>
              <w:rPr>
                <w:webHidden/>
                <w:rStyle w:val="IndexLink"/>
                <w:rtl w:val="true"/>
              </w:rPr>
              <w:t>نظر نويسنده</w:t>
            </w:r>
            <w:r>
              <w:rPr>
                <w:rStyle w:val="IndexLink"/>
                <w:rtl w:val="true"/>
              </w:rPr>
              <w:tab/>
            </w:r>
            <w:r>
              <w:rPr>
                <w:rStyle w:val="IndexLink"/>
              </w:rPr>
              <w:t>34</w:t>
            </w:r>
          </w:hyperlink>
        </w:p>
        <w:p>
          <w:pPr>
            <w:pStyle w:val="Contents3"/>
            <w:tabs>
              <w:tab w:val="clear" w:pos="8459"/>
              <w:tab w:val="right" w:pos="9026" w:leader="dot"/>
            </w:tabs>
            <w:rPr/>
          </w:pPr>
          <w:hyperlink w:anchor="__RefHeading___Toc558031_3650668749">
            <w:r>
              <w:rPr>
                <w:webHidden/>
                <w:rStyle w:val="IndexLink"/>
                <w:rtl w:val="true"/>
              </w:rPr>
              <w:t>اهداى گل به مريض</w:t>
            </w:r>
            <w:r>
              <w:rPr>
                <w:rStyle w:val="IndexLink"/>
                <w:rtl w:val="true"/>
              </w:rPr>
              <w:tab/>
            </w:r>
            <w:r>
              <w:rPr>
                <w:rStyle w:val="IndexLink"/>
              </w:rPr>
              <w:t>34</w:t>
            </w:r>
          </w:hyperlink>
        </w:p>
        <w:p>
          <w:pPr>
            <w:pStyle w:val="Contents4"/>
            <w:tabs>
              <w:tab w:val="clear" w:pos="8176"/>
              <w:tab w:val="right" w:pos="9026" w:leader="dot"/>
            </w:tabs>
            <w:rPr/>
          </w:pPr>
          <w:hyperlink w:anchor="__RefHeading___Toc558033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58035_3650668749">
            <w:r>
              <w:rPr>
                <w:webHidden/>
                <w:rStyle w:val="IndexLink"/>
                <w:rtl w:val="true"/>
              </w:rPr>
              <w:t>نظر نويسنده</w:t>
            </w:r>
            <w:r>
              <w:rPr>
                <w:rStyle w:val="IndexLink"/>
                <w:rtl w:val="true"/>
              </w:rPr>
              <w:tab/>
            </w:r>
            <w:r>
              <w:rPr>
                <w:rStyle w:val="IndexLink"/>
              </w:rPr>
              <w:t>35</w:t>
            </w:r>
          </w:hyperlink>
        </w:p>
        <w:p>
          <w:pPr>
            <w:pStyle w:val="Contents3"/>
            <w:tabs>
              <w:tab w:val="clear" w:pos="8459"/>
              <w:tab w:val="right" w:pos="9026" w:leader="dot"/>
            </w:tabs>
            <w:rPr/>
          </w:pPr>
          <w:hyperlink w:anchor="__RefHeading___Toc558037_3650668749">
            <w:r>
              <w:rPr>
                <w:webHidden/>
                <w:rStyle w:val="IndexLink"/>
                <w:rtl w:val="true"/>
              </w:rPr>
              <w:t>حرمت ساختن بنا روى قبور و وجوب ويران‌كردن آنها</w:t>
            </w:r>
            <w:r>
              <w:rPr>
                <w:rStyle w:val="IndexLink"/>
                <w:rtl w:val="true"/>
              </w:rPr>
              <w:tab/>
            </w:r>
            <w:r>
              <w:rPr>
                <w:rStyle w:val="IndexLink"/>
              </w:rPr>
              <w:t>35</w:t>
            </w:r>
          </w:hyperlink>
        </w:p>
        <w:p>
          <w:pPr>
            <w:pStyle w:val="Contents3"/>
            <w:tabs>
              <w:tab w:val="clear" w:pos="8459"/>
              <w:tab w:val="right" w:pos="9026" w:leader="dot"/>
            </w:tabs>
            <w:rPr/>
          </w:pPr>
          <w:hyperlink w:anchor="__RefHeading___Toc558039_3650668749">
            <w:r>
              <w:rPr>
                <w:webHidden/>
                <w:rStyle w:val="IndexLink"/>
                <w:rtl w:val="true"/>
              </w:rPr>
              <w:t>حكم اظهار خوشحالى كسى كه در فوتبال گل مى‌زند</w:t>
            </w:r>
            <w:r>
              <w:rPr>
                <w:rStyle w:val="IndexLink"/>
                <w:rtl w:val="true"/>
              </w:rPr>
              <w:tab/>
            </w:r>
            <w:r>
              <w:rPr>
                <w:rStyle w:val="IndexLink"/>
              </w:rPr>
              <w:t>36</w:t>
            </w:r>
          </w:hyperlink>
        </w:p>
        <w:p>
          <w:pPr>
            <w:pStyle w:val="Contents3"/>
            <w:tabs>
              <w:tab w:val="clear" w:pos="8459"/>
              <w:tab w:val="right" w:pos="9026" w:leader="dot"/>
            </w:tabs>
            <w:rPr/>
          </w:pPr>
          <w:hyperlink w:anchor="__RefHeading___Toc558041_3650668749">
            <w:r>
              <w:rPr>
                <w:webHidden/>
                <w:rStyle w:val="IndexLink"/>
                <w:rtl w:val="true"/>
              </w:rPr>
              <w:t>حكم برگزارى مراسم جشن تولد</w:t>
            </w:r>
            <w:r>
              <w:rPr>
                <w:rStyle w:val="IndexLink"/>
                <w:rtl w:val="true"/>
              </w:rPr>
              <w:tab/>
            </w:r>
            <w:r>
              <w:rPr>
                <w:rStyle w:val="IndexLink"/>
              </w:rPr>
              <w:t>36</w:t>
            </w:r>
          </w:hyperlink>
        </w:p>
        <w:p>
          <w:pPr>
            <w:pStyle w:val="Contents3"/>
            <w:tabs>
              <w:tab w:val="clear" w:pos="8459"/>
              <w:tab w:val="right" w:pos="9026" w:leader="dot"/>
            </w:tabs>
            <w:rPr/>
          </w:pPr>
          <w:hyperlink w:anchor="__RefHeading___Toc558043_3650668749">
            <w:r>
              <w:rPr>
                <w:webHidden/>
                <w:rStyle w:val="IndexLink"/>
                <w:rtl w:val="true"/>
              </w:rPr>
              <w:t xml:space="preserve">برگزارى مراسم ميلاد رسول اكرم </w:t>
            </w:r>
            <w:r>
              <w:rPr>
                <w:rStyle w:val="IndexLink"/>
                <w:rtl w:val="true"/>
              </w:rPr>
              <w:t>(</w:t>
            </w:r>
            <w:r>
              <w:rPr>
                <w:rStyle w:val="IndexLink"/>
                <w:rtl w:val="true"/>
              </w:rPr>
              <w:t>ص</w:t>
            </w:r>
            <w:r>
              <w:rPr>
                <w:rStyle w:val="IndexLink"/>
                <w:rtl w:val="true"/>
              </w:rPr>
              <w:t xml:space="preserve">) </w:t>
            </w:r>
            <w:r>
              <w:rPr>
                <w:rStyle w:val="IndexLink"/>
                <w:rtl w:val="true"/>
              </w:rPr>
              <w:t>بدعت است</w:t>
            </w:r>
            <w:r>
              <w:rPr>
                <w:rStyle w:val="IndexLink"/>
                <w:rtl w:val="true"/>
              </w:rPr>
              <w:tab/>
            </w:r>
            <w:r>
              <w:rPr>
                <w:rStyle w:val="IndexLink"/>
              </w:rPr>
              <w:t>37</w:t>
            </w:r>
          </w:hyperlink>
        </w:p>
        <w:p>
          <w:pPr>
            <w:pStyle w:val="Contents3"/>
            <w:tabs>
              <w:tab w:val="clear" w:pos="8459"/>
              <w:tab w:val="right" w:pos="9026" w:leader="dot"/>
            </w:tabs>
            <w:rPr/>
          </w:pPr>
          <w:hyperlink w:anchor="__RefHeading___Toc558045_3650668749">
            <w:r>
              <w:rPr>
                <w:webHidden/>
                <w:rStyle w:val="IndexLink"/>
                <w:rtl w:val="true"/>
              </w:rPr>
              <w:t>برگزارى جشن سالگرد ازدواج بدعت است</w:t>
            </w:r>
            <w:r>
              <w:rPr>
                <w:rStyle w:val="IndexLink"/>
                <w:rtl w:val="true"/>
              </w:rPr>
              <w:tab/>
            </w:r>
            <w:r>
              <w:rPr>
                <w:rStyle w:val="IndexLink"/>
              </w:rPr>
              <w:t>38</w:t>
            </w:r>
          </w:hyperlink>
        </w:p>
        <w:p>
          <w:pPr>
            <w:pStyle w:val="Contents3"/>
            <w:tabs>
              <w:tab w:val="clear" w:pos="8459"/>
              <w:tab w:val="right" w:pos="9026" w:leader="dot"/>
            </w:tabs>
            <w:rPr/>
          </w:pPr>
          <w:hyperlink w:anchor="__RefHeading___Toc558047_3650668749">
            <w:r>
              <w:rPr>
                <w:webHidden/>
                <w:rStyle w:val="IndexLink"/>
                <w:rtl w:val="true"/>
              </w:rPr>
              <w:t>نازك‌كردن و برداشتن ابرو</w:t>
            </w:r>
            <w:r>
              <w:rPr>
                <w:rStyle w:val="IndexLink"/>
                <w:rtl w:val="true"/>
              </w:rPr>
              <w:tab/>
            </w:r>
            <w:r>
              <w:rPr>
                <w:rStyle w:val="IndexLink"/>
              </w:rPr>
              <w:t>38</w:t>
            </w:r>
          </w:hyperlink>
        </w:p>
        <w:p>
          <w:pPr>
            <w:pStyle w:val="Contents3"/>
            <w:tabs>
              <w:tab w:val="clear" w:pos="8459"/>
              <w:tab w:val="right" w:pos="9026" w:leader="dot"/>
            </w:tabs>
            <w:rPr/>
          </w:pPr>
          <w:hyperlink w:anchor="__RefHeading___Toc558049_3650668749">
            <w:r>
              <w:rPr>
                <w:webHidden/>
                <w:rStyle w:val="IndexLink"/>
                <w:rtl w:val="true"/>
              </w:rPr>
              <w:t>مراسم سوگوارى پيامبران و صالحان بدعت است</w:t>
            </w:r>
            <w:r>
              <w:rPr>
                <w:rStyle w:val="IndexLink"/>
                <w:rtl w:val="true"/>
              </w:rPr>
              <w:tab/>
            </w:r>
            <w:r>
              <w:rPr>
                <w:rStyle w:val="IndexLink"/>
              </w:rPr>
              <w:t>39</w:t>
            </w:r>
          </w:hyperlink>
        </w:p>
        <w:p>
          <w:pPr>
            <w:pStyle w:val="Contents4"/>
            <w:tabs>
              <w:tab w:val="clear" w:pos="8176"/>
              <w:tab w:val="right" w:pos="9026" w:leader="dot"/>
            </w:tabs>
            <w:rPr/>
          </w:pPr>
          <w:hyperlink w:anchor="__RefHeading___Toc558051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58053_3650668749">
            <w:r>
              <w:rPr>
                <w:webHidden/>
                <w:rStyle w:val="IndexLink"/>
                <w:rtl w:val="true"/>
              </w:rPr>
              <w:t>نظر نويسنده</w:t>
            </w:r>
            <w:r>
              <w:rPr>
                <w:rStyle w:val="IndexLink"/>
                <w:rtl w:val="true"/>
              </w:rPr>
              <w:tab/>
            </w:r>
            <w:r>
              <w:rPr>
                <w:rStyle w:val="IndexLink"/>
              </w:rPr>
              <w:t>39</w:t>
            </w:r>
          </w:hyperlink>
        </w:p>
        <w:p>
          <w:pPr>
            <w:pStyle w:val="Contents3"/>
            <w:tabs>
              <w:tab w:val="clear" w:pos="8459"/>
              <w:tab w:val="right" w:pos="9026" w:leader="dot"/>
            </w:tabs>
            <w:rPr/>
          </w:pPr>
          <w:hyperlink w:anchor="__RefHeading___Toc558055_3650668749">
            <w:r>
              <w:rPr>
                <w:webHidden/>
                <w:rStyle w:val="IndexLink"/>
                <w:rtl w:val="true"/>
              </w:rPr>
              <w:t>كشتن گوسفند پس از اتمام ساختمان</w:t>
            </w:r>
            <w:r>
              <w:rPr>
                <w:rStyle w:val="IndexLink"/>
                <w:rtl w:val="true"/>
              </w:rPr>
              <w:tab/>
            </w:r>
            <w:r>
              <w:rPr>
                <w:rStyle w:val="IndexLink"/>
              </w:rPr>
              <w:t>39</w:t>
            </w:r>
          </w:hyperlink>
        </w:p>
        <w:p>
          <w:pPr>
            <w:pStyle w:val="Contents3"/>
            <w:tabs>
              <w:tab w:val="clear" w:pos="8459"/>
              <w:tab w:val="right" w:pos="9026" w:leader="dot"/>
            </w:tabs>
            <w:rPr/>
          </w:pPr>
          <w:hyperlink w:anchor="__RefHeading___Toc558057_3650668749">
            <w:r>
              <w:rPr>
                <w:webHidden/>
                <w:rStyle w:val="IndexLink"/>
                <w:rtl w:val="true"/>
              </w:rPr>
              <w:t>پوشيدن چفيه بر زنان حرام است</w:t>
            </w:r>
            <w:r>
              <w:rPr>
                <w:rStyle w:val="IndexLink"/>
                <w:rtl w:val="true"/>
              </w:rPr>
              <w:tab/>
            </w:r>
            <w:r>
              <w:rPr>
                <w:rStyle w:val="IndexLink"/>
              </w:rPr>
              <w:t>40</w:t>
            </w:r>
          </w:hyperlink>
        </w:p>
        <w:p>
          <w:pPr>
            <w:pStyle w:val="Contents3"/>
            <w:tabs>
              <w:tab w:val="clear" w:pos="8459"/>
              <w:tab w:val="right" w:pos="9026" w:leader="dot"/>
            </w:tabs>
            <w:rPr/>
          </w:pPr>
          <w:hyperlink w:anchor="__RefHeading___Toc558059_3650668749">
            <w:r>
              <w:rPr>
                <w:webHidden/>
                <w:rStyle w:val="IndexLink"/>
                <w:rtl w:val="true"/>
              </w:rPr>
              <w:t xml:space="preserve">صلوات بر رسول اكرم </w:t>
            </w:r>
            <w:r>
              <w:rPr>
                <w:rStyle w:val="IndexLink"/>
                <w:rtl w:val="true"/>
              </w:rPr>
              <w:t>(</w:t>
            </w:r>
            <w:r>
              <w:rPr>
                <w:rStyle w:val="IndexLink"/>
                <w:rtl w:val="true"/>
              </w:rPr>
              <w:t>ص</w:t>
            </w:r>
            <w:r>
              <w:rPr>
                <w:rStyle w:val="IndexLink"/>
                <w:rtl w:val="true"/>
              </w:rPr>
              <w:t xml:space="preserve">) </w:t>
            </w:r>
            <w:r>
              <w:rPr>
                <w:rStyle w:val="IndexLink"/>
                <w:rtl w:val="true"/>
              </w:rPr>
              <w:t>قبل از اذان و بعد از اذان</w:t>
            </w:r>
            <w:r>
              <w:rPr>
                <w:rStyle w:val="IndexLink"/>
                <w:rtl w:val="true"/>
              </w:rPr>
              <w:tab/>
            </w:r>
            <w:r>
              <w:rPr>
                <w:rStyle w:val="IndexLink"/>
              </w:rPr>
              <w:t>41</w:t>
            </w:r>
          </w:hyperlink>
        </w:p>
        <w:p>
          <w:pPr>
            <w:pStyle w:val="Contents4"/>
            <w:tabs>
              <w:tab w:val="clear" w:pos="8176"/>
              <w:tab w:val="right" w:pos="9026" w:leader="dot"/>
            </w:tabs>
            <w:rPr/>
          </w:pPr>
          <w:hyperlink w:anchor="__RefHeading___Toc558061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58063_3650668749">
            <w:r>
              <w:rPr>
                <w:webHidden/>
                <w:rStyle w:val="IndexLink"/>
                <w:rtl w:val="true"/>
              </w:rPr>
              <w:t>نظر نويسنده</w:t>
            </w:r>
            <w:r>
              <w:rPr>
                <w:rStyle w:val="IndexLink"/>
                <w:rtl w:val="true"/>
              </w:rPr>
              <w:tab/>
            </w:r>
            <w:r>
              <w:rPr>
                <w:rStyle w:val="IndexLink"/>
              </w:rPr>
              <w:t>41</w:t>
            </w:r>
          </w:hyperlink>
        </w:p>
        <w:p>
          <w:pPr>
            <w:pStyle w:val="Contents3"/>
            <w:tabs>
              <w:tab w:val="clear" w:pos="8459"/>
              <w:tab w:val="right" w:pos="9026" w:leader="dot"/>
            </w:tabs>
            <w:rPr/>
          </w:pPr>
          <w:hyperlink w:anchor="__RefHeading___Toc558065_3650668749">
            <w:r>
              <w:rPr>
                <w:webHidden/>
                <w:rStyle w:val="IndexLink"/>
                <w:rtl w:val="true"/>
              </w:rPr>
              <w:t xml:space="preserve">دعا كردن در كنار قبر رسول اكرم </w:t>
            </w:r>
            <w:r>
              <w:rPr>
                <w:rStyle w:val="IndexLink"/>
                <w:rtl w:val="true"/>
              </w:rPr>
              <w:t>(</w:t>
            </w:r>
            <w:r>
              <w:rPr>
                <w:rStyle w:val="IndexLink"/>
                <w:rtl w:val="true"/>
              </w:rPr>
              <w:t>ص</w:t>
            </w:r>
            <w:r>
              <w:rPr>
                <w:rStyle w:val="IndexLink"/>
                <w:rtl w:val="true"/>
              </w:rPr>
              <w:t>)</w:t>
              <w:tab/>
            </w:r>
            <w:r>
              <w:rPr>
                <w:rStyle w:val="IndexLink"/>
              </w:rPr>
              <w:t>41</w:t>
            </w:r>
          </w:hyperlink>
        </w:p>
        <w:p>
          <w:pPr>
            <w:pStyle w:val="Contents4"/>
            <w:tabs>
              <w:tab w:val="clear" w:pos="8176"/>
              <w:tab w:val="right" w:pos="9026" w:leader="dot"/>
            </w:tabs>
            <w:rPr/>
          </w:pPr>
          <w:hyperlink w:anchor="__RefHeading___Toc558067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58069_3650668749">
            <w:r>
              <w:rPr>
                <w:webHidden/>
                <w:rStyle w:val="IndexLink"/>
                <w:rtl w:val="true"/>
              </w:rPr>
              <w:t>نظر نويسنده</w:t>
            </w:r>
            <w:r>
              <w:rPr>
                <w:rStyle w:val="IndexLink"/>
                <w:rtl w:val="true"/>
              </w:rPr>
              <w:tab/>
            </w:r>
            <w:r>
              <w:rPr>
                <w:rStyle w:val="IndexLink"/>
              </w:rPr>
              <w:t>42</w:t>
            </w:r>
          </w:hyperlink>
        </w:p>
        <w:p>
          <w:pPr>
            <w:pStyle w:val="Contents3"/>
            <w:tabs>
              <w:tab w:val="clear" w:pos="8459"/>
              <w:tab w:val="right" w:pos="9026" w:leader="dot"/>
            </w:tabs>
            <w:rPr/>
          </w:pPr>
          <w:hyperlink w:anchor="__RefHeading___Toc558071_3650668749">
            <w:r>
              <w:rPr>
                <w:webHidden/>
                <w:rStyle w:val="IndexLink"/>
                <w:rtl w:val="true"/>
              </w:rPr>
              <w:t>دست‌كشيدن به پرده كعبه</w:t>
            </w:r>
            <w:r>
              <w:rPr>
                <w:rStyle w:val="IndexLink"/>
                <w:rtl w:val="true"/>
              </w:rPr>
              <w:tab/>
            </w:r>
            <w:r>
              <w:rPr>
                <w:rStyle w:val="IndexLink"/>
              </w:rPr>
              <w:t>42</w:t>
            </w:r>
          </w:hyperlink>
        </w:p>
        <w:p>
          <w:pPr>
            <w:pStyle w:val="Contents3"/>
            <w:tabs>
              <w:tab w:val="clear" w:pos="8459"/>
              <w:tab w:val="right" w:pos="9026" w:leader="dot"/>
            </w:tabs>
            <w:rPr/>
          </w:pPr>
          <w:hyperlink w:anchor="__RefHeading___Toc558073_3650668749">
            <w:r>
              <w:rPr>
                <w:webHidden/>
                <w:rStyle w:val="IndexLink"/>
                <w:rtl w:val="true"/>
              </w:rPr>
              <w:t xml:space="preserve">اهداى ثواب نماز و قرآن به رسول اكرم </w:t>
            </w:r>
            <w:r>
              <w:rPr>
                <w:rStyle w:val="IndexLink"/>
                <w:rtl w:val="true"/>
              </w:rPr>
              <w:t>(</w:t>
            </w:r>
            <w:r>
              <w:rPr>
                <w:rStyle w:val="IndexLink"/>
                <w:rtl w:val="true"/>
              </w:rPr>
              <w:t>ص</w:t>
            </w:r>
            <w:r>
              <w:rPr>
                <w:rStyle w:val="IndexLink"/>
                <w:rtl w:val="true"/>
              </w:rPr>
              <w:t xml:space="preserve">) </w:t>
            </w:r>
            <w:r>
              <w:rPr>
                <w:rStyle w:val="IndexLink"/>
                <w:rtl w:val="true"/>
              </w:rPr>
              <w:t>و مردگان</w:t>
            </w:r>
            <w:r>
              <w:rPr>
                <w:rStyle w:val="IndexLink"/>
                <w:rtl w:val="true"/>
              </w:rPr>
              <w:tab/>
            </w:r>
            <w:r>
              <w:rPr>
                <w:rStyle w:val="IndexLink"/>
              </w:rPr>
              <w:t>42</w:t>
            </w:r>
          </w:hyperlink>
        </w:p>
        <w:p>
          <w:pPr>
            <w:pStyle w:val="Contents4"/>
            <w:tabs>
              <w:tab w:val="clear" w:pos="8176"/>
              <w:tab w:val="right" w:pos="9026" w:leader="dot"/>
            </w:tabs>
            <w:rPr/>
          </w:pPr>
          <w:hyperlink w:anchor="__RefHeading___Toc558075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58077_3650668749">
            <w:r>
              <w:rPr>
                <w:webHidden/>
                <w:rStyle w:val="IndexLink"/>
                <w:rtl w:val="true"/>
              </w:rPr>
              <w:t>نظر نويسنده</w:t>
            </w:r>
            <w:r>
              <w:rPr>
                <w:rStyle w:val="IndexLink"/>
                <w:rtl w:val="true"/>
              </w:rPr>
              <w:tab/>
            </w:r>
            <w:r>
              <w:rPr>
                <w:rStyle w:val="IndexLink"/>
              </w:rPr>
              <w:t>43</w:t>
            </w:r>
          </w:hyperlink>
        </w:p>
        <w:p>
          <w:pPr>
            <w:pStyle w:val="Contents3"/>
            <w:tabs>
              <w:tab w:val="clear" w:pos="8459"/>
              <w:tab w:val="right" w:pos="9026" w:leader="dot"/>
            </w:tabs>
            <w:rPr/>
          </w:pPr>
          <w:hyperlink w:anchor="__RefHeading___Toc558079_3650668749">
            <w:r>
              <w:rPr>
                <w:webHidden/>
                <w:rStyle w:val="IndexLink"/>
                <w:rtl w:val="true"/>
              </w:rPr>
              <w:t>قرائت قرآن و توزيع خيرات براى اموات</w:t>
            </w:r>
            <w:r>
              <w:rPr>
                <w:rStyle w:val="IndexLink"/>
                <w:rtl w:val="true"/>
              </w:rPr>
              <w:tab/>
            </w:r>
            <w:r>
              <w:rPr>
                <w:rStyle w:val="IndexLink"/>
              </w:rPr>
              <w:t>43</w:t>
            </w:r>
          </w:hyperlink>
        </w:p>
        <w:p>
          <w:pPr>
            <w:pStyle w:val="Contents3"/>
            <w:tabs>
              <w:tab w:val="clear" w:pos="8459"/>
              <w:tab w:val="right" w:pos="9026" w:leader="dot"/>
            </w:tabs>
            <w:rPr/>
          </w:pPr>
          <w:hyperlink w:anchor="__RefHeading___Toc558081_3650668749">
            <w:r>
              <w:rPr>
                <w:webHidden/>
                <w:rStyle w:val="IndexLink"/>
                <w:rtl w:val="true"/>
              </w:rPr>
              <w:t>رفتن به غار حراء</w:t>
            </w:r>
            <w:r>
              <w:rPr>
                <w:rStyle w:val="IndexLink"/>
                <w:rtl w:val="true"/>
              </w:rPr>
              <w:tab/>
            </w:r>
            <w:r>
              <w:rPr>
                <w:rStyle w:val="IndexLink"/>
              </w:rPr>
              <w:t>44</w:t>
            </w:r>
          </w:hyperlink>
        </w:p>
        <w:p>
          <w:pPr>
            <w:pStyle w:val="Contents4"/>
            <w:tabs>
              <w:tab w:val="clear" w:pos="8176"/>
              <w:tab w:val="right" w:pos="9026" w:leader="dot"/>
            </w:tabs>
            <w:rPr/>
          </w:pPr>
          <w:hyperlink w:anchor="__RefHeading___Toc558083_365066874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58085_3650668749">
            <w:r>
              <w:rPr>
                <w:webHidden/>
                <w:rStyle w:val="IndexLink"/>
                <w:rtl w:val="true"/>
              </w:rPr>
              <w:t>نظر نويسنده</w:t>
            </w:r>
            <w:r>
              <w:rPr>
                <w:rStyle w:val="IndexLink"/>
                <w:rtl w:val="true"/>
              </w:rPr>
              <w:tab/>
            </w:r>
            <w:r>
              <w:rPr>
                <w:rStyle w:val="IndexLink"/>
              </w:rPr>
              <w:t>45</w:t>
            </w:r>
          </w:hyperlink>
        </w:p>
        <w:p>
          <w:pPr>
            <w:pStyle w:val="Contents3"/>
            <w:tabs>
              <w:tab w:val="clear" w:pos="8459"/>
              <w:tab w:val="right" w:pos="9026" w:leader="dot"/>
            </w:tabs>
            <w:rPr/>
          </w:pPr>
          <w:hyperlink w:anchor="__RefHeading___Toc558087_3650668749">
            <w:r>
              <w:rPr>
                <w:webHidden/>
                <w:rStyle w:val="IndexLink"/>
                <w:rtl w:val="true"/>
              </w:rPr>
              <w:t>ذكر گفتن با تسبيح</w:t>
            </w:r>
            <w:r>
              <w:rPr>
                <w:rStyle w:val="IndexLink"/>
                <w:rtl w:val="true"/>
              </w:rPr>
              <w:tab/>
            </w:r>
            <w:r>
              <w:rPr>
                <w:rStyle w:val="IndexLink"/>
              </w:rPr>
              <w:t>45</w:t>
            </w:r>
          </w:hyperlink>
        </w:p>
        <w:p>
          <w:pPr>
            <w:pStyle w:val="Contents3"/>
            <w:tabs>
              <w:tab w:val="clear" w:pos="8459"/>
              <w:tab w:val="right" w:pos="9026" w:leader="dot"/>
            </w:tabs>
            <w:rPr/>
          </w:pPr>
          <w:hyperlink w:anchor="__RefHeading___Toc558089_3650668749">
            <w:r>
              <w:rPr>
                <w:webHidden/>
                <w:rStyle w:val="IndexLink"/>
                <w:rtl w:val="true"/>
              </w:rPr>
              <w:t>شروع جلسات با آيات قرآن</w:t>
            </w:r>
            <w:r>
              <w:rPr>
                <w:rStyle w:val="IndexLink"/>
                <w:rtl w:val="true"/>
              </w:rPr>
              <w:tab/>
            </w:r>
            <w:r>
              <w:rPr>
                <w:rStyle w:val="IndexLink"/>
              </w:rPr>
              <w:t>45</w:t>
            </w:r>
          </w:hyperlink>
        </w:p>
        <w:p>
          <w:pPr>
            <w:pStyle w:val="Contents3"/>
            <w:tabs>
              <w:tab w:val="clear" w:pos="8459"/>
              <w:tab w:val="right" w:pos="9026" w:leader="dot"/>
            </w:tabs>
            <w:rPr/>
          </w:pPr>
          <w:hyperlink w:anchor="__RefHeading___Toc558091_3650668749">
            <w:r>
              <w:rPr>
                <w:webHidden/>
                <w:rStyle w:val="IndexLink"/>
                <w:rtl w:val="true"/>
              </w:rPr>
              <w:t>قرائت قرآن و دعاى دسته‌جمعى</w:t>
            </w:r>
            <w:r>
              <w:rPr>
                <w:rStyle w:val="IndexLink"/>
                <w:rtl w:val="true"/>
              </w:rPr>
              <w:tab/>
            </w:r>
            <w:r>
              <w:rPr>
                <w:rStyle w:val="IndexLink"/>
              </w:rPr>
              <w:t>46</w:t>
            </w:r>
          </w:hyperlink>
        </w:p>
        <w:p>
          <w:pPr>
            <w:pStyle w:val="Contents3"/>
            <w:tabs>
              <w:tab w:val="clear" w:pos="8459"/>
              <w:tab w:val="right" w:pos="9026" w:leader="dot"/>
            </w:tabs>
            <w:rPr/>
          </w:pPr>
          <w:hyperlink w:anchor="__RefHeading___Toc558093_3650668749">
            <w:r>
              <w:rPr>
                <w:webHidden/>
                <w:rStyle w:val="IndexLink"/>
                <w:rtl w:val="true"/>
              </w:rPr>
              <w:t xml:space="preserve">گفتن </w:t>
            </w:r>
            <w:r>
              <w:rPr>
                <w:rStyle w:val="IndexLink"/>
                <w:rtl w:val="true"/>
              </w:rPr>
              <w:t>«</w:t>
            </w:r>
            <w:r>
              <w:rPr>
                <w:rStyle w:val="IndexLink"/>
                <w:rtl w:val="true"/>
              </w:rPr>
              <w:t>صدق الله العظيم</w:t>
            </w:r>
            <w:r>
              <w:rPr>
                <w:rStyle w:val="IndexLink"/>
                <w:rtl w:val="true"/>
              </w:rPr>
              <w:t xml:space="preserve">» </w:t>
            </w:r>
            <w:r>
              <w:rPr>
                <w:rStyle w:val="IndexLink"/>
                <w:rtl w:val="true"/>
              </w:rPr>
              <w:t>بعد از ختم قرآن</w:t>
            </w:r>
            <w:r>
              <w:rPr>
                <w:rStyle w:val="IndexLink"/>
                <w:rtl w:val="true"/>
              </w:rPr>
              <w:tab/>
            </w:r>
            <w:r>
              <w:rPr>
                <w:rStyle w:val="IndexLink"/>
              </w:rPr>
              <w:t>46</w:t>
            </w:r>
          </w:hyperlink>
        </w:p>
        <w:p>
          <w:pPr>
            <w:pStyle w:val="Contents3"/>
            <w:tabs>
              <w:tab w:val="clear" w:pos="8459"/>
              <w:tab w:val="right" w:pos="9026" w:leader="dot"/>
            </w:tabs>
            <w:rPr/>
          </w:pPr>
          <w:hyperlink w:anchor="__RefHeading___Toc558095_3650668749">
            <w:r>
              <w:rPr>
                <w:webHidden/>
                <w:rStyle w:val="IndexLink"/>
                <w:rtl w:val="true"/>
              </w:rPr>
              <w:t>فتوا به كفر شيعه</w:t>
            </w:r>
            <w:r>
              <w:rPr>
                <w:rStyle w:val="IndexLink"/>
                <w:rtl w:val="true"/>
              </w:rPr>
              <w:tab/>
            </w:r>
            <w:r>
              <w:rPr>
                <w:rStyle w:val="IndexLink"/>
              </w:rPr>
              <w:t>46</w:t>
            </w:r>
          </w:hyperlink>
        </w:p>
        <w:p>
          <w:pPr>
            <w:pStyle w:val="Contents4"/>
            <w:tabs>
              <w:tab w:val="clear" w:pos="8176"/>
              <w:tab w:val="right" w:pos="9026" w:leader="dot"/>
            </w:tabs>
            <w:rPr/>
          </w:pPr>
          <w:hyperlink w:anchor="__RefHeading___Toc558097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58099_3650668749">
            <w:r>
              <w:rPr>
                <w:webHidden/>
                <w:rStyle w:val="IndexLink"/>
                <w:rtl w:val="true"/>
              </w:rPr>
              <w:t>نظر نويسنده</w:t>
            </w:r>
            <w:r>
              <w:rPr>
                <w:rStyle w:val="IndexLink"/>
                <w:rtl w:val="true"/>
              </w:rPr>
              <w:tab/>
            </w:r>
            <w:r>
              <w:rPr>
                <w:rStyle w:val="IndexLink"/>
              </w:rPr>
              <w:t>48</w:t>
            </w:r>
          </w:hyperlink>
        </w:p>
        <w:p>
          <w:pPr>
            <w:pStyle w:val="Contents2"/>
            <w:tabs>
              <w:tab w:val="clear" w:pos="8743"/>
              <w:tab w:val="right" w:pos="9026" w:leader="dot"/>
            </w:tabs>
            <w:rPr/>
          </w:pPr>
          <w:hyperlink w:anchor="__RefHeading___Toc558101_3650668749">
            <w:r>
              <w:rPr>
                <w:webHidden/>
                <w:rStyle w:val="IndexLink"/>
                <w:rtl w:val="true"/>
              </w:rPr>
              <w:t xml:space="preserve">مخالفت وهابيون با قرآن و سنت پيامبر </w:t>
            </w:r>
            <w:r>
              <w:rPr>
                <w:rStyle w:val="IndexLink"/>
                <w:rtl w:val="true"/>
              </w:rPr>
              <w:t>(</w:t>
            </w:r>
            <w:r>
              <w:rPr>
                <w:rStyle w:val="IndexLink"/>
                <w:rtl w:val="true"/>
              </w:rPr>
              <w:t>ص</w:t>
            </w:r>
            <w:r>
              <w:rPr>
                <w:rStyle w:val="IndexLink"/>
                <w:rtl w:val="true"/>
              </w:rPr>
              <w:t>)</w:t>
              <w:tab/>
            </w:r>
            <w:r>
              <w:rPr>
                <w:rStyle w:val="IndexLink"/>
              </w:rPr>
              <w:t>49</w:t>
            </w:r>
          </w:hyperlink>
        </w:p>
        <w:p>
          <w:pPr>
            <w:pStyle w:val="Contents2"/>
            <w:tabs>
              <w:tab w:val="clear" w:pos="8743"/>
              <w:tab w:val="right" w:pos="9026" w:leader="dot"/>
            </w:tabs>
            <w:rPr/>
          </w:pPr>
          <w:hyperlink w:anchor="__RefHeading___Toc558103_3650668749">
            <w:r>
              <w:rPr>
                <w:webHidden/>
                <w:rStyle w:val="IndexLink"/>
                <w:rtl w:val="true"/>
              </w:rPr>
              <w:t>آيا مى‌دانيد؟</w:t>
            </w:r>
            <w:r>
              <w:rPr>
                <w:rStyle w:val="IndexLink"/>
                <w:rtl w:val="true"/>
              </w:rPr>
              <w:tab/>
            </w:r>
            <w:r>
              <w:rPr>
                <w:rStyle w:val="IndexLink"/>
              </w:rPr>
              <w:t>55</w:t>
            </w:r>
          </w:hyperlink>
        </w:p>
        <w:p>
          <w:pPr>
            <w:pStyle w:val="Contents2"/>
            <w:tabs>
              <w:tab w:val="clear" w:pos="8743"/>
              <w:tab w:val="right" w:pos="9026" w:leader="dot"/>
            </w:tabs>
            <w:rPr/>
          </w:pPr>
          <w:hyperlink w:anchor="__RefHeading___Toc558105_3650668749">
            <w:r>
              <w:rPr>
                <w:webHidden/>
                <w:rStyle w:val="IndexLink"/>
                <w:rtl w:val="true"/>
              </w:rPr>
              <w:t>استراتژى وهابيت در مقابل شيعه</w:t>
            </w:r>
            <w:r>
              <w:rPr>
                <w:rStyle w:val="IndexLink"/>
                <w:rtl w:val="true"/>
              </w:rPr>
              <w:tab/>
            </w:r>
            <w:r>
              <w:rPr>
                <w:rStyle w:val="IndexLink"/>
              </w:rPr>
              <w:t>59</w:t>
            </w:r>
          </w:hyperlink>
        </w:p>
        <w:p>
          <w:pPr>
            <w:pStyle w:val="Contents3"/>
            <w:tabs>
              <w:tab w:val="clear" w:pos="8459"/>
              <w:tab w:val="right" w:pos="9026" w:leader="dot"/>
            </w:tabs>
            <w:rPr/>
          </w:pPr>
          <w:hyperlink w:anchor="__RefHeading___Toc558107_365066874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558109_3650668749">
            <w:r>
              <w:rPr>
                <w:webHidden/>
                <w:rStyle w:val="IndexLink"/>
                <w:rtl w:val="true"/>
              </w:rPr>
              <w:t>انتساب شيعه به يهود</w:t>
            </w:r>
            <w:r>
              <w:rPr>
                <w:rStyle w:val="IndexLink"/>
                <w:rtl w:val="true"/>
              </w:rPr>
              <w:tab/>
            </w:r>
            <w:r>
              <w:rPr>
                <w:rStyle w:val="IndexLink"/>
              </w:rPr>
              <w:t>60</w:t>
            </w:r>
          </w:hyperlink>
        </w:p>
        <w:p>
          <w:pPr>
            <w:pStyle w:val="Contents3"/>
            <w:tabs>
              <w:tab w:val="clear" w:pos="8459"/>
              <w:tab w:val="right" w:pos="9026" w:leader="dot"/>
            </w:tabs>
            <w:rPr/>
          </w:pPr>
          <w:hyperlink w:anchor="__RefHeading___Toc558111_3650668749">
            <w:r>
              <w:rPr>
                <w:webHidden/>
                <w:rStyle w:val="IndexLink"/>
                <w:rtl w:val="true"/>
              </w:rPr>
              <w:t>كافر معرفى‌كردن شيعه</w:t>
            </w:r>
            <w:r>
              <w:rPr>
                <w:rStyle w:val="IndexLink"/>
                <w:rtl w:val="true"/>
              </w:rPr>
              <w:tab/>
            </w:r>
            <w:r>
              <w:rPr>
                <w:rStyle w:val="IndexLink"/>
              </w:rPr>
              <w:t>61</w:t>
            </w:r>
          </w:hyperlink>
        </w:p>
        <w:p>
          <w:pPr>
            <w:pStyle w:val="Contents3"/>
            <w:tabs>
              <w:tab w:val="clear" w:pos="8459"/>
              <w:tab w:val="right" w:pos="9026" w:leader="dot"/>
            </w:tabs>
            <w:rPr/>
          </w:pPr>
          <w:hyperlink w:anchor="__RefHeading___Toc558113_3650668749">
            <w:r>
              <w:rPr>
                <w:webHidden/>
                <w:rStyle w:val="IndexLink"/>
                <w:rtl w:val="true"/>
              </w:rPr>
              <w:t>شايع نمودن گرايش برخى از علما و متفكرين شيعه به وهابيت</w:t>
            </w:r>
            <w:r>
              <w:rPr>
                <w:rStyle w:val="IndexLink"/>
                <w:rtl w:val="true"/>
              </w:rPr>
              <w:tab/>
            </w:r>
            <w:r>
              <w:rPr>
                <w:rStyle w:val="IndexLink"/>
              </w:rPr>
              <w:t>61</w:t>
            </w:r>
          </w:hyperlink>
        </w:p>
        <w:p>
          <w:pPr>
            <w:pStyle w:val="Contents3"/>
            <w:tabs>
              <w:tab w:val="clear" w:pos="8459"/>
              <w:tab w:val="right" w:pos="9026" w:leader="dot"/>
            </w:tabs>
            <w:rPr/>
          </w:pPr>
          <w:hyperlink w:anchor="__RefHeading___Toc558115_3650668749">
            <w:r>
              <w:rPr>
                <w:webHidden/>
                <w:rStyle w:val="IndexLink"/>
                <w:rtl w:val="true"/>
              </w:rPr>
              <w:t>ناامن‌كردن مراكز و مراسم مذهبى شيعيان</w:t>
            </w:r>
            <w:r>
              <w:rPr>
                <w:rStyle w:val="IndexLink"/>
                <w:rtl w:val="true"/>
              </w:rPr>
              <w:tab/>
            </w:r>
            <w:r>
              <w:rPr>
                <w:rStyle w:val="IndexLink"/>
              </w:rPr>
              <w:t>62</w:t>
            </w:r>
          </w:hyperlink>
        </w:p>
        <w:p>
          <w:pPr>
            <w:pStyle w:val="Contents3"/>
            <w:tabs>
              <w:tab w:val="clear" w:pos="8459"/>
              <w:tab w:val="right" w:pos="9026" w:leader="dot"/>
            </w:tabs>
            <w:rPr/>
          </w:pPr>
          <w:hyperlink w:anchor="__RefHeading___Toc558117_3650668749">
            <w:r>
              <w:rPr>
                <w:webHidden/>
                <w:rStyle w:val="IndexLink"/>
                <w:rtl w:val="true"/>
              </w:rPr>
              <w:t>تشكيل گروه‌هاى تبليغى و جهادى عليه شيعيان</w:t>
            </w:r>
            <w:r>
              <w:rPr>
                <w:rStyle w:val="IndexLink"/>
                <w:rtl w:val="true"/>
              </w:rPr>
              <w:tab/>
            </w:r>
            <w:r>
              <w:rPr>
                <w:rStyle w:val="IndexLink"/>
              </w:rPr>
              <w:t>62</w:t>
            </w:r>
          </w:hyperlink>
        </w:p>
        <w:p>
          <w:pPr>
            <w:pStyle w:val="Contents3"/>
            <w:tabs>
              <w:tab w:val="clear" w:pos="8459"/>
              <w:tab w:val="right" w:pos="9026" w:leader="dot"/>
            </w:tabs>
            <w:rPr/>
          </w:pPr>
          <w:hyperlink w:anchor="__RefHeading___Toc558119_3650668749">
            <w:r>
              <w:rPr>
                <w:webHidden/>
                <w:rStyle w:val="IndexLink"/>
                <w:rtl w:val="true"/>
              </w:rPr>
              <w:t>تهييج افكار اهل سنت عليه شيعيان</w:t>
            </w:r>
            <w:r>
              <w:rPr>
                <w:rStyle w:val="IndexLink"/>
                <w:rtl w:val="true"/>
              </w:rPr>
              <w:tab/>
            </w:r>
            <w:r>
              <w:rPr>
                <w:rStyle w:val="IndexLink"/>
              </w:rPr>
              <w:t>62</w:t>
            </w:r>
          </w:hyperlink>
        </w:p>
        <w:p>
          <w:pPr>
            <w:pStyle w:val="Contents3"/>
            <w:tabs>
              <w:tab w:val="clear" w:pos="8459"/>
              <w:tab w:val="right" w:pos="9026" w:leader="dot"/>
            </w:tabs>
            <w:rPr/>
          </w:pPr>
          <w:hyperlink w:anchor="__RefHeading___Toc558121_3650668749">
            <w:r>
              <w:rPr>
                <w:webHidden/>
                <w:rStyle w:val="IndexLink"/>
                <w:rtl w:val="true"/>
              </w:rPr>
              <w:t>تلاش جهت ايجاد اختلاف و بدبينى بين شيعيان و اهل سنت و تحريك احساسات آنان عليه همديگر</w:t>
            </w:r>
            <w:r>
              <w:rPr>
                <w:rStyle w:val="IndexLink"/>
                <w:rtl w:val="true"/>
              </w:rPr>
              <w:tab/>
            </w:r>
            <w:r>
              <w:rPr>
                <w:rStyle w:val="IndexLink"/>
              </w:rPr>
              <w:t>63</w:t>
            </w:r>
          </w:hyperlink>
        </w:p>
        <w:p>
          <w:pPr>
            <w:pStyle w:val="Contents3"/>
            <w:tabs>
              <w:tab w:val="clear" w:pos="8459"/>
              <w:tab w:val="right" w:pos="9026" w:leader="dot"/>
            </w:tabs>
            <w:rPr/>
          </w:pPr>
          <w:hyperlink w:anchor="__RefHeading___Toc558123_3650668749">
            <w:r>
              <w:rPr>
                <w:webHidden/>
                <w:rStyle w:val="IndexLink"/>
                <w:rtl w:val="true"/>
              </w:rPr>
              <w:t xml:space="preserve">ايجاد و سازماندهى صدها مركز تبليغى و سايت و شبكه‌هاى فرهنگى </w:t>
            </w:r>
            <w:r>
              <w:rPr>
                <w:rStyle w:val="IndexLink"/>
                <w:rtl w:val="true"/>
              </w:rPr>
              <w:t xml:space="preserve">- </w:t>
            </w:r>
            <w:r>
              <w:rPr>
                <w:rStyle w:val="IndexLink"/>
                <w:rtl w:val="true"/>
              </w:rPr>
              <w:t>تبليغى عليه مذهب شيعه</w:t>
            </w:r>
            <w:r>
              <w:rPr>
                <w:rStyle w:val="IndexLink"/>
                <w:rtl w:val="true"/>
              </w:rPr>
              <w:tab/>
            </w:r>
            <w:r>
              <w:rPr>
                <w:rStyle w:val="IndexLink"/>
              </w:rPr>
              <w:t>64</w:t>
            </w:r>
          </w:hyperlink>
        </w:p>
        <w:p>
          <w:pPr>
            <w:pStyle w:val="Contents3"/>
            <w:tabs>
              <w:tab w:val="clear" w:pos="8459"/>
              <w:tab w:val="right" w:pos="9026" w:leader="dot"/>
            </w:tabs>
            <w:rPr/>
          </w:pPr>
          <w:hyperlink w:anchor="__RefHeading___Toc558125_3650668749">
            <w:r>
              <w:rPr>
                <w:webHidden/>
                <w:rStyle w:val="IndexLink"/>
                <w:rtl w:val="true"/>
              </w:rPr>
              <w:t>رشد شيعه هراسى در جهان اسلام</w:t>
            </w:r>
            <w:r>
              <w:rPr>
                <w:rStyle w:val="IndexLink"/>
                <w:rtl w:val="true"/>
              </w:rPr>
              <w:tab/>
            </w:r>
            <w:r>
              <w:rPr>
                <w:rStyle w:val="IndexLink"/>
              </w:rPr>
              <w:t>64</w:t>
            </w:r>
          </w:hyperlink>
        </w:p>
        <w:p>
          <w:pPr>
            <w:pStyle w:val="Contents3"/>
            <w:tabs>
              <w:tab w:val="clear" w:pos="8459"/>
              <w:tab w:val="right" w:pos="9026" w:leader="dot"/>
            </w:tabs>
            <w:rPr/>
          </w:pPr>
          <w:hyperlink w:anchor="__RefHeading___Toc558127_3650668749">
            <w:r>
              <w:rPr>
                <w:webHidden/>
                <w:rStyle w:val="IndexLink"/>
                <w:rtl w:val="true"/>
              </w:rPr>
              <w:t>مهم‌ترين شبهات وهابيت عليه شيعه</w:t>
            </w:r>
            <w:r>
              <w:rPr>
                <w:rStyle w:val="IndexLink"/>
                <w:rtl w:val="true"/>
              </w:rPr>
              <w:tab/>
            </w:r>
            <w:r>
              <w:rPr>
                <w:rStyle w:val="IndexLink"/>
              </w:rPr>
              <w:t>67</w:t>
            </w:r>
          </w:hyperlink>
        </w:p>
        <w:p>
          <w:pPr>
            <w:pStyle w:val="Contents3"/>
            <w:tabs>
              <w:tab w:val="clear" w:pos="8459"/>
              <w:tab w:val="right" w:pos="9026" w:leader="dot"/>
            </w:tabs>
            <w:rPr/>
          </w:pPr>
          <w:hyperlink w:anchor="__RefHeading___Toc558129_3650668749">
            <w:r>
              <w:rPr>
                <w:webHidden/>
                <w:rStyle w:val="IndexLink"/>
                <w:rtl w:val="true"/>
              </w:rPr>
              <w:t>چرا شيعيان در اقليت هستند؟</w:t>
            </w:r>
            <w:r>
              <w:rPr>
                <w:rStyle w:val="IndexLink"/>
                <w:rtl w:val="true"/>
              </w:rPr>
              <w:tab/>
            </w:r>
            <w:r>
              <w:rPr>
                <w:rStyle w:val="IndexLink"/>
              </w:rPr>
              <w:t>68</w:t>
            </w:r>
          </w:hyperlink>
        </w:p>
        <w:p>
          <w:pPr>
            <w:pStyle w:val="Contents3"/>
            <w:tabs>
              <w:tab w:val="clear" w:pos="8459"/>
              <w:tab w:val="right" w:pos="9026" w:leader="dot"/>
            </w:tabs>
            <w:rPr/>
          </w:pPr>
          <w:hyperlink w:anchor="__RefHeading___Toc558131_3650668749">
            <w:r>
              <w:rPr>
                <w:webHidden/>
                <w:rStyle w:val="IndexLink"/>
                <w:rtl w:val="true"/>
              </w:rPr>
              <w:t>تهمت ناروا به شيعه</w:t>
            </w:r>
            <w:r>
              <w:rPr>
                <w:rStyle w:val="IndexLink"/>
                <w:rtl w:val="true"/>
              </w:rPr>
              <w:tab/>
            </w:r>
            <w:r>
              <w:rPr>
                <w:rStyle w:val="IndexLink"/>
              </w:rPr>
              <w:t>69</w:t>
            </w:r>
          </w:hyperlink>
        </w:p>
        <w:p>
          <w:pPr>
            <w:pStyle w:val="Contents3"/>
            <w:tabs>
              <w:tab w:val="clear" w:pos="8459"/>
              <w:tab w:val="right" w:pos="9026" w:leader="dot"/>
            </w:tabs>
            <w:rPr/>
          </w:pPr>
          <w:hyperlink w:anchor="__RefHeading___Toc558133_3650668749">
            <w:r>
              <w:rPr>
                <w:webHidden/>
                <w:rStyle w:val="IndexLink"/>
                <w:rtl w:val="true"/>
              </w:rPr>
              <w:t>فرق بين شيعه و سنى</w:t>
            </w:r>
            <w:r>
              <w:rPr>
                <w:rStyle w:val="IndexLink"/>
                <w:rtl w:val="true"/>
              </w:rPr>
              <w:tab/>
            </w:r>
            <w:r>
              <w:rPr>
                <w:rStyle w:val="IndexLink"/>
              </w:rPr>
              <w:t>70</w:t>
            </w:r>
          </w:hyperlink>
        </w:p>
        <w:p>
          <w:pPr>
            <w:pStyle w:val="Contents3"/>
            <w:tabs>
              <w:tab w:val="clear" w:pos="8459"/>
              <w:tab w:val="right" w:pos="9026" w:leader="dot"/>
            </w:tabs>
            <w:rPr/>
          </w:pPr>
          <w:hyperlink w:anchor="__RefHeading___Toc558135_3650668749">
            <w:r>
              <w:rPr>
                <w:webHidden/>
                <w:rStyle w:val="IndexLink"/>
                <w:rtl w:val="true"/>
              </w:rPr>
              <w:t>آيا شيعيان قرآن ديگرى دارند؟</w:t>
            </w:r>
            <w:r>
              <w:rPr>
                <w:rStyle w:val="IndexLink"/>
                <w:rtl w:val="true"/>
              </w:rPr>
              <w:tab/>
            </w:r>
            <w:r>
              <w:rPr>
                <w:rStyle w:val="IndexLink"/>
              </w:rPr>
              <w:t>71</w:t>
            </w:r>
          </w:hyperlink>
        </w:p>
        <w:p>
          <w:pPr>
            <w:pStyle w:val="Contents3"/>
            <w:tabs>
              <w:tab w:val="clear" w:pos="8459"/>
              <w:tab w:val="right" w:pos="9026" w:leader="dot"/>
            </w:tabs>
            <w:rPr/>
          </w:pPr>
          <w:hyperlink w:anchor="__RefHeading___Toc558137_3650668749">
            <w:r>
              <w:rPr>
                <w:webHidden/>
                <w:rStyle w:val="IndexLink"/>
                <w:rtl w:val="true"/>
              </w:rPr>
              <w:t xml:space="preserve">شهادت به ولايت علي </w:t>
            </w:r>
            <w:r>
              <w:rPr>
                <w:rStyle w:val="IndexLink"/>
                <w:rtl w:val="true"/>
              </w:rPr>
              <w:t>(</w:t>
            </w:r>
            <w:r>
              <w:rPr>
                <w:rStyle w:val="IndexLink"/>
                <w:rtl w:val="true"/>
              </w:rPr>
              <w:t>ع</w:t>
            </w:r>
            <w:r>
              <w:rPr>
                <w:rStyle w:val="IndexLink"/>
                <w:rtl w:val="true"/>
              </w:rPr>
              <w:t xml:space="preserve">) </w:t>
            </w:r>
            <w:r>
              <w:rPr>
                <w:rStyle w:val="IndexLink"/>
                <w:rtl w:val="true"/>
              </w:rPr>
              <w:t>در اذان</w:t>
            </w:r>
            <w:r>
              <w:rPr>
                <w:rStyle w:val="IndexLink"/>
                <w:rtl w:val="true"/>
              </w:rPr>
              <w:tab/>
            </w:r>
            <w:r>
              <w:rPr>
                <w:rStyle w:val="IndexLink"/>
              </w:rPr>
              <w:t>72</w:t>
            </w:r>
          </w:hyperlink>
        </w:p>
        <w:p>
          <w:pPr>
            <w:pStyle w:val="Contents3"/>
            <w:tabs>
              <w:tab w:val="clear" w:pos="8459"/>
              <w:tab w:val="right" w:pos="9026" w:leader="dot"/>
            </w:tabs>
            <w:rPr/>
          </w:pPr>
          <w:hyperlink w:anchor="__RefHeading___Toc558139_3650668749">
            <w:r>
              <w:rPr>
                <w:webHidden/>
                <w:rStyle w:val="IndexLink"/>
                <w:rtl w:val="true"/>
              </w:rPr>
              <w:t>سجده بر مهر</w:t>
            </w:r>
            <w:r>
              <w:rPr>
                <w:rStyle w:val="IndexLink"/>
                <w:rtl w:val="true"/>
              </w:rPr>
              <w:tab/>
            </w:r>
            <w:r>
              <w:rPr>
                <w:rStyle w:val="IndexLink"/>
              </w:rPr>
              <w:t>73</w:t>
            </w:r>
          </w:hyperlink>
        </w:p>
        <w:p>
          <w:pPr>
            <w:pStyle w:val="Contents3"/>
            <w:tabs>
              <w:tab w:val="clear" w:pos="8459"/>
              <w:tab w:val="right" w:pos="9026" w:leader="dot"/>
            </w:tabs>
            <w:rPr/>
          </w:pPr>
          <w:hyperlink w:anchor="__RefHeading___Toc558141_3650668749">
            <w:r>
              <w:rPr>
                <w:webHidden/>
                <w:rStyle w:val="IndexLink"/>
                <w:rtl w:val="true"/>
              </w:rPr>
              <w:t>زيارت قبور</w:t>
            </w:r>
            <w:r>
              <w:rPr>
                <w:rStyle w:val="IndexLink"/>
                <w:rtl w:val="true"/>
              </w:rPr>
              <w:tab/>
            </w:r>
            <w:r>
              <w:rPr>
                <w:rStyle w:val="IndexLink"/>
              </w:rPr>
              <w:t>75</w:t>
            </w:r>
          </w:hyperlink>
        </w:p>
        <w:p>
          <w:pPr>
            <w:pStyle w:val="Contents3"/>
            <w:tabs>
              <w:tab w:val="clear" w:pos="8459"/>
              <w:tab w:val="right" w:pos="9026" w:leader="dot"/>
            </w:tabs>
            <w:rPr/>
          </w:pPr>
          <w:hyperlink w:anchor="__RefHeading___Toc558143_3650668749">
            <w:r>
              <w:rPr>
                <w:webHidden/>
                <w:rStyle w:val="IndexLink"/>
                <w:rtl w:val="true"/>
              </w:rPr>
              <w:t>تبرك جستن</w:t>
            </w:r>
            <w:r>
              <w:rPr>
                <w:rStyle w:val="IndexLink"/>
                <w:rtl w:val="true"/>
              </w:rPr>
              <w:tab/>
            </w:r>
            <w:r>
              <w:rPr>
                <w:rStyle w:val="IndexLink"/>
              </w:rPr>
              <w:t>77</w:t>
            </w:r>
          </w:hyperlink>
        </w:p>
        <w:p>
          <w:pPr>
            <w:pStyle w:val="Contents3"/>
            <w:tabs>
              <w:tab w:val="clear" w:pos="8459"/>
              <w:tab w:val="right" w:pos="9026" w:leader="dot"/>
            </w:tabs>
            <w:rPr/>
          </w:pPr>
          <w:hyperlink w:anchor="__RefHeading___Toc558145_3650668749">
            <w:r>
              <w:rPr>
                <w:webHidden/>
                <w:rStyle w:val="IndexLink"/>
                <w:rtl w:val="true"/>
              </w:rPr>
              <w:t>جمع بين دو نماز</w:t>
            </w:r>
            <w:r>
              <w:rPr>
                <w:rStyle w:val="IndexLink"/>
                <w:rtl w:val="true"/>
              </w:rPr>
              <w:tab/>
            </w:r>
            <w:r>
              <w:rPr>
                <w:rStyle w:val="IndexLink"/>
              </w:rPr>
              <w:t>78</w:t>
            </w:r>
          </w:hyperlink>
        </w:p>
        <w:p>
          <w:pPr>
            <w:pStyle w:val="Contents3"/>
            <w:tabs>
              <w:tab w:val="clear" w:pos="8459"/>
              <w:tab w:val="right" w:pos="9026" w:leader="dot"/>
            </w:tabs>
            <w:rPr/>
          </w:pPr>
          <w:hyperlink w:anchor="__RefHeading___Toc558147_3650668749">
            <w:r>
              <w:rPr>
                <w:webHidden/>
                <w:rStyle w:val="IndexLink"/>
                <w:rtl w:val="true"/>
              </w:rPr>
              <w:t>توسل</w:t>
            </w:r>
            <w:r>
              <w:rPr>
                <w:rStyle w:val="IndexLink"/>
                <w:rtl w:val="true"/>
              </w:rPr>
              <w:tab/>
            </w:r>
            <w:r>
              <w:rPr>
                <w:rStyle w:val="IndexLink"/>
              </w:rPr>
              <w:t>79</w:t>
            </w:r>
          </w:hyperlink>
        </w:p>
        <w:p>
          <w:pPr>
            <w:pStyle w:val="Contents3"/>
            <w:tabs>
              <w:tab w:val="clear" w:pos="8459"/>
              <w:tab w:val="right" w:pos="9026" w:leader="dot"/>
            </w:tabs>
            <w:rPr/>
          </w:pPr>
          <w:hyperlink w:anchor="__RefHeading___Toc558149_3650668749">
            <w:r>
              <w:rPr>
                <w:webHidden/>
                <w:rStyle w:val="IndexLink"/>
                <w:rtl w:val="true"/>
              </w:rPr>
              <w:t>با دست باز نماز خواندن</w:t>
            </w:r>
            <w:r>
              <w:rPr>
                <w:rStyle w:val="IndexLink"/>
                <w:rtl w:val="true"/>
              </w:rPr>
              <w:tab/>
            </w:r>
            <w:r>
              <w:rPr>
                <w:rStyle w:val="IndexLink"/>
              </w:rPr>
              <w:t>81</w:t>
            </w:r>
          </w:hyperlink>
        </w:p>
        <w:p>
          <w:pPr>
            <w:pStyle w:val="Contents3"/>
            <w:tabs>
              <w:tab w:val="clear" w:pos="8459"/>
              <w:tab w:val="right" w:pos="9026" w:leader="dot"/>
            </w:tabs>
            <w:rPr/>
          </w:pPr>
          <w:hyperlink w:anchor="__RefHeading___Toc558151_3650668749">
            <w:r>
              <w:rPr>
                <w:webHidden/>
                <w:rStyle w:val="IndexLink"/>
                <w:rtl w:val="true"/>
              </w:rPr>
              <w:t>احترام به قبور و اشياى متبرك</w:t>
            </w:r>
            <w:r>
              <w:rPr>
                <w:rStyle w:val="IndexLink"/>
                <w:rtl w:val="true"/>
              </w:rPr>
              <w:tab/>
            </w:r>
            <w:r>
              <w:rPr>
                <w:rStyle w:val="IndexLink"/>
              </w:rPr>
              <w:t>82</w:t>
            </w:r>
          </w:hyperlink>
        </w:p>
        <w:p>
          <w:pPr>
            <w:pStyle w:val="Contents3"/>
            <w:tabs>
              <w:tab w:val="clear" w:pos="8459"/>
              <w:tab w:val="right" w:pos="9026" w:leader="dot"/>
            </w:tabs>
            <w:rPr/>
          </w:pPr>
          <w:hyperlink w:anchor="__RefHeading___Toc558153_3650668749">
            <w:r>
              <w:rPr>
                <w:webHidden/>
                <w:rStyle w:val="IndexLink"/>
                <w:rtl w:val="true"/>
              </w:rPr>
              <w:t>شفاعت</w:t>
            </w:r>
            <w:r>
              <w:rPr>
                <w:rStyle w:val="IndexLink"/>
                <w:rtl w:val="true"/>
              </w:rPr>
              <w:tab/>
            </w:r>
            <w:r>
              <w:rPr>
                <w:rStyle w:val="IndexLink"/>
              </w:rPr>
              <w:t>83</w:t>
            </w:r>
          </w:hyperlink>
        </w:p>
        <w:p>
          <w:pPr>
            <w:pStyle w:val="Contents3"/>
            <w:tabs>
              <w:tab w:val="clear" w:pos="8459"/>
              <w:tab w:val="right" w:pos="9026" w:leader="dot"/>
            </w:tabs>
            <w:rPr/>
          </w:pPr>
          <w:hyperlink w:anchor="__RefHeading___Toc558155_3650668749">
            <w:r>
              <w:rPr>
                <w:webHidden/>
                <w:rStyle w:val="IndexLink"/>
                <w:rtl w:val="true"/>
              </w:rPr>
              <w:t>علم غيب</w:t>
            </w:r>
            <w:r>
              <w:rPr>
                <w:rStyle w:val="IndexLink"/>
                <w:rtl w:val="true"/>
              </w:rPr>
              <w:tab/>
            </w:r>
            <w:r>
              <w:rPr>
                <w:rStyle w:val="IndexLink"/>
              </w:rPr>
              <w:t>84</w:t>
            </w:r>
          </w:hyperlink>
        </w:p>
        <w:p>
          <w:pPr>
            <w:pStyle w:val="Contents3"/>
            <w:tabs>
              <w:tab w:val="clear" w:pos="8459"/>
              <w:tab w:val="right" w:pos="9026" w:leader="dot"/>
            </w:tabs>
            <w:rPr/>
          </w:pPr>
          <w:hyperlink w:anchor="__RefHeading___Toc558157_3650668749">
            <w:r>
              <w:rPr>
                <w:webHidden/>
                <w:rStyle w:val="IndexLink"/>
                <w:rtl w:val="true"/>
              </w:rPr>
              <w:t>سب و لعن صحابه</w:t>
            </w:r>
            <w:r>
              <w:rPr>
                <w:rStyle w:val="IndexLink"/>
                <w:rtl w:val="true"/>
              </w:rPr>
              <w:tab/>
            </w:r>
            <w:r>
              <w:rPr>
                <w:rStyle w:val="IndexLink"/>
              </w:rPr>
              <w:t>85</w:t>
            </w:r>
          </w:hyperlink>
        </w:p>
        <w:p>
          <w:pPr>
            <w:pStyle w:val="Contents3"/>
            <w:tabs>
              <w:tab w:val="clear" w:pos="8459"/>
              <w:tab w:val="right" w:pos="9026" w:leader="dot"/>
            </w:tabs>
            <w:rPr/>
          </w:pPr>
          <w:hyperlink w:anchor="__RefHeading___Toc558159_3650668749">
            <w:r>
              <w:rPr>
                <w:webHidden/>
                <w:rStyle w:val="IndexLink"/>
                <w:rtl w:val="true"/>
              </w:rPr>
              <w:t>گريه بر اموات</w:t>
            </w:r>
            <w:r>
              <w:rPr>
                <w:rStyle w:val="IndexLink"/>
                <w:rtl w:val="true"/>
              </w:rPr>
              <w:tab/>
            </w:r>
            <w:r>
              <w:rPr>
                <w:rStyle w:val="IndexLink"/>
              </w:rPr>
              <w:t>86</w:t>
            </w:r>
          </w:hyperlink>
        </w:p>
        <w:p>
          <w:pPr>
            <w:pStyle w:val="Contents3"/>
            <w:tabs>
              <w:tab w:val="clear" w:pos="8459"/>
              <w:tab w:val="right" w:pos="9026" w:leader="dot"/>
            </w:tabs>
            <w:rPr/>
          </w:pPr>
          <w:hyperlink w:anchor="__RefHeading___Toc558161_3650668749">
            <w:r>
              <w:rPr>
                <w:webHidden/>
                <w:rStyle w:val="IndexLink"/>
                <w:rtl w:val="true"/>
              </w:rPr>
              <w:t xml:space="preserve">عصمت انبيا و ائمه </w:t>
            </w:r>
            <w:r>
              <w:rPr>
                <w:rStyle w:val="IndexLink"/>
                <w:rtl w:val="true"/>
              </w:rPr>
              <w:t>(</w:t>
            </w:r>
            <w:r>
              <w:rPr>
                <w:rStyle w:val="IndexLink"/>
                <w:rtl w:val="true"/>
              </w:rPr>
              <w:t>عليهم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558163_3650668749">
            <w:r>
              <w:rPr>
                <w:webHidden/>
                <w:rStyle w:val="IndexLink"/>
                <w:rtl w:val="true"/>
              </w:rPr>
              <w:t xml:space="preserve">سب النبى </w:t>
            </w:r>
            <w:r>
              <w:rPr>
                <w:rStyle w:val="IndexLink"/>
                <w:rtl w:val="true"/>
              </w:rPr>
              <w:t>(</w:t>
            </w:r>
            <w:r>
              <w:rPr>
                <w:rStyle w:val="IndexLink"/>
                <w:rtl w:val="true"/>
              </w:rPr>
              <w:t>ص</w:t>
            </w:r>
            <w:r>
              <w:rPr>
                <w:rStyle w:val="IndexLink"/>
                <w:rtl w:val="true"/>
              </w:rPr>
              <w:t>)</w:t>
              <w:tab/>
            </w:r>
            <w:r>
              <w:rPr>
                <w:rStyle w:val="IndexLink"/>
              </w:rPr>
              <w:t>88</w:t>
            </w:r>
          </w:hyperlink>
        </w:p>
        <w:p>
          <w:pPr>
            <w:pStyle w:val="Contents2"/>
            <w:tabs>
              <w:tab w:val="clear" w:pos="8743"/>
              <w:tab w:val="right" w:pos="9026" w:leader="dot"/>
            </w:tabs>
            <w:rPr/>
          </w:pPr>
          <w:hyperlink w:anchor="__RefHeading___Toc558165_3650668749">
            <w:r>
              <w:rPr>
                <w:webHidden/>
                <w:rStyle w:val="IndexLink"/>
                <w:rtl w:val="true"/>
              </w:rPr>
              <w:t>كتابنامه</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2_13088"/>
      <w:bookmarkStart w:id="1" w:name="pg1532_13088"/>
      <w:bookmarkEnd w:id="1"/>
    </w:p>
    <w:p>
      <w:pPr>
        <w:pStyle w:val="Heading2"/>
        <w:numPr>
          <w:ilvl w:val="1"/>
          <w:numId w:val="1"/>
        </w:numPr>
        <w:rPr/>
      </w:pPr>
      <w:bookmarkStart w:id="2" w:name="pg1532_13088"/>
      <w:bookmarkStart w:id="3" w:name="__RefHeading___Toc55799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علي‌بخشي، عبدالله،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در يك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علي‌بخشي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۵۲۷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۲۶۰۷۴۷۹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7995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2_13096"/>
      <w:bookmarkStart w:id="8" w:name="pg1532_13096"/>
      <w:bookmarkEnd w:id="8"/>
    </w:p>
    <w:p>
      <w:pPr>
        <w:pStyle w:val="Heading2"/>
        <w:numPr>
          <w:ilvl w:val="1"/>
          <w:numId w:val="1"/>
        </w:numPr>
        <w:rPr/>
      </w:pPr>
      <w:bookmarkStart w:id="9" w:name="pg1532_13096"/>
      <w:bookmarkStart w:id="10" w:name="__RefHeading___Toc557997_3650668749"/>
      <w:bookmarkStart w:id="11" w:name="_Toc3"/>
      <w:bookmarkEnd w:id="9"/>
      <w:bookmarkEnd w:id="10"/>
      <w:r>
        <w:rPr>
          <w:rtl w:val="true"/>
        </w:rPr>
        <w:t>ديباچه</w:t>
      </w:r>
      <w:bookmarkEnd w:id="11"/>
    </w:p>
    <w:p>
      <w:pPr>
        <w:pStyle w:val="BookText"/>
        <w:rPr/>
      </w:pPr>
      <w:r>
        <w:rPr>
          <w:rFonts w:ascii="Amiri" w:hAnsi="Amiri" w:eastAsia="Amiri" w:cs="Amiri"/>
          <w:color w:val="111111"/>
          <w:sz w:val="28"/>
          <w:sz w:val="28"/>
          <w:szCs w:val="28"/>
          <w:rtl w:val="true"/>
          <w:lang w:bidi="ar-SA"/>
        </w:rPr>
        <w:t>الحمدلله رب العالمين و صلى الله على محمد و آله الطاهرين</w:t>
      </w:r>
    </w:p>
    <w:p>
      <w:pPr>
        <w:pStyle w:val="BookText"/>
        <w:rPr/>
      </w:pPr>
      <w:r>
        <w:rPr>
          <w:rFonts w:ascii="IRNazanin" w:hAnsi="IRNazanin" w:eastAsia="IRNazanin"/>
          <w:color w:val="111111"/>
          <w:sz w:val="28"/>
          <w:sz w:val="28"/>
          <w:szCs w:val="28"/>
          <w:rtl w:val="true"/>
          <w:lang w:bidi="fa-IR"/>
        </w:rPr>
        <w:t xml:space="preserve">محمد بن عبدالوهاب حدود دو قرن پيش فرقه وهابيت را در سرزمين نجد عربستان بنا نهاد و با كمك‌هاى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محمد بن سعود، امير منطقه درعيه، كم‌كم توانست آيين باطل خويش را در تمام مناطق عربستان گسترش 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فرقه براساس انديشه، اعتقاد و فتاواى مخصوص به خود، از ديگر فرقه‌ها متمايز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على‌بخشى در اين نوشتار با زبانى ساده به بررسى اين اعتقادات و فتاوا پرداخته و به شبهاتى كه اين گروه درباره باورهاى عموم مسلمانان، به‌ويژه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كرده‌اند نيز به طور مختصر اشاره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اميد است اين اثر براى عموم مسلمانان، به‌ويژه براى زائران خانه دوست، مفيد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كلام و معارف </w:t>
      </w:r>
      <w:bookmarkStart w:id="12" w:name="pg1532_13098"/>
    </w:p>
    <w:p>
      <w:pPr>
        <w:pStyle w:val="Heading2"/>
        <w:numPr>
          <w:ilvl w:val="1"/>
          <w:numId w:val="1"/>
        </w:numPr>
        <w:rPr/>
      </w:pPr>
      <w:bookmarkStart w:id="13" w:name="__RefHeading___Toc557999_365066874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در رابطه با معرفى فرقه منحرف وهابيت، تاكنون صدها كتاب، جزوه و مقاله از سوى شخصيت‌هاى علمى و فرهنگى سراسر جهان نوشته شده است و هر كدام از زاويه خاصى به تبيين انديشه‌ها، اعمال و نقاط انحرافى اين فرقه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تبيين انحرافات اين فرقه و پاسخ به شبهات آنان به زبانى ساده و روان براى اقشار مختلف جامعه خصوصاً جوانانى كه با استدلال‌ها و اصطلاحات علمى، ادبى، فقهى، اصولى و تفسيرى آشنا نيستند، از جمله خلأهايى است كه كمتر به آن پرداخته شده است و جاى آن همچنان خالى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اساس، در نوشتار حاضر تلاش شده تا با زبانى ساده و متقن با استناد به نوشته‌ها، فتاوا و عملكرد شخصيت‌ها و متفكران اين فرقه انحرافى، به معرفى آن </w:t>
      </w:r>
    </w:p>
    <w:p>
      <w:pPr>
        <w:pStyle w:val="BookText"/>
        <w:rPr/>
      </w:pP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اين نوشته كه با هدف ساده و روان‌نمودن مطالب و مباحث علمى تدوين گرديده، خالى از عيب و نقص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صاحب‌نظران و انديشمندان محترمى كه اين نوشته ساده را مطالعه مى‌نمايند، در تكميل و ترويج آن ما را از عنايات خود محروم ننمايند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على‌بخشى </w:t>
      </w:r>
      <w:bookmarkStart w:id="15" w:name="pg1532_13100"/>
    </w:p>
    <w:p>
      <w:pPr>
        <w:pStyle w:val="Heading2"/>
        <w:numPr>
          <w:ilvl w:val="1"/>
          <w:numId w:val="1"/>
        </w:numPr>
        <w:rPr/>
      </w:pPr>
      <w:bookmarkStart w:id="16" w:name="__RefHeading___Toc558001_3650668749"/>
      <w:bookmarkStart w:id="17" w:name="_Toc5"/>
      <w:bookmarkEnd w:id="15"/>
      <w:bookmarkEnd w:id="16"/>
      <w:r>
        <w:rPr>
          <w:rtl w:val="true"/>
        </w:rPr>
        <w:t>تاريخچه وهابيت</w:t>
      </w:r>
      <w:bookmarkEnd w:id="17"/>
    </w:p>
    <w:p>
      <w:pPr>
        <w:pStyle w:val="BookText"/>
        <w:rPr/>
      </w:pPr>
      <w:r>
        <w:rPr>
          <w:rFonts w:ascii="IRNazanin" w:hAnsi="IRNazanin" w:eastAsia="IRNazanin"/>
          <w:color w:val="111111"/>
          <w:sz w:val="28"/>
          <w:sz w:val="28"/>
          <w:szCs w:val="28"/>
          <w:rtl w:val="true"/>
          <w:lang w:bidi="fa-IR"/>
        </w:rPr>
        <w:t xml:space="preserve">وهابيت يكى از فرق نوظهور 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وهابيت از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فرقه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التميمى در سال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 xml:space="preserve">م در شهر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كودكى به فراگيرى دروس مذهبى رو آورد و دروس مقدماتى را نزد پدرش كه قاضى شهر بود فرا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پس از مدتى براى ادامه تحصيل رهسپار مدينه منوره شد و چهار سال در مدينه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بيشتر وقت خود را صرف مطالعه و يادگيرى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نمود و به‌شدت تحت تأثير عقايد و افكار وى </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دورانى كه در مدينه مشغول تحصيل بود، گهگاه نظرات و مطالبى بر زبانش جارى مى‌شد كه موجب نگرانى برخى از اطرافيانش شده بود؛ چندان‌كه برخى از اساتيد وى نسبت به آينده‌اش نگران شده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فرد به تبليغ بپردازد گروهى را گمراه خواهد كرد</w:t>
      </w:r>
      <w:r>
        <w:rPr>
          <w:rFonts w:eastAsia="IRNazanin" w:cs="IRNazanin"/>
          <w:color w:val="111111"/>
          <w:sz w:val="28"/>
          <w:szCs w:val="28"/>
          <w:rtl w:val="true"/>
          <w:lang w:bidi="fa-IR"/>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پس از چهار سال تحصيل در مدينه، ناگهان تصميم مى‌گيرد آن شهر را ترك و به بصره سفر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چهار سال در بصره در دهكده‌اى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افكار انحرافى وى با مخالفت شديد بزرگان بصره و اعتراضات مردمى مواجه شد و سرانجام مجبور شد بصره را ترك و عزم بغداد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پنج سال در بغداد، يك سال در كردستان و دو سال در همدان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زمانى نيز در اصفهان و قم اقامت نمود و آن‌گاه از طريق بصره وارد مناطق شيعه‌نشين احساء در عربستان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پدرش بازگشت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هنوز چند صباحى از اقامتش در حريمله نگذشته بود كه افكار انحرافى و فتاواى خلاف واقع وى موجب نگرانى پدرش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عبدالوهاب بارها پسرش را نصحيت كرد و از او خواست كه از افكار انحرافى خود دست بردارد اما نصايح پدر تأثيرى نگذاشت و گاه بين او و پدرش نزاع درمى‌گرفت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خودسرى‌ها و تندروى‌هاى محمد، خشم پدرش را برانگيخت و او را از هرگونه اظهارنظر و يا سخنرانى و تبليغ اعتقادات انحرافى‌اش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سليمان بن عبدالوهاب نيز كه فردى دانشمند بود، جهت حفظ جايگاه و اعتبار خانوادگى خود، شديداً با افكار انحرافى محمد به مبارزه برخاست و اولين كتاب بر ضد وهابيت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الإلهيّة في الردّ علي الوهّابيّة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سليمان عده زيادى از علماى اهل سنت عليه افكار و اعتقادات انحرافى محمد بن عبدالوهاب به تبليغ و سخنرانى پرداختند و كتاب‌هاى متعددى تأليف و بين مردم توزيع نمودند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عبدالوهاب در سال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1740</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 از مرگ پدر، با آزادى عمل بيشتر و بدون هيچ نگرانى، به ترويج عقايد و افكار خود كه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بود، پرداخت و عده‌اى از مردم </w:t>
      </w:r>
    </w:p>
    <w:p>
      <w:pPr>
        <w:pStyle w:val="BookText"/>
        <w:rPr/>
      </w:pPr>
      <w:r>
        <w:rPr>
          <w:rFonts w:ascii="IRNazanin" w:hAnsi="IRNazanin" w:eastAsia="IRNazanin"/>
          <w:color w:val="111111"/>
          <w:sz w:val="28"/>
          <w:sz w:val="28"/>
          <w:szCs w:val="28"/>
          <w:rtl w:val="true"/>
          <w:lang w:bidi="fa-IR"/>
        </w:rPr>
        <w:t>زادگاهش را به افكار خود جذب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در سال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م، عده‌اى از پيروان خود را به‌عنوان نماينده نزد مسعود بن سعيد، شريف مكه، فرستاد تا در آن سال اجازه حج‌گزاردن به آنان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كه تا قبل از آن از ورود محمد بن عبدالوهاب و پيروانش به مكه جلوگيرى مى‌كرد، پى برد كه هدف از اين سفر، تبليغ و ترويج تعاليم و افكار محمد بن عبدالوهاب در جمع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جهت معرفى افكار انحرافى فرستادگان محمد بن الوهاب و جلوگيرى از حضور آنان در مراسم حج، عده‌اى از علماى مكه و مدينه را دعوت و بين آنان و فرستادگان محمد بن عبدالوهاب مناظره‌اى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محمد بن عبدالوهاب در مناظره از علماى مكه و مدينه شكست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مكه، بر اساس حديث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هركس برادر مسلمانش را كافر بخواند در حالى كه مسلمان است، خود او كافر است </w:t>
      </w:r>
      <w:r>
        <w:rPr>
          <w:rStyle w:val="FootnoteAnchor"/>
          <w:rtl w:val="true"/>
        </w:rPr>
        <w:footnoteReference w:id="5"/>
      </w:r>
      <w:r>
        <w:rPr>
          <w:rFonts w:ascii="IRNazanin" w:hAnsi="IRNazanin" w:eastAsia="IRNazanin"/>
          <w:color w:val="111111"/>
          <w:sz w:val="28"/>
          <w:sz w:val="28"/>
          <w:szCs w:val="28"/>
          <w:rtl w:val="true"/>
          <w:lang w:bidi="fa-IR"/>
        </w:rPr>
        <w:t>، حكم به كافر بودن فرستادگان محمد بن عبدالوهاب داد</w:t>
      </w:r>
      <w:r>
        <w:rPr>
          <w:rStyle w:val="FootnoteAnchor"/>
          <w:rtl w:val="true"/>
        </w:rPr>
        <w:footnoteReference w:id="6"/>
      </w:r>
      <w:r>
        <w:rPr>
          <w:rFonts w:ascii="IRNazanin" w:hAnsi="IRNazanin" w:eastAsia="IRNazanin"/>
          <w:color w:val="111111"/>
          <w:sz w:val="28"/>
          <w:sz w:val="28"/>
          <w:szCs w:val="28"/>
          <w:rtl w:val="true"/>
          <w:lang w:bidi="fa-IR"/>
        </w:rPr>
        <w:t>و از ورودشان به مكه جلوگيرى 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افكار انحرافى محمد بن عبدالوهاب و پيروانش در شهر حريمله، افكار عمومى را عليه آنان برآشفت </w:t>
      </w:r>
    </w:p>
    <w:p>
      <w:pPr>
        <w:pStyle w:val="BookText"/>
        <w:rPr/>
      </w:pPr>
      <w:r>
        <w:rPr>
          <w:rFonts w:ascii="IRNazanin" w:hAnsi="IRNazanin" w:eastAsia="IRNazanin"/>
          <w:color w:val="111111"/>
          <w:sz w:val="28"/>
          <w:sz w:val="28"/>
          <w:szCs w:val="28"/>
          <w:rtl w:val="true"/>
          <w:lang w:bidi="fa-IR"/>
        </w:rPr>
        <w:t>به‌گونه‌اى كه محمد ناچار شد براى فروكش‌كردن خشم مردم، آنجا را ترك و به منطقه ديگرى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پس از چهارده سال با دعوت عثمان بن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مجدداً به زادگاهش بازگشت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عثمان بن معمر،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پيوند خانوادگى، در چتر حمايتى حاكم عيينه قرار گرفت و از آن پس با قدرت و شدت بيشترى به تبليغ و ترويج مسلك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ويران‌كردن قبور صحابه در اطراف عُيَيْنه از جمله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عمر بود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خبر تخريب قبر به سرعت در مناطق مختلف بين مسلمانان پخش شد و با اعتراضات شديد علما و مردم اين مناطق مواجه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اعتراضات مردمى موجب شد فرمانرواى احساء كه مقامى برتر از حاكم عيينه داشت، اقدام عثمان بن معمر را نكوهش نموده و به وى دستور داد هرچه زودتر محمد بن عبدالوهاب را از شهر عيينه اخراج نمايد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دستور امير احسا، حاكم عيينه مجبور شد به شيخ اعلام نمايد كه شهر را ترك و به منطقه ديگرى برود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مرتبطين شيخ محمد تلاش‌هايى جهت رفتن وى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درعيه</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را شروع و ارتباطاتى با امير درعيه برقرار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انگلستان كه در آن زمان جنگ‌هاى داخلى سرزمين حجاز را مديريت مى‌كردند و در پشت صحنه اختلافات محلى حضور داشتند، مقدمات مهاجرت و اسكان محمد بن عبدالوهاب به درعيه را فراهم نموده و زمينه ملاقات وى با حاكم درعيه را آماده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كه جنگ‌هاى داخلى حجاز به حمايت عربستان شروع شده بود، امير درعيه، محمد بن سعود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دهام بن دواس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رياض بود، حضور محمد بن عبدالوهاب را در كنار خود زمينه‌ساز مذهبى جلوه‌دادن جنگ و كافر معرفى‌كردن مخالفان خود ارزيابى و از اين طريق مى‌توانست تعداد بيشترى از مردم را با خود همراه نمايد و آنان را به جنگ عليه امير رياض به‌كار گيرد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شيخ محمد كه به علت انحرافات فكرى </w:t>
      </w:r>
    </w:p>
    <w:p>
      <w:pPr>
        <w:pStyle w:val="BookText"/>
        <w:rPr/>
      </w:pPr>
      <w:r>
        <w:rPr>
          <w:rFonts w:ascii="IRNazanin" w:hAnsi="IRNazanin" w:eastAsia="IRNazanin"/>
          <w:color w:val="111111"/>
          <w:sz w:val="28"/>
          <w:sz w:val="28"/>
          <w:szCs w:val="28"/>
          <w:rtl w:val="true"/>
          <w:lang w:bidi="fa-IR"/>
        </w:rPr>
        <w:t>و اعتقادى و مخالفت‌هاى علما و مردم هر روز از منطقه‌اى به منطقه ديگر اخراج مى‌گرديد، نياز به پايگاهى ثابت و پشتوانه مطمئن‌ترى جهت ترويج افكار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سعود كه در آن زمان امير درعيه بود، به ديدن محمد بن عبدالوهاب رفت و او را با آغوش باز پذيرفت و عزت و نيكى را به او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نيز قدرت و غلبه بر همه بلاد نجد را به وى نويد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بود كه آنها با هم متحد شدند و توافق نمودند كه كليه امور سياسى در اختيار محمد بن سعود و كليه امور مذهبى و تبليغى در اختيار محمد بن عبدالوهاب قرا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بدين‌ترتيب عوامل پشت پرده ارتباط و اتحاد نزديكى كه تأمين‌كننده منافع هر دو بود، ميان شيخ محمد و آل‌سعود ايجاد و آنان را با هم عليه حكومت شرفاى مكه متحد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محمد بن عبدالوهاب افكار انحرافى خود را در پرتو قدرت محمد بن سعود با جديت بيشترى آغاز كرد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طولى نكشيد كه سپاهيان آل سعود با فتواى محمد بن عبدالوهاب با همكارى وهابيون به قبايل اطراف و شهرهاى نزديك هجوم بردند و با كشتار و آواره نمودن ساكنان آن مناطق و سيل غنايم از اطراف و اكناف عربستان خصوصاً اموال مسلمانان منطقه نجد، به شهر درعيه كه </w:t>
      </w:r>
    </w:p>
    <w:p>
      <w:pPr>
        <w:pStyle w:val="BookText"/>
        <w:rPr/>
      </w:pPr>
      <w:r>
        <w:rPr>
          <w:rFonts w:ascii="IRNazanin" w:hAnsi="IRNazanin" w:eastAsia="IRNazanin"/>
          <w:color w:val="111111"/>
          <w:sz w:val="28"/>
          <w:sz w:val="28"/>
          <w:szCs w:val="28"/>
          <w:rtl w:val="true"/>
          <w:lang w:bidi="fa-IR"/>
        </w:rPr>
        <w:t>شهرى بدون امكانات و با مردمى فقير بود و مركز وهابيت بود، سرازير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از مورخى به‌نام ابن بُشر نجدى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آغاز كار، شاهد فقر و تنگدستى مردم درعيه بودم، ولى بعداً اين شهر در زمان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شهرى ثروتمند درآمد، تا آنجا كه سلاح‌هاى مردم آن، با زر و سيم زينت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اسبان اصيل و نجيب سوار مى‌شدند و جامه‌هاى فاخر در بر مى‌كردند و از تمام لوازم ثروت بهره‌مند بودند، به حدى كه زبان از شرح آن قاصر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مهاجمين وهابى با حمله به مناطق مسلمان‌نشين همچون مناطق نجد، يمن و عراق جان و مال مسلمانان آنجا را بر خود حلال مى‌دانسته و با قتل‌عام مردم اموال آنان را به عنوان غنائم جنگى به تصرف خود در مى‌آوردند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محمد بن سعود، پسرش عبدالعزيز بن سعود، قدرت را به‌دست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عبدالعزير نيز تحكيمِ پايه‌هاى قدرت و گسترش نفوذ سياسى خود را در حفظ و گسترش مسلك وهابيت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جهت نيل به اهداف </w:t>
      </w:r>
    </w:p>
    <w:p>
      <w:pPr>
        <w:pStyle w:val="BookText"/>
        <w:rPr/>
      </w:pPr>
      <w:r>
        <w:rPr>
          <w:rFonts w:ascii="IRNazanin" w:hAnsi="IRNazanin" w:eastAsia="IRNazanin"/>
          <w:color w:val="111111"/>
          <w:sz w:val="28"/>
          <w:sz w:val="28"/>
          <w:szCs w:val="28"/>
          <w:rtl w:val="true"/>
          <w:lang w:bidi="fa-IR"/>
        </w:rPr>
        <w:t>خود جنگ‌هاى متعددى عليه مسلمانان مناطق مجاور به راه انداخت و هزاران نفر از مسلمانان را قتل‌عام كرده و عده زيادى از مردم آن مناطق از خانه‌هايشان آواره و معابد و نمادهاى مذهبى آنان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مسلك وهابيت، كه قرن‌ها قبل از محمد بن عبدالوهاب، توسط ابن تيميه، در حد يك نظريه در لابلاى كتاب‌ها، مطرح و توسط علماى زمان خود رد شده بود، مجدداً توسط حكام آل سعود زنده و به‌عنوان مذهب رسمى عربستان تبليغ و ترويج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الوهّاب به پيروى از ابن تيميه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ساير افراد صالح حضور يابد و از آنان حاجت بخواهد، مشرك است، و واجب است چنين شخصى را وادار به توبه كنند، و اگر توبه نكرد، خونش حلال و كشتنش جايز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احمد زينى دحلان مفتى مكّه مكرّمه مى‌نويسد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كسى به مذهب وهابيّت در مى‌آمد و قبلاً حج واجب انجام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دوباره به زيارت خانه خدا بروى، چون حج گذشته تو در حال شرك </w:t>
      </w:r>
    </w:p>
    <w:p>
      <w:pPr>
        <w:pStyle w:val="BookText"/>
        <w:rPr/>
      </w:pP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به كسى كه مى‌خواست وارد مسلك وهابيّت بشود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شهادتين بايد گواهى دهى كه در گذشته كافر بوده‌اى و پدر و مادر تو نيز در حال كفر از دنيا رفته‌اند، و همچنين بايد گواهى دهى كه علماى بزرگ گذشته كافر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گواهى نمى‌داد وى را مى‌كشتند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مسلك وهابيت از زمان عبدالعزير تاكنون مذهب رسمى دربار سعودى مى‌باشد</w:t>
      </w:r>
      <w:r>
        <w:rPr>
          <w:rFonts w:eastAsia="Amiri" w:cs="Amiri" w:ascii="Amiri" w:hAnsi="Amiri"/>
          <w:color w:val="111111"/>
          <w:sz w:val="28"/>
          <w:szCs w:val="28"/>
          <w:rtl w:val="true"/>
          <w:lang w:bidi="ar-SA"/>
        </w:rPr>
        <w:t xml:space="preserve">. </w:t>
      </w:r>
      <w:bookmarkStart w:id="18" w:name="pg1532_13110"/>
    </w:p>
    <w:p>
      <w:pPr>
        <w:pStyle w:val="Heading2"/>
        <w:numPr>
          <w:ilvl w:val="1"/>
          <w:numId w:val="1"/>
        </w:numPr>
        <w:rPr/>
      </w:pPr>
      <w:bookmarkStart w:id="19" w:name="__RefHeading___Toc558003_3650668749"/>
      <w:bookmarkStart w:id="20" w:name="_Toc6"/>
      <w:bookmarkEnd w:id="18"/>
      <w:bookmarkEnd w:id="19"/>
      <w:r>
        <w:rPr>
          <w:rtl w:val="true"/>
        </w:rPr>
        <w:t>ويژگى‌هاى فكرى و اعتقادى وهابيون</w:t>
      </w:r>
      <w:bookmarkEnd w:id="20"/>
    </w:p>
    <w:p>
      <w:pPr>
        <w:pStyle w:val="BookText"/>
        <w:rPr/>
      </w:pPr>
      <w:r>
        <w:rPr>
          <w:rFonts w:ascii="IRNazanin" w:hAnsi="IRNazanin" w:eastAsia="IRNazanin"/>
          <w:color w:val="111111"/>
          <w:sz w:val="28"/>
          <w:sz w:val="28"/>
          <w:szCs w:val="28"/>
          <w:rtl w:val="true"/>
          <w:lang w:bidi="fa-IR"/>
        </w:rPr>
        <w:t xml:space="preserve">پيروان فرقه وهابيت داراى افكار و اعتقادات خاصى هستند كه بسيارى از آنها مخالف آموزه‌هاى قرآنى و تعاليم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اعتقادات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استدلال عقلى، منطقى، فلسفى و عرفانى را حرام مى‌دانند؛</w:t>
      </w:r>
    </w:p>
    <w:p>
      <w:pPr>
        <w:pStyle w:val="BookText"/>
        <w:rPr/>
      </w:pPr>
      <w:r>
        <w:rPr>
          <w:rFonts w:ascii="Amiri" w:hAnsi="Amiri" w:eastAsia="Amiri" w:cs="Amiri"/>
          <w:color w:val="111111"/>
          <w:sz w:val="28"/>
          <w:sz w:val="28"/>
          <w:szCs w:val="28"/>
          <w:rtl w:val="true"/>
          <w:lang w:bidi="ar-SA"/>
        </w:rPr>
        <w:t>تنها ظاهر آيات قرآن و اخبار و عمل صحابه را حجت مى‌دانند؛</w:t>
      </w:r>
    </w:p>
    <w:p>
      <w:pPr>
        <w:pStyle w:val="BookText"/>
        <w:rPr/>
      </w:pPr>
      <w:r>
        <w:rPr>
          <w:rFonts w:ascii="IRNazanin" w:hAnsi="IRNazanin" w:eastAsia="IRNazanin"/>
          <w:color w:val="111111"/>
          <w:sz w:val="28"/>
          <w:sz w:val="28"/>
          <w:szCs w:val="28"/>
          <w:rtl w:val="true"/>
          <w:lang w:bidi="fa-IR"/>
        </w:rPr>
        <w:t>تنها خود را مسلمان واقعى مى‌دانند و پيروان ساير فرق و اديان را منحرف و يا كافر و مشرك مى‌شمارند؛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را كافر و هرگونه اتحاد بين شيعه و سنى را جايز نمى‌دانند؛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كشتن و قتل‌عام شيعيان را مباح مى‌دانند و معتقدند هركس چند شيعه را بكشد به بهشت مى‌رود؛</w:t>
      </w:r>
    </w:p>
    <w:p>
      <w:pPr>
        <w:pStyle w:val="BookText"/>
        <w:rPr/>
      </w:pPr>
      <w:r>
        <w:rPr>
          <w:rFonts w:ascii="Amiri" w:hAnsi="Amiri" w:eastAsia="Amiri" w:cs="Amiri"/>
          <w:color w:val="111111"/>
          <w:sz w:val="28"/>
          <w:sz w:val="28"/>
          <w:szCs w:val="28"/>
          <w:rtl w:val="true"/>
          <w:lang w:bidi="ar-SA"/>
        </w:rPr>
        <w:t>براى رسيدن به هدف هر نوع وسيله‌اى را مباح مى‌دانند؛</w:t>
      </w:r>
    </w:p>
    <w:p>
      <w:pPr>
        <w:pStyle w:val="BookText"/>
        <w:rPr/>
      </w:pPr>
      <w:r>
        <w:rPr>
          <w:rFonts w:ascii="IRNazanin" w:hAnsi="IRNazanin" w:eastAsia="IRNazanin"/>
          <w:color w:val="111111"/>
          <w:sz w:val="28"/>
          <w:sz w:val="28"/>
          <w:szCs w:val="28"/>
          <w:rtl w:val="true"/>
          <w:lang w:bidi="fa-IR"/>
        </w:rPr>
        <w:t>براى سقوط و يا ايجاد ناامنى در حكومت‌هاى غير وهابى، هر نوع كشتار و ايجاد ناامنى را مباح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بستن كمربند انفجارى بر افراد عقب‌مانده ذهنى و اعزام آنها به ميان مردم باشد؛</w:t>
      </w:r>
    </w:p>
    <w:p>
      <w:pPr>
        <w:pStyle w:val="BookText"/>
        <w:rPr/>
      </w:pPr>
      <w:r>
        <w:rPr>
          <w:rFonts w:ascii="IRNazanin" w:hAnsi="IRNazanin" w:eastAsia="IRNazanin"/>
          <w:color w:val="111111"/>
          <w:sz w:val="28"/>
          <w:sz w:val="28"/>
          <w:szCs w:val="28"/>
          <w:rtl w:val="true"/>
          <w:lang w:bidi="fa-IR"/>
        </w:rPr>
        <w:t xml:space="preserve">مسافرت به قصد زيارت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انبيا و اوليا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مى‌دانند؛</w:t>
      </w:r>
    </w:p>
    <w:p>
      <w:pPr>
        <w:pStyle w:val="BookText"/>
        <w:rPr/>
      </w:pPr>
      <w:r>
        <w:rPr>
          <w:rFonts w:ascii="IRNazanin" w:hAnsi="IRNazanin" w:eastAsia="IRNazanin"/>
          <w:color w:val="111111"/>
          <w:sz w:val="28"/>
          <w:sz w:val="28"/>
          <w:szCs w:val="28"/>
          <w:rtl w:val="true"/>
          <w:lang w:bidi="fa-IR"/>
        </w:rPr>
        <w:t xml:space="preserve">هرگونه تبرك جستن به اوليا و انبيا و حتى بوسيدن و دست‌كشيدن روى در و ديوار مقبره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مى‌دانند؛</w:t>
      </w:r>
    </w:p>
    <w:p>
      <w:pPr>
        <w:pStyle w:val="BookText"/>
        <w:rPr/>
      </w:pPr>
      <w:r>
        <w:rPr>
          <w:rFonts w:ascii="Amiri" w:hAnsi="Amiri" w:eastAsia="Amiri" w:cs="Amiri"/>
          <w:color w:val="111111"/>
          <w:sz w:val="28"/>
          <w:sz w:val="28"/>
          <w:szCs w:val="28"/>
          <w:rtl w:val="true"/>
          <w:lang w:bidi="ar-SA"/>
        </w:rPr>
        <w:t>خواندن دعا و نماز در كنار قبر آن حضرت را شرك مى‌شمارند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گفتن با ارواح 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خواستن از آنان و يا شفيع قرار دادن آنان را شرك مى‌دانند؛</w:t>
      </w:r>
    </w:p>
    <w:p>
      <w:pPr>
        <w:pStyle w:val="BookText"/>
        <w:rPr/>
      </w:pPr>
      <w:r>
        <w:rPr>
          <w:rFonts w:ascii="IRNazanin" w:hAnsi="IRNazanin" w:eastAsia="IRNazanin"/>
          <w:color w:val="111111"/>
          <w:sz w:val="28"/>
          <w:sz w:val="28"/>
          <w:szCs w:val="28"/>
          <w:rtl w:val="true"/>
          <w:lang w:bidi="fa-IR"/>
        </w:rPr>
        <w:t xml:space="preserve">ساختن گنبد و يا هرگونه نشانه روى قبور، حتى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مى‌دانند؛</w:t>
      </w:r>
    </w:p>
    <w:p>
      <w:pPr>
        <w:pStyle w:val="BookText"/>
        <w:rPr/>
      </w:pPr>
      <w:r>
        <w:rPr>
          <w:rFonts w:ascii="IRNazanin" w:hAnsi="IRNazanin" w:eastAsia="IRNazanin"/>
          <w:color w:val="111111"/>
          <w:sz w:val="28"/>
          <w:sz w:val="28"/>
          <w:szCs w:val="28"/>
          <w:rtl w:val="true"/>
          <w:lang w:bidi="fa-IR"/>
        </w:rPr>
        <w:t>برگزارى مراسم سوگوارى براى ميت را حرام مى‌دانند؛</w:t>
      </w:r>
    </w:p>
    <w:p>
      <w:pPr>
        <w:pStyle w:val="BookText"/>
        <w:rPr/>
      </w:pPr>
      <w:r>
        <w:rPr>
          <w:rFonts w:ascii="IRNazanin" w:hAnsi="IRNazanin" w:eastAsia="IRNazanin"/>
          <w:color w:val="111111"/>
          <w:sz w:val="28"/>
          <w:sz w:val="28"/>
          <w:szCs w:val="28"/>
          <w:rtl w:val="true"/>
          <w:lang w:bidi="fa-IR"/>
        </w:rPr>
        <w:t xml:space="preserve">معتقدند گفتار و عمل همه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عيب و نقص بوده و همه آنها را تا سر حد عصمت قبول دارند؛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انتقاد و عيب‌گيرى از عملكرد صحابه را موجب شرك و كفر مى‌دانند</w:t>
      </w:r>
      <w:r>
        <w:rPr>
          <w:rFonts w:eastAsia="IRNazanin" w:cs="IRNazanin"/>
          <w:color w:val="111111"/>
          <w:sz w:val="28"/>
          <w:szCs w:val="28"/>
          <w:rtl w:val="true"/>
          <w:lang w:bidi="fa-IR"/>
        </w:rPr>
        <w:t xml:space="preserve">. </w:t>
      </w:r>
      <w:bookmarkStart w:id="21" w:name="pg1532_13112"/>
    </w:p>
    <w:p>
      <w:pPr>
        <w:pStyle w:val="Heading2"/>
        <w:numPr>
          <w:ilvl w:val="1"/>
          <w:numId w:val="1"/>
        </w:numPr>
        <w:rPr/>
      </w:pPr>
      <w:bookmarkStart w:id="22" w:name="__RefHeading___Toc558005_3650668749"/>
      <w:bookmarkStart w:id="23" w:name="_Toc7"/>
      <w:bookmarkEnd w:id="21"/>
      <w:bookmarkEnd w:id="22"/>
      <w:r>
        <w:rPr>
          <w:rtl w:val="true"/>
        </w:rPr>
        <w:t>خدا در آيين وهابيت</w:t>
      </w:r>
      <w:bookmarkEnd w:id="23"/>
    </w:p>
    <w:p>
      <w:pPr>
        <w:pStyle w:val="BookText"/>
        <w:rPr/>
      </w:pPr>
      <w:r>
        <w:rPr>
          <w:rFonts w:ascii="IRNazanin" w:hAnsi="IRNazanin" w:eastAsia="IRNazanin"/>
          <w:color w:val="111111"/>
          <w:sz w:val="28"/>
          <w:sz w:val="28"/>
          <w:szCs w:val="28"/>
          <w:rtl w:val="true"/>
          <w:lang w:bidi="fa-IR"/>
        </w:rPr>
        <w:t>مهم‌ترين انحراف فكرى وهابيون كه ريشه بسيارى از انحرافات ديگر مى‌باشد، نوع اعتقادات پيروان اين فرقه در رابطه با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نسبت به توحيد و ذات اقدس خدا، تفكرات و اعتقادات انحرافى دارند كه برخى از آنها عبارتند از</w:t>
      </w:r>
      <w:r>
        <w:rPr>
          <w:rFonts w:eastAsia="IRNazanin" w:cs="IRNazanin"/>
          <w:color w:val="111111"/>
          <w:sz w:val="28"/>
          <w:szCs w:val="28"/>
          <w:rtl w:val="true"/>
          <w:lang w:bidi="fa-IR"/>
        </w:rPr>
        <w:t>:</w:t>
      </w:r>
    </w:p>
    <w:p>
      <w:pPr>
        <w:pStyle w:val="Heading2"/>
        <w:numPr>
          <w:ilvl w:val="1"/>
          <w:numId w:val="1"/>
        </w:numPr>
        <w:rPr/>
      </w:pPr>
      <w:bookmarkStart w:id="24" w:name="__RefHeading___Toc558007_3650668749"/>
      <w:bookmarkStart w:id="25" w:name="_Toc8"/>
      <w:bookmarkEnd w:id="24"/>
      <w:r>
        <w:rPr>
          <w:rtl w:val="true"/>
        </w:rPr>
        <w:t>خداى وهابيت از عرش به زمين مى‌آيد</w:t>
      </w:r>
      <w:bookmarkEnd w:id="25"/>
    </w:p>
    <w:p>
      <w:pPr>
        <w:pStyle w:val="Heading3"/>
        <w:numPr>
          <w:ilvl w:val="2"/>
          <w:numId w:val="1"/>
        </w:numPr>
        <w:rPr/>
      </w:pPr>
      <w:bookmarkStart w:id="26" w:name="__RefHeading___Toc558009_3650668749"/>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شب هر طور كه بخواهد به آسمان دنيا فرود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مرا بخواند و من اجابتش كنم، و طالب مغفرتى هست كه او را ببخشم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اين كار را تا طلوع فجر انجام مى‌دهد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نقل اين مطلب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فرود آمدن خدا را به آسمان دنيا انكار يا توجيه كند بدعت‌گزار و گمراه است</w:t>
      </w:r>
      <w:r>
        <w:rPr>
          <w:rFonts w:eastAsia="IRNazanin" w:cs="IRNazanin"/>
          <w:color w:val="111111"/>
          <w:sz w:val="28"/>
          <w:szCs w:val="28"/>
          <w:rtl w:val="true"/>
          <w:lang w:bidi="fa-IR"/>
        </w:rPr>
        <w:t>»</w:t>
      </w:r>
      <w:r>
        <w:rPr>
          <w:rStyle w:val="FootnoteAnchor"/>
          <w:rtl w:val="true"/>
        </w:rPr>
        <w:footnoteReference w:id="15"/>
      </w:r>
      <w:bookmarkStart w:id="28" w:name="pg1532_13113"/>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در سفرنامه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دمشق كه من حضور داشتم، بر بالاى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آسمان دنيا فرود مى‌آيد، همچنان‌كه من از پلّه اين منبر فرود مى‌آيم، و از منبر فرود آمد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9" w:name="__RefHeading___Toc558011_3650668749"/>
      <w:bookmarkStart w:id="30" w:name="_Toc10"/>
      <w:bookmarkEnd w:id="29"/>
      <w:r>
        <w:rPr>
          <w:rtl w:val="true"/>
        </w:rPr>
        <w:t>خداى وهابيت مى‌خندد</w:t>
      </w:r>
      <w:bookmarkEnd w:id="30"/>
    </w:p>
    <w:p>
      <w:pPr>
        <w:pStyle w:val="BookText"/>
        <w:rPr/>
      </w:pPr>
      <w:r>
        <w:rPr>
          <w:rFonts w:ascii="IRNazanin" w:hAnsi="IRNazanin" w:eastAsia="IRNazanin"/>
          <w:color w:val="111111"/>
          <w:sz w:val="28"/>
          <w:sz w:val="28"/>
          <w:szCs w:val="28"/>
          <w:rtl w:val="true"/>
          <w:lang w:bidi="fa-IR"/>
        </w:rPr>
        <w:t xml:space="preserve">ابن تيميه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الحمويّه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مى‌خندد و روز قيامت در حال خنده بر بندگان خود تجلّى مى‌كند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1" w:name="__RefHeading___Toc558013_3650668749"/>
      <w:bookmarkStart w:id="32" w:name="_Toc11"/>
      <w:bookmarkEnd w:id="31"/>
      <w:r>
        <w:rPr>
          <w:rtl w:val="true"/>
        </w:rPr>
        <w:t>خداى وهابيت غير از ريش و عورت، همه چيز دارد</w:t>
      </w:r>
      <w:bookmarkEnd w:id="32"/>
    </w:p>
    <w:p>
      <w:pPr>
        <w:pStyle w:val="BookText"/>
        <w:rPr/>
      </w:pPr>
      <w:r>
        <w:rPr>
          <w:rFonts w:ascii="IRNazanin" w:hAnsi="IRNazanin" w:eastAsia="IRNazanin"/>
          <w:color w:val="111111"/>
          <w:sz w:val="28"/>
          <w:sz w:val="28"/>
          <w:szCs w:val="28"/>
          <w:rtl w:val="true"/>
          <w:lang w:bidi="fa-IR"/>
        </w:rPr>
        <w:t>ابوبكر ابن عربى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فردى كه مورد وثوق من بود نقل كرد كه ابوعلى،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پيشواى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bookmarkStart w:id="33" w:name="pg1532_13114"/>
    </w:p>
    <w:p>
      <w:pPr>
        <w:pStyle w:val="BookText"/>
        <w:rPr/>
      </w:pPr>
      <w:bookmarkEnd w:id="33"/>
      <w:r>
        <w:rPr>
          <w:rFonts w:ascii="Amiri" w:hAnsi="Amiri" w:eastAsia="Amiri" w:cs="Amiri"/>
          <w:color w:val="111111"/>
          <w:sz w:val="28"/>
          <w:sz w:val="28"/>
          <w:szCs w:val="28"/>
          <w:rtl w:val="true"/>
          <w:lang w:bidi="ar-SA"/>
        </w:rPr>
        <w:t>درباره خدا هر عضوى را جز ريش و عورت اثبات خواهم كرد</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34" w:name="__RefHeading___Toc558015_3650668749"/>
      <w:bookmarkStart w:id="35" w:name="_Toc12"/>
      <w:bookmarkEnd w:id="34"/>
      <w:r>
        <w:rPr>
          <w:rtl w:val="true"/>
        </w:rPr>
        <w:t>خداى وهابيت از عرش بزرگ‌تر است</w:t>
      </w:r>
      <w:bookmarkEnd w:id="35"/>
    </w:p>
    <w:p>
      <w:pPr>
        <w:pStyle w:val="BookText"/>
        <w:rPr/>
      </w:pPr>
      <w:r>
        <w:rPr>
          <w:rFonts w:ascii="IRNazanin" w:hAnsi="IRNazanin" w:eastAsia="IRNazanin"/>
          <w:color w:val="111111"/>
          <w:sz w:val="28"/>
          <w:sz w:val="28"/>
          <w:szCs w:val="28"/>
          <w:rtl w:val="true"/>
          <w:lang w:bidi="fa-IR"/>
        </w:rPr>
        <w:t>از نظر وهابى‌ها عرش مثل يك كرسى است كه خداوند روى آن نشسته و چون خدا از عرش بزرگ‌تر است مثل يك آدم چاقى است كه روى يك روى صندلى كوچكى نشسته و از هر طرف چند وجب بيرون آمده است</w:t>
      </w:r>
      <w:r>
        <w:rPr>
          <w:rFonts w:eastAsia="IRNazanin" w:cs="IRNazanin"/>
          <w:color w:val="111111"/>
          <w:sz w:val="28"/>
          <w:szCs w:val="28"/>
          <w:rtl w:val="true"/>
          <w:lang w:bidi="fa-IR"/>
        </w:rPr>
        <w:t>.</w:t>
      </w:r>
    </w:p>
    <w:p>
      <w:pPr>
        <w:pStyle w:val="Heading3"/>
        <w:numPr>
          <w:ilvl w:val="2"/>
          <w:numId w:val="1"/>
        </w:numPr>
        <w:rPr/>
      </w:pPr>
      <w:bookmarkStart w:id="36" w:name="__RefHeading___Toc558017_3650668749"/>
      <w:bookmarkStart w:id="37" w:name="_Toc13"/>
      <w:bookmarkEnd w:id="36"/>
      <w:r>
        <w:rPr>
          <w:rtl w:val="true"/>
        </w:rPr>
        <w:t>دست‌هاى خدا خيلى دراز است</w:t>
      </w:r>
      <w:bookmarkEnd w:id="37"/>
    </w:p>
    <w:p>
      <w:pPr>
        <w:pStyle w:val="BookText"/>
        <w:rPr/>
      </w:pPr>
      <w:r>
        <w:rPr>
          <w:rFonts w:ascii="Amiri" w:hAnsi="Amiri" w:eastAsia="Amiri" w:cs="Amiri"/>
          <w:color w:val="111111"/>
          <w:sz w:val="28"/>
          <w:sz w:val="28"/>
          <w:szCs w:val="28"/>
          <w:rtl w:val="true"/>
          <w:lang w:bidi="ar-SA"/>
        </w:rPr>
        <w:t xml:space="preserve">شيخ فوزان، مفتى عربستان و عضو هيئت كبار علماى عربستان، در ابتداى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اهل السنة والجماعه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خدا نوشته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لله يدين طويلتين كبيرتين </w:t>
      </w:r>
      <w:r>
        <w:rPr>
          <w:rFonts w:eastAsia="Amiri" w:cs="Amiri" w:ascii="Amiri" w:hAnsi="Amiri"/>
          <w:color w:val="111111"/>
          <w:sz w:val="28"/>
          <w:szCs w:val="28"/>
          <w:rtl w:val="true"/>
          <w:lang w:bidi="ar-SA"/>
        </w:rPr>
        <w:t xml:space="preserve">. . . .»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داراى دو دست طولانى و بزرگ است</w:t>
      </w:r>
      <w:r>
        <w:rPr>
          <w:rFonts w:eastAsia="IRNazanin" w:cs="IRNazanin"/>
          <w:color w:val="111111"/>
          <w:sz w:val="28"/>
          <w:szCs w:val="28"/>
          <w:rtl w:val="true"/>
          <w:lang w:bidi="fa-IR"/>
        </w:rPr>
        <w:t>» .</w:t>
      </w:r>
    </w:p>
    <w:p>
      <w:pPr>
        <w:pStyle w:val="Heading3"/>
        <w:numPr>
          <w:ilvl w:val="2"/>
          <w:numId w:val="1"/>
        </w:numPr>
        <w:rPr/>
      </w:pPr>
      <w:bookmarkStart w:id="38" w:name="__RefHeading___Toc558019_3650668749"/>
      <w:bookmarkStart w:id="39" w:name="_Toc14"/>
      <w:bookmarkEnd w:id="38"/>
      <w:r>
        <w:rPr>
          <w:rtl w:val="true"/>
        </w:rPr>
        <w:t>خداى وهابيت شب عرفه به زمين مى‌آيد</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 صالح العثيمين عضو هيأت كبار علماى سعودى، حديثى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مبنى بر اينكه</w:t>
      </w:r>
      <w:r>
        <w:rPr>
          <w:rFonts w:eastAsia="IRNazanin" w:cs="IRNazanin"/>
          <w:color w:val="111111"/>
          <w:sz w:val="28"/>
          <w:szCs w:val="28"/>
          <w:rtl w:val="true"/>
          <w:lang w:bidi="fa-IR"/>
        </w:rPr>
        <w:t xml:space="preserve">: </w:t>
      </w:r>
      <w:bookmarkStart w:id="40" w:name="pg1532_13115"/>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در شب عرفه به آسمان دنيا فرود آمده و در برابر فرشتگان به وقوف‌كنندگان در عرفات مباهات مى‌كند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1" w:name="__RefHeading___Toc558021_3650668749"/>
      <w:bookmarkStart w:id="42" w:name="_Toc15"/>
      <w:bookmarkEnd w:id="41"/>
      <w:r>
        <w:rPr>
          <w:rtl w:val="true"/>
        </w:rPr>
        <w:t>خداى وهابيت داراى موى فرفرى است</w:t>
      </w:r>
      <w:r>
        <w:rPr>
          <w:rtl w:val="true"/>
        </w:rPr>
        <w:t>!</w:t>
      </w:r>
      <w:bookmarkEnd w:id="42"/>
    </w:p>
    <w:p>
      <w:pPr>
        <w:pStyle w:val="BookText"/>
        <w:rPr/>
      </w:pPr>
      <w:r>
        <w:rPr>
          <w:rFonts w:ascii="IRNazanin" w:hAnsi="IRNazanin" w:eastAsia="IRNazanin"/>
          <w:color w:val="111111"/>
          <w:sz w:val="28"/>
          <w:sz w:val="28"/>
          <w:szCs w:val="28"/>
          <w:rtl w:val="true"/>
          <w:lang w:bidi="fa-IR"/>
        </w:rPr>
        <w:t xml:space="preserve">ابويعلى از ابن عباس نقل كرده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را به صورت نو جوانى ديدم كه هنوز موى صورتش در نيامده، سرش پرمو، پيچ پيچ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زيور و آلات سرخ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ابويعلى در كتاب ديگرش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ابوزرعه دمشقى اين روايت را صحيح شمرده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همچنين احمد بن حنبل گفته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بزرگان از بزرگان صحابه روايت كرده‌اند و هر كس در صحت اين روايت شك نمايد، جهنمى و شهادت او پذيرفته نيست، نبايد به او سلام كرد و به هنگام مريضى نبايد از وى عيادت نمود</w:t>
      </w:r>
      <w:r>
        <w:rPr>
          <w:rFonts w:eastAsia="IRNazanin" w:cs="IRNazanin"/>
          <w:color w:val="111111"/>
          <w:sz w:val="28"/>
          <w:szCs w:val="28"/>
          <w:rtl w:val="true"/>
          <w:lang w:bidi="fa-IR"/>
        </w:rPr>
        <w:t xml:space="preserve">. </w:t>
      </w:r>
      <w:r>
        <w:rPr>
          <w:rStyle w:val="FootnoteAnchor"/>
          <w:rtl w:val="true"/>
        </w:rPr>
        <w:footnoteReference w:id="22"/>
      </w:r>
      <w:bookmarkStart w:id="43" w:name="pg1532_13116"/>
    </w:p>
    <w:p>
      <w:pPr>
        <w:pStyle w:val="Heading2"/>
        <w:numPr>
          <w:ilvl w:val="1"/>
          <w:numId w:val="1"/>
        </w:numPr>
        <w:rPr/>
      </w:pPr>
      <w:bookmarkStart w:id="44" w:name="__RefHeading___Toc558023_3650668749"/>
      <w:bookmarkStart w:id="45" w:name="_Toc16"/>
      <w:bookmarkEnd w:id="43"/>
      <w:bookmarkEnd w:id="44"/>
      <w:r>
        <w:rPr>
          <w:rtl w:val="true"/>
        </w:rPr>
        <w:t>برخى از فتاواى وهابيون</w:t>
      </w:r>
      <w:bookmarkEnd w:id="45"/>
    </w:p>
    <w:p>
      <w:pPr>
        <w:pStyle w:val="Heading3"/>
        <w:numPr>
          <w:ilvl w:val="2"/>
          <w:numId w:val="1"/>
        </w:numPr>
        <w:rPr/>
      </w:pPr>
      <w:bookmarkStart w:id="46" w:name="__RefHeading___Toc558025_3650668749"/>
      <w:bookmarkStart w:id="47" w:name="_Toc17"/>
      <w:bookmarkEnd w:id="46"/>
      <w:r>
        <w:rPr>
          <w:rtl w:val="true"/>
        </w:rPr>
        <w:t>اعتقاد به گردش زمين به دور خورشيد شرك است</w:t>
      </w:r>
      <w:bookmarkEnd w:id="47"/>
    </w:p>
    <w:p>
      <w:pPr>
        <w:pStyle w:val="Heading4"/>
        <w:numPr>
          <w:ilvl w:val="3"/>
          <w:numId w:val="1"/>
        </w:numPr>
        <w:rPr/>
      </w:pPr>
      <w:bookmarkStart w:id="48" w:name="__RefHeading___Toc558027_3650668749"/>
      <w:bookmarkStart w:id="49" w:name="_Toc18"/>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مفتى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مفيتان وهابى طى فتوايى اعلام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به دوران يا چرخش زمين باطل است و كسى كه به اين فرضيه باور داشته باشد، كافر است، براى اينكه اين فرضيه با قرآن كريم وَ الْجِبالَ أَوْتاداً و قوله جل‌وعلا وَ إِلَى الْأَرْضِ كَيْفَ سُطِحَتْ منافات 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عبدالكريم بن صالح الحميد نيز در كتابش با دفاع از اين فتوا نوشته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اين اعتقادات، باور، به كروى بودن و چرخش زمين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باور به دوران زمين، خطايى بسيار بزرگ‌تر از نظريه جهش و تكامل انسان از ميمون است</w:t>
      </w:r>
      <w:r>
        <w:rPr>
          <w:rFonts w:eastAsia="IRNazanin" w:cs="IRNazanin"/>
          <w:color w:val="111111"/>
          <w:sz w:val="28"/>
          <w:szCs w:val="28"/>
          <w:rtl w:val="true"/>
          <w:lang w:bidi="fa-IR"/>
        </w:rPr>
        <w:t>.</w:t>
      </w:r>
      <w:r>
        <w:rPr>
          <w:rStyle w:val="FootnoteAnchor"/>
          <w:rtl w:val="true"/>
        </w:rPr>
        <w:footnoteReference w:id="24"/>
      </w:r>
      <w:bookmarkStart w:id="50" w:name="pg1532_13117"/>
    </w:p>
    <w:p>
      <w:pPr>
        <w:pStyle w:val="BookText"/>
        <w:rPr/>
      </w:pPr>
      <w:bookmarkEnd w:id="50"/>
      <w:r>
        <w:rPr>
          <w:rFonts w:ascii="IRNazanin" w:hAnsi="IRNazanin" w:eastAsia="IRNazanin"/>
          <w:color w:val="111111"/>
          <w:sz w:val="28"/>
          <w:sz w:val="28"/>
          <w:szCs w:val="28"/>
          <w:rtl w:val="true"/>
          <w:lang w:bidi="fa-IR"/>
        </w:rPr>
        <w:t>همچنين ابن عثيمين، مفتى عربستان در كتابى كه در اثبات گردش خورشيد به دور زمين نوشته، به معلمان اخطار مى‌كند كه از تدريس آن بخش از درس علوم و جغرافيا كه از حركت زمين سخن گفته مى‌شود، خوددارى كنند، چون اين مطلب باعث مفسده و گمراهى دانش‌آموزان مى‌شود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1" w:name="__RefHeading___Toc558029_3650668749"/>
      <w:bookmarkStart w:id="52" w:name="_Toc19"/>
      <w:bookmarkEnd w:id="51"/>
      <w:r>
        <w:rPr>
          <w:rtl w:val="true"/>
        </w:rPr>
        <w:t>نظر نويسنده</w:t>
      </w:r>
      <w:bookmarkEnd w:id="52"/>
    </w:p>
    <w:p>
      <w:pPr>
        <w:pStyle w:val="BookText"/>
        <w:rPr/>
      </w:pPr>
      <w:r>
        <w:rPr>
          <w:rFonts w:ascii="IRNazanin" w:hAnsi="IRNazanin" w:eastAsia="IRNazanin"/>
          <w:color w:val="111111"/>
          <w:sz w:val="28"/>
          <w:sz w:val="28"/>
          <w:szCs w:val="28"/>
          <w:rtl w:val="true"/>
          <w:lang w:bidi="fa-IR"/>
        </w:rPr>
        <w:t>اين فتواها در حالى صادر شده كه گردش زمين به دور خورشيد از امور بديهى شمرده مى‌شود و حتى كودكان دبستانى نيز به مخالفان اين نظريه مى‌خندند</w:t>
      </w:r>
      <w:r>
        <w:rPr>
          <w:rFonts w:eastAsia="IRNazanin" w:cs="IRNazanin"/>
          <w:color w:val="111111"/>
          <w:sz w:val="28"/>
          <w:szCs w:val="28"/>
          <w:rtl w:val="true"/>
          <w:lang w:bidi="fa-IR"/>
        </w:rPr>
        <w:t>.</w:t>
      </w:r>
    </w:p>
    <w:p>
      <w:pPr>
        <w:pStyle w:val="Heading3"/>
        <w:numPr>
          <w:ilvl w:val="2"/>
          <w:numId w:val="1"/>
        </w:numPr>
        <w:rPr/>
      </w:pPr>
      <w:bookmarkStart w:id="53" w:name="__RefHeading___Toc558031_3650668749"/>
      <w:bookmarkStart w:id="54" w:name="_Toc20"/>
      <w:bookmarkEnd w:id="53"/>
      <w:r>
        <w:rPr>
          <w:rtl w:val="true"/>
        </w:rPr>
        <w:t>اهداى گل به مريض</w:t>
      </w:r>
      <w:bookmarkEnd w:id="54"/>
    </w:p>
    <w:p>
      <w:pPr>
        <w:pStyle w:val="Heading4"/>
        <w:numPr>
          <w:ilvl w:val="3"/>
          <w:numId w:val="1"/>
        </w:numPr>
        <w:rPr/>
      </w:pPr>
      <w:bookmarkStart w:id="55" w:name="__RefHeading___Toc558033_3650668749"/>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از هيئت مفتيان وهابى در عربستان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بيمارستان‌ها، اماكنى براى فروش گل وجود دارد، و ما عيادت‌كنندگانى را مى‌بينيم كه دسته‌هاى گل را از آنها مى‌خرند و به بيماران تقديم مى‌كنند، اين كار چه حكمى دارد؟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هيئت مفتيان در جواب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قرون متمادى اهداى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يا مصنوعى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جزء سنّت عيادت از بيماران نبوده و اين عادتى است كه از بلاد </w:t>
      </w:r>
      <w:bookmarkStart w:id="57" w:name="pg1532_13118"/>
    </w:p>
    <w:p>
      <w:pPr>
        <w:pStyle w:val="BookText"/>
        <w:rPr/>
      </w:pPr>
      <w:bookmarkEnd w:id="57"/>
      <w:r>
        <w:rPr>
          <w:rFonts w:ascii="IRNazanin" w:hAnsi="IRNazanin" w:eastAsia="IRNazanin"/>
          <w:color w:val="111111"/>
          <w:sz w:val="28"/>
          <w:sz w:val="28"/>
          <w:szCs w:val="28"/>
          <w:rtl w:val="true"/>
          <w:lang w:bidi="fa-IR"/>
        </w:rPr>
        <w:t>كفر وارد شده و عدّه‌اى كه ايمان ضعيفى داشته‌اند، از آنها تأثير گرفته و اين عادت را انتقال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بردن گل نفعى براى بيمار ندارد، بلكه تشبّه و تقليد محض از كفّار محسوب مى‌شود و نه هيچ چيز ديگر، و فقط خرج كردن پول در غير راه درست است كه اين اعتقاد فاسد را به دنبال دارد كه اين گل‌ها باعث شفا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نبايد از گل در مورد مذكور استفاده كرد، نه به صورت فروش و نه خريد و نه اهدا</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58" w:name="__RefHeading___Toc558035_3650668749"/>
      <w:bookmarkStart w:id="59" w:name="_Toc22"/>
      <w:bookmarkEnd w:id="58"/>
      <w:r>
        <w:rPr>
          <w:rtl w:val="true"/>
        </w:rPr>
        <w:t>نظر نويسنده</w:t>
      </w:r>
      <w:bookmarkEnd w:id="59"/>
    </w:p>
    <w:p>
      <w:pPr>
        <w:pStyle w:val="BookText"/>
        <w:rPr/>
      </w:pPr>
      <w:r>
        <w:rPr>
          <w:rFonts w:ascii="IRNazanin" w:hAnsi="IRNazanin" w:eastAsia="IRNazanin"/>
          <w:color w:val="111111"/>
          <w:sz w:val="28"/>
          <w:sz w:val="28"/>
          <w:szCs w:val="28"/>
          <w:rtl w:val="true"/>
          <w:lang w:bidi="fa-IR"/>
        </w:rPr>
        <w:t>ترديدى نيست كه هيچ انسانى معتقد نيست كه گل مريض را شفا مى‌دهد، بلكه گل مظهر شادى و لطافت است كه باعث شاد نمودن روحيه مريض و دادن اميد به او مى‌شود</w:t>
      </w:r>
      <w:r>
        <w:rPr>
          <w:rFonts w:eastAsia="IRNazanin" w:cs="IRNazanin"/>
          <w:color w:val="111111"/>
          <w:sz w:val="28"/>
          <w:szCs w:val="28"/>
          <w:rtl w:val="true"/>
          <w:lang w:bidi="fa-IR"/>
        </w:rPr>
        <w:t>.</w:t>
      </w:r>
    </w:p>
    <w:p>
      <w:pPr>
        <w:pStyle w:val="Heading3"/>
        <w:numPr>
          <w:ilvl w:val="2"/>
          <w:numId w:val="1"/>
        </w:numPr>
        <w:rPr/>
      </w:pPr>
      <w:bookmarkStart w:id="60" w:name="__RefHeading___Toc558037_3650668749"/>
      <w:bookmarkStart w:id="61" w:name="_Toc23"/>
      <w:bookmarkEnd w:id="60"/>
      <w:r>
        <w:rPr>
          <w:rtl w:val="true"/>
        </w:rPr>
        <w:t>حرمت ساختن بنا روى قبور و وجوب ويران‌كردن آنها</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و شاگرد معروفش، ابن القيم جوزى طى فتواهايى اعلام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بنا بر روى قبور حرام و از بين بردن بناهاى ايجاد شده واجب مى‌باشد</w:t>
      </w:r>
      <w:r>
        <w:rPr>
          <w:rFonts w:eastAsia="IRNazanin" w:cs="IRNazanin"/>
          <w:color w:val="111111"/>
          <w:sz w:val="28"/>
          <w:szCs w:val="28"/>
          <w:rtl w:val="true"/>
          <w:lang w:bidi="fa-IR"/>
        </w:rPr>
        <w:t>»</w:t>
      </w:r>
      <w:r>
        <w:rPr>
          <w:rStyle w:val="FootnoteAnchor"/>
          <w:rtl w:val="true"/>
        </w:rPr>
        <w:footnoteReference w:id="27"/>
      </w:r>
      <w:bookmarkStart w:id="62" w:name="pg1532_13119"/>
    </w:p>
    <w:p>
      <w:pPr>
        <w:pStyle w:val="BookText"/>
        <w:rPr/>
      </w:pPr>
      <w:bookmarkEnd w:id="62"/>
      <w:r>
        <w:rPr>
          <w:rFonts w:ascii="IRNazanin" w:hAnsi="IRNazanin" w:eastAsia="IRNazanin"/>
          <w:color w:val="111111"/>
          <w:sz w:val="28"/>
          <w:sz w:val="28"/>
          <w:szCs w:val="28"/>
          <w:rtl w:val="true"/>
          <w:lang w:bidi="fa-IR"/>
        </w:rPr>
        <w:t>پس از آن محمد بن عبدالوهاب و مفتيان وهابى به تقليد از آنان، فتواى حرمت ساختن بنا بر روى قبور را صادر نمودند</w:t>
      </w:r>
      <w:r>
        <w:rPr>
          <w:rFonts w:eastAsia="IRNazanin" w:cs="IRNazanin"/>
          <w:color w:val="111111"/>
          <w:sz w:val="28"/>
          <w:szCs w:val="28"/>
          <w:rtl w:val="true"/>
          <w:lang w:bidi="fa-IR"/>
        </w:rPr>
        <w:t>.</w:t>
      </w:r>
    </w:p>
    <w:p>
      <w:pPr>
        <w:pStyle w:val="Heading3"/>
        <w:numPr>
          <w:ilvl w:val="2"/>
          <w:numId w:val="1"/>
        </w:numPr>
        <w:rPr/>
      </w:pPr>
      <w:bookmarkStart w:id="63" w:name="__RefHeading___Toc558039_3650668749"/>
      <w:bookmarkStart w:id="64" w:name="_Toc24"/>
      <w:bookmarkEnd w:id="63"/>
      <w:r>
        <w:rPr>
          <w:rtl w:val="true"/>
        </w:rPr>
        <w:t>حكم اظهار خوشحالى كسى كه در فوتبال گل مى‌زند</w:t>
      </w:r>
      <w:bookmarkEnd w:id="64"/>
    </w:p>
    <w:p>
      <w:pPr>
        <w:pStyle w:val="BookText"/>
        <w:rPr/>
      </w:pPr>
      <w:r>
        <w:rPr>
          <w:rFonts w:ascii="Amiri" w:hAnsi="Amiri" w:eastAsia="Amiri" w:cs="Amiri"/>
          <w:color w:val="111111"/>
          <w:sz w:val="28"/>
          <w:sz w:val="28"/>
          <w:szCs w:val="28"/>
          <w:rtl w:val="true"/>
          <w:lang w:bidi="ar-SA"/>
        </w:rPr>
        <w:t>عبدالله النجدى و عبدالعزير آل شيخ مفتيان عربستان طى فتوايى مى‌نويسند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كسى كه گل بزند و سپس بدود تا بقيه او را دنبال كنند و بغل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در آمريكا و فرانسه بازيكنان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به صورتش تُف انداخت و تنبيه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زيرا ورزش بدنى شما چه ارتباطى به شادى و بغل‌كردن و بوسيدن دارد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5" w:name="__RefHeading___Toc558041_3650668749"/>
      <w:bookmarkStart w:id="66" w:name="_Toc25"/>
      <w:bookmarkEnd w:id="65"/>
      <w:r>
        <w:rPr>
          <w:rtl w:val="true"/>
        </w:rPr>
        <w:t>حكم برگزارى مراسم جشن تولد</w:t>
      </w:r>
      <w:bookmarkEnd w:id="66"/>
    </w:p>
    <w:p>
      <w:pPr>
        <w:pStyle w:val="BookText"/>
        <w:rPr/>
      </w:pPr>
      <w:r>
        <w:rPr>
          <w:rFonts w:ascii="Amiri" w:hAnsi="Amiri" w:eastAsia="Amiri" w:cs="Amiri"/>
          <w:color w:val="111111"/>
          <w:sz w:val="28"/>
          <w:sz w:val="28"/>
          <w:szCs w:val="28"/>
          <w:rtl w:val="true"/>
          <w:lang w:bidi="ar-SA"/>
        </w:rPr>
        <w:t>شيخ ابن عثيمين از مفتيان وهابيّت عربستان طى فتوايى مى‌نويسد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برپايى مراسم جشن تولّد براى اطفال، از عادات و سنّت‌هاى اسلامى نيست، بلكه از دشمنان به ارث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شبيه هر ملتى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آنان محسوب مى‌گردد</w:t>
      </w:r>
      <w:r>
        <w:rPr>
          <w:rFonts w:eastAsia="IRNazanin" w:cs="IRNazanin"/>
          <w:color w:val="111111"/>
          <w:sz w:val="28"/>
          <w:szCs w:val="28"/>
          <w:rtl w:val="true"/>
          <w:lang w:bidi="fa-IR"/>
        </w:rPr>
        <w:t>.</w:t>
      </w:r>
      <w:r>
        <w:rPr>
          <w:rStyle w:val="FootnoteAnchor"/>
          <w:rtl w:val="true"/>
        </w:rPr>
        <w:footnoteReference w:id="29"/>
      </w:r>
      <w:bookmarkStart w:id="67" w:name="pg1532_13120"/>
    </w:p>
    <w:p>
      <w:pPr>
        <w:pStyle w:val="BookText"/>
        <w:rPr/>
      </w:pPr>
      <w:bookmarkEnd w:id="67"/>
      <w:r>
        <w:rPr>
          <w:rFonts w:ascii="IRNazanin" w:hAnsi="IRNazanin" w:eastAsia="IRNazanin"/>
          <w:color w:val="111111"/>
          <w:sz w:val="28"/>
          <w:sz w:val="28"/>
          <w:szCs w:val="28"/>
          <w:rtl w:val="true"/>
          <w:lang w:bidi="fa-IR"/>
        </w:rPr>
        <w:t>وى در فتواى ديگرى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براى خود و يا فرزندان خود جشن ميلاد بگيرد و يا مراسم سالگرد ازدواج برپا كند، كار خلاف شرع مرتكب شده و اين كار به بدعت نزديك‌تر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هيئت دائم افتاى سعودى در پاسخ به سؤالى پيرامون مراسم جشن تولّد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تولّد، نوعى از بدعت است كه در دين افزوده شده و براى هيچ فردى اگرچه از شخصيّت‌هاى برجسته جامعه و داراى موقعيّت ممتاز هم باشد، جايز نيست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68" w:name="__RefHeading___Toc558043_3650668749"/>
      <w:bookmarkStart w:id="69" w:name="_Toc26"/>
      <w:bookmarkEnd w:id="68"/>
      <w:r>
        <w:rPr>
          <w:rtl w:val="true"/>
        </w:rPr>
        <w:t xml:space="preserve">برگزارى مراسم ميلاد رسول اكرم </w:t>
      </w:r>
      <w:r>
        <w:rPr>
          <w:rtl w:val="true"/>
        </w:rPr>
        <w:t>(</w:t>
      </w:r>
      <w:r>
        <w:rPr>
          <w:rtl w:val="true"/>
        </w:rPr>
        <w:t>ص</w:t>
      </w:r>
      <w:r>
        <w:rPr>
          <w:rtl w:val="true"/>
        </w:rPr>
        <w:t xml:space="preserve">) </w:t>
      </w:r>
      <w:r>
        <w:rPr>
          <w:rtl w:val="true"/>
        </w:rPr>
        <w:t>بدعت است</w:t>
      </w:r>
      <w:bookmarkEnd w:id="69"/>
    </w:p>
    <w:p>
      <w:pPr>
        <w:pStyle w:val="BookText"/>
        <w:rPr/>
      </w:pPr>
      <w:r>
        <w:rPr>
          <w:rFonts w:ascii="Amiri" w:hAnsi="Amiri" w:eastAsia="Amiri" w:cs="Amiri"/>
          <w:color w:val="111111"/>
          <w:sz w:val="28"/>
          <w:sz w:val="28"/>
          <w:szCs w:val="28"/>
          <w:rtl w:val="true"/>
          <w:lang w:bidi="ar-SA"/>
        </w:rPr>
        <w:t>بن باز، مفتى سابق عربستان سعودى طى فتوايى مى‌نويسد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ميلاد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چون بدعت در دين محسوب مى‌شود؛ زيرا رسول گرامى، و خلفاى راشدين، و صحابه و ديگر تابعين، چنين مراسمى انجام نمى‌داده‌اند</w:t>
      </w:r>
      <w:r>
        <w:rPr>
          <w:rFonts w:eastAsia="IRNazanin" w:cs="IRNazanin"/>
          <w:color w:val="111111"/>
          <w:sz w:val="28"/>
          <w:szCs w:val="28"/>
          <w:rtl w:val="true"/>
          <w:lang w:bidi="fa-IR"/>
        </w:rPr>
        <w:t xml:space="preserve">. </w:t>
      </w:r>
      <w:r>
        <w:rPr>
          <w:rStyle w:val="FootnoteAnchor"/>
          <w:rtl w:val="true"/>
        </w:rPr>
        <w:footnoteReference w:id="32"/>
      </w:r>
      <w:bookmarkStart w:id="70" w:name="pg1532_13121"/>
    </w:p>
    <w:p>
      <w:pPr>
        <w:pStyle w:val="Heading3"/>
        <w:numPr>
          <w:ilvl w:val="2"/>
          <w:numId w:val="1"/>
        </w:numPr>
        <w:rPr/>
      </w:pPr>
      <w:bookmarkStart w:id="71" w:name="__RefHeading___Toc558045_3650668749"/>
      <w:bookmarkStart w:id="72" w:name="_Toc27"/>
      <w:bookmarkEnd w:id="70"/>
      <w:bookmarkEnd w:id="71"/>
      <w:r>
        <w:rPr>
          <w:rtl w:val="true"/>
        </w:rPr>
        <w:t>برگزارى جشن سالگرد ازدواج بدعت است</w:t>
      </w:r>
      <w:bookmarkEnd w:id="72"/>
    </w:p>
    <w:p>
      <w:pPr>
        <w:pStyle w:val="BookText"/>
        <w:rPr/>
      </w:pPr>
      <w:r>
        <w:rPr>
          <w:rFonts w:ascii="IRNazanin" w:hAnsi="IRNazanin" w:eastAsia="IRNazanin"/>
          <w:color w:val="111111"/>
          <w:sz w:val="28"/>
          <w:sz w:val="28"/>
          <w:szCs w:val="28"/>
          <w:rtl w:val="true"/>
          <w:lang w:bidi="fa-IR"/>
        </w:rPr>
        <w:t>شيخ ابن عثيمين از نويسندگان و مفتيان فعال وهّابيّت در عربستان در فتوايى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ميلاد براى اشخاص يا اولاد و يا براى مناسبت‌هاى ديگر از قبيل ازدواج و مانند آن غير مشروع و بدعت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استفتاى ديگرى كه از هيئت مفتيان عربستان در رابطه با برگزارى جشن‌ها و مراسم دولتى سؤال مى‌شود، جواب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مراسم برگزارى عيد به خاطر مصلحت ملّت و تنظيم امور كشور صورت پذيرد، همانند هفته پليس، و شروع سال تحصيلى، و گردهمايى كارمندان دولتى، و امثال آنها كه قصد تقرّب و عبادت در آن نيست، مانعى ندارد و شامل نهى پيامبر نمى‌شود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73" w:name="__RefHeading___Toc558047_3650668749"/>
      <w:bookmarkStart w:id="74" w:name="_Toc28"/>
      <w:bookmarkEnd w:id="73"/>
      <w:r>
        <w:rPr>
          <w:rtl w:val="true"/>
        </w:rPr>
        <w:t>نازك‌كردن و برداشتن ابرو</w:t>
      </w:r>
      <w:bookmarkEnd w:id="74"/>
    </w:p>
    <w:p>
      <w:pPr>
        <w:pStyle w:val="BookText"/>
        <w:rPr/>
      </w:pPr>
      <w:r>
        <w:rPr>
          <w:rFonts w:ascii="Amiri" w:hAnsi="Amiri" w:eastAsia="Amiri" w:cs="Amiri"/>
          <w:color w:val="111111"/>
          <w:sz w:val="28"/>
          <w:sz w:val="28"/>
          <w:szCs w:val="28"/>
          <w:rtl w:val="true"/>
          <w:lang w:bidi="ar-SA"/>
        </w:rPr>
        <w:t>شيخ عبدالعزيز بن باز، مفتى عربستان، طى فتوايى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برداشتن و كم كردن موى ابروها درست نيست، چون از پيامبر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النّامصه </w:t>
      </w:r>
      <w:bookmarkStart w:id="75" w:name="pg1532_13122"/>
    </w:p>
    <w:p>
      <w:pPr>
        <w:pStyle w:val="BookText"/>
        <w:rPr/>
      </w:pPr>
      <w:bookmarkEnd w:id="75"/>
      <w:r>
        <w:rPr>
          <w:rFonts w:ascii="Amiri" w:hAnsi="Amiri" w:eastAsia="Amiri" w:cs="Amiri"/>
          <w:color w:val="111111"/>
          <w:sz w:val="28"/>
          <w:sz w:val="28"/>
          <w:szCs w:val="28"/>
          <w:rtl w:val="true"/>
          <w:lang w:bidi="ar-SA"/>
        </w:rPr>
        <w:t>والمتنمصه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زنى را كه موى ابروها را باريك مى‌كند يا برمى‌دارد و زنى كه خواستار انجام اين كار است لعنت كرده است</w:t>
      </w:r>
      <w:r>
        <w:rPr>
          <w:rFonts w:eastAsia="Amiri" w:cs="Amiri" w:ascii="Amiri" w:hAnsi="Amiri"/>
          <w:color w:val="111111"/>
          <w:sz w:val="28"/>
          <w:szCs w:val="28"/>
          <w:rtl w:val="true"/>
          <w:lang w:bidi="ar-SA"/>
        </w:rPr>
        <w:t>»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فتواى مشابهى از شيخ ابن عثيمين و عبدالله جبرين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نيز صادر شده است</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58049_3650668749"/>
      <w:bookmarkStart w:id="77" w:name="_Toc29"/>
      <w:bookmarkEnd w:id="76"/>
      <w:r>
        <w:rPr>
          <w:rtl w:val="true"/>
        </w:rPr>
        <w:t>مراسم سوگوارى پيامبران و صالحان بدعت است</w:t>
      </w:r>
      <w:bookmarkEnd w:id="77"/>
    </w:p>
    <w:p>
      <w:pPr>
        <w:pStyle w:val="Heading4"/>
        <w:numPr>
          <w:ilvl w:val="3"/>
          <w:numId w:val="1"/>
        </w:numPr>
        <w:rPr/>
      </w:pPr>
      <w:bookmarkStart w:id="78" w:name="__RefHeading___Toc558051_3650668749"/>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هيئت دائم افتاى سعودى در پاسخ به سؤالى پيرامون مراسم سوگوارى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سوگوارى براى پيامبران و صالحانى كه از دنيا رفته‌اند و همچنين مراسم بزرگداشت آنان جايز نيست و بدعت در دين، و شرك به حساب مى‌آيد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80" w:name="__RefHeading___Toc558053_3650668749"/>
      <w:bookmarkStart w:id="81" w:name="_Toc31"/>
      <w:bookmarkEnd w:id="80"/>
      <w:r>
        <w:rPr>
          <w:rtl w:val="true"/>
        </w:rPr>
        <w:t>نظر نويسنده</w:t>
      </w:r>
      <w:bookmarkEnd w:id="81"/>
    </w:p>
    <w:p>
      <w:pPr>
        <w:pStyle w:val="BookText"/>
        <w:rPr/>
      </w:pPr>
      <w:r>
        <w:rPr>
          <w:rFonts w:ascii="IRNazanin" w:hAnsi="IRNazanin" w:eastAsia="IRNazanin"/>
          <w:color w:val="111111"/>
          <w:sz w:val="28"/>
          <w:sz w:val="28"/>
          <w:szCs w:val="28"/>
          <w:rtl w:val="true"/>
          <w:lang w:bidi="fa-IR"/>
        </w:rPr>
        <w:t xml:space="preserve">البته در مجالس و مراسمى كه قرآن قرائت مى‌شود،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مى‌شود، احكام شرع بيان مى‌گردد، كدام قسمت آن شرك است؟ الله اعلم</w:t>
      </w:r>
      <w:r>
        <w:rPr>
          <w:rFonts w:eastAsia="IRNazanin" w:cs="IRNazanin"/>
          <w:color w:val="111111"/>
          <w:sz w:val="28"/>
          <w:szCs w:val="28"/>
          <w:rtl w:val="true"/>
          <w:lang w:bidi="fa-IR"/>
        </w:rPr>
        <w:t>.</w:t>
      </w:r>
    </w:p>
    <w:p>
      <w:pPr>
        <w:pStyle w:val="Heading3"/>
        <w:numPr>
          <w:ilvl w:val="2"/>
          <w:numId w:val="1"/>
        </w:numPr>
        <w:rPr/>
      </w:pPr>
      <w:bookmarkStart w:id="82" w:name="__RefHeading___Toc558055_3650668749"/>
      <w:bookmarkStart w:id="83" w:name="_Toc32"/>
      <w:bookmarkEnd w:id="82"/>
      <w:r>
        <w:rPr>
          <w:rtl w:val="true"/>
        </w:rPr>
        <w:t>كشتن گوسفند پس از اتمام ساختمان</w:t>
      </w:r>
      <w:bookmarkEnd w:id="83"/>
    </w:p>
    <w:p>
      <w:pPr>
        <w:pStyle w:val="BookText"/>
        <w:rPr/>
      </w:pPr>
      <w:r>
        <w:rPr>
          <w:rFonts w:ascii="IRNazanin" w:hAnsi="IRNazanin" w:eastAsia="IRNazanin"/>
          <w:color w:val="111111"/>
          <w:sz w:val="28"/>
          <w:sz w:val="28"/>
          <w:szCs w:val="28"/>
          <w:rtl w:val="true"/>
          <w:lang w:bidi="fa-IR"/>
        </w:rPr>
        <w:t>عبدالعزيز بن باز مى‌گويد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ذبح گاو يا گوسفند هنگام به اتمام رسيدن </w:t>
      </w:r>
      <w:bookmarkStart w:id="84" w:name="pg1532_13123"/>
    </w:p>
    <w:p>
      <w:pPr>
        <w:pStyle w:val="BookText"/>
        <w:rPr/>
      </w:pPr>
      <w:bookmarkEnd w:id="84"/>
      <w:r>
        <w:rPr>
          <w:rFonts w:ascii="Amiri" w:hAnsi="Amiri" w:eastAsia="Amiri" w:cs="Amiri"/>
          <w:color w:val="111111"/>
          <w:sz w:val="28"/>
          <w:sz w:val="28"/>
          <w:szCs w:val="28"/>
          <w:rtl w:val="true"/>
          <w:lang w:bidi="ar-SA"/>
        </w:rPr>
        <w:t>ساختمان مساجد، اصل و اساسى بر آن نيست، و اعتقاد به آن خطاى محض است و سزاوار است كسى را كه معتقد به اين امور است يا اينكه اين كارها را انجام مى‌دهد انكار كنيم؛ زيرا اين امور بدعت در دين به حساب مى‌آيد، و هر بدعتى ضلالت است</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85" w:name="__RefHeading___Toc558057_3650668749"/>
      <w:bookmarkStart w:id="86" w:name="_Toc33"/>
      <w:bookmarkEnd w:id="85"/>
      <w:r>
        <w:rPr>
          <w:rtl w:val="true"/>
        </w:rPr>
        <w:t>پوشيدن چفيه بر زنان حرام است</w:t>
      </w:r>
      <w:bookmarkEnd w:id="86"/>
    </w:p>
    <w:p>
      <w:pPr>
        <w:pStyle w:val="BookText"/>
        <w:rPr/>
      </w:pPr>
      <w:r>
        <w:rPr>
          <w:rFonts w:ascii="IRNazanin" w:hAnsi="IRNazanin" w:eastAsia="IRNazanin"/>
          <w:color w:val="111111"/>
          <w:sz w:val="28"/>
          <w:sz w:val="28"/>
          <w:szCs w:val="28"/>
          <w:rtl w:val="true"/>
          <w:lang w:bidi="fa-IR"/>
        </w:rPr>
        <w:t>شيخ عبدالله مطلق، عضو هيئت علماى عربستان سعودى طى اظهاراتى پس از اعلام تحريم استفاده از چفيه‌ها براى زنان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را در نشست اخير مجمع هيئت علما مطرح كرديم و به اتفاق آراء، اين نظر را داشتند و در نتيجه چنين تصميمى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آمده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مردانى كه خود را شبيه زنان و زنانى كه خود را شبيه مردان كنند را لعن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ديگر از علماى عربستانى از جمله شيخ خالدبن عبدالله مصلح، طى اظهاراتى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اين نوع چفيه‌ها براى زنان حرام نيست؛ </w:t>
      </w:r>
      <w:bookmarkStart w:id="87" w:name="pg1532_13124"/>
    </w:p>
    <w:p>
      <w:pPr>
        <w:pStyle w:val="BookText"/>
        <w:rPr/>
      </w:pPr>
      <w:bookmarkEnd w:id="87"/>
      <w:r>
        <w:rPr>
          <w:rFonts w:ascii="IRNazanin" w:hAnsi="IRNazanin" w:eastAsia="IRNazanin"/>
          <w:color w:val="111111"/>
          <w:sz w:val="28"/>
          <w:sz w:val="28"/>
          <w:szCs w:val="28"/>
          <w:rtl w:val="true"/>
          <w:lang w:bidi="fa-IR"/>
        </w:rPr>
        <w:t>زيرا نوعى لباس يا پوشش حلال به شمار مى‌رود و هيچ حديث يا روايتى براى تحريم آن وجود ندارد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88" w:name="__RefHeading___Toc558059_3650668749"/>
      <w:bookmarkStart w:id="89" w:name="_Toc34"/>
      <w:bookmarkEnd w:id="88"/>
      <w:r>
        <w:rPr>
          <w:rtl w:val="true"/>
        </w:rPr>
        <w:t xml:space="preserve">صلوات بر رسول اكرم </w:t>
      </w:r>
      <w:r>
        <w:rPr>
          <w:rtl w:val="true"/>
        </w:rPr>
        <w:t>(</w:t>
      </w:r>
      <w:r>
        <w:rPr>
          <w:rtl w:val="true"/>
        </w:rPr>
        <w:t>ص</w:t>
      </w:r>
      <w:r>
        <w:rPr>
          <w:rtl w:val="true"/>
        </w:rPr>
        <w:t xml:space="preserve">) </w:t>
      </w:r>
      <w:r>
        <w:rPr>
          <w:rtl w:val="true"/>
        </w:rPr>
        <w:t>قبل از اذان و بعد از اذان</w:t>
      </w:r>
      <w:bookmarkEnd w:id="89"/>
    </w:p>
    <w:p>
      <w:pPr>
        <w:pStyle w:val="Heading4"/>
        <w:numPr>
          <w:ilvl w:val="3"/>
          <w:numId w:val="1"/>
        </w:numPr>
        <w:rPr/>
      </w:pPr>
      <w:bookmarkStart w:id="90" w:name="__RefHeading___Toc558061_3650668749"/>
      <w:bookmarkStart w:id="91" w:name="_Toc35"/>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فرستادن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اذان و بعد از اذان، از بدعت‌هايى است كه در دين ايجاد شده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دستورات دينى ما چيزى بيفزايد، مردود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عملى را انجام دهد كه ما به آن دستور نداده‌ايم قابل قبول نيست</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عبدالله بن باز مفتى اعظم سعودى نيز چنين فتوايى صادره كرده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92" w:name="__RefHeading___Toc558063_3650668749"/>
      <w:bookmarkStart w:id="93" w:name="_Toc36"/>
      <w:bookmarkEnd w:id="92"/>
      <w:r>
        <w:rPr>
          <w:rtl w:val="true"/>
        </w:rPr>
        <w:t>نظر نويسنده</w:t>
      </w:r>
      <w:bookmarkEnd w:id="93"/>
    </w:p>
    <w:p>
      <w:pPr>
        <w:pStyle w:val="BookText"/>
        <w:rPr/>
      </w:pPr>
      <w:r>
        <w:rPr>
          <w:rFonts w:ascii="Amiri" w:hAnsi="Amiri" w:eastAsia="Amiri" w:cs="Amiri"/>
          <w:color w:val="111111"/>
          <w:sz w:val="28"/>
          <w:sz w:val="28"/>
          <w:szCs w:val="28"/>
          <w:rtl w:val="true"/>
          <w:lang w:bidi="ar-SA"/>
        </w:rPr>
        <w:t xml:space="preserve">در قرآن، صلوات فرستادن 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و در هر زمان و مكانى به مؤمنين توصيه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3"/>
        <w:numPr>
          <w:ilvl w:val="2"/>
          <w:numId w:val="1"/>
        </w:numPr>
        <w:rPr/>
      </w:pPr>
      <w:bookmarkStart w:id="94" w:name="__RefHeading___Toc558065_3650668749"/>
      <w:bookmarkStart w:id="95" w:name="_Toc37"/>
      <w:bookmarkEnd w:id="94"/>
      <w:r>
        <w:rPr>
          <w:rtl w:val="true"/>
        </w:rPr>
        <w:t xml:space="preserve">دعا كردن در كنار قبر رسول اكرم </w:t>
      </w:r>
      <w:r>
        <w:rPr>
          <w:rtl w:val="true"/>
        </w:rPr>
        <w:t>(</w:t>
      </w:r>
      <w:r>
        <w:rPr>
          <w:rtl w:val="true"/>
        </w:rPr>
        <w:t>ص</w:t>
      </w:r>
      <w:r>
        <w:rPr>
          <w:rtl w:val="true"/>
        </w:rPr>
        <w:t>)</w:t>
      </w:r>
      <w:bookmarkEnd w:id="95"/>
    </w:p>
    <w:p>
      <w:pPr>
        <w:pStyle w:val="Heading4"/>
        <w:numPr>
          <w:ilvl w:val="3"/>
          <w:numId w:val="1"/>
        </w:numPr>
        <w:rPr/>
      </w:pPr>
      <w:bookmarkStart w:id="96" w:name="__RefHeading___Toc558067_3650668749"/>
      <w:bookmarkStart w:id="97" w:name="_Toc38"/>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شيخ صالح فوزان عضو هيئت افتاى سعودى مى‌نويسد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رفت و آمد زياد به كنار قبر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نشستن </w:t>
      </w:r>
      <w:bookmarkStart w:id="98" w:name="pg1532_13125"/>
    </w:p>
    <w:p>
      <w:pPr>
        <w:pStyle w:val="BookText"/>
        <w:rPr/>
      </w:pPr>
      <w:bookmarkEnd w:id="98"/>
      <w:r>
        <w:rPr>
          <w:rFonts w:ascii="IRNazanin" w:hAnsi="IRNazanin" w:eastAsia="IRNazanin"/>
          <w:color w:val="111111"/>
          <w:sz w:val="28"/>
          <w:sz w:val="28"/>
          <w:szCs w:val="28"/>
          <w:rtl w:val="true"/>
          <w:lang w:bidi="fa-IR"/>
        </w:rPr>
        <w:t>در آنجا و سلام گفتن به حضرت، بدعت به شمار مى‌آيد، و همچنين دعا كردن به اين نيّت كه شايد در آنجا به اجابت برسد نيز از بدعت‌ها به حساب مى‌آيد</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99" w:name="__RefHeading___Toc558069_3650668749"/>
      <w:bookmarkStart w:id="100" w:name="_Toc39"/>
      <w:bookmarkEnd w:id="99"/>
      <w:r>
        <w:rPr>
          <w:rtl w:val="true"/>
        </w:rPr>
        <w:t>نظر نويسنده</w:t>
      </w:r>
      <w:bookmarkEnd w:id="100"/>
    </w:p>
    <w:p>
      <w:pPr>
        <w:pStyle w:val="BookText"/>
        <w:rPr/>
      </w:pPr>
      <w:r>
        <w:rPr>
          <w:rFonts w:ascii="IRNazanin" w:hAnsi="IRNazanin" w:eastAsia="IRNazanin"/>
          <w:color w:val="111111"/>
          <w:sz w:val="28"/>
          <w:sz w:val="28"/>
          <w:szCs w:val="28"/>
          <w:rtl w:val="true"/>
          <w:lang w:bidi="fa-IR"/>
        </w:rPr>
        <w:t xml:space="preserve">در قرآن هم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إِلْ‌ياسِينَ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مفتيان وهابى، سلام فرستادن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مى‌شمارند، الله اعلم</w:t>
      </w:r>
      <w:r>
        <w:rPr>
          <w:rFonts w:eastAsia="IRNazanin" w:cs="IRNazanin"/>
          <w:color w:val="111111"/>
          <w:sz w:val="28"/>
          <w:szCs w:val="28"/>
          <w:rtl w:val="true"/>
          <w:lang w:bidi="fa-IR"/>
        </w:rPr>
        <w:t>.</w:t>
      </w:r>
    </w:p>
    <w:p>
      <w:pPr>
        <w:pStyle w:val="Heading3"/>
        <w:numPr>
          <w:ilvl w:val="2"/>
          <w:numId w:val="1"/>
        </w:numPr>
        <w:rPr/>
      </w:pPr>
      <w:bookmarkStart w:id="101" w:name="__RefHeading___Toc558071_3650668749"/>
      <w:bookmarkStart w:id="102" w:name="_Toc40"/>
      <w:bookmarkEnd w:id="101"/>
      <w:r>
        <w:rPr>
          <w:rtl w:val="true"/>
        </w:rPr>
        <w:t>دست‌كشيدن به پرده كعبه</w:t>
      </w:r>
      <w:bookmarkEnd w:id="102"/>
    </w:p>
    <w:p>
      <w:pPr>
        <w:pStyle w:val="BookText"/>
        <w:rPr/>
      </w:pPr>
      <w:r>
        <w:rPr>
          <w:rFonts w:ascii="IRNazanin" w:hAnsi="IRNazanin" w:eastAsia="IRNazanin"/>
          <w:color w:val="111111"/>
          <w:sz w:val="28"/>
          <w:sz w:val="28"/>
          <w:szCs w:val="28"/>
          <w:rtl w:val="true"/>
          <w:lang w:bidi="fa-IR"/>
        </w:rPr>
        <w:t>شيخ ابن عثيمين از مفتيان و علماى بزرگ سعودى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تبرّك جستن به پرده كعبه و دست كشيدن به آن بدعت به شمار مى‌رود، چون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در اين باره نرسيده است</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103" w:name="__RefHeading___Toc558073_3650668749"/>
      <w:bookmarkStart w:id="104" w:name="_Toc41"/>
      <w:bookmarkEnd w:id="103"/>
      <w:r>
        <w:rPr>
          <w:rtl w:val="true"/>
        </w:rPr>
        <w:t xml:space="preserve">اهداى ثواب نماز و قرآن به رسول اكرم </w:t>
      </w:r>
      <w:r>
        <w:rPr>
          <w:rtl w:val="true"/>
        </w:rPr>
        <w:t>(</w:t>
      </w:r>
      <w:r>
        <w:rPr>
          <w:rtl w:val="true"/>
        </w:rPr>
        <w:t>ص</w:t>
      </w:r>
      <w:r>
        <w:rPr>
          <w:rtl w:val="true"/>
        </w:rPr>
        <w:t xml:space="preserve">) </w:t>
      </w:r>
      <w:r>
        <w:rPr>
          <w:rtl w:val="true"/>
        </w:rPr>
        <w:t>و مردگان</w:t>
      </w:r>
      <w:bookmarkEnd w:id="104"/>
    </w:p>
    <w:p>
      <w:pPr>
        <w:pStyle w:val="Heading4"/>
        <w:numPr>
          <w:ilvl w:val="3"/>
          <w:numId w:val="1"/>
        </w:numPr>
        <w:rPr/>
      </w:pPr>
      <w:bookmarkStart w:id="105" w:name="__RefHeading___Toc558075_3650668749"/>
      <w:bookmarkStart w:id="106" w:name="_Toc42"/>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هئيت افتاى عربستان سعودى طى فتوايى اعلام مى‌كند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هديه نمودن ثواب نماز به ميّت بدعت محسوب </w:t>
      </w:r>
      <w:bookmarkStart w:id="107" w:name="pg1532_13126"/>
    </w:p>
    <w:p>
      <w:pPr>
        <w:pStyle w:val="BookText"/>
        <w:rPr/>
      </w:pPr>
      <w:bookmarkEnd w:id="107"/>
      <w:r>
        <w:rPr>
          <w:rFonts w:ascii="IRNazanin" w:hAnsi="IRNazanin" w:eastAsia="IRNazanin"/>
          <w:color w:val="111111"/>
          <w:sz w:val="28"/>
          <w:sz w:val="28"/>
          <w:szCs w:val="28"/>
          <w:rtl w:val="true"/>
          <w:lang w:bidi="fa-IR"/>
        </w:rPr>
        <w:t xml:space="preserve">مى‌شود، چون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در اين‌باره چيزى نرسيده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همچنين اهداى ثواب و ختم قرآن براى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جايز نمى‌باشد، چون اصحاب پيامبر و ديگران چنين كارى نكرده‌اند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08" w:name="__RefHeading___Toc558077_3650668749"/>
      <w:bookmarkStart w:id="109" w:name="_Toc43"/>
      <w:bookmarkEnd w:id="108"/>
      <w:r>
        <w:rPr>
          <w:rtl w:val="true"/>
        </w:rPr>
        <w:t>نظر نويسنده</w:t>
      </w:r>
      <w:bookmarkEnd w:id="109"/>
    </w:p>
    <w:p>
      <w:pPr>
        <w:pStyle w:val="BookText"/>
        <w:rPr/>
      </w:pPr>
      <w:r>
        <w:rPr>
          <w:rFonts w:ascii="IRNazanin" w:hAnsi="IRNazanin" w:eastAsia="IRNazanin"/>
          <w:color w:val="111111"/>
          <w:sz w:val="28"/>
          <w:sz w:val="28"/>
          <w:szCs w:val="28"/>
          <w:rtl w:val="true"/>
          <w:lang w:bidi="fa-IR"/>
        </w:rPr>
        <w:t xml:space="preserve">اين فتواها در حالى صادر مى‌شود كه هر ساله پرده كعبه توسط وهابيون تعويض و پرده قديمى قطعه قطعه و قطعات آن به‌عنوان هديه براى سران كشورهاى اسلامى و شخصيت‌هاى مسلمان ارسال مى‌گردد؛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چنين كارى نمى‌كردند، اما هيچ مفتى آن را بدعت نشمرده است</w:t>
      </w:r>
      <w:r>
        <w:rPr>
          <w:rFonts w:eastAsia="IRNazanin" w:cs="IRNazanin"/>
          <w:color w:val="111111"/>
          <w:sz w:val="28"/>
          <w:szCs w:val="28"/>
          <w:rtl w:val="true"/>
          <w:lang w:bidi="fa-IR"/>
        </w:rPr>
        <w:t>.</w:t>
      </w:r>
    </w:p>
    <w:p>
      <w:pPr>
        <w:pStyle w:val="Heading3"/>
        <w:numPr>
          <w:ilvl w:val="2"/>
          <w:numId w:val="1"/>
        </w:numPr>
        <w:rPr/>
      </w:pPr>
      <w:bookmarkStart w:id="110" w:name="__RefHeading___Toc558079_3650668749"/>
      <w:bookmarkStart w:id="111" w:name="_Toc44"/>
      <w:bookmarkEnd w:id="110"/>
      <w:r>
        <w:rPr>
          <w:rtl w:val="true"/>
        </w:rPr>
        <w:t>قرائت قرآن و توزيع خيرات براى اموات</w:t>
      </w:r>
      <w:bookmarkEnd w:id="111"/>
    </w:p>
    <w:p>
      <w:pPr>
        <w:pStyle w:val="BookText"/>
        <w:rPr/>
      </w:pPr>
      <w:r>
        <w:rPr>
          <w:rFonts w:ascii="IRNazanin" w:hAnsi="IRNazanin" w:eastAsia="IRNazanin"/>
          <w:color w:val="111111"/>
          <w:sz w:val="28"/>
          <w:sz w:val="28"/>
          <w:szCs w:val="28"/>
          <w:rtl w:val="true"/>
          <w:lang w:bidi="fa-IR"/>
        </w:rPr>
        <w:t>شيخ ابن عثيمين از مفتيان و علماى بزرگ سعودى مى‌نويسد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نزد مصيبت‌ديده و همچنين خواندن قرآن براى ميّت و توزيع خرما و گوشت از بدعت‌هايى است كه بايد از آن اجتناب نمود، چون اين كار باعث نوحه‌سرايى و گريه و حزن داغديدگان مى‌شود، و </w:t>
      </w:r>
      <w:bookmarkStart w:id="112" w:name="pg1532_13127"/>
    </w:p>
    <w:p>
      <w:pPr>
        <w:pStyle w:val="BookText"/>
        <w:rPr/>
      </w:pPr>
      <w:bookmarkEnd w:id="112"/>
      <w:r>
        <w:rPr>
          <w:rFonts w:ascii="Amiri" w:hAnsi="Amiri" w:eastAsia="Amiri" w:cs="Amiri"/>
          <w:color w:val="111111"/>
          <w:sz w:val="28"/>
          <w:sz w:val="28"/>
          <w:szCs w:val="28"/>
          <w:rtl w:val="true"/>
          <w:lang w:bidi="ar-SA"/>
        </w:rPr>
        <w:t>تلخى مصيبت براى هميشه در قلب آنان مى‌ماند، و من اين افراد را نصيحت مى‌كنم كه از اين كار دست برداشته و توبه نمايند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اگر گريه‌كردن در مرگ عزيزى كه از دست رفته و يك امر طبيعى است، بدعت مى‌باشد، چرا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غم فرزندش گريه كرد؟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و زنان گفت كه حمزه گريه‌كننده ندارد؟ و پس از آن زنان بر حضرت حمزه گريه 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منع نكرد؟</w:t>
      </w:r>
    </w:p>
    <w:p>
      <w:pPr>
        <w:pStyle w:val="BookText"/>
        <w:rPr/>
      </w:pPr>
      <w:r>
        <w:rPr>
          <w:rFonts w:ascii="IRNazanin" w:hAnsi="IRNazanin" w:eastAsia="IRNazanin"/>
          <w:color w:val="111111"/>
          <w:sz w:val="28"/>
          <w:sz w:val="28"/>
          <w:szCs w:val="28"/>
          <w:rtl w:val="true"/>
          <w:lang w:bidi="fa-IR"/>
        </w:rPr>
        <w:t>در روايات زيادى وارد شده كه مصيبت‌ديدگان را تنها نگذارند و آنها را به منازل خود دعوت كنيد و در كنار آنها بنشينيد تا مايه آرامش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توصيه‌ها يك سرى اعمال انسانى و اخلاقى است كه موجب كاهش آلام و ناراحتى‌هاى صاحب عزا مى‌شود و هيچ دليلى بر حرمت آنها وارد نشده است</w:t>
      </w:r>
      <w:r>
        <w:rPr>
          <w:rFonts w:eastAsia="IRNazanin" w:cs="IRNazanin"/>
          <w:color w:val="111111"/>
          <w:sz w:val="28"/>
          <w:szCs w:val="28"/>
          <w:rtl w:val="true"/>
          <w:lang w:bidi="fa-IR"/>
        </w:rPr>
        <w:t>.</w:t>
      </w:r>
    </w:p>
    <w:p>
      <w:pPr>
        <w:pStyle w:val="Heading3"/>
        <w:numPr>
          <w:ilvl w:val="2"/>
          <w:numId w:val="1"/>
        </w:numPr>
        <w:rPr/>
      </w:pPr>
      <w:bookmarkStart w:id="113" w:name="__RefHeading___Toc558081_3650668749"/>
      <w:bookmarkStart w:id="114" w:name="_Toc45"/>
      <w:bookmarkEnd w:id="113"/>
      <w:r>
        <w:rPr>
          <w:rtl w:val="true"/>
        </w:rPr>
        <w:t>رفتن به غار حراء</w:t>
      </w:r>
      <w:bookmarkEnd w:id="114"/>
    </w:p>
    <w:p>
      <w:pPr>
        <w:pStyle w:val="Heading4"/>
        <w:numPr>
          <w:ilvl w:val="3"/>
          <w:numId w:val="1"/>
        </w:numPr>
        <w:rPr/>
      </w:pPr>
      <w:bookmarkStart w:id="115" w:name="__RefHeading___Toc558083_3650668749"/>
      <w:bookmarkStart w:id="116" w:name="_Toc46"/>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هيئت افتاى سعودى مى‌نويسد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غار حراء از شعائر حجّ و آداب اسلامى به حساب نمى‌آيد، بلكه بدعت و از اسباب شرك است، و بايد مردم را از اين عمل جلوگيرى نمود</w:t>
      </w:r>
      <w:r>
        <w:rPr>
          <w:rFonts w:eastAsia="IRNazanin" w:cs="IRNazanin"/>
          <w:color w:val="111111"/>
          <w:sz w:val="28"/>
          <w:szCs w:val="28"/>
          <w:rtl w:val="true"/>
          <w:lang w:bidi="fa-IR"/>
        </w:rPr>
        <w:t xml:space="preserve">. </w:t>
      </w:r>
      <w:r>
        <w:rPr>
          <w:rStyle w:val="FootnoteAnchor"/>
          <w:rtl w:val="true"/>
        </w:rPr>
        <w:footnoteReference w:id="46"/>
      </w:r>
      <w:bookmarkStart w:id="117" w:name="pg1532_13128"/>
    </w:p>
    <w:p>
      <w:pPr>
        <w:pStyle w:val="Heading4"/>
        <w:numPr>
          <w:ilvl w:val="3"/>
          <w:numId w:val="1"/>
        </w:numPr>
        <w:rPr/>
      </w:pPr>
      <w:bookmarkStart w:id="118" w:name="__RefHeading___Toc558085_3650668749"/>
      <w:bookmarkStart w:id="119" w:name="_Toc47"/>
      <w:bookmarkEnd w:id="117"/>
      <w:bookmarkEnd w:id="118"/>
      <w:r>
        <w:rPr>
          <w:rtl w:val="true"/>
        </w:rPr>
        <w:t>نظر نويسنده</w:t>
      </w:r>
      <w:bookmarkEnd w:id="119"/>
    </w:p>
    <w:p>
      <w:pPr>
        <w:pStyle w:val="BookText"/>
        <w:rPr/>
      </w:pPr>
      <w:r>
        <w:rPr>
          <w:rFonts w:ascii="IRNazanin" w:hAnsi="IRNazanin" w:eastAsia="IRNazanin"/>
          <w:color w:val="111111"/>
          <w:sz w:val="28"/>
          <w:sz w:val="28"/>
          <w:szCs w:val="28"/>
          <w:rtl w:val="true"/>
          <w:lang w:bidi="fa-IR"/>
        </w:rPr>
        <w:t xml:space="preserve">اين فتوا در حالى صادر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به غار حراء مى‌رفتند و حضرت حديث عشره مبشره را در كوه نور براى اصحاب ايراد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چه دليلى ديدن غار حراء و محل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رها كردن ميمون در غار حراء كه توسط وهابيون انجام مى‌شود، طبق عمل صحابه مى‌باشد و بدعت به حساب نمى‌آيد، اما حضور مسلمانان براى ديدن غار حراء بدعت محسوب مى‌شود؟</w:t>
      </w:r>
    </w:p>
    <w:p>
      <w:pPr>
        <w:pStyle w:val="Heading3"/>
        <w:numPr>
          <w:ilvl w:val="2"/>
          <w:numId w:val="1"/>
        </w:numPr>
        <w:rPr/>
      </w:pPr>
      <w:bookmarkStart w:id="120" w:name="__RefHeading___Toc558087_3650668749"/>
      <w:bookmarkStart w:id="121" w:name="_Toc48"/>
      <w:bookmarkEnd w:id="120"/>
      <w:r>
        <w:rPr>
          <w:rtl w:val="true"/>
        </w:rPr>
        <w:t>ذكر گفتن با تسبيح</w:t>
      </w:r>
      <w:bookmarkEnd w:id="121"/>
    </w:p>
    <w:p>
      <w:pPr>
        <w:pStyle w:val="BookText"/>
        <w:rPr/>
      </w:pPr>
      <w:r>
        <w:rPr>
          <w:rFonts w:ascii="IRNazanin" w:hAnsi="IRNazanin" w:eastAsia="IRNazanin"/>
          <w:color w:val="111111"/>
          <w:sz w:val="28"/>
          <w:sz w:val="28"/>
          <w:szCs w:val="28"/>
          <w:rtl w:val="true"/>
          <w:lang w:bidi="fa-IR"/>
        </w:rPr>
        <w:t>بن باز مفتى اعظم سعودى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گفتن با تسبيح در شرع مطهّر وارد نشده است بهتر است به جاى تسبيح با انگشتان دست ذكر گفته شود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22" w:name="__RefHeading___Toc558089_3650668749"/>
      <w:bookmarkStart w:id="123" w:name="_Toc49"/>
      <w:bookmarkEnd w:id="122"/>
      <w:r>
        <w:rPr>
          <w:rtl w:val="true"/>
        </w:rPr>
        <w:t>شروع جلسات با آيات قرآن</w:t>
      </w:r>
      <w:bookmarkEnd w:id="12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ابن عثيمين از مفتيان عربستان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آغاز نمودن جلسات و سخنرانى‌ها با آيات قرآن به صورت دائم، در شرع وارد نشده است و شايسته نيست</w:t>
      </w:r>
      <w:r>
        <w:rPr>
          <w:rFonts w:eastAsia="Amiri" w:cs="Amiri" w:ascii="Amiri" w:hAnsi="Amiri"/>
          <w:color w:val="111111"/>
          <w:sz w:val="28"/>
          <w:szCs w:val="28"/>
          <w:rtl w:val="true"/>
          <w:lang w:bidi="ar-SA"/>
        </w:rPr>
        <w:t>» .</w:t>
      </w:r>
      <w:r>
        <w:rPr>
          <w:rStyle w:val="FootnoteAnchor"/>
          <w:rtl w:val="true"/>
        </w:rPr>
        <w:footnoteReference w:id="48"/>
      </w:r>
      <w:bookmarkStart w:id="124" w:name="pg1532_13129"/>
    </w:p>
    <w:p>
      <w:pPr>
        <w:pStyle w:val="Heading3"/>
        <w:numPr>
          <w:ilvl w:val="2"/>
          <w:numId w:val="1"/>
        </w:numPr>
        <w:rPr/>
      </w:pPr>
      <w:bookmarkStart w:id="125" w:name="__RefHeading___Toc558091_3650668749"/>
      <w:bookmarkStart w:id="126" w:name="_Toc50"/>
      <w:bookmarkEnd w:id="124"/>
      <w:bookmarkEnd w:id="125"/>
      <w:r>
        <w:rPr>
          <w:rtl w:val="true"/>
        </w:rPr>
        <w:t>قرائت قرآن و دعاى دسته‌جمعى</w:t>
      </w:r>
      <w:bookmarkEnd w:id="126"/>
    </w:p>
    <w:p>
      <w:pPr>
        <w:pStyle w:val="BookText"/>
        <w:rPr/>
      </w:pPr>
      <w:r>
        <w:rPr>
          <w:rFonts w:ascii="IRNazanin" w:hAnsi="IRNazanin" w:eastAsia="IRNazanin"/>
          <w:color w:val="111111"/>
          <w:sz w:val="28"/>
          <w:sz w:val="28"/>
          <w:szCs w:val="28"/>
          <w:rtl w:val="true"/>
          <w:lang w:bidi="fa-IR"/>
        </w:rPr>
        <w:t>لجنه دائم افتاى سعودى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قرآن و همچنين خواندن دعا به صورت دسته‌جمعى پس از هر نماز بدعت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27" w:name="__RefHeading___Toc558093_3650668749"/>
      <w:bookmarkStart w:id="128" w:name="_Toc51"/>
      <w:bookmarkEnd w:id="127"/>
      <w:r>
        <w:rPr>
          <w:rtl w:val="true"/>
        </w:rPr>
        <w:t xml:space="preserve">گفتن </w:t>
      </w:r>
      <w:r>
        <w:rPr>
          <w:rtl w:val="true"/>
        </w:rPr>
        <w:t>«</w:t>
      </w:r>
      <w:r>
        <w:rPr>
          <w:rtl w:val="true"/>
        </w:rPr>
        <w:t>صدق الله العظيم</w:t>
      </w:r>
      <w:r>
        <w:rPr>
          <w:rtl w:val="true"/>
        </w:rPr>
        <w:t xml:space="preserve">» </w:t>
      </w:r>
      <w:r>
        <w:rPr>
          <w:rtl w:val="true"/>
        </w:rPr>
        <w:t>بعد از ختم قرآن</w:t>
      </w:r>
      <w:bookmarkEnd w:id="128"/>
    </w:p>
    <w:p>
      <w:pPr>
        <w:pStyle w:val="BookText"/>
        <w:rPr/>
      </w:pPr>
      <w:r>
        <w:rPr>
          <w:rFonts w:ascii="IRNazanin" w:hAnsi="IRNazanin" w:eastAsia="IRNazanin"/>
          <w:color w:val="111111"/>
          <w:sz w:val="28"/>
          <w:sz w:val="28"/>
          <w:szCs w:val="28"/>
          <w:rtl w:val="true"/>
          <w:lang w:bidi="fa-IR"/>
        </w:rPr>
        <w:t>لجنه دائم افتاى سعودى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پايان قرائت قرآن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شيخ ابن عثيمين از مفتيان بزرگ سعودى نيز به همين حكم فتوا داده است</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129" w:name="__RefHeading___Toc558095_3650668749"/>
      <w:bookmarkStart w:id="130" w:name="_Toc52"/>
      <w:bookmarkEnd w:id="129"/>
      <w:r>
        <w:rPr>
          <w:rtl w:val="true"/>
        </w:rPr>
        <w:t>فتوا به كفر شيعه</w:t>
      </w:r>
      <w:bookmarkEnd w:id="130"/>
    </w:p>
    <w:p>
      <w:pPr>
        <w:pStyle w:val="Heading4"/>
        <w:numPr>
          <w:ilvl w:val="3"/>
          <w:numId w:val="1"/>
        </w:numPr>
        <w:rPr/>
      </w:pPr>
      <w:bookmarkStart w:id="131" w:name="__RefHeading___Toc558097_3650668749"/>
      <w:bookmarkStart w:id="132" w:name="_Toc53"/>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هيأت عالى افتاى سعودى در پاسخ به سؤالى پيرامون شيعه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سؤال آمده است،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ياحسين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مشرك، و از ملّت اسلام خارج مى‌باشند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فتوا به امضاى چهار تن از اعضاى هيأت عالى افتاى سعودى به شرح ذيل رسيده است كه عبارتند 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رئيس هيأت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عبد الله بن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اعضاى هيأت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عفيفى، عبدالله بن غَدَيان و عبدالله بن قعود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فتواى ديگرى عبدالله بن جبرين، يكى از مفتيان سعودى، در جواب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مى‌شود به فقراى شيعه زكات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علماى اسلامى به كافر نمى‌شود زكات داد و شيعيان بدون شك به چهار دليل كافر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نسبت به قرآن طعنه زده و بدگويى مى‌كنند و معتقد به تحريف قرآن هستند و مى‌گويند كه دو سوم قرآن حذف شده و هركس به قرآن طعنه زند كافر است و منكر آيه شريفه وَ إِنَّا لَهُ لَحافِظُونَ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سنت پيامبر و احاديث صحيح بخارى و مسلم نيز طعنه مى‌زنند و به احاديثى كه در اين دوكتاب آمده عمل نمى‌كنند، چون بر اين عقيده هستند كه روايات اين كتاب‌ها از صحابه نقل شده و صحابه را كافر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هستند كه پس از پيامبر گرامى همه صحابه جز على و فرزندان او و تعداد اندكى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عمار همه كافر و مرتد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اهل سنت را كافر دانسته و با آنان نماز نمى‌خوانند و اگر پشت سر اهل سنت نماز بخوانند آن نماز را اعاده مى‌كنند، بلكه آنان معتقد به نجاست </w:t>
      </w:r>
      <w:bookmarkStart w:id="133" w:name="pg1532_13131"/>
    </w:p>
    <w:p>
      <w:pPr>
        <w:pStyle w:val="BookText"/>
        <w:rPr/>
      </w:pPr>
      <w:bookmarkEnd w:id="133"/>
      <w:r>
        <w:rPr>
          <w:rFonts w:ascii="IRNazanin" w:hAnsi="IRNazanin" w:eastAsia="IRNazanin"/>
          <w:color w:val="111111"/>
          <w:sz w:val="28"/>
          <w:sz w:val="28"/>
          <w:szCs w:val="28"/>
          <w:rtl w:val="true"/>
          <w:lang w:bidi="fa-IR"/>
        </w:rPr>
        <w:t>اهل‌سنت هستند و اگر با يكى از اهل سنت مصافحه كنند، دست خود را آب مى‌كشند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نسبت به على و فرزندان او غلوّ كرده و آنان را به صفاتى كه ويژه خداوند است توصيف مى‌كنند و همانند خداوند آنان را صدا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شيعيان زكات بدهد قبول نيست؛ زيرا او با اين كار خود به كسى كمك كرده كه كفر را تقويت مى‌كند و با سنت پيامبر در حال جنگ است</w:t>
      </w:r>
      <w:r>
        <w:rPr>
          <w:rFonts w:eastAsia="IRNazanin" w:cs="IRNazanin"/>
          <w:color w:val="111111"/>
          <w:sz w:val="28"/>
          <w:szCs w:val="28"/>
          <w:rtl w:val="true"/>
          <w:lang w:bidi="fa-IR"/>
        </w:rPr>
        <w:t>.</w:t>
      </w:r>
    </w:p>
    <w:p>
      <w:pPr>
        <w:pStyle w:val="Heading4"/>
        <w:numPr>
          <w:ilvl w:val="3"/>
          <w:numId w:val="1"/>
        </w:numPr>
        <w:rPr/>
      </w:pPr>
      <w:bookmarkStart w:id="134" w:name="__RefHeading___Toc558099_3650668749"/>
      <w:bookmarkStart w:id="135" w:name="_Toc54"/>
      <w:bookmarkEnd w:id="134"/>
      <w:r>
        <w:rPr>
          <w:rtl w:val="true"/>
        </w:rPr>
        <w:t>نظر نويسنده</w:t>
      </w:r>
      <w:bookmarkEnd w:id="13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كاش مفتيان سعودى حداقل برخى از كتب شيعه را مطالعه و يا اطلاعاتى از اعتقادات شيعه را به‌دست مى‌آوردند تا به اين راحتى فتواهاى كيلويى و بى‌اساس صادر نمى‌كردند و پيروان واقعى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شرك نمى‌نمودند تا هر شيعه‌اى كه اين فتواها را مى‌خواند از بى‌اطلاعى و جهالت آنان نمى‌خنديد</w:t>
      </w:r>
      <w:r>
        <w:rPr>
          <w:rFonts w:eastAsia="IRNazanin" w:cs="IRNazanin"/>
          <w:color w:val="111111"/>
          <w:sz w:val="28"/>
          <w:szCs w:val="28"/>
          <w:rtl w:val="true"/>
          <w:lang w:bidi="fa-IR"/>
        </w:rPr>
        <w:t xml:space="preserve">. </w:t>
      </w:r>
      <w:bookmarkStart w:id="136" w:name="pg1532_13132"/>
    </w:p>
    <w:p>
      <w:pPr>
        <w:pStyle w:val="Heading2"/>
        <w:numPr>
          <w:ilvl w:val="1"/>
          <w:numId w:val="1"/>
        </w:numPr>
        <w:rPr/>
      </w:pPr>
      <w:bookmarkStart w:id="137" w:name="__RefHeading___Toc558101_3650668749"/>
      <w:bookmarkStart w:id="138" w:name="_Toc55"/>
      <w:bookmarkEnd w:id="136"/>
      <w:bookmarkEnd w:id="137"/>
      <w:r>
        <w:rPr>
          <w:rtl w:val="true"/>
        </w:rPr>
        <w:t xml:space="preserve">مخالفت وهابيون با قرآن و سنت پيامبر </w:t>
      </w:r>
      <w:r>
        <w:rPr>
          <w:rtl w:val="true"/>
        </w:rPr>
        <w:t>(</w:t>
      </w:r>
      <w:r>
        <w:rPr>
          <w:rtl w:val="true"/>
        </w:rPr>
        <w:t>ص</w:t>
      </w:r>
      <w:r>
        <w:rPr>
          <w:rtl w:val="true"/>
        </w:rPr>
        <w:t>)</w:t>
      </w:r>
      <w:bookmarkEnd w:id="138"/>
    </w:p>
    <w:p>
      <w:pPr>
        <w:pStyle w:val="BookText"/>
        <w:rPr/>
      </w:pPr>
      <w:r>
        <w:rPr>
          <w:rFonts w:ascii="IRNazanin" w:hAnsi="IRNazanin" w:eastAsia="IRNazanin"/>
          <w:color w:val="111111"/>
          <w:sz w:val="28"/>
          <w:sz w:val="28"/>
          <w:szCs w:val="28"/>
          <w:rtl w:val="true"/>
          <w:lang w:bidi="fa-IR"/>
        </w:rPr>
        <w:t xml:space="preserve">وهابيون كه تنها خود را پيرو واقعى و راستين اسلام و قرآن و سلف صالح مى‌دانند، معتقدند كه ساير مسلمانان از عمل به كتاب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سلف صالح منحرف شده‌اند، خود دچار يك سرى تفكرات انحرافى و اعتقادات شرك‌آميز شده‌اند كه مخالف صريح آيات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صحابه مى‌باشد،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خطاب به مسلمانان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نداريد كسى را كه مى‌گويد مسلمانم او را نسبت غير مسلمانى بدهيد</w:t>
      </w:r>
      <w:r>
        <w:rPr>
          <w:rFonts w:eastAsia="IRNazanin" w:cs="IRNazanin"/>
          <w:color w:val="111111"/>
          <w:sz w:val="28"/>
          <w:szCs w:val="28"/>
          <w:rtl w:val="true"/>
          <w:lang w:bidi="fa-IR"/>
        </w:rPr>
        <w:t xml:space="preserve">» . </w:t>
      </w:r>
      <w:r>
        <w:rPr>
          <w:rStyle w:val="FootnoteAnchor"/>
          <w:rtl w:val="true"/>
        </w:rPr>
        <w:footnoteReference w:id="53"/>
      </w:r>
      <w:r>
        <w:rPr>
          <w:rFonts w:ascii="Amiri" w:hAnsi="Amiri" w:eastAsia="Amiri" w:cs="Amiri"/>
          <w:color w:val="111111"/>
          <w:sz w:val="28"/>
          <w:sz w:val="28"/>
          <w:szCs w:val="28"/>
          <w:rtl w:val="true"/>
          <w:lang w:bidi="ar-SA"/>
        </w:rPr>
        <w:t>اما وهابيون بسيارى از مسلمانان را كه مخالف وهابيت هستند، مشرك و كافر خطاب مى‌كنند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بدترين دشمن مسلمانان را يهود معرفى مى‌كند اما وهابيون بدترين دشمن مسلمانان را شيعيان </w:t>
      </w:r>
    </w:p>
    <w:p>
      <w:pPr>
        <w:pStyle w:val="BookText"/>
        <w:rPr/>
      </w:pPr>
      <w:r>
        <w:rPr>
          <w:rFonts w:ascii="Amiri" w:hAnsi="Amiri" w:eastAsia="Amiri" w:cs="Amiri"/>
          <w:color w:val="111111"/>
          <w:sz w:val="28"/>
          <w:sz w:val="28"/>
          <w:szCs w:val="28"/>
          <w:rtl w:val="true"/>
          <w:lang w:bidi="ar-SA"/>
        </w:rPr>
        <w:t>معرفى مى‌كنند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قرآن بى‌احترامى به اعتقادات منحرفان و مشركان را جايز نمى‌داند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به بت‌هاى آنان اهانت نكنيد</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اما وهابيون بدترين تهمت‌ها و دروغ‌هاى ناروا را به شيعيان و مسلمانانى كه مخالف وهابيت هستند، نسبت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جهاد را تنها با كفار جايز مى‌داند، اما وهابيون جهاد عليه كفار را كنار گذاشته و جهاد را عليه مسلمانانى جايز مى‌دانند كه مخالف وهابيت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منادى وحدت بين مسلمانان مى‌باشد و حتى اهل كتاب را به وحدت حول محور توحيد دعوت مى‌كند </w:t>
      </w:r>
      <w:r>
        <w:rPr>
          <w:rStyle w:val="FootnoteAnchor"/>
          <w:rtl w:val="true"/>
        </w:rPr>
        <w:footnoteReference w:id="56"/>
      </w:r>
      <w:r>
        <w:rPr>
          <w:rFonts w:ascii="Amiri" w:hAnsi="Amiri" w:eastAsia="Amiri" w:cs="Amiri"/>
          <w:color w:val="111111"/>
          <w:sz w:val="28"/>
          <w:sz w:val="28"/>
          <w:szCs w:val="28"/>
          <w:rtl w:val="true"/>
          <w:lang w:bidi="ar-SA"/>
        </w:rPr>
        <w:t>، اما وهابيون منادى و مظهر تفرقه در سرزمين‌هاى اسلامى مى‌باشند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آموزه اسلام، مسلمانان بايد با يكديگر با </w:t>
      </w:r>
    </w:p>
    <w:p>
      <w:pPr>
        <w:pStyle w:val="BookText"/>
        <w:rPr/>
      </w:pPr>
      <w:r>
        <w:rPr>
          <w:rFonts w:ascii="Amiri" w:hAnsi="Amiri" w:eastAsia="Amiri" w:cs="Amiri"/>
          <w:color w:val="111111"/>
          <w:sz w:val="28"/>
          <w:sz w:val="28"/>
          <w:szCs w:val="28"/>
          <w:rtl w:val="true"/>
          <w:lang w:bidi="ar-SA"/>
        </w:rPr>
        <w:t>رحمت و عطوفت و مهربانى برخورد كنند</w:t>
      </w:r>
      <w:r>
        <w:rPr>
          <w:rStyle w:val="FootnoteAnchor"/>
          <w:rtl w:val="true"/>
        </w:rPr>
        <w:footnoteReference w:id="57"/>
      </w:r>
      <w:r>
        <w:rPr>
          <w:rFonts w:ascii="IRNazanin" w:hAnsi="IRNazanin" w:eastAsia="IRNazanin"/>
          <w:color w:val="111111"/>
          <w:sz w:val="28"/>
          <w:sz w:val="28"/>
          <w:szCs w:val="28"/>
          <w:rtl w:val="true"/>
          <w:lang w:bidi="fa-IR"/>
        </w:rPr>
        <w:t>، اما وهابيون، با قتل و كشتار مسلمانان در مناطق مختلف جهان، خشن‌ترين چهره را از اسلام ترسيم نموده و تاكنون از درون اين فرقه ده‌ها گروه تروريستى به وجود آمده كه با حمله به مساجد، حسينيه‌ها، دسته‌هاى عزادارى، هزاران مسلمان را شهيد و به خاك و خون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وهابيون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كافر و مشرك هستند، چون صحابه را لعن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مورد معاويه كه لعن نمودن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 مسلمانان ترويج نمود و دستور داد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بالاى منابر و خطبه‌هاى نمازجمعه لعن كنند، يا ساكت مى‌شوند و يا آن را توجيه مى‌نمايند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زمانى كه وهابيت توسط آل سعود و با حمايت انگلستان ايجاد گرديده تاكنون، تمام مبارزات و جنگ‌هاى پيروان اين فرقه، عليه مسلمانان بوده و هيچ‌گونه مبارزه يا جهادى عليه كفار و اشغالگران سرزمين‌هاى اسلامى و يا اهانت‌كنندگان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مفتيان وهابى شيعيان را متهم به اهانت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مى‌نمايند و به همين علت خون آنان را مباح و كشتن آنان را جايز اعلام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p>
    <w:p>
      <w:pPr>
        <w:pStyle w:val="BookText"/>
        <w:rPr/>
      </w:pPr>
      <w:r>
        <w:rPr>
          <w:rFonts w:ascii="IRNazanin" w:hAnsi="IRNazanin" w:eastAsia="IRNazanin"/>
          <w:color w:val="111111"/>
          <w:sz w:val="28"/>
          <w:sz w:val="28"/>
          <w:szCs w:val="28"/>
          <w:rtl w:val="true"/>
          <w:lang w:bidi="fa-IR"/>
        </w:rPr>
        <w:t xml:space="preserve">اهانت‌كنندگان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اروپايى و آمريكايى و افرادى همچون سلمان رشدى، سكوت مى‌كنند و هيچ فتوايى صادر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وهابيون بوسيدن ضريح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شرك و حرام مى‌دانند، اما بوسيدن فرزند، همسر، پدر، مادر، دست پادشاه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مجاز و پسنديده مى‌دانند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وهابيون هرگونه تشييع جنازه و برگزارى مراسم براى مردگان را شرك مى‌دانند؛ اما براى عبدالله بن باز و شيخ ابن عثيمين و عبدالله جبرين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مفتيان وهابى در مكه و مدينه كه چندى قبل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مراسم تشييع جنازه ميليونى برگزار مى‌كنند و آن را حرام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مفتيان وهابى، بازى فوتبال و برگزارى جشن تولد و هديه گل را به علت تشبه به كفار حرام مى‌دانند، اما در برابر شراب خوردن و زدن گيلاس‌هاى پر از شراب حكام عربستان با سران و زنان كشورهاى اروپايى و آمريكايى و با زنان برهنه ساكت مى‌شوند و يا آن را توجيه مى‌كنند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برگزارى مراسم سالروز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معرفى مى‌شود، اما يك هفته جشن و پايكوبى به مناسب سالروز حاكميت پادشاهى سعودى، بدعت شمرده نمى‌شود</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وهابيون معتقدند كه دوران تبليغ پايان يافته و تنها راه انتشار عقايد وهابيت، شمشير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قرآن و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اولويت‌دادن به تبليغ و هدايت افراد با حكمت و موعظه حسنه مى‌باشد</w:t>
      </w:r>
      <w:r>
        <w:rPr>
          <w:rFonts w:eastAsia="IRNazanin" w:cs="IRNazanin"/>
          <w:color w:val="111111"/>
          <w:sz w:val="28"/>
          <w:szCs w:val="28"/>
          <w:rtl w:val="true"/>
          <w:lang w:bidi="fa-IR"/>
        </w:rPr>
        <w:t>.</w:t>
      </w:r>
      <w:r>
        <w:rPr>
          <w:rStyle w:val="FootnoteAnchor"/>
          <w:rtl w:val="true"/>
        </w:rPr>
        <w:footnoteReference w:id="6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532_13138"/>
      <w:bookmarkStart w:id="140" w:name="pg1532_13138"/>
      <w:bookmarkEnd w:id="140"/>
    </w:p>
    <w:p>
      <w:pPr>
        <w:pStyle w:val="Heading2"/>
        <w:numPr>
          <w:ilvl w:val="1"/>
          <w:numId w:val="1"/>
        </w:numPr>
        <w:rPr/>
      </w:pPr>
      <w:bookmarkStart w:id="141" w:name="pg1532_13138"/>
      <w:bookmarkStart w:id="142" w:name="__RefHeading___Toc558103_3650668749"/>
      <w:bookmarkStart w:id="143" w:name="_Toc56"/>
      <w:bookmarkEnd w:id="141"/>
      <w:bookmarkEnd w:id="142"/>
      <w:r>
        <w:rPr>
          <w:rtl w:val="true"/>
        </w:rPr>
        <w:t>آيا مى‌دانيد؟</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مفتيان وهابى، كليه مذاهب اسلامى از جمله شيعيان را مشرك مى‌دانند، اما علماى شيعه به استناد آيات قرآن و احاديث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معتقدند هر كس شهادت به وحدانيت خدا و رسالت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بدهد، مسلمان و جان و مال و آبروى او محترم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كتابخانه‌ها و كتابفروشى‌هاى وابسته به وهابيون، وجود هر نوع كتاب شيعى ممنوع مى‌باشد، اما در كتابخانه‌ها و كتابفروشى‌هاى شيعيان تمام كتب اهل سنت در اختيار علاقمندان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وهابيون كسانى را كه به مسلك وهابيت گرايش پيدا كنند،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هدايت‌يافتگان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مى‌كنند؛ زيرا معتقدند كه تاكنون كافر و گمراه بوده‌اند و از زمانى كه به سلك وهابيت در آيند مسلمان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بنيان‌گذار تفكر وهابيت، به‌علت داشتن اعتقادات باطل و ترويج مسائل خلاف شرع، با حكم </w:t>
      </w:r>
    </w:p>
    <w:p>
      <w:pPr>
        <w:pStyle w:val="BookText"/>
        <w:rPr/>
      </w:pPr>
      <w:r>
        <w:rPr>
          <w:rFonts w:ascii="IRNazanin" w:hAnsi="IRNazanin" w:eastAsia="IRNazanin"/>
          <w:color w:val="111111"/>
          <w:sz w:val="28"/>
          <w:sz w:val="28"/>
          <w:szCs w:val="28"/>
          <w:rtl w:val="true"/>
          <w:lang w:bidi="fa-IR"/>
        </w:rPr>
        <w:t>مفتيان و قضات اهل سنت محكوم به زندان ابد شد و در زندان از دنيا رفت و هيچ‌گاه ازدواج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كسى كه به مخالفت با افكار انحرافى محمد بن عبدالوهاب برخاست، پدرش عبدالوهاب بود كه تا زمانى كه زنده بود فرزندش را از سخن گفتن و تبليغ افكار انحرافيش منع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كتابى كه عليه افكار و اعتقادات محمد بن عبدالوهاب نوشته شد، توسط برادرش سليمان بن عبدالوهاب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الالهية فى الرد على الوهابيه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هزاران جلد كتاب، مقاله، رساله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توسط ساير علما و متفكرين اهل سنت عليه اين تفكر انحرافى نوشته و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وهابيون، خواندن نماز كنار قبور را حرام و بدعت مى‌دانند و به همين علت شيعيان را متهم به مرده‌پرستى مى‌كنند، اما نماز خواندن پيروان اين فرقه در كنار ساختمانى كه در آن بن لادن كشته شده را بدعت و مرده‌پرستى نمى‌دانند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تمام سايت‌ها، شبكه‌هاى تلوزيونى و وسائل ارتباطجمعى نمايش دادن عكس و يا فيلمى كه مروج مظاهر خشونت باشد از قبيل كشتارهاى دسته‌جمعى انسان‌ها، سربريدن افراد، عكس‌هاى قتل و كشتار و جنازه‌هاى قطعه قطعه شده انسان‌ها ممنوع است، ولى </w:t>
      </w:r>
    </w:p>
    <w:p>
      <w:pPr>
        <w:pStyle w:val="BookText"/>
        <w:rPr/>
      </w:pPr>
      <w:r>
        <w:rPr>
          <w:rFonts w:ascii="IRNazanin" w:hAnsi="IRNazanin" w:eastAsia="IRNazanin"/>
          <w:color w:val="111111"/>
          <w:sz w:val="28"/>
          <w:sz w:val="28"/>
          <w:szCs w:val="28"/>
          <w:rtl w:val="true"/>
          <w:lang w:bidi="fa-IR"/>
        </w:rPr>
        <w:t>عكس و فيلم‌هايى كه توسط وهابيون از كشتار شيعيان در پاكستان، افغانستان، عراق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تهيه و منتشر مى‌شود، سريعاً توسط شبكه‌هاى صهيونيستى و جماعت‌هاى تبشيرى مسيحى، و سازمان‌هاى ضد اسلام، در سراسر عالم پخش و در راستاى پروژه اسلام‌هراسى و ترسيم چهره خشن و ضد بشرى از اسلام مورد بهره‌بردارى آنها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وهابيون اين اعتقاد را در بين عوام ايجاد مى‌كنند كه هركس پنج شيعه را بكشد، بهشت بر او واجب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مراكز انتشاراتى وابسته به وهابيت كتاب صحيح بخارى را تحريف و تعدادى از احاديثى كه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و جايگاه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از اين كتاب حذف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نمونه‌هايى از اين چاپ در كتابخانه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مفتيان وهابى، خريدن، خواندن و نگهدارى كتب شيعه را حرام مى‌دانند و به علت عدم آشنايى با اعتقادات شيعه، فتاواى خلاف واقع و تهمت‌هاى ناروا و دروغ‌هاى زيادى را به شيعه نسبت مى‌دهند كه دروغ عارى از حقيقت است</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532_13142"/>
      <w:bookmarkStart w:id="145" w:name="pg1532_13142"/>
      <w:bookmarkEnd w:id="145"/>
    </w:p>
    <w:p>
      <w:pPr>
        <w:pStyle w:val="Heading2"/>
        <w:numPr>
          <w:ilvl w:val="1"/>
          <w:numId w:val="1"/>
        </w:numPr>
        <w:rPr/>
      </w:pPr>
      <w:bookmarkStart w:id="146" w:name="pg1532_13142"/>
      <w:bookmarkStart w:id="147" w:name="__RefHeading___Toc558105_3650668749"/>
      <w:bookmarkStart w:id="148" w:name="_Toc57"/>
      <w:bookmarkEnd w:id="146"/>
      <w:bookmarkEnd w:id="147"/>
      <w:r>
        <w:rPr>
          <w:rtl w:val="true"/>
        </w:rPr>
        <w:t>استراتژى وهابيت در مقابل شيعه</w:t>
      </w:r>
      <w:bookmarkEnd w:id="148"/>
    </w:p>
    <w:p>
      <w:pPr>
        <w:pStyle w:val="Heading3"/>
        <w:numPr>
          <w:ilvl w:val="2"/>
          <w:numId w:val="1"/>
        </w:numPr>
        <w:rPr/>
      </w:pPr>
      <w:bookmarkStart w:id="149" w:name="__RefHeading___Toc558107_3650668749"/>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با پيروزى انقلاب اسلامى به رهبرى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حاكميت جمهورى اسلامى، تحولى اساسى در عرصه مبارزات سياسى در سطح جهان به‌وجود آمد و توجه هزاران انسان سرگشته و تشنه معنويت و معارف حقه اسلامى را در سراسر جهان به خود جلب كرد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گرايش جوانان سرخورده از ايسم‌ها و مكتب‌هاى شرقى و غربى، توجه ملل مستضعف به تفكر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گسترش روزافزون مراكز شيعى در سراسر جهان، رشد نهضت‌هاى ضد استكبارى و هويت‌بخشى به مبارزات ملل مسلمان بر اساس مبانى اسلامى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موجب نگرانى روزافزون سران كفر و سردمداران استكبار گرديد و در راستاى كنترل و مهار نمودن حركت روزافزون موج اسلامى خواهى و بازگشت به هويت اسلامى، انواع توطئه‌ها، طرح‌ها و برنامه‌ها را پيش‌بينى و اجرا نمودند</w:t>
      </w:r>
      <w:r>
        <w:rPr>
          <w:rFonts w:eastAsia="IRNazanin" w:cs="IRNazanin"/>
          <w:color w:val="111111"/>
          <w:sz w:val="28"/>
          <w:szCs w:val="28"/>
          <w:rtl w:val="true"/>
          <w:lang w:bidi="fa-IR"/>
        </w:rPr>
        <w:t xml:space="preserve">. </w:t>
      </w:r>
      <w:bookmarkStart w:id="151" w:name="pg1532_13143"/>
    </w:p>
    <w:p>
      <w:pPr>
        <w:pStyle w:val="BookText"/>
        <w:rPr/>
      </w:pPr>
      <w:bookmarkEnd w:id="151"/>
      <w:r>
        <w:rPr>
          <w:rFonts w:ascii="IRNazanin" w:hAnsi="IRNazanin" w:eastAsia="IRNazanin"/>
          <w:color w:val="111111"/>
          <w:sz w:val="28"/>
          <w:sz w:val="28"/>
          <w:szCs w:val="28"/>
          <w:rtl w:val="true"/>
          <w:lang w:bidi="fa-IR"/>
        </w:rPr>
        <w:t xml:space="preserve">وهابيون نيز همگام و هماهنگ با مراكز استكبار جهانى كه به‌شدت نگران رشد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خطر افتادن آينده خود بودند، در راستاى تضعيف رشد گرايش جهانى به شيعه استراتژى‌هايى را براى خود طراحى و پيگيرى مى‌كنند كه برخى از آنها عبارتند از</w:t>
      </w:r>
      <w:r>
        <w:rPr>
          <w:rFonts w:eastAsia="IRNazanin" w:cs="IRNazanin"/>
          <w:color w:val="111111"/>
          <w:sz w:val="28"/>
          <w:szCs w:val="28"/>
          <w:rtl w:val="true"/>
          <w:lang w:bidi="fa-IR"/>
        </w:rPr>
        <w:t>:</w:t>
      </w:r>
    </w:p>
    <w:p>
      <w:pPr>
        <w:pStyle w:val="Heading3"/>
        <w:numPr>
          <w:ilvl w:val="2"/>
          <w:numId w:val="1"/>
        </w:numPr>
        <w:rPr/>
      </w:pPr>
      <w:bookmarkStart w:id="152" w:name="__RefHeading___Toc558109_3650668749"/>
      <w:bookmarkStart w:id="153" w:name="_Toc59"/>
      <w:bookmarkEnd w:id="152"/>
      <w:r>
        <w:rPr>
          <w:rtl w:val="true"/>
        </w:rPr>
        <w:t>انتساب شيعه به يهود</w:t>
      </w:r>
      <w:bookmarkEnd w:id="153"/>
    </w:p>
    <w:p>
      <w:pPr>
        <w:pStyle w:val="BookText"/>
        <w:rPr/>
      </w:pPr>
      <w:r>
        <w:rPr>
          <w:rFonts w:ascii="IRNazanin" w:hAnsi="IRNazanin" w:eastAsia="IRNazanin"/>
          <w:color w:val="111111"/>
          <w:sz w:val="28"/>
          <w:sz w:val="28"/>
          <w:szCs w:val="28"/>
          <w:rtl w:val="true"/>
          <w:lang w:bidi="fa-IR"/>
        </w:rPr>
        <w:t>از جمله استراتژى‌هاى مهم وهابيون اين است كه شيعه را دينى معرفى كنند كه ساخته دسته يهوديان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راستا صدها جلد كتب، جزوه، مقاله چاپ و بين مسلمانان جهان منتشر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تبديد الظلام و تنبيه النيام الى خطر الشيعه و التشيع على المسلمين و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الجبهان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هزينه نهادهاى وهابى تدوين و در تيراژ گسترده منتشر شده است، در همين راستا مى‌باشد و هر ساله ميليون‌ها نسخه از آن در سراسر جهان به زبان‌هاى مختلف توزيع مى‌شود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اصلى نويسنده در اين كتاب اين است كه ثابت كند كه شيعه دينى است كه توسط يهوديان ايجاد شده است</w:t>
      </w:r>
      <w:r>
        <w:rPr>
          <w:rFonts w:eastAsia="Amiri" w:cs="Amiri" w:ascii="Amiri" w:hAnsi="Amiri"/>
          <w:color w:val="111111"/>
          <w:sz w:val="28"/>
          <w:szCs w:val="28"/>
          <w:rtl w:val="true"/>
          <w:lang w:bidi="ar-SA"/>
        </w:rPr>
        <w:t>.</w:t>
      </w:r>
      <w:r>
        <w:rPr>
          <w:rStyle w:val="FootnoteAnchor"/>
          <w:rtl w:val="true"/>
        </w:rPr>
        <w:footnoteReference w:id="61"/>
      </w:r>
      <w:bookmarkStart w:id="154" w:name="pg1532_13144"/>
    </w:p>
    <w:p>
      <w:pPr>
        <w:pStyle w:val="BookText"/>
        <w:rPr/>
      </w:pPr>
      <w:bookmarkEnd w:id="154"/>
      <w:r>
        <w:rPr>
          <w:rFonts w:ascii="IRNazanin" w:hAnsi="IRNazanin" w:eastAsia="IRNazanin"/>
          <w:color w:val="111111"/>
          <w:sz w:val="28"/>
          <w:sz w:val="28"/>
          <w:szCs w:val="28"/>
          <w:rtl w:val="true"/>
          <w:lang w:bidi="fa-IR"/>
        </w:rPr>
        <w:t xml:space="preserve">در صفحه اول كتاب ديگرى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اعتقادات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كتاب را در رد شيعه نوشتيم، چون ديديم خطر شيعه براى اسلام از خطر صهيونيسم بيشتر است</w:t>
      </w:r>
      <w:r>
        <w:rPr>
          <w:rFonts w:eastAsia="IRNazanin" w:cs="IRNazanin"/>
          <w:color w:val="111111"/>
          <w:sz w:val="28"/>
          <w:szCs w:val="28"/>
          <w:rtl w:val="true"/>
          <w:lang w:bidi="fa-IR"/>
        </w:rPr>
        <w:t>» .</w:t>
      </w:r>
    </w:p>
    <w:p>
      <w:pPr>
        <w:pStyle w:val="Heading3"/>
        <w:numPr>
          <w:ilvl w:val="2"/>
          <w:numId w:val="1"/>
        </w:numPr>
        <w:rPr/>
      </w:pPr>
      <w:bookmarkStart w:id="155" w:name="__RefHeading___Toc558111_3650668749"/>
      <w:bookmarkStart w:id="156" w:name="_Toc60"/>
      <w:bookmarkEnd w:id="155"/>
      <w:r>
        <w:rPr>
          <w:rtl w:val="true"/>
        </w:rPr>
        <w:t>كافر معرفى‌كردن شيعه</w:t>
      </w:r>
      <w:bookmarkEnd w:id="156"/>
    </w:p>
    <w:p>
      <w:pPr>
        <w:pStyle w:val="BookText"/>
        <w:rPr/>
      </w:pPr>
      <w:r>
        <w:rPr>
          <w:rFonts w:ascii="Amiri" w:hAnsi="Amiri" w:eastAsia="Amiri" w:cs="Amiri"/>
          <w:color w:val="111111"/>
          <w:sz w:val="28"/>
          <w:sz w:val="28"/>
          <w:szCs w:val="28"/>
          <w:rtl w:val="true"/>
          <w:lang w:bidi="ar-SA"/>
        </w:rPr>
        <w:t>در كتب اعتقادى وهابيون و فتاواى مفتيان وهابيت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كافرند و خدا را قبول ندارند چون شيعه‌ها مى‌گويند خدا دست ندارد، پا ندارد، چشم ندارد، خدا جسم نيست، خدا چيزى نمى‌خورد، خدا ديدنى نيست، خدا وزن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شيعه خدا را قبول ندارد چون چيزى كه جسم نيست، دست ندارد، پا ندارد، ديده نمى‌شود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3"/>
        <w:numPr>
          <w:ilvl w:val="2"/>
          <w:numId w:val="1"/>
        </w:numPr>
        <w:rPr/>
      </w:pPr>
      <w:bookmarkStart w:id="157" w:name="__RefHeading___Toc558113_3650668749"/>
      <w:bookmarkStart w:id="158" w:name="_Toc61"/>
      <w:bookmarkEnd w:id="157"/>
      <w:r>
        <w:rPr>
          <w:rtl w:val="true"/>
        </w:rPr>
        <w:t>شايع نمودن گرايش برخى از علما و متفكرين شيعه به وهابيت</w:t>
      </w:r>
      <w:bookmarkEnd w:id="1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روزافزون پيروان اديان مختلف به شيعه موجب شده وهابيون نيز در مجلات و سايت‌هاى منسوب به اين فرقه هر از چندگاه ادعا كنند كه فلان عالم و يا شخصيت شيعى، وهابى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اين سايت‌ها مراجعه مى‌شود تنها اسامى و عناوين تعدادى افراد بى‌نام و نشان و </w:t>
      </w:r>
      <w:bookmarkStart w:id="159" w:name="pg1532_13145"/>
    </w:p>
    <w:p>
      <w:pPr>
        <w:pStyle w:val="BookText"/>
        <w:rPr/>
      </w:pPr>
      <w:bookmarkEnd w:id="159"/>
      <w:r>
        <w:rPr>
          <w:rFonts w:ascii="Amiri" w:hAnsi="Amiri" w:eastAsia="Amiri" w:cs="Amiri"/>
          <w:color w:val="111111"/>
          <w:sz w:val="28"/>
          <w:sz w:val="28"/>
          <w:szCs w:val="28"/>
          <w:rtl w:val="true"/>
          <w:lang w:bidi="ar-SA"/>
        </w:rPr>
        <w:t>يا برخى از منحرفينى كه داراى مسئله حاد بوده‌اند، ذكر شده است</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558115_3650668749"/>
      <w:bookmarkStart w:id="161" w:name="_Toc62"/>
      <w:bookmarkEnd w:id="160"/>
      <w:r>
        <w:rPr>
          <w:rtl w:val="true"/>
        </w:rPr>
        <w:t>ناامن‌كردن مراكز و مراسم مذهبى شيعيان</w:t>
      </w:r>
      <w:bookmarkEnd w:id="161"/>
    </w:p>
    <w:p>
      <w:pPr>
        <w:pStyle w:val="BookText"/>
        <w:rPr/>
      </w:pPr>
      <w:r>
        <w:rPr>
          <w:rFonts w:ascii="IRNazanin" w:hAnsi="IRNazanin" w:eastAsia="IRNazanin"/>
          <w:color w:val="111111"/>
          <w:sz w:val="28"/>
          <w:sz w:val="28"/>
          <w:szCs w:val="28"/>
          <w:rtl w:val="true"/>
          <w:lang w:bidi="fa-IR"/>
        </w:rPr>
        <w:t xml:space="preserve">ناامن‌كردن مساجد، حسينيه‌ها، هيئت‌هاى عزادارى، نمازهاى جمعه شيعيان، زيارتگاه‌هاى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امام‌زادگان، از جمله اهداف مهم وهابيون مى‌باشند كه تاكنون صدها نفر از شيعيان بى‌گناه را در اين مراكز مقدس به شهادت رسانده‌اند</w:t>
      </w:r>
      <w:r>
        <w:rPr>
          <w:rFonts w:eastAsia="IRNazanin" w:cs="IRNazanin"/>
          <w:color w:val="111111"/>
          <w:sz w:val="28"/>
          <w:szCs w:val="28"/>
          <w:rtl w:val="true"/>
          <w:lang w:bidi="fa-IR"/>
        </w:rPr>
        <w:t>.</w:t>
      </w:r>
    </w:p>
    <w:p>
      <w:pPr>
        <w:pStyle w:val="Heading3"/>
        <w:numPr>
          <w:ilvl w:val="2"/>
          <w:numId w:val="1"/>
        </w:numPr>
        <w:rPr/>
      </w:pPr>
      <w:bookmarkStart w:id="162" w:name="__RefHeading___Toc558117_3650668749"/>
      <w:bookmarkStart w:id="163" w:name="_Toc63"/>
      <w:bookmarkEnd w:id="162"/>
      <w:r>
        <w:rPr>
          <w:rtl w:val="true"/>
        </w:rPr>
        <w:t>تشكيل گروه‌هاى تبليغى و جهادى عليه شيعيان</w:t>
      </w:r>
      <w:bookmarkEnd w:id="163"/>
    </w:p>
    <w:p>
      <w:pPr>
        <w:pStyle w:val="BookText"/>
        <w:rPr/>
      </w:pPr>
      <w:r>
        <w:rPr>
          <w:rFonts w:ascii="IRNazanin" w:hAnsi="IRNazanin" w:eastAsia="IRNazanin"/>
          <w:color w:val="111111"/>
          <w:sz w:val="28"/>
          <w:sz w:val="28"/>
          <w:szCs w:val="28"/>
          <w:rtl w:val="true"/>
          <w:lang w:bidi="fa-IR"/>
        </w:rPr>
        <w:t>شناسايى و جذب برخى از ايرانيان سنى‌مذهب مسئله‌دار كه نظام و محاكم قضايى به علت تخلفات مختلف با آنان و يا بستگانشان برخورد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آموزش و سازماندهى آنها در قالب گروه‌هاى محارب و تروريست عليه شيعيان در سراسر جهان</w:t>
      </w:r>
      <w:r>
        <w:rPr>
          <w:rFonts w:eastAsia="IRNazanin" w:cs="IRNazanin"/>
          <w:color w:val="111111"/>
          <w:sz w:val="28"/>
          <w:szCs w:val="28"/>
          <w:rtl w:val="true"/>
          <w:lang w:bidi="fa-IR"/>
        </w:rPr>
        <w:t>.</w:t>
      </w:r>
    </w:p>
    <w:p>
      <w:pPr>
        <w:pStyle w:val="Heading3"/>
        <w:numPr>
          <w:ilvl w:val="2"/>
          <w:numId w:val="1"/>
        </w:numPr>
        <w:rPr/>
      </w:pPr>
      <w:bookmarkStart w:id="164" w:name="__RefHeading___Toc558119_3650668749"/>
      <w:bookmarkStart w:id="165" w:name="_Toc64"/>
      <w:bookmarkEnd w:id="164"/>
      <w:r>
        <w:rPr>
          <w:rtl w:val="true"/>
        </w:rPr>
        <w:t>تهييج افكار اهل سنت عليه شيعيان</w:t>
      </w:r>
      <w:bookmarkEnd w:id="165"/>
    </w:p>
    <w:p>
      <w:pPr>
        <w:pStyle w:val="BookText"/>
        <w:rPr/>
      </w:pPr>
      <w:r>
        <w:rPr>
          <w:rFonts w:ascii="Amiri" w:hAnsi="Amiri" w:eastAsia="Amiri" w:cs="Amiri"/>
          <w:color w:val="111111"/>
          <w:sz w:val="28"/>
          <w:sz w:val="28"/>
          <w:szCs w:val="28"/>
          <w:rtl w:val="true"/>
          <w:lang w:bidi="ar-SA"/>
        </w:rPr>
        <w:t>وهابيون مطالب بى‌اساس و ضعيف را از كتب بى‌نام و نشان و غير معتبر شيعه جمع‌آورى و آن را در بين اهل‌سنت به عنوان اعتقادت شيعيان ترويج مى‌كنند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اين موارد عبارتند از</w:t>
      </w:r>
      <w:r>
        <w:rPr>
          <w:rFonts w:eastAsia="Amiri" w:cs="Amiri" w:ascii="Amiri" w:hAnsi="Amiri"/>
          <w:color w:val="111111"/>
          <w:sz w:val="28"/>
          <w:szCs w:val="28"/>
          <w:rtl w:val="true"/>
          <w:lang w:bidi="ar-SA"/>
        </w:rPr>
        <w:t xml:space="preserve">: </w:t>
      </w:r>
      <w:bookmarkStart w:id="166" w:name="pg1532_13146"/>
    </w:p>
    <w:p>
      <w:pPr>
        <w:pStyle w:val="BookText"/>
        <w:rPr/>
      </w:pPr>
      <w:bookmarkEnd w:id="166"/>
      <w:r>
        <w:rPr>
          <w:rFonts w:ascii="IRNazanin" w:hAnsi="IRNazanin" w:eastAsia="IRNazanin"/>
          <w:color w:val="111111"/>
          <w:sz w:val="28"/>
          <w:sz w:val="28"/>
          <w:szCs w:val="28"/>
          <w:rtl w:val="true"/>
          <w:lang w:bidi="fa-IR"/>
        </w:rPr>
        <w:t>اگر قرآن اصلى تحريف نمى‌شد، نام ائمه حتماً در آن موجود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و عايشه را بر يك تخت مى‌خوابانيد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نگهبان دروازه على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به‌جز سه نفر مرتد شدند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نكاح مرد با مرد جايز است و انسان مى‌تواند با مادر، خواهر و دختر حقيقى خود نكاح كند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 اختيار داشت تا زنان پيامبر را طلاق دهد</w:t>
      </w:r>
      <w:r>
        <w:rPr>
          <w:rFonts w:eastAsia="IRNazanin" w:cs="IRNazanin"/>
          <w:color w:val="111111"/>
          <w:sz w:val="28"/>
          <w:szCs w:val="28"/>
          <w:rtl w:val="true"/>
          <w:lang w:bidi="fa-IR"/>
        </w:rPr>
        <w:t>.</w:t>
      </w:r>
      <w:r>
        <w:rPr>
          <w:rStyle w:val="FootnoteAnchor"/>
          <w:rtl w:val="true"/>
        </w:rPr>
        <w:footnoteReference w:id="6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558121_3650668749"/>
      <w:bookmarkStart w:id="168" w:name="_Toc65"/>
      <w:bookmarkEnd w:id="167"/>
      <w:r>
        <w:rPr>
          <w:rtl w:val="true"/>
        </w:rPr>
        <w:t>تلاش جهت ايجاد اختلاف و بدبينى بين شيعيان و اهل سنت و تحريك احساسات آنان عليه همديگر</w:t>
      </w:r>
      <w:bookmarkStart w:id="169" w:name="pg1532_13147"/>
      <w:bookmarkEnd w:id="168"/>
    </w:p>
    <w:p>
      <w:pPr>
        <w:pStyle w:val="Heading3"/>
        <w:numPr>
          <w:ilvl w:val="2"/>
          <w:numId w:val="1"/>
        </w:numPr>
        <w:rPr/>
      </w:pPr>
      <w:bookmarkStart w:id="170" w:name="__RefHeading___Toc558123_3650668749"/>
      <w:bookmarkStart w:id="171" w:name="_Toc66"/>
      <w:bookmarkEnd w:id="169"/>
      <w:bookmarkEnd w:id="170"/>
      <w:r>
        <w:rPr>
          <w:rtl w:val="true"/>
        </w:rPr>
        <w:t xml:space="preserve">ايجاد و سازماندهى صدها مركز تبليغى و سايت و شبكه‌هاى فرهنگى </w:t>
      </w:r>
      <w:r>
        <w:rPr>
          <w:rtl w:val="true"/>
        </w:rPr>
        <w:t xml:space="preserve">- </w:t>
      </w:r>
      <w:r>
        <w:rPr>
          <w:rtl w:val="true"/>
        </w:rPr>
        <w:t>تبليغى عليه مذهب شيعه</w:t>
      </w:r>
      <w:bookmarkEnd w:id="171"/>
    </w:p>
    <w:p>
      <w:pPr>
        <w:pStyle w:val="BookText"/>
        <w:rPr/>
      </w:pPr>
      <w:r>
        <w:rPr>
          <w:rFonts w:ascii="IRNazanin" w:hAnsi="IRNazanin" w:eastAsia="IRNazanin"/>
          <w:color w:val="111111"/>
          <w:sz w:val="28"/>
          <w:sz w:val="28"/>
          <w:szCs w:val="28"/>
          <w:rtl w:val="true"/>
          <w:lang w:bidi="fa-IR"/>
        </w:rPr>
        <w:t>عبدالله قاسم، مسؤول كميته تبليغ و كمك‌هاى تبليغى در مؤسسه حرمين طى مصاحبه‌اى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كميته بالغ بر هشت‌هزار كتابخانه در آمريكا و كانادا تأسيس نموده است و در تمام اين كتابخانه‌ها، كتبى كه مروج فرهنگ وهابيت است در اختيار مراجعه‌كنندگان قرار مى‌گيرد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72" w:name="__RefHeading___Toc558125_3650668749"/>
      <w:bookmarkStart w:id="173" w:name="_Toc67"/>
      <w:bookmarkEnd w:id="172"/>
      <w:r>
        <w:rPr>
          <w:rtl w:val="true"/>
        </w:rPr>
        <w:t>رشد شيعه هراسى در جهان اسلام</w:t>
      </w:r>
      <w:bookmarkEnd w:id="173"/>
    </w:p>
    <w:p>
      <w:pPr>
        <w:pStyle w:val="BookText"/>
        <w:rPr/>
      </w:pPr>
      <w:r>
        <w:rPr>
          <w:rFonts w:ascii="IRNazanin" w:hAnsi="IRNazanin" w:eastAsia="IRNazanin"/>
          <w:color w:val="111111"/>
          <w:sz w:val="28"/>
          <w:sz w:val="28"/>
          <w:szCs w:val="28"/>
          <w:rtl w:val="true"/>
          <w:lang w:bidi="fa-IR"/>
        </w:rPr>
        <w:t>رشد و گرايش جهانى به مذهب شيعه و مطرح شدن شيعه به‌عنوان مذهبى جامع و كامل كه داراى سيستم حكومتى خود مى‌باشد و توانسته در معادلات سياسى بين‌الملل خود را مطرح نمايد، موجب شده كه وهابيون آن را به عنوان تهديدى جدى عليه خود تلقى و در اين راستا طرح شيعه‌هراسى را با هدف تحريك احساسات اهل سنت و متحد نمودن آنان عليه شيعه را مطرح نمايد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ربيع بن محمّد، از نويسندگان بزرگ وهابى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كه باعث فزونى شگفتى من گرديده، اين است كه برخى از برادران وهّابى و فرزندان شخصيّت‌هاى علمى و دانشجويان مصرى، اخيراً به سراغ مكتب تشيّع رفته‌اند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دكتر ناصر القفارى استاد دانشگاه‌هاى مدينه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تعداد زيادى از اهل سنّت به طرف مذهب شيعه گرويده‌اند و اگر كسى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المجد فى تاريخ البصرة ونجد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كند، به وحشت مى‌افتد كه چگونه برخى از قبايل عربى به صورت كامل، مذهب شيعه را پذيرفته‌اند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جالب‌تر از اينها سخن شيخ مجدى محمّد على محمّد نويسنده بزرگ وهّابى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جوان‌هاى اهل سنّت، حيرت‌زده نزد من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علّت حيرت او را جويا شدم، دريافتم كه دست يكى از شيعيان به وى رسيده است، و اين جوان سنّى تصوّر كرده است كه شيعيان ملائكه رحمت، و شير بيشه حقّ مى‌باشند</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 مغراوى از نويسندگان مشهور وهّابى </w:t>
      </w:r>
    </w:p>
    <w:p>
      <w:pPr>
        <w:pStyle w:val="BookText"/>
        <w:rPr/>
      </w:pPr>
      <w:r>
        <w:rPr>
          <w:rFonts w:ascii="IRNazanin" w:hAnsi="IRNazanin" w:eastAsia="IRNazanin"/>
          <w:color w:val="111111"/>
          <w:sz w:val="28"/>
          <w:sz w:val="28"/>
          <w:szCs w:val="28"/>
          <w:rtl w:val="true"/>
          <w:lang w:bidi="fa-IR"/>
        </w:rPr>
        <w:t>عربستان مى‌گويد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مذهب تشيّع در ميان جوان‌هاى مشرق‌زمين، بيم آن را دارم كه اين فرهنگ در ميان جوان‌هاى مغرب‌زمين نيز گسترده شود</w:t>
      </w:r>
      <w:r>
        <w:rPr>
          <w:rFonts w:eastAsia="IRNazanin" w:cs="IRNazanin"/>
          <w:color w:val="111111"/>
          <w:sz w:val="28"/>
          <w:szCs w:val="28"/>
          <w:rtl w:val="true"/>
          <w:lang w:bidi="fa-IR"/>
        </w:rPr>
        <w:t>.</w:t>
      </w:r>
      <w:r>
        <w:rPr>
          <w:rStyle w:val="FootnoteAnchor"/>
          <w:rtl w:val="true"/>
        </w:rPr>
        <w:footnoteReference w:id="72"/>
      </w:r>
      <w:bookmarkStart w:id="174" w:name="pg1532_13150"/>
    </w:p>
    <w:p>
      <w:pPr>
        <w:pStyle w:val="Heading3"/>
        <w:numPr>
          <w:ilvl w:val="2"/>
          <w:numId w:val="1"/>
        </w:numPr>
        <w:rPr/>
      </w:pPr>
      <w:bookmarkStart w:id="175" w:name="__RefHeading___Toc558127_3650668749"/>
      <w:bookmarkStart w:id="176" w:name="_Toc68"/>
      <w:bookmarkEnd w:id="174"/>
      <w:bookmarkEnd w:id="175"/>
      <w:r>
        <w:rPr>
          <w:rtl w:val="true"/>
        </w:rPr>
        <w:t>مهم‌ترين شبهات وهابيت عليه شيعه</w:t>
      </w:r>
      <w:bookmarkEnd w:id="176"/>
    </w:p>
    <w:p>
      <w:pPr>
        <w:pStyle w:val="BookText"/>
        <w:rPr/>
      </w:pPr>
      <w:r>
        <w:rPr>
          <w:rFonts w:ascii="IRNazanin" w:hAnsi="IRNazanin" w:eastAsia="IRNazanin"/>
          <w:color w:val="111111"/>
          <w:sz w:val="28"/>
          <w:sz w:val="28"/>
          <w:szCs w:val="28"/>
          <w:rtl w:val="true"/>
          <w:lang w:bidi="fa-IR"/>
        </w:rPr>
        <w:t xml:space="preserve">از جمله اقدامات مهم وهابيون عليه شيعيان كه در سال‌هاى اخير تشديد شده است، جمع‌آورى و تدوين شبهات و سؤالات مختلفى است كه بتوانند ساير مسلمانان را نسبت به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متفكران شيعه در طول تاريخ، سؤالات و شبهات آنان را به‌دقت بررسى و در كتب و جزوات و يا مناظرات حضورى، پاسخ‌هاى متقن و مستدلى به تمامى سؤالات و شبهات آنان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نيز تلاش شده با زبانى ساده و روان كه قابل فهم و استفاده كليه اقشار مردم باشد به برخى از اين سؤالات و شبهات پاسخ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برخى از اين شبهات و سؤالات آنها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و تاريخ پيدايش آن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به چه كسى گفته مى‌شود و از چه زمان شيعه به وجود آمد؟ </w:t>
      </w:r>
      <w:bookmarkStart w:id="177" w:name="pg1532_13151"/>
    </w:p>
    <w:p>
      <w:pPr>
        <w:pStyle w:val="BookText"/>
        <w:rPr/>
      </w:pPr>
      <w:bookmarkEnd w:id="177"/>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ظهور اسلام، همه پيروان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امت واحده، با هم برادر و به آنان مسلمان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دو گروه شدند، عده‌اى رهبريت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 و عده ديگرى خلافت و رهبريت كسانى ديگر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به كسى گفته مى‌شود كه پيروى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كرد و اين نام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ابتداى ظهور اسلام بر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 آن‌گاه كه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أَنْتَ وَ شِيعَتُكَ يَوْمَ الْقِيَامَةِ رَاضِينَ مَرْضِيِّين </w:t>
      </w:r>
      <w:r>
        <w:rPr>
          <w:rFonts w:eastAsia="Amiri" w:cs="Amiri" w:ascii="Amiri" w:hAnsi="Amiri"/>
          <w:color w:val="111111"/>
          <w:sz w:val="28"/>
          <w:szCs w:val="28"/>
          <w:rtl w:val="true"/>
          <w:lang w:bidi="ar-SA"/>
        </w:rPr>
        <w:t>»</w:t>
      </w:r>
      <w:r>
        <w:rPr>
          <w:rStyle w:val="FootnoteAnchor"/>
          <w:rtl w:val="true"/>
        </w:rPr>
        <w:footnoteReference w:id="73"/>
      </w:r>
    </w:p>
    <w:p>
      <w:pPr>
        <w:pStyle w:val="Heading3"/>
        <w:numPr>
          <w:ilvl w:val="2"/>
          <w:numId w:val="1"/>
        </w:numPr>
        <w:rPr/>
      </w:pPr>
      <w:bookmarkStart w:id="178" w:name="__RefHeading___Toc558129_3650668749"/>
      <w:bookmarkStart w:id="179" w:name="_Toc69"/>
      <w:bookmarkEnd w:id="178"/>
      <w:r>
        <w:rPr>
          <w:rtl w:val="true"/>
        </w:rPr>
        <w:t>چرا شيعيان در اقليت هستند؟</w:t>
      </w:r>
      <w:bookmarkEnd w:id="179"/>
    </w:p>
    <w:p>
      <w:pPr>
        <w:pStyle w:val="BookText"/>
        <w:rPr/>
      </w:pP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مذهب شيعه بر حق است، چرا شيعيان در اقليت مى‌باشند؟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اقليت و اكثريت‌بودن، دليل بر حقانيت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زيادى اكثريتى كه حق را نپذيرفته را جاهل، فاسق، نادان، بى ايمان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w:t>
      </w:r>
      <w:r>
        <w:rPr>
          <w:rStyle w:val="FootnoteAnchor"/>
          <w:rtl w:val="true"/>
        </w:rPr>
        <w:footnoteReference w:id="74"/>
      </w:r>
      <w:bookmarkStart w:id="180" w:name="pg1532_13152"/>
    </w:p>
    <w:p>
      <w:pPr>
        <w:pStyle w:val="BookText"/>
        <w:rPr/>
      </w:pPr>
      <w:bookmarkEnd w:id="180"/>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آنان در اقليت بودند و هيچ‌كدام به‌خاطر اقليت‌بودن، شك در حقانيت دين خود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نيز مسلمانان نسبت به برخى از اديان ديگر در اقليت مى‌باشند و اقليت بودن دليل بر باطل بودن آنان نيست</w:t>
      </w:r>
      <w:r>
        <w:rPr>
          <w:rFonts w:eastAsia="IRNazanin" w:cs="IRNazanin"/>
          <w:color w:val="111111"/>
          <w:sz w:val="28"/>
          <w:szCs w:val="28"/>
          <w:rtl w:val="true"/>
          <w:lang w:bidi="fa-IR"/>
        </w:rPr>
        <w:t>.</w:t>
      </w:r>
    </w:p>
    <w:p>
      <w:pPr>
        <w:pStyle w:val="Heading3"/>
        <w:numPr>
          <w:ilvl w:val="2"/>
          <w:numId w:val="1"/>
        </w:numPr>
        <w:rPr/>
      </w:pPr>
      <w:bookmarkStart w:id="181" w:name="__RefHeading___Toc558131_3650668749"/>
      <w:bookmarkStart w:id="182" w:name="_Toc70"/>
      <w:bookmarkEnd w:id="181"/>
      <w:r>
        <w:rPr>
          <w:rtl w:val="true"/>
        </w:rPr>
        <w:t>تهمت ناروا به شيعه</w:t>
      </w:r>
      <w:bookmarkEnd w:id="182"/>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بعد از هر نماز دست‌ها را بالا مى‌برند و سه بار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جبرييل امين خيانت‌كرده و رسالتى را كه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خدا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دروغ‌هايى است كه توسط دست‌هاى پنهان، جهت بدبينى و اختلاف بين مسلمانان ايجاد شده است و متأسفانه بعضى از مفتى‌هاى وهابى نيز بدون تحقيق آن را در فتواهاى خود عليه شيعه ذكر مى‌كنند؛ درحالى‌كه با اندك تحقيقى، روشن مى‌شود كه شيعيان در پايان نماز دست‌هاى خود را بالا مى‌برند و تكبير مى‌گويند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كسى كه اندكى دقت داشته باشد، بى‌اساس بودن اين اتهام روشن مى‌شود؛ زيرا اگر شيعيان جبرئيل را، امين مى‌دانند، ديگر نسبت خيانت‌دادن به او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به كسى هم نسبت امين داد و هم خائن</w:t>
      </w:r>
      <w:r>
        <w:rPr>
          <w:rFonts w:eastAsia="IRNazanin" w:cs="IRNazanin"/>
          <w:color w:val="111111"/>
          <w:sz w:val="28"/>
          <w:szCs w:val="28"/>
          <w:rtl w:val="true"/>
          <w:lang w:bidi="fa-IR"/>
        </w:rPr>
        <w:t xml:space="preserve">. </w:t>
      </w:r>
      <w:bookmarkStart w:id="183" w:name="pg1532_13153"/>
    </w:p>
    <w:p>
      <w:pPr>
        <w:pStyle w:val="Heading3"/>
        <w:numPr>
          <w:ilvl w:val="2"/>
          <w:numId w:val="1"/>
        </w:numPr>
        <w:rPr/>
      </w:pPr>
      <w:bookmarkStart w:id="184" w:name="__RefHeading___Toc558133_3650668749"/>
      <w:bookmarkStart w:id="185" w:name="_Toc71"/>
      <w:bookmarkEnd w:id="183"/>
      <w:bookmarkEnd w:id="184"/>
      <w:r>
        <w:rPr>
          <w:rtl w:val="true"/>
        </w:rPr>
        <w:t>فرق بين شيعه و سنى</w:t>
      </w:r>
      <w:bookmarkEnd w:id="185"/>
    </w:p>
    <w:p>
      <w:pPr>
        <w:pStyle w:val="BookText"/>
        <w:rPr/>
      </w:pP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شيعه و سنى چيست؟</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 در تمامى اصول اعتقادى و احكام عملى از قبيل توحيد، نبوت، معاد، كتاب خدا، قبله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داراى اعتقادات مشتركى هستند، اما مهم‌ترين و اساسى‌ترين نقطه افتراق شيعه و سنى، در امامت و رهبريت امت،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معتقدند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امامت و رهبرى امت پس از خود دستورى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دانشمندان اهل سنت در چگونگى انتخاب خليفه و رهبر نظرات مختلفى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با انتخاب و بيعت مردم تعيين مى‌گردد، مانند خلافت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وصيت خليفه زنده، خليفه بعدى تعيين مى‌گردد؛ مانند خلافت عمر كه با وصيت ابوبكر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شوراى متخصصان و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تعيين مى‌شود؛ مانند انتخاب عثمان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حاكمى كه از هر راهى ولو به زور و كودتا باشد، به قدرت رسيد، اولى الامر است و اطاعت از او واجب مى‌باشد</w:t>
      </w:r>
      <w:r>
        <w:rPr>
          <w:rFonts w:eastAsia="IRNazanin" w:cs="IRNazanin"/>
          <w:color w:val="111111"/>
          <w:sz w:val="28"/>
          <w:szCs w:val="28"/>
          <w:rtl w:val="true"/>
          <w:lang w:bidi="fa-IR"/>
        </w:rPr>
        <w:t xml:space="preserve">. </w:t>
      </w:r>
      <w:bookmarkStart w:id="186" w:name="pg1532_13154"/>
    </w:p>
    <w:p>
      <w:pPr>
        <w:pStyle w:val="BookText"/>
        <w:rPr/>
      </w:pPr>
      <w:bookmarkEnd w:id="186"/>
      <w:r>
        <w:rPr>
          <w:rFonts w:ascii="IRNazanin" w:hAnsi="IRNazanin" w:eastAsia="IRNazanin"/>
          <w:color w:val="111111"/>
          <w:sz w:val="28"/>
          <w:sz w:val="28"/>
          <w:szCs w:val="28"/>
          <w:rtl w:val="true"/>
          <w:lang w:bidi="fa-IR"/>
        </w:rPr>
        <w:t xml:space="preserve">و در مواردى هم هيچ‌كدام از اينها نيست؛ مانند خلافت معاويه كه با هيچ‌كدام از شيوه‌هاى ذكر شده به خلافت نرسيد، بلكه با نيرنگ و جنگ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شام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شيعه معتقد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خداى سبحان، نسبت به رهبرى و امامت بعد از خود غافل نبوده و آن حضرت امت را بدون امام رها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همچون رسالت از سوى خدا تعيين و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معرفى مى‌گردد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متعدد همچون حديث منزلت، ثقلين، انذار، غدير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شيعه معتقد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به امامت امت منصوب شده‌اند</w:t>
      </w:r>
      <w:r>
        <w:rPr>
          <w:rFonts w:eastAsia="IRNazanin" w:cs="IRNazanin"/>
          <w:color w:val="111111"/>
          <w:sz w:val="28"/>
          <w:szCs w:val="28"/>
          <w:rtl w:val="true"/>
          <w:lang w:bidi="fa-IR"/>
        </w:rPr>
        <w:t>.</w:t>
      </w:r>
    </w:p>
    <w:p>
      <w:pPr>
        <w:pStyle w:val="Heading3"/>
        <w:numPr>
          <w:ilvl w:val="2"/>
          <w:numId w:val="1"/>
        </w:numPr>
        <w:rPr/>
      </w:pPr>
      <w:bookmarkStart w:id="187" w:name="__RefHeading___Toc558135_3650668749"/>
      <w:bookmarkStart w:id="188" w:name="_Toc72"/>
      <w:bookmarkEnd w:id="187"/>
      <w:r>
        <w:rPr>
          <w:rtl w:val="true"/>
        </w:rPr>
        <w:t>آيا شيعيان قرآن ديگرى دارند؟</w:t>
      </w:r>
      <w:bookmarkEnd w:id="188"/>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قرآن ديگرى دارند كه غير از اين قرآن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از تهمت‌ها و دروغ‌هاى ناروايى است كه عليه شيعيان ساخته شده است و با اندك دقتى، ساختگى‌بودن اين تهمت روشن مى‌شود؛ زيرا شيعيان از صدر اسلام تاكنون همين قرآن را قرائت كرده‌اند و آن را در نماز مى‌خوانند و بر همين قرآن صدها جلد تفسير و </w:t>
      </w:r>
      <w:bookmarkStart w:id="189" w:name="pg1532_13155"/>
    </w:p>
    <w:p>
      <w:pPr>
        <w:pStyle w:val="BookText"/>
        <w:rPr/>
      </w:pPr>
      <w:bookmarkEnd w:id="189"/>
      <w:r>
        <w:rPr>
          <w:rFonts w:ascii="IRNazanin" w:hAnsi="IRNazanin" w:eastAsia="IRNazanin"/>
          <w:color w:val="111111"/>
          <w:sz w:val="28"/>
          <w:sz w:val="28"/>
          <w:szCs w:val="28"/>
          <w:rtl w:val="true"/>
          <w:lang w:bidi="fa-IR"/>
        </w:rPr>
        <w:t>شرح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شيعيان به غير از اين قرآن، قرآن ديگرى را چاپ نكرده‌اند و صداى قرآن ديگرى از راديو و تلويزيون و ساير وسايل ارتباطجمعى آنها شنيده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شيعه در سراسر جهان قارى، مفسر، و حافظ همين قرآن مى‌باشند</w:t>
      </w:r>
      <w:r>
        <w:rPr>
          <w:rFonts w:eastAsia="IRNazanin" w:cs="IRNazanin"/>
          <w:color w:val="111111"/>
          <w:sz w:val="28"/>
          <w:szCs w:val="28"/>
          <w:rtl w:val="true"/>
          <w:lang w:bidi="fa-IR"/>
        </w:rPr>
        <w:t>.</w:t>
      </w:r>
    </w:p>
    <w:p>
      <w:pPr>
        <w:pStyle w:val="Heading3"/>
        <w:numPr>
          <w:ilvl w:val="2"/>
          <w:numId w:val="1"/>
        </w:numPr>
        <w:rPr/>
      </w:pPr>
      <w:bookmarkStart w:id="190" w:name="__RefHeading___Toc558137_3650668749"/>
      <w:bookmarkStart w:id="191" w:name="_Toc73"/>
      <w:bookmarkEnd w:id="190"/>
      <w:r>
        <w:rPr>
          <w:rtl w:val="true"/>
        </w:rPr>
        <w:t xml:space="preserve">شهادت به ولايت علي </w:t>
      </w:r>
      <w:r>
        <w:rPr>
          <w:rtl w:val="true"/>
        </w:rPr>
        <w:t>(</w:t>
      </w:r>
      <w:r>
        <w:rPr>
          <w:rtl w:val="true"/>
        </w:rPr>
        <w:t>ع</w:t>
      </w:r>
      <w:r>
        <w:rPr>
          <w:rtl w:val="true"/>
        </w:rPr>
        <w:t xml:space="preserve">) </w:t>
      </w:r>
      <w:r>
        <w:rPr>
          <w:rtl w:val="true"/>
        </w:rPr>
        <w:t>در اذان</w:t>
      </w:r>
      <w:bookmarkEnd w:id="191"/>
    </w:p>
    <w:p>
      <w:pPr>
        <w:pStyle w:val="BookText"/>
        <w:rPr/>
      </w:pP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شيعيان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كرده‌اند و اين بدعت مى‌باشد چون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نبوده است؟</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اضافه‌كردن جمله‌اى به اذان بدعت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نبوده،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اذان اضافه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علي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بوده، از اذان حذف شده و اينها بدعت شناخته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وليّ‌الله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جزء اذان نمى‌دانند و همان‌طور كه در رساله‌هاى عمليه آمده، ذكر آن تنها به قصد رجا صحيح مى‌باشد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چرا شيعيان در اذان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علياً وليّ‌الله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در قرآن شهادت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آنجا كه فرمود</w:t>
      </w:r>
      <w:r>
        <w:rPr>
          <w:rFonts w:eastAsia="IRNazanin" w:cs="IRNazanin"/>
          <w:color w:val="111111"/>
          <w:sz w:val="28"/>
          <w:szCs w:val="28"/>
          <w:rtl w:val="true"/>
          <w:lang w:bidi="fa-IR"/>
        </w:rPr>
        <w:t xml:space="preserve">: </w:t>
      </w:r>
      <w:bookmarkStart w:id="192" w:name="pg1532_13156"/>
    </w:p>
    <w:p>
      <w:pPr>
        <w:pStyle w:val="BookText"/>
        <w:rPr/>
      </w:pPr>
      <w:bookmarkEnd w:id="192"/>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ولى شما خدا و رسولش و كسى است كه در حال اقامه نماز زكات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همه محدثين و مورخين شيعه و سنى، اتفاق‌نظر دارند كه اين آيه در مورد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كه در حال نماز به فقير زكات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علت اينكه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توسط شيعيان ذكر مى‌شود، تلاش‌هايى بود كه توسط بنى‌اميه و بنى‌عباس براى محو نام و ياد على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 اين روش، تلاش‌هاى مخالفين اهل بيت را نقش بر آب كردند و اين نام و مقام را براى آن حضرت زنده نگه داشتند</w:t>
      </w:r>
      <w:r>
        <w:rPr>
          <w:rFonts w:eastAsia="IRNazanin" w:cs="IRNazanin"/>
          <w:color w:val="111111"/>
          <w:sz w:val="28"/>
          <w:szCs w:val="28"/>
          <w:rtl w:val="true"/>
          <w:lang w:bidi="fa-IR"/>
        </w:rPr>
        <w:t>.</w:t>
      </w:r>
    </w:p>
    <w:p>
      <w:pPr>
        <w:pStyle w:val="Heading3"/>
        <w:numPr>
          <w:ilvl w:val="2"/>
          <w:numId w:val="1"/>
        </w:numPr>
        <w:rPr/>
      </w:pPr>
      <w:bookmarkStart w:id="193" w:name="__RefHeading___Toc558139_3650668749"/>
      <w:bookmarkStart w:id="194" w:name="_Toc74"/>
      <w:bookmarkEnd w:id="193"/>
      <w:r>
        <w:rPr>
          <w:rtl w:val="true"/>
        </w:rPr>
        <w:t>سجده بر مهر</w:t>
      </w:r>
      <w:bookmarkEnd w:id="194"/>
    </w:p>
    <w:p>
      <w:pPr>
        <w:pStyle w:val="BookText"/>
        <w:rPr/>
      </w:pP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هنگام نماز، بر مهر سجده مى‌كنند؟</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همه مسلمانان، چه شيعه و چه سنى معتقدند كه بايد به زمين سجده كرد و بر غير زمين سجده جايز نيست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 در معناى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معتقد است تنها سجده بر زمين و آنچه كه از زمين مى‌باشد، جايز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خوردنى‌ها و پوشيدنى‌ها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فرش، سيمان، آسفالت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زمين نيستند و سجده بر آنها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كه مسجدالنبى به صورت فعلى فرش نشده بود و كف آن يا خاك بود و يا حصير،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بر زمين يا بر حصير سجده مى‌كردند و هيچ حديث و روايتى وارد نشده كه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 يا فرش يا چيز ديگرى كه زمين نيست، سجده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زيادى نيز وارد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بر غير زمين سجده نمى‌كردند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برگزار كردم و مشتى از سنگريزه‌ها را برمى‌داشتم و آنها را دست به‌دست مى‌كردم تا خنك شوند؛ سپس زير پيشانى نهاده، بر آنها سجده مى‌كردم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اگر سجده بر غير زمين جايز بود، لازم نبود سنگريزه را خنك كنند و بر آن سجده نمايند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در روايت ديگرى آمده است كه على بن عبدالله بن عباس كه از تابعان است به زرين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قطعه </w:t>
      </w:r>
      <w:bookmarkStart w:id="195" w:name="pg1532_13158"/>
    </w:p>
    <w:p>
      <w:pPr>
        <w:pStyle w:val="BookText"/>
        <w:rPr/>
      </w:pPr>
      <w:bookmarkEnd w:id="195"/>
      <w:r>
        <w:rPr>
          <w:rFonts w:ascii="IRNazanin" w:hAnsi="IRNazanin" w:eastAsia="IRNazanin"/>
          <w:color w:val="111111"/>
          <w:sz w:val="28"/>
          <w:sz w:val="28"/>
          <w:szCs w:val="28"/>
          <w:rtl w:val="true"/>
          <w:lang w:bidi="fa-IR"/>
        </w:rPr>
        <w:t>سنگى از سنگ‌هاى كوه مروه براى من بفرست تا بر آن سجده كنم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روايات وارده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سجده بر غير زمين مى‌شد؛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صهيب را مشاهده كرد كه هنگام سجده از خاك‌آلودشدن پيشانى خود پرهيز مى‌كند،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بر خاك بنه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ناگفته نماند كه مهر، قطعه‌اى از خاك پاك و تميز است كه هنگام نماز خواندن آن را روى فرش، آسفالت و هر چيز ديگرى كه غير زمين است، مى‌گذارند و بر آن سجده مى‌كنند و فاقد هرگونه ارزش و قداستى مى‌باشد</w:t>
      </w:r>
      <w:r>
        <w:rPr>
          <w:rFonts w:eastAsia="IRNazanin" w:cs="IRNazanin"/>
          <w:color w:val="111111"/>
          <w:sz w:val="28"/>
          <w:szCs w:val="28"/>
          <w:rtl w:val="true"/>
          <w:lang w:bidi="fa-IR"/>
        </w:rPr>
        <w:t>.</w:t>
      </w:r>
    </w:p>
    <w:p>
      <w:pPr>
        <w:pStyle w:val="Heading3"/>
        <w:numPr>
          <w:ilvl w:val="2"/>
          <w:numId w:val="1"/>
        </w:numPr>
        <w:rPr/>
      </w:pPr>
      <w:bookmarkStart w:id="196" w:name="__RefHeading___Toc558141_3650668749"/>
      <w:bookmarkStart w:id="197" w:name="_Toc75"/>
      <w:bookmarkEnd w:id="196"/>
      <w:r>
        <w:rPr>
          <w:rtl w:val="true"/>
        </w:rPr>
        <w:t>زيارت قبور</w:t>
      </w:r>
      <w:bookmarkEnd w:id="197"/>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مشرك هستند چون به زيارت قبور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در هيچ منبع معتبرى نيامده كه اگر مسلمانى قبرى را زيارت كرد، مشرك و از اسلام خارج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زيادى مبنى بر استحباب زيارت اهل قبور وارد شده است؛ از جمله</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رسول الله رخص في زيارة القبور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در روايات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قبرمادرش مى‌رفت و مى‌گريست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تاريخ اسلام وارد شده كه عايشه بعد از برگشت از مكه به زيارت قبر برادرش عبدالرحمان بن ابوبكر رفت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اهل بقيع مى‌رفت و زيارتنامه مى‌خواند، حتى در آخرين لحظات عمرش به زيارت مدفونين بقيع رفت و با آنان گفت‌وگو و برايشان دعا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مستدرك حاكم نيشابورى آمده كه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جمعه به زيارت قبر عمويش حمزه مى‌رفت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آيت الله سبحانى در مورد علت مخالفت وهابيان با زيارت قبور، به نكته ظريفى اشاره مى‌كند و مى‌گويد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اموات عده زيادى از مسلمانان صدر اسلام مسلمان نبوده و يا بت‌پرست بودند و اسلام پيوند آنها را با مشركين قطع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زيارت امواتشان نمى‌رفتند و به مرور زمان زيارت قبور به‌عنوان يك عمل ضد دينى تلقى گرديد</w:t>
      </w:r>
      <w:r>
        <w:rPr>
          <w:rFonts w:eastAsia="IRNazanin" w:cs="IRNazanin"/>
          <w:color w:val="111111"/>
          <w:sz w:val="28"/>
          <w:szCs w:val="28"/>
          <w:rtl w:val="true"/>
          <w:lang w:bidi="fa-IR"/>
        </w:rPr>
        <w:t xml:space="preserve">. </w:t>
      </w:r>
      <w:bookmarkStart w:id="198" w:name="pg1532_13160"/>
    </w:p>
    <w:p>
      <w:pPr>
        <w:pStyle w:val="Heading3"/>
        <w:numPr>
          <w:ilvl w:val="2"/>
          <w:numId w:val="1"/>
        </w:numPr>
        <w:rPr/>
      </w:pPr>
      <w:bookmarkStart w:id="199" w:name="__RefHeading___Toc558143_3650668749"/>
      <w:bookmarkStart w:id="200" w:name="_Toc76"/>
      <w:bookmarkEnd w:id="198"/>
      <w:bookmarkEnd w:id="199"/>
      <w:r>
        <w:rPr>
          <w:rtl w:val="true"/>
        </w:rPr>
        <w:t>تبرك جستن</w:t>
      </w:r>
      <w:bookmarkEnd w:id="200"/>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مشرك هستند، زيرا به قبور اوليا و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جستن به آثار انبيا و اوليا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قبل از اسلام و هم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بعد از رحلت آن حضرت در بين مسلمانان و غير مسلمان رايج بوده است و هيچ‌گاه به‌عنوان شرك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زيادى در قرآن و روايات در اين مورد وارد شده است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يوسف، پيراهن يوسف را بر ديدگان پدر افكندند و يعقوب پس از سال‌ها بينا گشت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٢۴٨</w:t>
      </w:r>
      <w:r>
        <w:rPr>
          <w:rFonts w:ascii="IRNazanin" w:hAnsi="IRNazanin" w:eastAsia="IRNazanin"/>
          <w:color w:val="111111"/>
          <w:sz w:val="28"/>
          <w:sz w:val="28"/>
          <w:szCs w:val="28"/>
          <w:rtl w:val="true"/>
          <w:lang w:bidi="fa-IR"/>
        </w:rPr>
        <w:t xml:space="preserve"> بقره داستان تبرك قوم موسى به تابوت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پايانى عمر خود، بر روى الواح مقدسى، احكام خدا را نوشت و آنها را همراه با زره خود، در تابوتى نهاد و به وصى خود يوشع بن نون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بنى‌اسراييل در جنگ‌هايى كه بين آنان و دشمنانشان رخ مى‌داد، به‌عنوان تبرك تابوت را همراه خود مى‌بردند و پيروز مى‌شدند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تبرك‌جستن خلاف توحيد و موجب شرك بود، قطعاً پيامبر خدا از آن نهى مى‌كرد و قرآن آن را </w:t>
      </w:r>
      <w:bookmarkStart w:id="201" w:name="pg1532_13161"/>
    </w:p>
    <w:p>
      <w:pPr>
        <w:pStyle w:val="BookText"/>
        <w:rPr/>
      </w:pPr>
      <w:bookmarkEnd w:id="201"/>
      <w:r>
        <w:rPr>
          <w:rFonts w:ascii="Amiri" w:hAnsi="Amiri" w:eastAsia="Amiri" w:cs="Amiri"/>
          <w:color w:val="111111"/>
          <w:sz w:val="28"/>
          <w:sz w:val="28"/>
          <w:szCs w:val="28"/>
          <w:rtl w:val="true"/>
          <w:lang w:bidi="ar-SA"/>
        </w:rPr>
        <w:t>تأييد نمى‌نمود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صحيح بخارى آمده كه 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مى‌گرفت، اصحاب براى ربودن قطرات آب وضوى آن حضرت، بر يكديگر سبقت مى‌گرفتند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در مورد برداشتن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اصحاب هنگامى كه آن حضرت اصلاح مى‌كرد نيز روايات مشابهى وارد شده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روايات آمده است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وقتى بلال به مدينه برگشت، بر سر قبر پيامبر رفت و گريه كرد و صورت خود را بر قبر آن حضرت مى‌ماليد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همچنين روايات زيادى وارد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حجرالاسود را استلام و آن را مى‌بوسيدند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مسلمانان نيز قرآن را مى‌بوسند و هيچ‌كس اين عمل را شرك نمى‌داند</w:t>
      </w:r>
      <w:r>
        <w:rPr>
          <w:rFonts w:eastAsia="IRNazanin" w:cs="IRNazanin"/>
          <w:color w:val="111111"/>
          <w:sz w:val="28"/>
          <w:szCs w:val="28"/>
          <w:rtl w:val="true"/>
          <w:lang w:bidi="fa-IR"/>
        </w:rPr>
        <w:t>.</w:t>
      </w:r>
    </w:p>
    <w:p>
      <w:pPr>
        <w:pStyle w:val="Heading3"/>
        <w:numPr>
          <w:ilvl w:val="2"/>
          <w:numId w:val="1"/>
        </w:numPr>
        <w:rPr/>
      </w:pPr>
      <w:bookmarkStart w:id="202" w:name="__RefHeading___Toc558145_3650668749"/>
      <w:bookmarkStart w:id="203" w:name="_Toc77"/>
      <w:bookmarkEnd w:id="202"/>
      <w:r>
        <w:rPr>
          <w:rtl w:val="true"/>
        </w:rPr>
        <w:t>جمع بين دو نماز</w:t>
      </w:r>
      <w:bookmarkEnd w:id="203"/>
    </w:p>
    <w:p>
      <w:pPr>
        <w:pStyle w:val="BookText"/>
        <w:rPr/>
      </w:pP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نماز ظهر وعصر و مغرب و عشا را با هم مى‌خوانند و مانند اهل سنت نمازهاى پنجگانه را در پنج وقت نمى‌خوانند؟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معتقد است خواندن نمازهاى </w:t>
      </w:r>
      <w:bookmarkStart w:id="204" w:name="pg1532_13162"/>
    </w:p>
    <w:p>
      <w:pPr>
        <w:pStyle w:val="BookText"/>
        <w:rPr/>
      </w:pPr>
      <w:bookmarkEnd w:id="204"/>
      <w:r>
        <w:rPr>
          <w:rFonts w:ascii="IRNazanin" w:hAnsi="IRNazanin" w:eastAsia="IRNazanin"/>
          <w:color w:val="111111"/>
          <w:sz w:val="28"/>
          <w:sz w:val="28"/>
          <w:szCs w:val="28"/>
          <w:rtl w:val="true"/>
          <w:lang w:bidi="fa-IR"/>
        </w:rPr>
        <w:t>پنج‌گانه در پنج وقت صبح، ظهر، عصر، مغرب و عشا مستحب است و به آن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واجب نيست؛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گاهى نماز ظهر و عصر و مغرب و عشا را بدون اينكه علت خاصى داشته باشد با هم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 بين نمازها واجب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اين واجب مهم را ترك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متعددى به نقل از ابن عباس، وارد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اقامت در مدينه، نه در حال مسافرت، هفت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نيز بين نماز ظهر و عصر و نماز مغرب و عشا جمع نمود؛ بدون اينكه در حال سفر باشد و يا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پرسيدند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نماز جمع نمود؟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براى امت خود گشايش و تسهيل ايجاد نمايد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205" w:name="__RefHeading___Toc558147_3650668749"/>
      <w:bookmarkStart w:id="206" w:name="_Toc78"/>
      <w:bookmarkEnd w:id="205"/>
      <w:r>
        <w:rPr>
          <w:rtl w:val="true"/>
        </w:rPr>
        <w:t>توسل</w:t>
      </w:r>
      <w:bookmarkEnd w:id="20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كمك خواستن به غير خدا شرك است و نبايد از غير خدا كمك 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جستن و يارى طلبيدن از ديگران امرى عادى است كه با زندگى روزمره انسان عجين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براى رفع بسيارى از نيازهايشان، ديگران را به يارى مى‌طلبند و دست نياز به‌سوى آنها بلند مى‌كنند و كسى نمى‌گويد مشرك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حرام است اين است كه انسان، شريكى در كنار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اما اگر به كسى متوسل بشويم كه پيش خدا داراى عزت و مقام و مرتبه است، اين نوع توسل شرك نمى‌باشد و مشابه آن در تاريخ اسلام زياد وارد شده است و عقل نيز آن را تأييد مى‌كند؛ زيرا انسان‌ها در امور روزمره زندگى و براى رفع مشكلات خود به يكديگر متوسل مى‌شوند و هيچ انسانى به تنهايى و بدون كمك ديگران نمى‌تواند به زندگى اجتماعى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انسانى، مسلمانان را به كمك بطلبد و آنان به‌فريادش نرسند، مسلمان نيستند</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قرآن آمده است كه برادران يوسف به پدرشان متوسل شدند تا براى آنان استغفار كند و پدرشان هم قبول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به‌زودى برايتان استغفار مى‌كنم</w:t>
      </w:r>
      <w:r>
        <w:rPr>
          <w:rFonts w:eastAsia="IRNazanin" w:cs="IRNazanin"/>
          <w:color w:val="111111"/>
          <w:sz w:val="28"/>
          <w:szCs w:val="28"/>
          <w:rtl w:val="true"/>
          <w:lang w:bidi="fa-IR"/>
        </w:rPr>
        <w:t>»</w:t>
      </w:r>
      <w:r>
        <w:rPr>
          <w:rStyle w:val="FootnoteAnchor"/>
          <w:rtl w:val="true"/>
        </w:rPr>
        <w:footnoteReference w:id="88"/>
      </w:r>
      <w:bookmarkStart w:id="207" w:name="pg1532_13164"/>
    </w:p>
    <w:p>
      <w:pPr>
        <w:pStyle w:val="BookText"/>
        <w:rPr/>
      </w:pPr>
      <w:bookmarkEnd w:id="207"/>
      <w:r>
        <w:rPr>
          <w:rFonts w:ascii="IRNazanin" w:hAnsi="IRNazanin" w:eastAsia="IRNazanin"/>
          <w:color w:val="111111"/>
          <w:sz w:val="28"/>
          <w:sz w:val="28"/>
          <w:szCs w:val="28"/>
          <w:rtl w:val="true"/>
          <w:lang w:bidi="fa-IR"/>
        </w:rPr>
        <w:t>خداوند متعال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پيامبر براى كسى طلب استغفار كند، خدا او را مى‌بخشد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08" w:name="__RefHeading___Toc558149_3650668749"/>
      <w:bookmarkStart w:id="209" w:name="_Toc79"/>
      <w:bookmarkEnd w:id="208"/>
      <w:r>
        <w:rPr>
          <w:rtl w:val="true"/>
        </w:rPr>
        <w:t>با دست باز نماز خواندن</w:t>
      </w:r>
      <w:bookmarkEnd w:id="209"/>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هنگام نماز خواندن دست‌هايشان باز و همانند اهل سنت با دست بسته نماز نمى‌خوانند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و دليلى بر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دست‌هاى بسته نماز خوانده باشد، ذكر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 باز نماز خواندن، اختصاص به شيعيان ندارد، بلكه امام ابوحنيفه دست بسته نماز خواندن را مستحب، شافعى و احمد بن حنبل، آن را سنت و مالك آن را در نمازهاى واجب مكروه مى‌داند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برخى از كتب تاريخى، ريشه گذاشتن دست چپ روى دست راست در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اسراى عجم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اسراى ايرانى را وارد مدينه كردند، خليفه دوم به ديدن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ديدار خليفه، همه اسرا دست‌هاى خود را روى سينه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علت آن را پرسيد،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رسم ايرانيان است كه هنگام اداى احترام به يك مقام بلندمرتبه، </w:t>
      </w:r>
      <w:bookmarkStart w:id="210" w:name="pg1532_13165"/>
    </w:p>
    <w:p>
      <w:pPr>
        <w:pStyle w:val="BookText"/>
        <w:rPr/>
      </w:pPr>
      <w:bookmarkEnd w:id="210"/>
      <w:r>
        <w:rPr>
          <w:rFonts w:ascii="IRNazanin" w:hAnsi="IRNazanin" w:eastAsia="IRNazanin"/>
          <w:color w:val="111111"/>
          <w:sz w:val="28"/>
          <w:sz w:val="28"/>
          <w:szCs w:val="28"/>
          <w:rtl w:val="true"/>
          <w:lang w:bidi="fa-IR"/>
        </w:rPr>
        <w:t>دست‌هاى خود را روى سينه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اين نوع اداى احترام را پسنديد و دستور داد از آن پس، جهت احترام بيشتر به خدا، همه مسلمانان بايد در نماز، دست‌هايشان را روى سينه بگذارند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قرطبى از علماى بزرگ اهل سنت، در كتاب خود رواياتى را ذكر مى‌كند كه نحوه نماز خواندن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هيچ‌كدام از اين روايات ذكر نشده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بسته نماز مى‌خواند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11" w:name="__RefHeading___Toc558151_3650668749"/>
      <w:bookmarkStart w:id="212" w:name="_Toc80"/>
      <w:bookmarkEnd w:id="211"/>
      <w:r>
        <w:rPr>
          <w:rtl w:val="true"/>
        </w:rPr>
        <w:t>احترام به قبور و اشياى متبرك</w:t>
      </w:r>
      <w:bookmarkEnd w:id="212"/>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شيعيان به در و ديوار قبور 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اوليا دست مى‌كشند و تبرك مى‌جويند، مشرك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مادرى كه فرزندشان به سفر و يا از دنيا رفته، وقتى ياد او مى‌كنند، لباس‌ها و وسايل باقيمانده او را برمى‌دارند و به آن دست مى‌كشند يا به سر و صورت خود مى‌مالند و آنها را مى‌بوسند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اعمال به معناى پرستش اين وسايل است و اين پدر و مادر مشرك هستند؟ يا اين اعمال و رفتار نشانگر محبت و عشق به </w:t>
      </w:r>
      <w:bookmarkStart w:id="213" w:name="pg1532_13166"/>
    </w:p>
    <w:p>
      <w:pPr>
        <w:pStyle w:val="BookText"/>
        <w:rPr/>
      </w:pPr>
      <w:bookmarkEnd w:id="213"/>
      <w:r>
        <w:rPr>
          <w:rFonts w:ascii="IRNazanin" w:hAnsi="IRNazanin" w:eastAsia="IRNazanin"/>
          <w:color w:val="111111"/>
          <w:sz w:val="28"/>
          <w:sz w:val="28"/>
          <w:szCs w:val="28"/>
          <w:rtl w:val="true"/>
          <w:lang w:bidi="fa-IR"/>
        </w:rPr>
        <w:t>كسى است كه او را نمى‌بينند و با ديدن اين وسايل به ياد او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يعقوب كه پيراهن فرزندش يوسف را بوسيد و بر سر و صورتش كشيد و بينايى خود را به دست آورد، مشرك شد؟</w:t>
      </w:r>
    </w:p>
    <w:p>
      <w:pPr>
        <w:pStyle w:val="Heading3"/>
        <w:numPr>
          <w:ilvl w:val="2"/>
          <w:numId w:val="1"/>
        </w:numPr>
        <w:rPr/>
      </w:pPr>
      <w:bookmarkStart w:id="214" w:name="__RefHeading___Toc558153_3650668749"/>
      <w:bookmarkStart w:id="215" w:name="_Toc81"/>
      <w:bookmarkEnd w:id="214"/>
      <w:r>
        <w:rPr>
          <w:rtl w:val="true"/>
        </w:rPr>
        <w:t>شفاعت</w:t>
      </w:r>
      <w:bookmarkEnd w:id="215"/>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مختص خداست و درخواست شفاعت از اوليا و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قرآن ذكر شده، شفاعت مختص خداست، اما خداى سبحان اين مقام را به عده‌اى از اوليا و افراد خاص خود واگذار كرده، همان‌طور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مالك شفاعت نيست، مگر كسانى كه داراى عهدى نزد خداى رحمان باشند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در آيه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هيچ شفاعتى به‌درد نمى‌خورد، مگر شفاعت كسانى كه خدا به آنها اذن داده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روشن مى‌شود كه خدا به عده‌اى اذن شفاعت داده است و آن عده، قطعاً اولياى خاص و بندگان مقربش هستند كه به اين مقام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اين افراد براى شفاعت شرك محسوب نمى‌شود؛ زيرا خدا اين مقام را به آنان داده تا از افرادى كه داراى صلاحيت هستند </w:t>
      </w:r>
      <w:bookmarkStart w:id="216" w:name="pg1532_13167"/>
    </w:p>
    <w:p>
      <w:pPr>
        <w:pStyle w:val="BookText"/>
        <w:rPr/>
      </w:pPr>
      <w:bookmarkEnd w:id="216"/>
      <w:r>
        <w:rPr>
          <w:rFonts w:ascii="Amiri" w:hAnsi="Amiri" w:eastAsia="Amiri" w:cs="Amiri"/>
          <w:color w:val="111111"/>
          <w:sz w:val="28"/>
          <w:sz w:val="28"/>
          <w:szCs w:val="28"/>
          <w:rtl w:val="true"/>
          <w:lang w:bidi="ar-SA"/>
        </w:rPr>
        <w:t>شفاعت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صحيح از كتب اهل سنت وارد شده كه انس بن مالك هم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كرد كه از او در روز قيامت شفاعت كند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پذيرفت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مشابه اين روايت، روايات متعدد ديگرى در كتب اهل سنت ذكر شده است كه از ذكر آنها خوددارى مى‌گردد</w:t>
      </w:r>
      <w:r>
        <w:rPr>
          <w:rFonts w:eastAsia="IRNazanin" w:cs="IRNazanin"/>
          <w:color w:val="111111"/>
          <w:sz w:val="28"/>
          <w:szCs w:val="28"/>
          <w:rtl w:val="true"/>
          <w:lang w:bidi="fa-IR"/>
        </w:rPr>
        <w:t>.</w:t>
      </w:r>
    </w:p>
    <w:p>
      <w:pPr>
        <w:pStyle w:val="Heading3"/>
        <w:numPr>
          <w:ilvl w:val="2"/>
          <w:numId w:val="1"/>
        </w:numPr>
        <w:rPr/>
      </w:pPr>
      <w:bookmarkStart w:id="217" w:name="__RefHeading___Toc558155_3650668749"/>
      <w:bookmarkStart w:id="218" w:name="_Toc82"/>
      <w:bookmarkEnd w:id="217"/>
      <w:r>
        <w:rPr>
          <w:rtl w:val="true"/>
        </w:rPr>
        <w:t>علم غيب</w:t>
      </w:r>
      <w:bookmarkEnd w:id="218"/>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معتقدند كه 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علم غيب دارند؛ چرا ضررها و خطرات را از خود دفع نمى‌كردند و گاهى در زندگى نيز دچار مشكل مى‌شدند؟</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داراى معجزه بودند، اما چرا هر روز با معجزه مخالفان خود را تسليم نمى‌كردند يا با معجزه، مشكلات و سختى‌هاى خود را برطرف نمى‌نمودند و تنها در موارد بسيار محدودى معجزه مى‌آورند؟ زيرا معجزه، ابزارى الهى است كه خدا در اختيار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تا تنها در موارد خاصى كه خدا اذن مى‌دهد از آن استفاده كنند، اما اجازه ندارند در هر زمان و در هر جايى كه خود بخواهند از آن استفاده كنند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غيب نيز همانند معجزه، علمى است كه خداى </w:t>
      </w:r>
      <w:bookmarkStart w:id="219" w:name="pg1532_13168"/>
    </w:p>
    <w:p>
      <w:pPr>
        <w:pStyle w:val="BookText"/>
        <w:rPr/>
      </w:pPr>
      <w:bookmarkEnd w:id="219"/>
      <w:r>
        <w:rPr>
          <w:rFonts w:ascii="IRNazanin" w:hAnsi="IRNazanin" w:eastAsia="IRNazanin"/>
          <w:color w:val="111111"/>
          <w:sz w:val="28"/>
          <w:sz w:val="28"/>
          <w:szCs w:val="28"/>
          <w:rtl w:val="true"/>
          <w:lang w:bidi="fa-IR"/>
        </w:rPr>
        <w:t xml:space="preserve">سبحان در اختيار 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در زمان و شرايط خاصى كه خدا اذن مى‌دهد،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مجاز نيستند علم غيب را در هر زمان و مكانى كه خود اراده كنند، به‌كار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غيب و معجزه، همانند اسلحه‌اى است كه حاكم در اختيار سرباز قرار داده تا طبق ضوابط و مقررات خاصى از آن استفاده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سرباز مسلح، مجاز نيست كه در هر زمان و مكانى كه خواست از اسلحه استفاده كند</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58157_3650668749"/>
      <w:bookmarkStart w:id="221" w:name="_Toc83"/>
      <w:bookmarkEnd w:id="220"/>
      <w:r>
        <w:rPr>
          <w:rtl w:val="true"/>
        </w:rPr>
        <w:t>سب و لعن صحابه</w:t>
      </w:r>
      <w:bookmarkEnd w:id="221"/>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و لعن صحابه جزء اعتقادات شيعيان است و هر كس صحابه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كند، كافر و واجب القتل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يكى ديگر از تهمت‌هاى ناروايى است كه به شيعيان نسبت مى‌دهند؛ زيرا سب و لعن صحابه نه تنها جزء اعتقادات شيعيان نمى‌باشد، بلكه شيعه، سب و لعن بسيارى از صحابه را حرام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نيز گاهى با هم نزاع مى‌كردند و همديگر را سب مى‌نمودند،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وهابيون هيچ‌كدام را تكفير نمى‌كرد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مسند احمد حنبل آمده كه كسى در حضور </w:t>
      </w:r>
      <w:bookmarkStart w:id="222" w:name="pg1532_13169"/>
    </w:p>
    <w:p>
      <w:pPr>
        <w:pStyle w:val="BookText"/>
        <w:rPr/>
      </w:pPr>
      <w:bookmarkEnd w:id="222"/>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را دشنام داد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نمود و لبخند زد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پس اگر كسى يكى از صحابه را لعن كرد، موجب كفر او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معاويه رايج شد و هيچ‌كس حكم به كفر معاويه نداد</w:t>
      </w:r>
      <w:r>
        <w:rPr>
          <w:rFonts w:eastAsia="IRNazanin" w:cs="IRNazanin"/>
          <w:color w:val="111111"/>
          <w:sz w:val="28"/>
          <w:szCs w:val="28"/>
          <w:rtl w:val="true"/>
          <w:lang w:bidi="fa-IR"/>
        </w:rPr>
        <w:t>.</w:t>
      </w:r>
    </w:p>
    <w:p>
      <w:pPr>
        <w:pStyle w:val="Heading3"/>
        <w:numPr>
          <w:ilvl w:val="2"/>
          <w:numId w:val="1"/>
        </w:numPr>
        <w:rPr/>
      </w:pPr>
      <w:bookmarkStart w:id="223" w:name="__RefHeading___Toc558159_3650668749"/>
      <w:bookmarkStart w:id="224" w:name="_Toc84"/>
      <w:bookmarkEnd w:id="223"/>
      <w:r>
        <w:rPr>
          <w:rtl w:val="true"/>
        </w:rPr>
        <w:t>گريه بر اموات</w:t>
      </w:r>
      <w:bookmarkEnd w:id="224"/>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اموات و اقامه مجلس عزا، بدعت و حرام مى‌باشد و شيعيان براى اموات گريه مى‌كنند و مجلس عزا برگزار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عزيزى را از دست داد و به‌خاطر عاطفه و علاقه‌اى كه به او داشته، برايش گريه كند، آيا به معناى اين است كه غير خدا را پرستش نموده است؟ يا در دين بدعت گذاشته است؟</w:t>
      </w:r>
    </w:p>
    <w:p>
      <w:pPr>
        <w:pStyle w:val="BookText"/>
        <w:rPr/>
      </w:pPr>
      <w:r>
        <w:rPr>
          <w:rFonts w:ascii="IRNazanin" w:hAnsi="IRNazanin" w:eastAsia="IRNazanin"/>
          <w:color w:val="111111"/>
          <w:sz w:val="28"/>
          <w:sz w:val="28"/>
          <w:szCs w:val="28"/>
          <w:rtl w:val="true"/>
          <w:lang w:bidi="fa-IR"/>
        </w:rPr>
        <w:t xml:space="preserve">اگر گريه‌كردن بر مرده بدعت است چرا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قبر مادرش</w:t>
      </w:r>
      <w:r>
        <w:rPr>
          <w:rStyle w:val="FootnoteAnchor"/>
          <w:rtl w:val="true"/>
        </w:rPr>
        <w:footnoteReference w:id="96"/>
      </w:r>
      <w:r>
        <w:rPr>
          <w:rFonts w:ascii="IRNazanin" w:hAnsi="IRNazanin" w:eastAsia="IRNazanin"/>
          <w:color w:val="111111"/>
          <w:sz w:val="28"/>
          <w:sz w:val="28"/>
          <w:szCs w:val="28"/>
          <w:rtl w:val="true"/>
          <w:lang w:bidi="fa-IR"/>
        </w:rPr>
        <w:t>و پس از فوت پسرش ابراهيم به‌شدت گريست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اسلام آمده است كه عبدالرحمان بن عوف،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بعد از درگذشت فرزندش ابرهيم، به‌شدت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رسول‌خدا تو نيز در مرگ فرزندت گريه مى‌كنى؟ مگر تو ما را از گريه‌كردن نهى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نگفتم در مرگ عزيزانتان گريه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نشانه ترحم و مهربانى است وكسى كه دلش به حال ديگران نسوزد و مهر و محبت نداشته باشد، مورد مهر و محبت الهى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گفته‌ام اين است كه در سوگ و فقدان عزيزان خود فرياد نزنيد و صورت مخراشيد و گريبان چاك نكنيد و از سخنانى كه نشانه اعتراض و يا نارضايتى از ايزد است خوددارى كنيد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چشم مى‌گريد و قلب محزون است و چيزى نمى‌گوييم مگر اينكه خدا راضى باشد و ما اى ابراهيم در فراق تو غمگين هستيم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احمد بن حنبل نقل مى‌كند كه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احد برگشت و ديد كه زنان در فقدان شوهران مقتول خويش گريه مى‌كنند،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لكن حمزة لابواكي له </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گريه‌كننده ندارد</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چون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 بر حمزه گريستند</w:t>
      </w:r>
      <w:r>
        <w:rPr>
          <w:rFonts w:eastAsia="IRNazanin" w:cs="IRNazanin"/>
          <w:color w:val="111111"/>
          <w:sz w:val="28"/>
          <w:szCs w:val="28"/>
          <w:rtl w:val="true"/>
          <w:lang w:bidi="fa-IR"/>
        </w:rPr>
        <w:t xml:space="preserve">. </w:t>
      </w:r>
      <w:bookmarkStart w:id="225" w:name="pg1532_13171"/>
    </w:p>
    <w:p>
      <w:pPr>
        <w:pStyle w:val="BookText"/>
        <w:rPr/>
      </w:pPr>
      <w:bookmarkEnd w:id="225"/>
      <w:r>
        <w:rPr>
          <w:rFonts w:ascii="IRNazanin" w:hAnsi="IRNazanin" w:eastAsia="IRNazanin"/>
          <w:color w:val="111111"/>
          <w:sz w:val="28"/>
          <w:sz w:val="28"/>
          <w:szCs w:val="28"/>
          <w:rtl w:val="true"/>
          <w:lang w:bidi="fa-IR"/>
        </w:rPr>
        <w:t xml:space="preserve">همچنين يعقوب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فقدان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گريست كه بينايى خود را از دست داد و كسى نگفت كه يعقوب مشرك شده و يا در دين بدعت گذاشته است</w:t>
      </w:r>
      <w:r>
        <w:rPr>
          <w:rFonts w:eastAsia="IRNazanin" w:cs="IRNazanin"/>
          <w:color w:val="111111"/>
          <w:sz w:val="28"/>
          <w:szCs w:val="28"/>
          <w:rtl w:val="true"/>
          <w:lang w:bidi="fa-IR"/>
        </w:rPr>
        <w:t>.</w:t>
      </w:r>
    </w:p>
    <w:p>
      <w:pPr>
        <w:pStyle w:val="Heading3"/>
        <w:numPr>
          <w:ilvl w:val="2"/>
          <w:numId w:val="1"/>
        </w:numPr>
        <w:rPr/>
      </w:pPr>
      <w:bookmarkStart w:id="226" w:name="__RefHeading___Toc558161_3650668749"/>
      <w:bookmarkStart w:id="227" w:name="_Toc85"/>
      <w:bookmarkEnd w:id="226"/>
      <w:r>
        <w:rPr>
          <w:rtl w:val="true"/>
        </w:rPr>
        <w:t xml:space="preserve">عصمت انبيا و ائمه </w:t>
      </w:r>
      <w:r>
        <w:rPr>
          <w:rtl w:val="true"/>
        </w:rPr>
        <w:t>(</w:t>
      </w:r>
      <w:r>
        <w:rPr>
          <w:rtl w:val="true"/>
        </w:rPr>
        <w:t>عليهم السلام</w:t>
      </w:r>
      <w:r>
        <w:rPr>
          <w:rtl w:val="true"/>
        </w:rPr>
        <w:t>)</w:t>
      </w:r>
      <w:bookmarkEnd w:id="227"/>
    </w:p>
    <w:p>
      <w:pPr>
        <w:pStyle w:val="BookText"/>
        <w:rPr/>
      </w:pP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يعنى چه؟ چرا شيعيان به عصمت 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يعنى اينكه پيامبران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از علم و آگاهى نسبت به ترك محرمات رسيده‌اند كه آن را انجام نمى‌دهند و حتى به فكر انجام آن هم نمى‌افتند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 در بعضى از امور ممكن است به حدى از علم و آگاهى رسيده باشند كه نسبت به آن موضوع حالت ملكه و عصمت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هيچ‌گاه انسان عاقل به فكر كشف عورت در وسط خيابان و يا خوردن سمّ مهلك نمى‌افتند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28" w:name="__RefHeading___Toc558163_3650668749"/>
      <w:bookmarkStart w:id="229" w:name="_Toc86"/>
      <w:bookmarkEnd w:id="228"/>
      <w:r>
        <w:rPr>
          <w:rtl w:val="true"/>
        </w:rPr>
        <w:t xml:space="preserve">سب النبى </w:t>
      </w:r>
      <w:r>
        <w:rPr>
          <w:rtl w:val="true"/>
        </w:rPr>
        <w:t>(</w:t>
      </w:r>
      <w:r>
        <w:rPr>
          <w:rtl w:val="true"/>
        </w:rPr>
        <w:t>ص</w:t>
      </w:r>
      <w:r>
        <w:rPr>
          <w:rtl w:val="true"/>
        </w:rPr>
        <w:t>)</w:t>
      </w:r>
      <w:bookmarkEnd w:id="229"/>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به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مى‌كنند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از دروغ‌ها و تهمت‌هاى ناروايى است كه عليه شيعه ساخته شده و مفتيان وهابى نيز آن را </w:t>
      </w:r>
    </w:p>
    <w:p>
      <w:pPr>
        <w:pStyle w:val="BookText"/>
        <w:rPr/>
      </w:pPr>
      <w:r>
        <w:rPr>
          <w:rFonts w:ascii="IRNazanin" w:hAnsi="IRNazanin" w:eastAsia="IRNazanin"/>
          <w:color w:val="111111"/>
          <w:sz w:val="28"/>
          <w:sz w:val="28"/>
          <w:szCs w:val="28"/>
          <w:rtl w:val="true"/>
          <w:lang w:bidi="fa-IR"/>
        </w:rPr>
        <w:t>بدون تحقيق پذيرفته و بر اساس آن عليه شيعه فتوا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مفتيان وهابى، شيعيان را متهم به غلو نسبت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آن حضرت مى‌نمايند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شيعيان به عصمت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معتقد مى‌باشد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معتقد به عصمت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محال است به معصوم اهانت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فقهى و قوانين جزايى شيعه صريحاً ذكر شده كه اگر كسى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كند، حكم او قتل است و بر شنونده واجب است كه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رشدى مرتد در كتاب آيات شيطانى، بدترين اهانت‌ها را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 و هيچ‌كدام از علما و مفتيان وهابى، فتوايى عليه وى صادر نكردند و حتى اعتراضى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حكم به ارتداد سلمان رشدى و وجوب قتل او را داد</w:t>
      </w:r>
      <w:r>
        <w:rPr>
          <w:rFonts w:eastAsia="IRNazanin" w:cs="IRNazanin"/>
          <w:color w:val="111111"/>
          <w:sz w:val="28"/>
          <w:szCs w:val="28"/>
          <w:rtl w:val="true"/>
          <w:lang w:bidi="fa-IR"/>
        </w:rPr>
        <w:t>.</w:t>
      </w:r>
      <w:r>
        <w:rPr>
          <w:rStyle w:val="FootnoteAnchor"/>
          <w:rtl w:val="true"/>
        </w:rPr>
        <w:footnoteReference w:id="10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كسى كه اهانت‌كننده به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واجب‌القتل مى‌داند، خود به آن حضرت اهانت مى‌كند؟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532_13174"/>
      <w:bookmarkStart w:id="231" w:name="pg1532_13174"/>
      <w:bookmarkEnd w:id="231"/>
    </w:p>
    <w:p>
      <w:pPr>
        <w:pStyle w:val="Heading2"/>
        <w:numPr>
          <w:ilvl w:val="1"/>
          <w:numId w:val="1"/>
        </w:numPr>
        <w:rPr/>
      </w:pPr>
      <w:bookmarkStart w:id="232" w:name="pg1532_13174"/>
      <w:bookmarkStart w:id="233" w:name="__RefHeading___Toc558165_3650668749"/>
      <w:bookmarkStart w:id="234" w:name="_Toc87"/>
      <w:bookmarkEnd w:id="232"/>
      <w:bookmarkEnd w:id="233"/>
      <w:r>
        <w:rPr>
          <w:rtl w:val="true"/>
        </w:rPr>
        <w:t>كتابنامه</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التأويلات، أبى‌يعلى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مكه، ازرقى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النقليه والحسية على جريان الشمس و سكون الارض، عبدالله بن باز، مدينه منوره، الجامعة الاسلامية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مذهب الشيعة الإماميّة الاثنى‌عشريّة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اعمدة الاستعمار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البراهين الجليه فى رفع تشكيكات الوهابيه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حقيقت يا شناخت راهزن، مفتى ابوقدامه 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بشر نجدى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نجد، آلوسى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صافى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عياشى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مذهب‌ساز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جزيرة العرب فى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لدحلان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نورانيه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 التشبيه بأكف التنزيه، ابن الجوزى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الرياض، شماره </w:t>
      </w:r>
      <w:r>
        <w:rPr>
          <w:rFonts w:ascii="Amiri" w:hAnsi="Amiri" w:eastAsia="Amiri" w:cs="Amiri"/>
          <w:color w:val="111111"/>
          <w:sz w:val="28"/>
          <w:sz w:val="28"/>
          <w:szCs w:val="28"/>
          <w:lang w:bidi="ar-SA"/>
        </w:rPr>
        <w:t>١٠۴۴٧</w:t>
      </w:r>
      <w:r>
        <w:rPr>
          <w:rFonts w:ascii="Amiri" w:hAnsi="Amiri" w:eastAsia="Amiri" w:cs="Amiri"/>
          <w:color w:val="111111"/>
          <w:sz w:val="28"/>
          <w:sz w:val="28"/>
          <w:szCs w:val="28"/>
          <w:rtl w:val="true"/>
          <w:lang w:bidi="ar-SA"/>
        </w:rPr>
        <w:t xml:space="preserve">، مورخ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رمضان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 xml:space="preserve">، برابر با </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روضه 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شيعه آنلاين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بين أهل السنّة والاماميّة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بيهقى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الإماميّة فى ميزان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بشرح النووى، بيروت، </w:t>
      </w:r>
      <w:r>
        <w:rPr>
          <w:rFonts w:ascii="Amiri" w:hAnsi="Amiri" w:eastAsia="Amiri" w:cs="Amiri"/>
          <w:color w:val="111111"/>
          <w:sz w:val="28"/>
          <w:sz w:val="28"/>
          <w:szCs w:val="28"/>
          <w:lang w:bidi="ar-SA"/>
        </w:rPr>
        <w:t>١۴٠٧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النجاة للخوئى مع حواشى التبريزى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الحنابله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اهل السنة والجماعه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المجد فى تاريخ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العواصم من القواصم، الطبعة الحديثه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اللجنة الدائمة للبحوث العلميّة والإفتاء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فتاوى منار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الصادق، جميل صدقى الزهاوى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العمام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سبَّ الصحابة ومعاوية فأُمّه 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لمعه الشهاب فى تاريخ محمد بن عبدالوهاب، 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ابوحكيمه، بيروت، </w:t>
      </w:r>
      <w:r>
        <w:rPr>
          <w:rFonts w:ascii="Amiri" w:hAnsi="Amiri" w:eastAsia="Amiri" w:cs="Amiri"/>
          <w:color w:val="111111"/>
          <w:sz w:val="28"/>
          <w:sz w:val="28"/>
          <w:szCs w:val="28"/>
          <w:lang w:bidi="ar-SA"/>
        </w:rPr>
        <w:t>١٩۶٧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البحوث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ascii="Amiri" w:hAnsi="Amiri" w:eastAsia="Amiri" w:cs="Amiri"/>
          <w:color w:val="111111"/>
          <w:sz w:val="28"/>
          <w:sz w:val="28"/>
          <w:szCs w:val="28"/>
          <w:lang w:bidi="ar-SA"/>
        </w:rPr>
        <w:t>١۶١٢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فتاوى و رسائل ابن العثيمين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الرسائل الكبرى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ابو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لابن باز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بيروت، دار الكتب العلمية، </w:t>
      </w:r>
      <w:r>
        <w:rPr>
          <w:rFonts w:ascii="Amiri" w:hAnsi="Amiri" w:eastAsia="Amiri" w:cs="Amiri"/>
          <w:color w:val="111111"/>
          <w:sz w:val="28"/>
          <w:sz w:val="28"/>
          <w:szCs w:val="28"/>
          <w:lang w:bidi="ar-SA"/>
        </w:rPr>
        <w:t>١۴٢٠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الحيران فى مسألة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هى الوهابيّة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هفته‌نامه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وهابى‌گرى، حامد الگار،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نمايى، مشهد، بنياد پژوهش‌هاى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لذوى القربى، القندوزى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ehhabilik" islam ansiklop edisi. xiii. "neset cagataay</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تقى‌الدين احمد بن عبدالحليم بن عبدالله بن تيميه الحرانى معروف به ابن‌تيميه از علماى سنى مذهب دوره حمله مغول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سال م در حران از شهرهاى تركيه كنونى به‌دنيا آمد و در سال م در زندان دمشق وفات يافت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آلوسى،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الفجر الصادق، جميل الصدقى الزهاوى، ص؛ فتنة الوهابية، سيد احمد زينى الدحلان، 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ehhabilik" islam ansiklop edi si. xiii. "neset cagat aay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نشاط جغتاى،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آنسيكلوپديسى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لمعة الشهاب فى تاريخ محمد بن عبدالوهاب، به اهتمام احمد ابوحكيمه، بيروت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النووى، مسلم بن حجاج،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وهابى‌گرى، حامد الگار،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فى تاريخ نجد،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البراهين الجليّة فى رفع تشكيكات الوهابيّة،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هذه هى الوهابيّة،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السلفيّة بين أهل السنّة والاماميّة،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درعيه يكى از شهرهاى عربستان سعودى واقع در شمال غربى رياض مى‌باشد كه اقامتگاه اصلى خاندان آل سعود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از سال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م پايتخت نخستين آل سعود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پاشا در سال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م اين شهر را ويران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ويكى ميديا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سعود م</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حاكم از آل سعود كه در سال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دو يا چهار سال بعد از مرگ پدرش سعود بن محمد در درعيه به حكومت رسيد و تا سال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برادرش ثنيان نيز با او در حكومت شركت داشت و پس از مرگ ثنيان به تنهايى حكومت يافت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بشر نجدى،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العرب فى القرن العشرين، 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مجموع مؤلّفات الشيخ محمّد بن الوهاب،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مجموع مؤلّفات الشيخ محمّد بن الوهاب،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باز مفتى وهابى سعودى طى فتوايى اعلام مى‌كند تقريب ميان شيعه و اهل‌سنت ممكن نيست؛ زيرا عقايد اين دو با همديگر سازگارى ندارد و همبستگى ميان آنان امكان‌پذير نيست، همان‌گونه كه نمى‌شود اهل سنت با يهود، نصارى و بت‌پرستان در يك‌جا گرد هم جمع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خاطر اختلاف اعتقادى كه ميان شيعه و اهل سنت هست، تقريب ميان آنان امكان‌پذير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 مقالات لابن باز،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رساله يازدهم،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طنجى ابوعبدالله معروف به ابن بطوطه </w:t>
      </w:r>
      <w:r>
        <w:rPr>
          <w:rFonts w:eastAsia="IRNazanin" w:cs="IRNazanin"/>
          <w:b w:val="false"/>
          <w:bCs w:val="false"/>
          <w:i w:val="false"/>
          <w:iCs w:val="false"/>
          <w:color w:val="333333"/>
          <w:sz w:val="20"/>
          <w:szCs w:val="20"/>
        </w:rPr>
        <w:t>702/703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و جهانگرد متولد طنجه در مراكش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ايران، تركستان، ماورا ولگا، ماورالنهر و بخشى از هند، چين، جاوا، سوماترا، بلاد تاتارستان و اواسطه افريقه را در نورديد و بسيارى از سلاطين و امرا و علما مذاهب را ديدار كرد، و پس از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گشت و گذار به وطن خويش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ماجراهاى سفر دور و دراز خويش را بر ابن جزى دانشمند اندلسى املا كرد، او آن را ويرايش و پيرايش كرد و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النظار فى غرائب الامصار و عجائب الاسفار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و منتشر كرد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الكبرى، رساله يازدهم،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دفع شبه التشبيه بأكف التنزيه لابن‌الجوزى،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عقيدة اهل السنة و الجماعه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هر سال هنگام ورود حجاج به عربستان در فرودگاه‌ها و مراكز تبليغى اهل سنت با زبان‌هاى مختلف چاب و به‌صورت مجانى توزيع مى‌شود،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16/9/75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إبطال التأويلات، أبى‌يعلى،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الادلة النقلية و الحسية على جريان الشمس و سكون الارض و امكان الصعود الى الكواكب، عبدالله بن باز،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الحيران فى مسألة الدوران،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 رسائل محمد بن صالح العثيمين،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هيئت علماى ارشد، شماره فتوا </w:t>
      </w:r>
      <w:r>
        <w:rPr>
          <w:rFonts w:eastAsia="IRNazanin" w:cs="IRNazanin"/>
          <w:b w:val="false"/>
          <w:bCs w:val="false"/>
          <w:i w:val="false"/>
          <w:iCs w:val="false"/>
          <w:color w:val="333333"/>
          <w:sz w:val="20"/>
          <w:szCs w:val="20"/>
        </w:rPr>
        <w:t>21409</w:t>
      </w:r>
      <w:r>
        <w:rPr>
          <w:rFonts w:ascii="IRNazanin" w:hAnsi="IRNazanin" w:eastAsia="IRNazanin"/>
          <w:b w:val="false"/>
          <w:b w:val="false"/>
          <w:bCs w:val="false"/>
          <w:i w:val="false"/>
          <w:i w:val="false"/>
          <w:iCs w:val="false"/>
          <w:color w:val="333333"/>
          <w:sz w:val="20"/>
          <w:sz w:val="20"/>
          <w:szCs w:val="20"/>
          <w:rtl w:val="true"/>
        </w:rPr>
        <w:t>، تاريخ</w:t>
      </w:r>
      <w:r>
        <w:rPr>
          <w:rFonts w:eastAsia="IRNazanin" w:cs="IRNazanin"/>
          <w:b w:val="false"/>
          <w:bCs w:val="false"/>
          <w:i w:val="false"/>
          <w:iCs w:val="false"/>
          <w:color w:val="333333"/>
          <w:sz w:val="20"/>
          <w:szCs w:val="20"/>
        </w:rPr>
        <w:t>21/3/1421</w:t>
      </w:r>
      <w:r>
        <w:rPr>
          <w:rFonts w:ascii="IRNazanin" w:hAnsi="IRNazanin" w:eastAsia="IRNazanin"/>
          <w:b w:val="false"/>
          <w:b w:val="false"/>
          <w:bCs w:val="false"/>
          <w:i w:val="false"/>
          <w:i w:val="false"/>
          <w:iCs w:val="false"/>
          <w:color w:val="333333"/>
          <w:sz w:val="20"/>
          <w:sz w:val="20"/>
          <w:szCs w:val="20"/>
          <w:rtl w:val="true"/>
        </w:rPr>
        <w:t>، محمد عبدالرحمان العمر از مفتيان عربستان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هَدْمُ المشاهِدِ التّى بُنيت على القُبور، و لايجوزُ ابقاءُها بَعد القدرةِ على هَدمِها و إبطالها يوما واحداً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شيعه آنلاين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منار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 رسائل ابن العثيمين،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 مقالات متنوعة،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فتاوى اللجنة الدائمة للبحوث العلميّة والإفتاء،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 رسائل ابن العثيمين،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الدعوة، ش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البحوث الاسلامية،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 shia-online. ir</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 والإفتاء،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الدعوة، عدد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لإبن عثيمين،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منار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الفتوى رقم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إسلاميّة،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على الدرب،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إسلامية،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تَقُولُواْ لِمَنْ أَلْقَى إِلَيْكُمُ السَّلاَمَ لَسْتَ مُؤْمِناً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كسى كه مى‌گويد من مسلمانم، نگوييد مسلمان نيستى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الحذيفى امام جماعت وهابى مسجدالنبي ص در خطبه‌هاى نمازجمعه مسجدالنبى در سوم مارس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كه با حضور رئيس جمهور پيشين ايران حجت الاسلام هاشمى رفسنجانى در مسجدالنبي ص ايراد شد،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يهوديان، مسيحيان و روافض را از عربستان اخراج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رد اتحاد با شيعيان و دادن نسبت‌هاى ناروا به شيعه، و تقبيح و سرزنش حاميان اتحاد سنى و شيعه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خطر شيعيان براى اسلام بيش از يهوديان و مسيحيان است و هرگز نبايد به آنان اعتماد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مسلمانان بايد با نهايت احتياط با آنان برخورد كنند</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تَسُبُّوا الَّذِينَ يَدْعُونَ مِنْ دُونِ اللَّهِ فَيَسُبُّوا اللَّهَ عَدْوًا بِغَيْرِ عِلْمٍ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أَهْلَ الْكِتابِ تَعالَوْا إِلى كَلِمَةٍ سَواءٍ بَيْنَنا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أَشِدَّاءُ عَلَى الْكُفَّارِ رُحَمَاءُ بَيْنَهُمْ تَرَاهُمْ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لذوى القربى، القندوزى،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 و بوسيدن هر قبرى اگر چه قبر پيامبر باشد، شرك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الفريد، كتاب الزيارة لابن تيميّة،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المسألة السابعة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 إِلَى سَبِيلِ رَبِّكَ بِالْحِكْمَةِ وَالْمَوْعِظَةِ الْحَسَنَةِ وَجَادِلْهُمْ بِالَّتِى هِى أَحْسَنُ إِنَّ رَبَّكَ هُوَ أَعْلَمُ بِمَنْ ضَلَّ عَنْ سَبِيلِهِ وَهُوَ أَعْلَمُ بِالْمُهْتَدِينَ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اواسط دهه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پس از پيروزى انقلاب اسلامى ايران طى سال‌هاى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نُه بار تجديد چاپ و در سراسر كشورهاى اسلامى توزيع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حقيقت يا شناخت راهزن، مفتى ابو قدامه صارم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حقيقت يا شناخت راهزن،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كوفى،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حقيقت يا شناخت راهزن،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نورانيه، كربانوى،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حقيقت يا شناخت راهزن،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شيعه، ابى‌محمد الحسن بن موسى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حقيقت يا شناخت راهزن،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الرياض، ش </w:t>
      </w:r>
      <w:r>
        <w:rPr>
          <w:rFonts w:eastAsia="IRNazanin" w:cs="IRNazanin"/>
          <w:b w:val="false"/>
          <w:bCs w:val="false"/>
          <w:i w:val="false"/>
          <w:iCs w:val="false"/>
          <w:color w:val="333333"/>
          <w:sz w:val="20"/>
          <w:szCs w:val="20"/>
        </w:rPr>
        <w:t>10447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11/11/75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الإماميّة فى ميزان الإسلام،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الاثنى عشريّة،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الحق،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 الصحابة و معاوية فأُمّه هاوية،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أَكْثَرُهُمْ لا يُؤْمِنُونَ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أَكْثَرُهُمْ فاسِقُونَ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أَكْثَرَهُمْ لا يَعْلَمُونَ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ascii="IRNazanin" w:hAnsi="IRNazanin" w:eastAsia="IRNazanin"/>
          <w:b w:val="false"/>
          <w:b w:val="false"/>
          <w:bCs w:val="false"/>
          <w:i w:val="false"/>
          <w:i w:val="false"/>
          <w:iCs w:val="false"/>
          <w:color w:val="333333"/>
          <w:sz w:val="20"/>
          <w:sz w:val="20"/>
          <w:szCs w:val="20"/>
        </w:rPr>
        <w:t>١٠٨١٠</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جاءَ الْبَشِيرُ أَلْقاهُ عَلى وَجْهِهِ فَارْتَدَّ بَصِيراً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كتاب فضائل العمام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جزء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الموطأ،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باب جمع بين الصلاتين؛ كنز العمال،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يَا أَبَانَا اسْتَغْفِرْ لَنَا ذُنُوبَنَا إِنَّا كُنَّا خَاطِئِين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أَنَّهُمْ إِذ ظَّلَمُواْ أَنفُسَهُمْ جَآؤُوكَ فَاسْتَغْفَرُواْ اللّهَ وَاسْتَغْفَرَ لَهُمُ الرَّسُولُ لَوَجَدُواْ اللّهَ تَوَّاباً رَّحِيماً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مصباح الفقيه، ص</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يَمْلِكُونَ الشَّفَاعَةَ إِلاَّ مَنْ اتَّخَذَ عِنْدَ الرَّحْمَانِ عَهْدًا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لاَ تَنفَعُ الشَّفَاعَةُ إِلاَّ مَنْ أَذِنَ لَهُ الرَّحْمَانُ وَرَضِى لَهُ قَوْلاً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العين تدمع و القلب يحزن ولا نقول إلاّ ما يرضى ربّنا و انّا بفراقك يا ابراهيم لمحزونون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للخوئى مع حواشى التبريزى ،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بهمن </w:t>
      </w:r>
      <w:r>
        <w:rPr>
          <w:rFonts w:ascii="IRNazanin" w:hAnsi="IRNazanin" w:eastAsia="IRNazanin"/>
          <w:b w:val="false"/>
          <w:b w:val="false"/>
          <w:bCs w:val="false"/>
          <w:i w:val="false"/>
          <w:i w:val="false"/>
          <w:iCs w:val="false"/>
          <w:color w:val="333333"/>
          <w:sz w:val="20"/>
          <w:sz w:val="20"/>
          <w:szCs w:val="20"/>
        </w:rPr>
        <w:t>١٣۶٧</w:t>
      </w:r>
      <w:r>
        <w:rPr>
          <w:rFonts w:ascii="IRNazanin" w:hAnsi="IRNazanin" w:eastAsia="IRNazanin"/>
          <w:b w:val="false"/>
          <w:b w:val="false"/>
          <w:bCs w:val="false"/>
          <w:i w:val="false"/>
          <w:i w:val="false"/>
          <w:iCs w:val="false"/>
          <w:color w:val="333333"/>
          <w:sz w:val="20"/>
          <w:sz w:val="20"/>
          <w:szCs w:val="20"/>
          <w:rtl w:val="true"/>
        </w:rPr>
        <w:t xml:space="preserve">،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طى حكمى، فرمان اعدام سلمان رشدى را به علت ارتداد و اهانت به رسول اكرم ص صادر فرمود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13248</Words>
  <Characters>53068</Characters>
  <CharactersWithSpaces>65728</CharactersWithSpaces>
  <Paragraphs>841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2026-08-16T16:54:19Z</dcterms:created>
  <dc:creator>ghaemiyeh.com</dc:creator>
  <dc:description/>
  <dc:language>en-US</dc:language>
  <cp:lastModifiedBy/>
  <dcterms:modified xsi:type="dcterms:W3CDTF">2026-08-16T20:24:22Z</dcterms:modified>
  <cp:revision>1</cp:revision>
  <dc:subject/>
  <dc:title>وهابیت در یک نگاه</dc:title>
</cp:coreProperties>
</file>

<file path=docProps/custom.xml><?xml version="1.0" encoding="utf-8"?>
<Properties xmlns="http://schemas.openxmlformats.org/officeDocument/2006/custom-properties" xmlns:vt="http://schemas.openxmlformats.org/officeDocument/2006/docPropsVTypes"/>
</file>