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المنهج التقریبی السلیم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620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1622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1624_383892988">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141626_383892988">
            <w:r>
              <w:rPr>
                <w:webHidden/>
                <w:rStyle w:val="IndexLink"/>
                <w:rtl w:val="true"/>
              </w:rPr>
              <w:t>المراد بالتقريب بين المذاهب‌</w:t>
            </w:r>
            <w:r>
              <w:rPr>
                <w:rStyle w:val="IndexLink"/>
                <w:rtl w:val="true"/>
              </w:rPr>
              <w:tab/>
            </w:r>
            <w:r>
              <w:rPr>
                <w:rStyle w:val="IndexLink"/>
              </w:rPr>
              <w:t>9</w:t>
            </w:r>
          </w:hyperlink>
        </w:p>
        <w:p>
          <w:pPr>
            <w:pStyle w:val="Contents2"/>
            <w:tabs>
              <w:tab w:val="clear" w:pos="8743"/>
              <w:tab w:val="right" w:pos="9026" w:leader="dot"/>
            </w:tabs>
            <w:rPr/>
          </w:pPr>
          <w:hyperlink w:anchor="__RefHeading___Toc141628_383892988">
            <w:r>
              <w:rPr>
                <w:webHidden/>
                <w:rStyle w:val="IndexLink"/>
                <w:rtl w:val="true"/>
              </w:rPr>
              <w:t>التَّقريب والوحدة والتَّعايش‌</w:t>
            </w:r>
            <w:r>
              <w:rPr>
                <w:rStyle w:val="IndexLink"/>
                <w:rtl w:val="true"/>
              </w:rPr>
              <w:tab/>
            </w:r>
            <w:r>
              <w:rPr>
                <w:rStyle w:val="IndexLink"/>
              </w:rPr>
              <w:t>13</w:t>
            </w:r>
          </w:hyperlink>
        </w:p>
        <w:p>
          <w:pPr>
            <w:pStyle w:val="Contents2"/>
            <w:tabs>
              <w:tab w:val="clear" w:pos="8743"/>
              <w:tab w:val="right" w:pos="9026" w:leader="dot"/>
            </w:tabs>
            <w:rPr/>
          </w:pPr>
          <w:hyperlink w:anchor="__RefHeading___Toc141630_383892988">
            <w:r>
              <w:rPr>
                <w:webHidden/>
                <w:rStyle w:val="IndexLink"/>
                <w:rtl w:val="true"/>
              </w:rPr>
              <w:t xml:space="preserve">الجهة المسؤولة عن إيجاد </w:t>
            </w:r>
            <w:r>
              <w:rPr>
                <w:rStyle w:val="IndexLink"/>
                <w:rtl w:val="true"/>
              </w:rPr>
              <w:t>(</w:t>
            </w:r>
            <w:r>
              <w:rPr>
                <w:rStyle w:val="IndexLink"/>
                <w:rtl w:val="true"/>
              </w:rPr>
              <w:t>التفرقة</w:t>
            </w:r>
            <w:r>
              <w:rPr>
                <w:rStyle w:val="IndexLink"/>
                <w:rtl w:val="true"/>
              </w:rPr>
              <w:t>)</w:t>
              <w:tab/>
            </w:r>
            <w:r>
              <w:rPr>
                <w:rStyle w:val="IndexLink"/>
              </w:rPr>
              <w:t>15</w:t>
            </w:r>
          </w:hyperlink>
        </w:p>
        <w:p>
          <w:pPr>
            <w:pStyle w:val="Contents2"/>
            <w:tabs>
              <w:tab w:val="clear" w:pos="8743"/>
              <w:tab w:val="right" w:pos="9026" w:leader="dot"/>
            </w:tabs>
            <w:rPr/>
          </w:pPr>
          <w:hyperlink w:anchor="__RefHeading___Toc141632_383892988">
            <w:r>
              <w:rPr>
                <w:webHidden/>
                <w:rStyle w:val="IndexLink"/>
                <w:rtl w:val="true"/>
              </w:rPr>
              <w:t xml:space="preserve">أو </w:t>
            </w:r>
            <w:r>
              <w:rPr>
                <w:rStyle w:val="IndexLink"/>
                <w:rtl w:val="true"/>
              </w:rPr>
              <w:t>(</w:t>
            </w:r>
            <w:r>
              <w:rPr>
                <w:rStyle w:val="IndexLink"/>
                <w:rtl w:val="true"/>
              </w:rPr>
              <w:t>التقريب والوحدة</w:t>
            </w:r>
            <w:r>
              <w:rPr>
                <w:rStyle w:val="IndexLink"/>
                <w:rtl w:val="true"/>
              </w:rPr>
              <w:t>)</w:t>
              <w:tab/>
            </w:r>
            <w:r>
              <w:rPr>
                <w:rStyle w:val="IndexLink"/>
              </w:rPr>
              <w:t>15</w:t>
            </w:r>
          </w:hyperlink>
        </w:p>
        <w:p>
          <w:pPr>
            <w:pStyle w:val="Contents2"/>
            <w:tabs>
              <w:tab w:val="clear" w:pos="8743"/>
              <w:tab w:val="right" w:pos="9026" w:leader="dot"/>
            </w:tabs>
            <w:rPr/>
          </w:pPr>
          <w:hyperlink w:anchor="__RefHeading___Toc141634_383892988">
            <w:r>
              <w:rPr>
                <w:webHidden/>
                <w:rStyle w:val="IndexLink"/>
                <w:rtl w:val="true"/>
              </w:rPr>
              <w:t>طرق ووسائل التَّقريب أو الوحدة</w:t>
            </w:r>
            <w:r>
              <w:rPr>
                <w:rStyle w:val="IndexLink"/>
                <w:rtl w:val="true"/>
              </w:rPr>
              <w:tab/>
            </w:r>
            <w:r>
              <w:rPr>
                <w:rStyle w:val="IndexLink"/>
              </w:rPr>
              <w:t>17</w:t>
            </w:r>
          </w:hyperlink>
        </w:p>
        <w:p>
          <w:pPr>
            <w:pStyle w:val="Contents2"/>
            <w:tabs>
              <w:tab w:val="clear" w:pos="8743"/>
              <w:tab w:val="right" w:pos="9026" w:leader="dot"/>
            </w:tabs>
            <w:rPr/>
          </w:pPr>
          <w:hyperlink w:anchor="__RefHeading___Toc141636_383892988">
            <w:r>
              <w:rPr>
                <w:webHidden/>
                <w:rStyle w:val="IndexLink"/>
                <w:rtl w:val="true"/>
              </w:rPr>
              <w:t>ضوابط الاختلاف العلمي الصحيح غير المؤدّي‌</w:t>
            </w:r>
            <w:r>
              <w:rPr>
                <w:rStyle w:val="IndexLink"/>
                <w:rtl w:val="true"/>
              </w:rPr>
              <w:tab/>
            </w:r>
            <w:r>
              <w:rPr>
                <w:rStyle w:val="IndexLink"/>
              </w:rPr>
              <w:t>27</w:t>
            </w:r>
          </w:hyperlink>
        </w:p>
        <w:p>
          <w:pPr>
            <w:pStyle w:val="Contents2"/>
            <w:tabs>
              <w:tab w:val="clear" w:pos="8743"/>
              <w:tab w:val="right" w:pos="9026" w:leader="dot"/>
            </w:tabs>
            <w:rPr/>
          </w:pPr>
          <w:hyperlink w:anchor="__RefHeading___Toc141638_383892988">
            <w:r>
              <w:rPr>
                <w:webHidden/>
                <w:rStyle w:val="IndexLink"/>
                <w:rtl w:val="true"/>
              </w:rPr>
              <w:t>إلى التفرقة والاختلاف‌</w:t>
            </w:r>
            <w:r>
              <w:rPr>
                <w:rStyle w:val="IndexLink"/>
                <w:rtl w:val="true"/>
              </w:rPr>
              <w:tab/>
            </w:r>
            <w:r>
              <w:rPr>
                <w:rStyle w:val="IndexLink"/>
              </w:rPr>
              <w:t>27</w:t>
            </w:r>
          </w:hyperlink>
        </w:p>
        <w:p>
          <w:pPr>
            <w:pStyle w:val="Contents2"/>
            <w:tabs>
              <w:tab w:val="clear" w:pos="8743"/>
              <w:tab w:val="right" w:pos="9026" w:leader="dot"/>
            </w:tabs>
            <w:rPr/>
          </w:pPr>
          <w:hyperlink w:anchor="__RefHeading___Toc141640_383892988">
            <w:r>
              <w:rPr>
                <w:webHidden/>
                <w:rStyle w:val="IndexLink"/>
                <w:rtl w:val="true"/>
              </w:rPr>
              <w:t xml:space="preserve">وأخيراً </w:t>
            </w:r>
            <w:r>
              <w:rPr>
                <w:rStyle w:val="IndexLink"/>
                <w:rtl w:val="true"/>
              </w:rPr>
              <w:t>...</w:t>
              <w:tab/>
            </w:r>
            <w:r>
              <w:rPr>
                <w:rStyle w:val="IndexLink"/>
              </w:rPr>
              <w:t>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1_20736"/>
      <w:bookmarkStart w:id="1" w:name="pg1411_20736"/>
      <w:bookmarkEnd w:id="1"/>
    </w:p>
    <w:p>
      <w:pPr>
        <w:pStyle w:val="Heading2"/>
        <w:numPr>
          <w:ilvl w:val="1"/>
          <w:numId w:val="1"/>
        </w:numPr>
        <w:rPr/>
      </w:pPr>
      <w:bookmarkStart w:id="2" w:name="pg1411_20736"/>
      <w:bookmarkStart w:id="3" w:name="__RefHeading___Toc141620_38389298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التقريبي السليم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علي الباشا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622_383892988"/>
      <w:bookmarkStart w:id="6" w:name="_Toc2"/>
      <w:bookmarkEnd w:id="5"/>
      <w:r>
        <w:rPr>
          <w:rtl w:val="true"/>
        </w:rPr>
        <w:t>اشارة</w:t>
      </w:r>
      <w:bookmarkStart w:id="7" w:name="pg1411_20740"/>
      <w:bookmarkEnd w:id="6"/>
    </w:p>
    <w:p>
      <w:pPr>
        <w:pStyle w:val="Heading2"/>
        <w:numPr>
          <w:ilvl w:val="1"/>
          <w:numId w:val="1"/>
        </w:numPr>
        <w:rPr/>
      </w:pPr>
      <w:bookmarkStart w:id="8" w:name="__RefHeading___Toc141624_383892988"/>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فوائد الوحدة أو الاتّحاد أوضح وأجلى من أن تذكر؛ وكذا مضارّ التَّفرق والتَّمزق والتَّشرذم، فهي أشبه بالبديهيات الفطريَّة عند جميع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القرآن الكريم لهذا المبدأ في عديد من الآيات الكريمة، مضافاً إلى السُّنَّة المتواترة القوليَّة والفعليَّة كُلُّ ذلك من أجل تأصيل هذا الرُّكن في المجتمع الإسلامي</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رَسُولَهُ وَ لا تَنازَعُوا فَتَفْشَلُوا وَتَذْهَبَ رِيحُكُمْ وَاصْبِرُوا إِنَّ اللَّهَ مَعَ الصَّابِرِينَ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أثبتت الحياة والتَّجارب أنَّ من أراد أن يكون عملاقاً فعليه أن‌يتَّحد ويتعاون، و على هذا الأساس تجاوزتِ الدُّول الأوروبيَّة جميع تراكمات الحربين العالمية الأولى والثَّانية، وكوّنت الاتّحاد الأوروبي، لتتمكّن من الوقوف أمام السَّيطرة والهيمنة 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العداء التَّاريخي بين اليهود والنَّصارى، لكنَّهم اجتمعوا وتعاضدوا في قبال‌العدوّ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الشَّركات الاقتصاديَّة والأحزاب والائتلافات الانتخابيَّة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سنَّة الحياة قائمةٌ على أنَّ الأقوياء يتّجهون نحو الاتّحاد ليزدادوا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الضُّعفاء فيسيرون بالاتّجاه المعاكس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لاحظنا محيطنا الَّذي نعيش فيه لوجدنا الانقسامات والاختلافات التَّالية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انقسامات على أساس الحكومات السِّياسيَّة، التي</w:t>
      </w:r>
    </w:p>
    <w:p>
      <w:pPr>
        <w:pStyle w:val="BookText"/>
        <w:rPr/>
      </w:pPr>
      <w:r>
        <w:rPr>
          <w:rFonts w:ascii="Amiri" w:hAnsi="Amiri" w:eastAsia="Amiri" w:cs="Amiri"/>
          <w:color w:val="111111"/>
          <w:sz w:val="28"/>
          <w:sz w:val="28"/>
          <w:szCs w:val="28"/>
          <w:rtl w:val="true"/>
          <w:lang w:bidi="ar-SA"/>
        </w:rPr>
        <w:t>يتفرّع منها انقساماتٌ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مناطقي و جغرافي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يترتَّب على ذلك من إجراءات تنعكس على عمليَّة السَّفر والعلاقات المتبادلة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انقساماتٌ على أساس الدِّين، والمذهب، والقواعد الفكرية من علمانيَّةٍ و ليبراليّةٍ وغيرها من الأفكار المستوردة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 ينجو من هذه التَّمزُّقات فرقةٌ أو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ومحنة خلق القرآن الكريم لم تزل مستمرة في بعض الكتابات حتى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بعض المحقّقين شواهد كثيرةً على ما قاله أرباب المذاهب في بعضهم البعض من ذمّ وقدح</w:t>
      </w:r>
      <w:r>
        <w:rPr>
          <w:rFonts w:eastAsia="Amiri" w:cs="Amiri" w:ascii="Amiri" w:hAnsi="Amiri"/>
          <w:color w:val="111111"/>
          <w:sz w:val="28"/>
          <w:szCs w:val="28"/>
          <w:rtl w:val="true"/>
          <w:lang w:bidi="ar-SA"/>
        </w:rPr>
        <w:t>. (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انقساماتٌ 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الأمر يقف عند فرح كُلِّ حزب بما لديه، بل تتفاقم المشكلة إلى السَّعي الحثيث لتشويهصورة الحزب الآخر وتسقيطه في أعين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انقساماتٌ على أساس العرق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أنَّ كُلَّ لونٍ من ألوان التَّمايز والانقسام قدصنع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لنفسه فلسفةً وتنظيراً، وشاد عليها مواقف وهياكل؛ بهدف</w:t>
      </w:r>
    </w:p>
    <w:p>
      <w:pPr>
        <w:pStyle w:val="BookText"/>
        <w:rPr/>
      </w:pPr>
      <w:r>
        <w:rPr>
          <w:rFonts w:ascii="Amiri" w:hAnsi="Amiri" w:eastAsia="Amiri" w:cs="Amiri"/>
          <w:color w:val="111111"/>
          <w:sz w:val="28"/>
          <w:sz w:val="28"/>
          <w:szCs w:val="28"/>
          <w:rtl w:val="true"/>
          <w:lang w:bidi="ar-SA"/>
        </w:rPr>
        <w:t>الدّفاع عن الذَّات والخصائص المميّزة في مواجهة ما يعتبره تهديداً لتلك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نعلم بأَنَّ النِّزاعات والخلافات الدَّاخليَّة تستنزف قدرات الأُمَّة أكثر من النِّزاعات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تقريرٍصادرٍ عن مركز الدِّراسات الإستراتيجية في جريدة الأهرام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ضحايا الأُمَّة العربيَّة فيصراعنا مع العدوّ الإسرائيلي خلال العقود الخمسة الماضية يبلغ مأتي ألف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ضحيّة فيصراعاتنا الدَّاخليَّة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المستوى الاقتصادي فيقول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تكلَّفت فيصراعها مع العدوّ الصَّهيوني خلال الخمسين سنة الماضية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بليون دولار، لكن خسائرنا في الصّراعات الدَّاخليّةَ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تلريون دولار</w:t>
      </w:r>
      <w:r>
        <w:rPr>
          <w:rFonts w:eastAsia="Amiri" w:cs="Amiri" w:ascii="Amiri" w:hAnsi="Amiri"/>
          <w:color w:val="111111"/>
          <w:sz w:val="28"/>
          <w:szCs w:val="28"/>
          <w:rtl w:val="true"/>
          <w:lang w:bidi="ar-SA"/>
        </w:rPr>
        <w:t>.</w:t>
      </w:r>
      <w:bookmarkStart w:id="10" w:name="pg1411_20744"/>
    </w:p>
    <w:p>
      <w:pPr>
        <w:pStyle w:val="Heading2"/>
        <w:numPr>
          <w:ilvl w:val="1"/>
          <w:numId w:val="1"/>
        </w:numPr>
        <w:rPr/>
      </w:pPr>
      <w:bookmarkStart w:id="11" w:name="__RefHeading___Toc141626_383892988"/>
      <w:bookmarkStart w:id="12" w:name="_Toc4"/>
      <w:bookmarkEnd w:id="10"/>
      <w:bookmarkEnd w:id="11"/>
      <w:r>
        <w:rPr>
          <w:rtl w:val="true"/>
        </w:rPr>
        <w:t>المراد بالتقريب بين المذاهب‌</w:t>
      </w:r>
      <w:bookmarkEnd w:id="12"/>
    </w:p>
    <w:p>
      <w:pPr>
        <w:pStyle w:val="BookText"/>
        <w:rPr/>
      </w:pPr>
      <w:r>
        <w:rPr>
          <w:rFonts w:ascii="Amiri" w:hAnsi="Amiri" w:eastAsia="Amiri" w:cs="Amiri"/>
          <w:color w:val="111111"/>
          <w:sz w:val="28"/>
          <w:sz w:val="28"/>
          <w:szCs w:val="28"/>
          <w:rtl w:val="true"/>
          <w:lang w:bidi="ar-SA"/>
        </w:rPr>
        <w:t>اختلف دعاةُ التَّقريب في شرح مرادهم من هذه الدَّعوة ومحتواها وشرائطها، وبالتَّالي تتفاوت ردود الفعل من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نذكر باختصارٍ منهجين رئيسين مختلفين للتَّقريب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أصحاب هذا المنهج حذف بعض العقائد أو الأحكام الفقهيَّة أو السُّلوكيَّة من هذا المذهب تارةً ومن ذاك أُخرى؛ وذلك لغرض تقليل دائرة الاختلاف وحصول التَّقارب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أحسن الأحوال لا يدعو أصحاب هذا المنهج إلى الحذف، ويكتفون بدعوى التَّعطيل ولو بشكلٍ مؤقّتٍ مراعاةً للمصالح العُليا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أصحابُ هذا المنهج التَّقريب بمعنى التَّآزر والتَّكاتف والتَّناصر، وتراصّ الصَّفّ، والتَّراحم</w:t>
      </w:r>
    </w:p>
    <w:p>
      <w:pPr>
        <w:pStyle w:val="BookText"/>
        <w:rPr/>
      </w:pPr>
      <w:r>
        <w:rPr>
          <w:rFonts w:ascii="IRNazanin" w:hAnsi="IRNazanin" w:eastAsia="IRNazanin"/>
          <w:color w:val="111111"/>
          <w:sz w:val="28"/>
          <w:sz w:val="28"/>
          <w:szCs w:val="28"/>
          <w:rtl w:val="true"/>
          <w:lang w:bidi="fa-IR"/>
        </w:rPr>
        <w:t>والتَّعاطف ودفاع بعضهم عن البعض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التقريب يتمُّ من خلال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مساحات الاتّفاق والهموم المشتركة بين المذاهب؛ فَإنَّ هناك مساحاتٍ شاسعةً من الأُمور المتّفق عليها بين جميع المسلمين، فلماذا نتجاهل جميع ذلك وننظر إلى الجزء الفارغ من 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نتعاون في إيجاد حلولٍ ومعالجة الهموم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يُمكننا التَّحرُّك والعمل معاً في تلك الدّوائر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التَّعارف العملي والفكري؛ فقد انقطع حبل التَّواصل العلمي المباشر بين علماء المذاهب لحقبةٍ طويلةٍ من الزَّمن، وأصبحت معرفة كُلّ طرفٍ بالآخر تتمّ غالباً عن طريق الكتابات الوسيطة، والانطباعات المنقولة، وعادةً ما يصل إلى كُلّ طرفٍ أسوأ ما في وسط الطرف الآخر من آراء وأفكار، ويجري تعميمها وتشكيلصورة الآخر من خلالها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فإصلاح العلاقات بين المذاهب الإسلاميَّة لا يتحقّق إلا بإصلاح المعرفة بين المذاهب، والمعرفةلا تعني بالضّرورة الاتّفاق، بل يبقى الحقُّ في الاجتهاد واختلاف وجهات النَّظر قائماً، كما هو واقع التَّعدُّد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نجد أنَّ بعض النِّزاعات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خلافاتٌ لفظيَّةٌ ناتجةٌ عن اختلاف زوايا النَّظر أو اختلافٍ في المصطلحات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الموقف العام المتبنى؛ ففي أوساط كُلِّ مذهبٍ هناك آراءٌ شاذةٌ، وتوجُّهاتٌ فرديّةٌ، وسلوكيّاتٌ خاطئةٌ، وضمن أجواء الإثارة والخلاف يتمُّ إيصالها للآخر وتضخيمها وتعميمها، فينظر أتباع كُلِّ مذهب إلى الآخر من خلالها، مِمَّا ينتج رؤيةً مشوّشةً، وظنوناً سيّئةً، تكرّس حالة الخلاف والصِّراع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يتَّضح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المنهج الصَّحيح للتَّقريب بين المذاهب ليس هو عبارة عن إيجاد مذهبٍ جديدٍ يتّفق عليه المسلمون، وليس هو التَّنازل أو حذف بعض العقائد هنا أو هناك، كالقول بعصمة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عدالة جميع الصَّحابة، وليس هو التَّبديل في الأحكام الفقهيَّة الفرعيَّة، كأحكام الصَّلاة أو الوضوء أو الحجّ أو غيرها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رجعنا إلى علاقة اليهود والنَّصارى بالمسلمين إبّان حياة رسول‌الله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إبّان خلافة أمير المؤمنين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فنتساءل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ألزم الرَّسول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بالتَّخلّي عن عقائدهم ليعيشوا في كنف وحماية الدَّولة الإسلاميَّة؟</w:t>
      </w:r>
    </w:p>
    <w:p>
      <w:pPr>
        <w:pStyle w:val="BookText"/>
        <w:rPr/>
      </w:pPr>
      <w:r>
        <w:rPr>
          <w:rFonts w:ascii="Amiri" w:hAnsi="Amiri" w:eastAsia="Amiri" w:cs="Amiri"/>
          <w:color w:val="111111"/>
          <w:sz w:val="28"/>
          <w:sz w:val="28"/>
          <w:szCs w:val="28"/>
          <w:rtl w:val="true"/>
          <w:lang w:bidi="ar-SA"/>
        </w:rPr>
        <w:t>إذا كُنَّا لا نشترط تخلِّي النَّصراني عن عقيدة الثَّالوث لنقيم معه علاقاتٍ دبلوماسيَّةً واقتصاديَّةً وعسكريَّةً وغيرها، بل وليعيش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رعاية الدَّولة الإسلاميَّة، فلماذا نتشدَّد نحن المسلمون مع بعضنا البعض، ونرفض مدَّ الجسور فيما بيننا إلّا بعد إلزام الطَّرف الآخر بالتَّخلِّي عن الامتيازات العقائديَّة والفكريَّة لكُلِّ مذهبٍ وطائفة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أنَّ الاختلافات بين اليهود والنصارى لم تمنعهم من توحيد الجهود في المشتركات، ولم يشترط النَّصراني على اليهودي الدُّخول في دينه أو التَّخلِّي عن عقيدته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التَّقريب لا يعني سدّ باب دعوة كُلّ مذهبٍ إلى نفسه، ما دام يعتمد أسلوب الدَّعوة بالحكمة والموعظة الحسنة دون تجريحٍ أو 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نرفض محاولات الاستغلال السَّيّئ، والاستضعاف، والجدال العقيم، وفرض الرَّأْي، وأمثال ذلك</w:t>
      </w:r>
      <w:r>
        <w:rPr>
          <w:rFonts w:eastAsia="Amiri" w:cs="Amiri" w:ascii="Amiri" w:hAnsi="Amiri"/>
          <w:color w:val="111111"/>
          <w:sz w:val="28"/>
          <w:szCs w:val="28"/>
          <w:rtl w:val="true"/>
          <w:lang w:bidi="ar-SA"/>
        </w:rPr>
        <w:t>.</w:t>
      </w:r>
      <w:bookmarkStart w:id="13" w:name="pg1411_20748"/>
    </w:p>
    <w:p>
      <w:pPr>
        <w:pStyle w:val="Heading2"/>
        <w:numPr>
          <w:ilvl w:val="1"/>
          <w:numId w:val="1"/>
        </w:numPr>
        <w:rPr/>
      </w:pPr>
      <w:bookmarkStart w:id="14" w:name="__RefHeading___Toc141628_383892988"/>
      <w:bookmarkStart w:id="15" w:name="_Toc5"/>
      <w:bookmarkEnd w:id="13"/>
      <w:bookmarkEnd w:id="14"/>
      <w:r>
        <w:rPr>
          <w:rtl w:val="true"/>
        </w:rPr>
        <w:t>التَّقريب والوحدة والتَّعايش‌</w:t>
      </w:r>
      <w:bookmarkEnd w:id="1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بين المسلمين،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وفق منهجين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الفرق والطَّوائف في بوتقة مذهبٍ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في المواقف السِّياسيَّة والهموم الاجتماعيَّة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الأفضل التعبير عن هذا المنهج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يفضِّل البعض استعمال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هرباً من الوحدة بالمنهج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قباله هناك من يفضّل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الوحدة أو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عن التَّقريب بالمنهج الأوَّل المذكور آنفاً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و هو يعبِّر عن مرحلة سلامٍ وسطيَّةٍ بين الاحتراب وبين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المرحلة يعيش</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الجميع معاً دون اعتداءٍ أو بغضاء، فالتَّعايش لا يدلُّ بمفرده على عملٍ مشتركٍ وتناغمٍ في الحركة، ولا على تناصرٍ وتكاتف</w:t>
      </w:r>
      <w:r>
        <w:rPr>
          <w:rFonts w:eastAsia="Amiri" w:cs="Amiri" w:ascii="Amiri" w:hAnsi="Amiri"/>
          <w:color w:val="111111"/>
          <w:sz w:val="28"/>
          <w:szCs w:val="28"/>
          <w:rtl w:val="true"/>
          <w:lang w:bidi="ar-SA"/>
        </w:rPr>
        <w:t>.</w:t>
      </w:r>
      <w:bookmarkStart w:id="16" w:name="pg1411_20750"/>
    </w:p>
    <w:p>
      <w:pPr>
        <w:pStyle w:val="Heading2"/>
        <w:numPr>
          <w:ilvl w:val="1"/>
          <w:numId w:val="1"/>
        </w:numPr>
        <w:rPr/>
      </w:pPr>
      <w:bookmarkStart w:id="17" w:name="__RefHeading___Toc141630_383892988"/>
      <w:bookmarkStart w:id="18" w:name="_Toc6"/>
      <w:bookmarkEnd w:id="16"/>
      <w:bookmarkEnd w:id="17"/>
      <w:r>
        <w:rPr>
          <w:rtl w:val="true"/>
        </w:rPr>
        <w:t xml:space="preserve">الجهة المسؤولة عن إيجاد </w:t>
      </w:r>
      <w:r>
        <w:rPr>
          <w:rtl w:val="true"/>
        </w:rPr>
        <w:t>(</w:t>
      </w:r>
      <w:r>
        <w:rPr>
          <w:rtl w:val="true"/>
        </w:rPr>
        <w:t>التفرقة</w:t>
      </w:r>
      <w:r>
        <w:rPr>
          <w:rtl w:val="true"/>
        </w:rPr>
        <w:t>)</w:t>
      </w:r>
      <w:bookmarkEnd w:id="18"/>
    </w:p>
    <w:p>
      <w:pPr>
        <w:pStyle w:val="Heading2"/>
        <w:numPr>
          <w:ilvl w:val="1"/>
          <w:numId w:val="1"/>
        </w:numPr>
        <w:rPr/>
      </w:pPr>
      <w:bookmarkStart w:id="19" w:name="__RefHeading___Toc141632_383892988"/>
      <w:bookmarkStart w:id="20" w:name="_Toc7"/>
      <w:bookmarkEnd w:id="19"/>
      <w:r>
        <w:rPr>
          <w:rtl w:val="true"/>
        </w:rPr>
        <w:t xml:space="preserve">أو </w:t>
      </w:r>
      <w:r>
        <w:rPr>
          <w:rtl w:val="true"/>
        </w:rPr>
        <w:t>(</w:t>
      </w:r>
      <w:r>
        <w:rPr>
          <w:rtl w:val="true"/>
        </w:rPr>
        <w:t>التقريب والوحدة</w:t>
      </w:r>
      <w:r>
        <w:rPr>
          <w:rtl w:val="true"/>
        </w:rPr>
        <w:t>)</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فالحكومة عبر ممارساتها وتعاملها مع المواطنين قد تخلق بينهم الألفة والمحبة والتّعاون، وقد يكون الحال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 الآمال والأحلام العالميَّة إنَّما تتحقَّق من خلال التَّعاون بين الدُّول والحكومات، وليس بين الأفراد أو المؤسّسات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الدّين، أفراداً ومؤسّسات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الدِّين ولجنة الإفتاء وما شابه يؤثّرون في قناعات وسلوكيات الفئة المتديّنة من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الفتاوى أو الآراء العلميَّة أو المواقف العمليَّة الميدانيَّة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الاجتماعيَّة وال فكري 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المؤسسات ترعى جميع الطَّوائف وتستقطبهم فهذا يسهم في إذابة الجليد بين النَّاس، وعكسه ما لو كانت تمارس</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سياسة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ثورة وسائل الإعلام والمعلومات قد زادت مسؤوليّة هذه الجهة؛ فهي القادرة على نشر وترويج ما تريد وتغيير قناعات النَّاس، لا سيّما إذا انضمَّ إلى ذلك الفنون الحديثة للإعلام والإقناع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الفكر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كلمة غيّرت مسار التَّاريخ، وربَّ كلمة أو قلمٍ انضمَّ إلى آخر فأوجد التَّغيير والتَّبديل</w:t>
      </w:r>
      <w:r>
        <w:rPr>
          <w:rFonts w:eastAsia="Amiri" w:cs="Amiri" w:ascii="Amiri" w:hAnsi="Amiri"/>
          <w:color w:val="111111"/>
          <w:sz w:val="28"/>
          <w:szCs w:val="28"/>
          <w:rtl w:val="true"/>
          <w:lang w:bidi="ar-SA"/>
        </w:rPr>
        <w:t>.</w:t>
      </w:r>
      <w:bookmarkStart w:id="21" w:name="pg1411_20752"/>
    </w:p>
    <w:p>
      <w:pPr>
        <w:pStyle w:val="Heading2"/>
        <w:numPr>
          <w:ilvl w:val="1"/>
          <w:numId w:val="1"/>
        </w:numPr>
        <w:rPr/>
      </w:pPr>
      <w:bookmarkStart w:id="22" w:name="__RefHeading___Toc141634_383892988"/>
      <w:bookmarkStart w:id="23" w:name="_Toc8"/>
      <w:bookmarkEnd w:id="21"/>
      <w:bookmarkEnd w:id="22"/>
      <w:r>
        <w:rPr>
          <w:rtl w:val="true"/>
        </w:rPr>
        <w:t>طرق ووسائل التَّقريب أو الوحدة</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الوعي بأهميَّة الوحدة والتَّقريب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وتعميقه وتجذيره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درج البعض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أنَّ إيجاد التَّفرقة والنّزاعات وسيلته للسّيادة والزّعامة، لذا لا ننتظر منه جهوداً واقعيَّةً في سبيل لمِّ الشَّمل، وترميم أو تجديد البيت الدَّاخلي أو الموقف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ينادي هؤلاء بالوحدة في بعض الظُّروف من باب اضطرارهم إلِ‌ى ذلك، وخداع الرَّأْي العام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نحن بحاجة إلى إيمانٍ واقعيٍّ بأهميّة المسألة يتغلغل في جذور الأمَّة والمسؤولين، ويجري في شرايينهم، إلى أن تصبح المسألة من قضاياهم الرَّئيسيَّة التي يدافعون عنها ويمارسون عليها رقابتهم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كُلّ الأطراف حسن النَّوايا قولًا وعملًا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بالآخرين، ولكن بلا سذاجة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التَّنظير الأسطوري والأحلام، والبدء بالتَّخطيط الواقعي والتَّنفيذ الميداني؛ فالتَّقريب والوحدة يقومان على مشاريع علميَّة وعمليَّة يلمسها النَّاس، وتؤثّر فيهم، وتبنيهم من الدَّاخل، وتحقُّق 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بحاجة إلى خطب وكلمات رنّانة، كما نحن في غنى عن مؤتمرات ومؤسّسات عاجزة عن التَّنفيذ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بحاجة إلى الخطط والمشاريع والأفكار الواقعيَّة الممكنة التَّحقيق وفق أولويّات ومراحل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بالأقرب؛ فعلينا أن نبدأ بالوحدة والتَّقريب بين 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نفهم لماذا نسعى للاقتراب من المذهب الآخر في الوقت الذي نتجاهل فيه الاقتراب من أبناء مذهبنا الذين نختلف معهم في بعض الجوانب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مفهوم المواطنة وحقوق الإنسان؛ فعندما يحرم الإنسان من الأمن أو لقمة العيش أو حقّ التَّعليم بناء على اختلافه في العرق أو المذهب أو ما شابه، فلا نتوقّع منه الاندماج مع مَنْ سلبه حقوقه وحاربه، كما لا ننتظر منه المحبة والألفة مع من يتنعّم بما سلب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نقول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التَّمييز بين المواطنين من دون أساسٍ عقلائيّ لهو من أكبر عوامل إيجاد التَّفرقة والبغضاء والشَّحناء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توفيرُ حدٍّ أدنى كريم لكُلِّ مواطن، وإعادة توزيع الثَّروة بالأساليب المشروعة، وبالطَّريقة التي تحقّق المبادئ الإسلاميّة للعدالة الاجتماعيَّة، وتجسيد روح الإسلام بإقامة مبادئ الضَّمان الاجتماعي، والتَّوازن الاجتماعي، والقضاء على الفوارق بين الطبقات؛ كُلّ ذلك يدفع بالأُمَّة نحو التَّلاحم والتَّرابط والمحبّة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بواقع التَّعدُّديَّة المذهبيَّة والفكريَّة والسِّياسيَّة؛ فلو نظرنا إلى التَّجربة العالميَّة نرى أن قبول التَّعدُّديَّة يولّد حالةً من الاطمئنان والاستقرار بين الأطراف المختلفة، ويمكّنها منصنع إطارٍ جامعٍ، تحافظ من خلاله على المصالح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القبول بواقع التَّعدُّد يعني الاعتراف بحقِّ مختلف الأطراف في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حقّ التَّعبير عن الرَّأي وإعلان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ممارسة الشَّعائر الدِّينيَّة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ج‌حقّ المشاركة في اتّخاذ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دحقّ إقامة مؤسّسات والجمعيّات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ضمن قانونٍ يخضع له الجميع، دون هيمنة واستعلاء من أحد، أو تهميشٍ وإقصاء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الآخر كما هو؛ ففي الواقع يندرج هذا الأمر تحت البند السَّابق، وإنما أفردناه بالذّكر لأهميّته وشدَّة الاختلاف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تُطالب فئةٌ أو فرقةٌ بالتَّخلِّي عن بعض عقائدها أو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والتَّحديد الكامل لمطالب الوحدة ومجالها وجميع شؤونها؛ فمن المتّفق عليه عند العقلاء ضرورة الوضوح الكامل في جميع بنود الاتّفاقيات والمعاهدات، ليفهم كُلّ طرف ما له وما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الصُّورة غائمةً ومشوشةً فيصعب حصول اتّفاق، بل سرعان ما يعود الخلاف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أوضح الأمثلة الواقعية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تجريم التَّعرُّض لذمِّ الصَّحابة، فما زال التَّقريبيون يدورون في دائرة مفرغة، وعلَّة ذلك هو عدم الاتّفاق على معنى واضح للتَّعرُّض لشأن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المطلوب الكفّ عن بعض الممارسات في الفضاء العام، أم المطلوب هو تحريم</w:t>
      </w:r>
    </w:p>
    <w:p>
      <w:pPr>
        <w:pStyle w:val="BookText"/>
        <w:rPr/>
      </w:pPr>
      <w:r>
        <w:rPr>
          <w:rFonts w:ascii="Amiri" w:hAnsi="Amiri" w:eastAsia="Amiri" w:cs="Amiri"/>
          <w:color w:val="111111"/>
          <w:sz w:val="28"/>
          <w:sz w:val="28"/>
          <w:szCs w:val="28"/>
          <w:rtl w:val="true"/>
          <w:lang w:bidi="ar-SA"/>
        </w:rPr>
        <w:t>وتجريم تلك الممارسات حتى على نطاقٍ 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يحُظر قراءة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 لما تحويه هذه الآية من وصف لأحد الصَّحابة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يجوز قراءة الآية ويحظر بيان سبب النُّزول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توضيح جميع هذه التَّفاصيل وغيرها لا يمكنك تشخيص أحقيّة المطلب والمقدار والكيفيَّة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الآن ما زلنا ندور في دائرة مفرغة، هذا يطالب، وذاك يحرّم، وثالث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 حتى الآن من يطرح الموضوع بصورة موضوعيَّة واضحة المعالم والحدود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ولأمثاله قلنا سابقاً بضرورة قبول الآخر كما هو</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المؤسّسات الدِّينيَّة بقضيّة الوحدة والتَّقريب، وحثّ أتباعها، وإبداء المواقف الواضحة من ذلك، لا سيّما المواقف العمليّة 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تطبيق التَّقريب والاتِّحاد بين المؤسّسات الدِّينيَّة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القيادات الدّينيّةينعكس على أتباعهم ومحبّيهم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فلاينبغي الاقتصار في ذلك على</w:t>
      </w:r>
    </w:p>
    <w:p>
      <w:pPr>
        <w:pStyle w:val="BookText"/>
        <w:rPr/>
      </w:pPr>
      <w:r>
        <w:rPr>
          <w:rFonts w:ascii="Amiri" w:hAnsi="Amiri" w:eastAsia="Amiri" w:cs="Amiri"/>
          <w:color w:val="111111"/>
          <w:sz w:val="28"/>
          <w:sz w:val="28"/>
          <w:szCs w:val="28"/>
          <w:rtl w:val="true"/>
          <w:lang w:bidi="ar-SA"/>
        </w:rPr>
        <w:t>المناسبات أو داخل أروقة المؤتمرات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تجريم التَّحريض على الكراهية والإساءة؛ ولا نقصد مجرَّد الشّجب والاستنكار، بل يجب محاسبة ومعاقبة المحرّضين، كتجريم من يحرّض على الإرهاب والسَّرقة والفساد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الآداب الإسلامية في المعاشرة؛ فقد جاء في الحديث الصَّحيح عن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ينبغي لنا أن نصنع فيما بيننا وبين قومنا وبين خلطائنا من النَّاس مِمَّن ليسوا على أمرنا؟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 إلى أئمتكم الذين تقتدون بهم فتصنعون ما يصنعون، فوالله إنَّهم ليعودون مرضاهم، ويشهدون جنائزهم، ويقيمون الشَّهادة لهم وعليهم، ويؤدّون</w:t>
      </w:r>
    </w:p>
    <w:p>
      <w:pPr>
        <w:pStyle w:val="BookText"/>
        <w:rPr/>
      </w:pPr>
      <w:r>
        <w:rPr>
          <w:rFonts w:ascii="Amiri" w:hAnsi="Amiri" w:eastAsia="Amiri" w:cs="Amiri"/>
          <w:color w:val="111111"/>
          <w:sz w:val="28"/>
          <w:sz w:val="28"/>
          <w:szCs w:val="28"/>
          <w:rtl w:val="true"/>
          <w:lang w:bidi="ar-SA"/>
        </w:rPr>
        <w:t>الأمانة إليهم</w:t>
      </w:r>
      <w:r>
        <w:rPr>
          <w:rFonts w:eastAsia="Amiri" w:cs="Amiri" w:ascii="Amiri" w:hAnsi="Amiri"/>
          <w:color w:val="111111"/>
          <w:sz w:val="28"/>
          <w:szCs w:val="28"/>
          <w:rtl w:val="true"/>
          <w:lang w:bidi="ar-SA"/>
        </w:rPr>
        <w:t>.»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الصَّحيح عن زيد الشَّحّام عن الإمام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عشائركم، واشهدوا جنائزهم، وعودوا مرضاهم، وأدّوا حقوقهم، فإنَّ الرَّجل منكم إذا ورع في دينه، وصدق الحديث، وأدّى الأمانة، وحسَّن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فيسرّني ذلك ويدخل عليّ منه السُّرور،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وإذا كان على غير ذلك دخل عليّ</w:t>
      </w:r>
    </w:p>
    <w:p>
      <w:pPr>
        <w:pStyle w:val="BookText"/>
        <w:rPr/>
      </w:pPr>
      <w:r>
        <w:rPr>
          <w:rFonts w:ascii="Amiri" w:hAnsi="Amiri" w:eastAsia="Amiri" w:cs="Amiri"/>
          <w:color w:val="111111"/>
          <w:sz w:val="28"/>
          <w:sz w:val="28"/>
          <w:szCs w:val="28"/>
          <w:rtl w:val="true"/>
          <w:lang w:bidi="ar-SA"/>
        </w:rPr>
        <w:t>بلاؤه وعاره،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فوالله لحدّثني أبي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كان يكون في القبيلة من شيعة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زينها، آداهم للأمانة، وأقضاهم للحقوق، وأصدقهم للحديث، إليه وصاياهم وودائعهم، تسأل العشيرة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لآدانا للأمانة وأصدقنا للحديث</w:t>
      </w:r>
      <w:r>
        <w:rPr>
          <w:rFonts w:eastAsia="Amiri" w:cs="Amiri" w:ascii="Amiri" w:hAnsi="Amiri"/>
          <w:color w:val="111111"/>
          <w:sz w:val="28"/>
          <w:szCs w:val="28"/>
          <w:rtl w:val="true"/>
          <w:lang w:bidi="ar-SA"/>
        </w:rPr>
        <w:t>.»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أمير المؤمنين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نفسك ميزاناً فيما بينك وبين غيرك، فأحبب لغيرك ما تحبّ لنفسك، واكره له ما تكره لها، ولا تظلم كما</w:t>
      </w:r>
    </w:p>
    <w:p>
      <w:pPr>
        <w:pStyle w:val="BookText"/>
        <w:rPr/>
      </w:pPr>
      <w:r>
        <w:rPr>
          <w:rFonts w:ascii="Amiri" w:hAnsi="Amiri" w:eastAsia="Amiri" w:cs="Amiri"/>
          <w:color w:val="111111"/>
          <w:sz w:val="28"/>
          <w:sz w:val="28"/>
          <w:szCs w:val="28"/>
          <w:rtl w:val="true"/>
          <w:lang w:bidi="ar-SA"/>
        </w:rPr>
        <w:t>تحبّ ألَّا تظلم، وأحسن كما تحبّ أنْ يحسن</w:t>
      </w:r>
    </w:p>
    <w:p>
      <w:pPr>
        <w:pStyle w:val="BookText"/>
        <w:rPr/>
      </w:pPr>
      <w:r>
        <w:rPr>
          <w:rFonts w:ascii="Amiri" w:hAnsi="Amiri" w:eastAsia="Amiri" w:cs="Amiri"/>
          <w:color w:val="111111"/>
          <w:sz w:val="28"/>
          <w:sz w:val="28"/>
          <w:szCs w:val="28"/>
          <w:rtl w:val="true"/>
          <w:lang w:bidi="ar-SA"/>
        </w:rPr>
        <w:t>إليك، واستقبح من نفسك ما تستقبحه من غيرك، ولا تقل ما لا تحبّ أن يقال لك</w:t>
      </w:r>
      <w:r>
        <w:rPr>
          <w:rFonts w:eastAsia="Amiri" w:cs="Amiri" w:ascii="Amiri" w:hAnsi="Amiri"/>
          <w:color w:val="111111"/>
          <w:sz w:val="28"/>
          <w:szCs w:val="28"/>
          <w:rtl w:val="true"/>
          <w:lang w:bidi="ar-SA"/>
        </w:rPr>
        <w:t>.»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البعد الاجتماعي والوحدوي في العبادات؛ فقد وصل الخلاف والشّقاق بين المسلمين إلى عدم اتّفاقهم على يوم الصّيام ويوم الفطر، ولم يفلح مجلس التَّعاون ولا الجامعة العربية في توحيد المسلمين في مسألة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وهلال الحجّ تستفرد به جهةٌ واحدةٌ دون أن تراعي آراء بقية المذاهب في شروط إثبات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الحجُّ مجرَّد أعمالٍ جافّة يؤدّيها كُلُّ حاجّ بمعزل عن الآخرين، في حين أنَّ من أهداف الحجّ إيجاد التَّفاهم وتعزيز أواصر الوحدة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ركَّز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مسيرة الوحدة والبراءة من المشركين،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مهمات فلسفة الحجّ إيجاد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التَّفاهم، و تعزيز الأُخوَّة بين المسلمين، وعلى العلماء و الخطباء</w:t>
      </w:r>
    </w:p>
    <w:p>
      <w:pPr>
        <w:pStyle w:val="BookText"/>
        <w:rPr/>
      </w:pPr>
      <w:r>
        <w:rPr>
          <w:rFonts w:ascii="Amiri" w:hAnsi="Amiri" w:eastAsia="Amiri" w:cs="Amiri"/>
          <w:color w:val="111111"/>
          <w:sz w:val="28"/>
          <w:sz w:val="28"/>
          <w:szCs w:val="28"/>
          <w:rtl w:val="true"/>
          <w:lang w:bidi="ar-SA"/>
        </w:rPr>
        <w:t>طرح المسائل الأساسيَّة والسِّياسيَّة والاجتماعيَّة مع أخوتهم في الدِّين وتهيئة مشاريع لحلّها، ليطرحوها بدورهم على العلماء وأصحاب الرَّأي عند عودتهم إلى بلدانهم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حجّاً ذلك الحجّ الخالي من الرُّوح والتَّحرُّك والقيام، والفاقد للبراءة والوحدة، وغير الدَّاعي لهدم الكفر والشَّرك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المؤسّسات التَّقريبيَّة من قبيل النَّوادي الاجتماعيَّة والثَّقافيَّة والرِّياضيَّة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تفعيل مسألة الوحدة والتَّقريب في الصُّروح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المدارس، الجامعات،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والتَّشجيع على القيام بدراسات وبحوث علميَّة تتسم بنزعة التَّقريب والوحدة، ويجب الاهتمام في نشر وتوزيع تلك البحوث</w:t>
      </w:r>
    </w:p>
    <w:p>
      <w:pPr>
        <w:pStyle w:val="BookText"/>
        <w:rPr/>
      </w:pPr>
      <w:r>
        <w:rPr>
          <w:rFonts w:ascii="Amiri" w:hAnsi="Amiri" w:eastAsia="Amiri" w:cs="Amiri"/>
          <w:color w:val="111111"/>
          <w:sz w:val="28"/>
          <w:sz w:val="28"/>
          <w:szCs w:val="28"/>
          <w:rtl w:val="true"/>
          <w:lang w:bidi="ar-SA"/>
        </w:rPr>
        <w:t>والدّراسات بدرجة قويَّة وفعّالة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وعي الشَّهيد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عميقاً عندما أنجز عدَّة بحوث ودراسات في حقول المعرفة الإسلاميّة، تهدف إلى تأسيس قناعات مشتركة بين أبناء الإسلام، أو تثبت أُسساً ومقررات شرعيَّةً مقبولةً تصح أنْ تكون منطلقاً لقيام دراسات ذات سمة تقريبيَّة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ذلك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المنطقيَّة للإستقراء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المشترك المتضافر لاتّخاذ المواقف الوحدويَّة النَّموذجيَّة في كُلِّ القضايا المصيريَّة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لزوم إنشاء وترويج ثقافة التَّقريب والاتّحاد، وهذا يقتضي مشاركة الفنّ والأدب والتَّمثيل وغيرها مِمَّا يُساهم في تكوين الثَّقافة الصَّحيحة أو الخاطئة عند عامة النَّاس، شعروا بذلك أم لم يشعروا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المسؤول والهادف، ونشر ثقافة التَّقريب والوحدة، وهي عبارة عن ثقافة التَّسامح والمحبّة واحترام الرَّأْي المخالف والقبول بالتَّعدُّديَّة والعمل المشترك والمسابقة إلى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تغطية جميع الأنشطة التَّقريبيَّة والتَّوحيديَّة وإبداء الوجه المشرق لهذه القضيَّة</w:t>
      </w:r>
      <w:r>
        <w:rPr>
          <w:rFonts w:eastAsia="Amiri" w:cs="Amiri" w:ascii="Amiri" w:hAnsi="Amiri"/>
          <w:color w:val="111111"/>
          <w:sz w:val="28"/>
          <w:szCs w:val="28"/>
          <w:rtl w:val="true"/>
          <w:lang w:bidi="ar-SA"/>
        </w:rPr>
        <w:t>.</w:t>
      </w:r>
      <w:bookmarkStart w:id="24" w:name="pg1411_20762"/>
    </w:p>
    <w:p>
      <w:pPr>
        <w:pStyle w:val="Heading2"/>
        <w:numPr>
          <w:ilvl w:val="1"/>
          <w:numId w:val="1"/>
        </w:numPr>
        <w:rPr/>
      </w:pPr>
      <w:bookmarkStart w:id="25" w:name="__RefHeading___Toc141636_383892988"/>
      <w:bookmarkStart w:id="26" w:name="_Toc9"/>
      <w:bookmarkEnd w:id="24"/>
      <w:bookmarkEnd w:id="25"/>
      <w:r>
        <w:rPr>
          <w:rtl w:val="true"/>
        </w:rPr>
        <w:t>ضوابط الاختلاف العلمي الصحيح غير المؤدّي‌</w:t>
      </w:r>
      <w:bookmarkEnd w:id="26"/>
    </w:p>
    <w:p>
      <w:pPr>
        <w:pStyle w:val="Heading2"/>
        <w:numPr>
          <w:ilvl w:val="1"/>
          <w:numId w:val="1"/>
        </w:numPr>
        <w:rPr/>
      </w:pPr>
      <w:bookmarkStart w:id="27" w:name="__RefHeading___Toc141638_383892988"/>
      <w:bookmarkStart w:id="28" w:name="_Toc10"/>
      <w:bookmarkEnd w:id="27"/>
      <w:r>
        <w:rPr>
          <w:rtl w:val="true"/>
        </w:rPr>
        <w:t>إلى التفرقة والاختلاف‌</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الاحترام وعدم الاستفزاز والتَّراشق بالتّهم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فلنتعلّم من القرآن الكريم أسلوب الحوار، وكذا من الرسول الأعظم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يتحاور مع المشركين، وكذا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الحوار مع شتّى الطَّوائف والملل والمذاهب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نكن أشدّ غيرة على الدِّين والحقّ من الله تعالى، ومن رسوله وأهل بيتهصلوات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المؤاخذة بلوازم الرَّأي؛ فإنَّه من المنطقي أنْ يحاسب الإنسان على رأيه، ويناقش بكُلِّ دقة وأناة، ولكن من الخطأ المؤاخذة بلوازم الآراء إذا كانصاحب الرَّأي لا يقبل تلك الملازمة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التَّعذير عند الاختلاف؛ فإنَّه ما دمنا نؤمن بانفتاح باب الاجتهاد، وما دامت أسباب اختلاف النَّتائج</w:t>
      </w:r>
    </w:p>
    <w:p>
      <w:pPr>
        <w:pStyle w:val="BookText"/>
        <w:rPr/>
      </w:pPr>
      <w:r>
        <w:rPr>
          <w:rFonts w:ascii="Amiri" w:hAnsi="Amiri" w:eastAsia="Amiri" w:cs="Amiri"/>
          <w:color w:val="111111"/>
          <w:sz w:val="28"/>
          <w:sz w:val="28"/>
          <w:szCs w:val="28"/>
          <w:rtl w:val="true"/>
          <w:lang w:bidi="ar-SA"/>
        </w:rPr>
        <w:t xml:space="preserve">الاجتهاديَّة قائمةً وطبيعية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ذلك القبول باختلاف الآراء والمواقف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أن يُوطّن الفرد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كان أو متعلّماً، مجتهداً كان أو مقلّداً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على تحمُّل حالة المخالفة في الرَّأْي، وعدم اللُّجوء إلى أساليب التَّهويل والتَّسقيط وأمثالها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أنَّ الحوارات المذهبيَّة من أعقد الأساليب وأخطرها؛ لأنَّه في أكثر الحالات تصاحب التَّشنُّج والجدال العقيم والبحث عن الغلبة وتسقيط الآخر</w:t>
      </w:r>
      <w:r>
        <w:rPr>
          <w:rFonts w:eastAsia="Amiri" w:cs="Amiri" w:ascii="Amiri" w:hAnsi="Amiri"/>
          <w:color w:val="111111"/>
          <w:sz w:val="28"/>
          <w:szCs w:val="28"/>
          <w:rtl w:val="true"/>
          <w:lang w:bidi="ar-SA"/>
        </w:rPr>
        <w:t>.</w:t>
      </w:r>
      <w:bookmarkStart w:id="29" w:name="pg1411_20764"/>
    </w:p>
    <w:p>
      <w:pPr>
        <w:pStyle w:val="BookText"/>
        <w:rPr/>
      </w:pPr>
      <w:bookmarkEnd w:id="29"/>
      <w:r>
        <w:rPr>
          <w:rFonts w:ascii="Amiri" w:hAnsi="Amiri" w:eastAsia="Amiri" w:cs="Amiri"/>
          <w:color w:val="111111"/>
          <w:sz w:val="28"/>
          <w:sz w:val="28"/>
          <w:szCs w:val="28"/>
          <w:rtl w:val="true"/>
          <w:lang w:bidi="ar-SA"/>
        </w:rPr>
        <w:t>إعادة كتابة التاريخ لا يعتبر مدخلًا للوحدة</w:t>
      </w:r>
    </w:p>
    <w:p>
      <w:pPr>
        <w:pStyle w:val="BookText"/>
        <w:rPr/>
      </w:pPr>
      <w:r>
        <w:rPr>
          <w:rFonts w:ascii="Amiri" w:hAnsi="Amiri" w:eastAsia="Amiri" w:cs="Amiri"/>
          <w:color w:val="111111"/>
          <w:sz w:val="28"/>
          <w:sz w:val="28"/>
          <w:szCs w:val="28"/>
          <w:rtl w:val="true"/>
          <w:lang w:bidi="ar-SA"/>
        </w:rPr>
        <w:t>أرى ضرورة إعادة كتابة التَّاريخ وقراءته بشكلٍ موضوعيٍّ ومنصف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أعتبر ذلك من الوسائل المعتمدة للتَّقريب أو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دمنا لم‌نتحلّ بالصِّفات المطلوبة سيكون قراءة التَّاريخ مدعاةً للتَّمزُّق أكثر فأكثر</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41640_383892988"/>
      <w:bookmarkStart w:id="31" w:name="_Toc11"/>
      <w:bookmarkEnd w:id="30"/>
      <w:r>
        <w:rPr>
          <w:rtl w:val="true"/>
        </w:rPr>
        <w:t xml:space="preserve">وأخيراً </w:t>
      </w:r>
      <w:r>
        <w:rPr>
          <w:rtl w:val="true"/>
        </w:rPr>
        <w:t>...</w:t>
      </w:r>
      <w:bookmarkEnd w:id="31"/>
    </w:p>
    <w:p>
      <w:pPr>
        <w:pStyle w:val="BookText"/>
        <w:rPr/>
      </w:pPr>
      <w:r>
        <w:rPr>
          <w:rFonts w:ascii="Amiri" w:hAnsi="Amiri" w:eastAsia="Amiri" w:cs="Amiri"/>
          <w:color w:val="111111"/>
          <w:sz w:val="28"/>
          <w:sz w:val="28"/>
          <w:szCs w:val="28"/>
          <w:rtl w:val="true"/>
          <w:lang w:bidi="ar-SA"/>
        </w:rPr>
        <w:t>لا بأس بالإشارة إلى شي‌ءٍ من الآثار السَّلبية لممارسات التَّقريب الخاطئة؛ فقد برز على السَّطح تيارٌّ تقريبيٌّ مفرطٌ يصل إلى درجة التَّنازل عن المبادئ والثّوابت المذهبيّة، وذلك بحجة المحافظة على مصالح الإسلام العليا، وما لم تنضم إليهم وتوافقهم على ما يرون فأنت تكفيريٌّ إرهابي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خلا قاموسهم إلّا من قائمتين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بالمعنى الذي يفهمونه،</w:t>
      </w:r>
    </w:p>
    <w:p>
      <w:pPr>
        <w:pStyle w:val="BookText"/>
        <w:rPr/>
      </w:pPr>
      <w:r>
        <w:rPr>
          <w:rFonts w:ascii="Amiri" w:hAnsi="Amiri" w:eastAsia="Amiri" w:cs="Amiri"/>
          <w:color w:val="111111"/>
          <w:sz w:val="28"/>
          <w:sz w:val="28"/>
          <w:szCs w:val="28"/>
          <w:rtl w:val="true"/>
          <w:lang w:bidi="ar-SA"/>
        </w:rPr>
        <w:t>وبالأسلوب الذي يرتأونه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الإرهاب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يصدر فتاوى موافقة لما يرون فهو المجتهد المجدّد الفذّ الشّجاع الجري‌ء، ومن لا يفتي بذلك فهو مجتهدٌ مقلّدٌ تنقصه الجرأة والشّجاعة يعيش خارج الزَّمن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يتولَّد في قبال هذا القاموس تيارٌ آخر على طرف النَّقيض، يغلق أبواب الاجتهاد، ويتّهم خصمه بالمتاجرة بالدّين، وضعف العقيدة أو الضّلال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وأرى أنَّ الأوَّل وقع في التَّفريط، والثَّاني وقع في 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نعقل ولا نتسرَّع، ولا نغلق أبواب البحث العلمي، ولا نواجه الخطأ بخطأ آخر مضادّ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مسائل خلافيَّة حار فيها أهل السُّنَّة، للشَّيخ علي آل محسن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الكافي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من المعاشرة،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تصحيح و تعليق علي أكبر غفاري، الطَّبعة الرَّابعة،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دارالكتب الإسلاميَّة طهران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الحديث الخامس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من وصية له لابنه الحسن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نسخة المعجم المفهرس، مؤسسة النَّشر الإسلامي التَّابعة لجماعة المدرّسين بقم المقدّسة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2.jpeg"/><Relationship Id="rId34" Type="http://schemas.openxmlformats.org/officeDocument/2006/relationships/image" Target="media/image2.jpeg"/><Relationship Id="rId35" Type="http://schemas.openxmlformats.org/officeDocument/2006/relationships/footer" Target="footer28.xml"/><Relationship Id="rId36" Type="http://schemas.openxmlformats.org/officeDocument/2006/relationships/footnotes" Target="footnotes.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Pages>
  <Words>2927</Words>
  <Characters>14490</Characters>
  <CharactersWithSpaces>17246</CharactersWithSpaces>
  <Paragraphs>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2026-08-16T15:30:38Z</dcterms:created>
  <dc:creator>ghaemiyeh.com</dc:creator>
  <dc:description/>
  <dc:language>en-US</dc:language>
  <cp:lastModifiedBy/>
  <dcterms:modified xsi:type="dcterms:W3CDTF">2026-08-16T19:00:39Z</dcterms:modified>
  <cp:revision>1</cp:revision>
  <dc:subject/>
  <dc:title>المنهج التقریبی السلیم</dc:title>
</cp:coreProperties>
</file>

<file path=docProps/custom.xml><?xml version="1.0" encoding="utf-8"?>
<Properties xmlns="http://schemas.openxmlformats.org/officeDocument/2006/custom-properties" xmlns:vt="http://schemas.openxmlformats.org/officeDocument/2006/docPropsVTypes"/>
</file>