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الشیعه و الشریعه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8505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98507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98509_373438147">
            <w:r>
              <w:rPr>
                <w:webHidden/>
                <w:rStyle w:val="IndexLink"/>
                <w:rtl w:val="true"/>
              </w:rPr>
              <w:t>کلمة الناشر</w:t>
            </w:r>
            <w:r>
              <w:rPr>
                <w:rStyle w:val="IndexLink"/>
                <w:rtl w:val="true"/>
              </w:rPr>
              <w:tab/>
            </w:r>
            <w:r>
              <w:rPr>
                <w:rStyle w:val="IndexLink"/>
              </w:rPr>
              <w:t>6</w:t>
            </w:r>
          </w:hyperlink>
        </w:p>
        <w:p>
          <w:pPr>
            <w:pStyle w:val="Contents2"/>
            <w:tabs>
              <w:tab w:val="clear" w:pos="8743"/>
              <w:tab w:val="right" w:pos="9026" w:leader="dot"/>
            </w:tabs>
            <w:rPr/>
          </w:pPr>
          <w:hyperlink w:anchor="__RefHeading___Toc998511_373438147">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998513_373438147">
            <w:r>
              <w:rPr>
                <w:webHidden/>
                <w:rStyle w:val="IndexLink"/>
                <w:rtl w:val="true"/>
              </w:rPr>
              <w:t>تعریف بالشیعة</w:t>
            </w:r>
            <w:r>
              <w:rPr>
                <w:rStyle w:val="IndexLink"/>
                <w:rtl w:val="true"/>
              </w:rPr>
              <w:tab/>
            </w:r>
            <w:r>
              <w:rPr>
                <w:rStyle w:val="IndexLink"/>
              </w:rPr>
              <w:t>9</w:t>
            </w:r>
          </w:hyperlink>
        </w:p>
        <w:p>
          <w:pPr>
            <w:pStyle w:val="Contents3"/>
            <w:tabs>
              <w:tab w:val="clear" w:pos="8459"/>
              <w:tab w:val="right" w:pos="9026" w:leader="dot"/>
            </w:tabs>
            <w:rPr/>
          </w:pPr>
          <w:hyperlink w:anchor="__RefHeading___Toc998515_37343814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998517_373438147">
            <w:r>
              <w:rPr>
                <w:webHidden/>
                <w:rStyle w:val="IndexLink"/>
              </w:rPr>
              <w:t>1</w:t>
            </w:r>
            <w:r>
              <w:rPr>
                <w:rStyle w:val="IndexLink"/>
                <w:rtl w:val="true"/>
              </w:rPr>
              <w:t xml:space="preserve">. </w:t>
            </w:r>
            <w:r>
              <w:rPr>
                <w:rStyle w:val="IndexLink"/>
                <w:rtl w:val="true"/>
              </w:rPr>
              <w:t>عقیدة الشیعة</w:t>
            </w:r>
            <w:r>
              <w:rPr>
                <w:rStyle w:val="IndexLink"/>
                <w:rtl w:val="true"/>
              </w:rPr>
              <w:tab/>
            </w:r>
            <w:r>
              <w:rPr>
                <w:rStyle w:val="IndexLink"/>
              </w:rPr>
              <w:t>10</w:t>
            </w:r>
          </w:hyperlink>
        </w:p>
        <w:p>
          <w:pPr>
            <w:pStyle w:val="Contents3"/>
            <w:tabs>
              <w:tab w:val="clear" w:pos="8459"/>
              <w:tab w:val="right" w:pos="9026" w:leader="dot"/>
            </w:tabs>
            <w:rPr/>
          </w:pPr>
          <w:hyperlink w:anchor="__RefHeading___Toc998519_373438147">
            <w:r>
              <w:rPr>
                <w:webHidden/>
                <w:rStyle w:val="IndexLink"/>
              </w:rPr>
              <w:t>2</w:t>
            </w:r>
            <w:r>
              <w:rPr>
                <w:rStyle w:val="IndexLink"/>
                <w:rtl w:val="true"/>
              </w:rPr>
              <w:t xml:space="preserve">. </w:t>
            </w:r>
            <w:r>
              <w:rPr>
                <w:rStyle w:val="IndexLink"/>
                <w:rtl w:val="true"/>
              </w:rPr>
              <w:t>الشریعة</w:t>
            </w:r>
            <w:r>
              <w:rPr>
                <w:rStyle w:val="IndexLink"/>
                <w:rtl w:val="true"/>
              </w:rPr>
              <w:tab/>
            </w:r>
            <w:r>
              <w:rPr>
                <w:rStyle w:val="IndexLink"/>
              </w:rPr>
              <w:t>12</w:t>
            </w:r>
          </w:hyperlink>
        </w:p>
        <w:p>
          <w:pPr>
            <w:pStyle w:val="Contents3"/>
            <w:tabs>
              <w:tab w:val="clear" w:pos="8459"/>
              <w:tab w:val="right" w:pos="9026" w:leader="dot"/>
            </w:tabs>
            <w:rPr/>
          </w:pPr>
          <w:hyperlink w:anchor="__RefHeading___Toc998521_373438147">
            <w:r>
              <w:rPr>
                <w:webHidden/>
                <w:rStyle w:val="IndexLink"/>
              </w:rPr>
              <w:t>3</w:t>
            </w:r>
            <w:r>
              <w:rPr>
                <w:rStyle w:val="IndexLink"/>
                <w:rtl w:val="true"/>
              </w:rPr>
              <w:t xml:space="preserve">. </w:t>
            </w:r>
            <w:r>
              <w:rPr>
                <w:rStyle w:val="IndexLink"/>
                <w:rtl w:val="true"/>
              </w:rPr>
              <w:t>النظام الإسلامی</w:t>
            </w:r>
            <w:r>
              <w:rPr>
                <w:rStyle w:val="IndexLink"/>
                <w:rtl w:val="true"/>
              </w:rPr>
              <w:tab/>
            </w:r>
            <w:r>
              <w:rPr>
                <w:rStyle w:val="IndexLink"/>
              </w:rPr>
              <w:t>13</w:t>
            </w:r>
          </w:hyperlink>
        </w:p>
        <w:p>
          <w:pPr>
            <w:pStyle w:val="Contents2"/>
            <w:tabs>
              <w:tab w:val="clear" w:pos="8743"/>
              <w:tab w:val="right" w:pos="9026" w:leader="dot"/>
            </w:tabs>
            <w:rPr/>
          </w:pPr>
          <w:hyperlink w:anchor="__RefHeading___Toc998523_373438147">
            <w:r>
              <w:rPr>
                <w:webHidden/>
                <w:rStyle w:val="IndexLink"/>
                <w:rtl w:val="true"/>
              </w:rPr>
              <w:t>الفهرس</w:t>
            </w:r>
            <w:r>
              <w:rPr>
                <w:rStyle w:val="IndexLink"/>
                <w:rtl w:val="true"/>
              </w:rPr>
              <w:tab/>
            </w:r>
            <w:r>
              <w:rPr>
                <w:rStyle w:val="IndexLink"/>
              </w:rPr>
              <w:t>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3_8552"/>
      <w:bookmarkStart w:id="1" w:name="pg973_8552"/>
      <w:bookmarkEnd w:id="1"/>
    </w:p>
    <w:p>
      <w:pPr>
        <w:pStyle w:val="Heading2"/>
        <w:numPr>
          <w:ilvl w:val="1"/>
          <w:numId w:val="1"/>
        </w:numPr>
        <w:rPr/>
      </w:pPr>
      <w:bookmarkStart w:id="2" w:name="pg973_8552"/>
      <w:bookmarkStart w:id="3" w:name="__RefHeading___Toc998505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والشریعة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شیرازی، محمد</w:t>
      </w:r>
    </w:p>
    <w:p>
      <w:pPr>
        <w:pStyle w:val="BookText"/>
        <w:rPr/>
      </w:pPr>
      <w:r>
        <w:rPr>
          <w:rFonts w:ascii="IRNazanin" w:hAnsi="IRNazanin" w:eastAsia="IRNazanin"/>
          <w:color w:val="111111"/>
          <w:sz w:val="28"/>
          <w:sz w:val="28"/>
          <w:szCs w:val="28"/>
          <w:rtl w:val="true"/>
          <w:lang w:bidi="fa-IR"/>
        </w:rPr>
        <w:t>تاریخ وفاة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الرحمن الرحیم</w:t>
      </w:r>
    </w:p>
    <w:p>
      <w:pPr>
        <w:pStyle w:val="BookText"/>
        <w:rPr/>
      </w:pPr>
      <w:r>
        <w:rPr>
          <w:rFonts w:ascii="IRNazanin" w:hAnsi="IRNazanin" w:eastAsia="IRNazanin"/>
          <w:color w:val="111111"/>
          <w:sz w:val="28"/>
          <w:sz w:val="28"/>
          <w:szCs w:val="28"/>
          <w:rtl w:val="true"/>
          <w:lang w:bidi="fa-IR"/>
        </w:rPr>
        <w:t>مالک یوم الدین</w:t>
      </w:r>
    </w:p>
    <w:p>
      <w:pPr>
        <w:pStyle w:val="BookText"/>
        <w:rPr/>
      </w:pPr>
      <w:r>
        <w:rPr>
          <w:rFonts w:ascii="IRNazanin" w:hAnsi="IRNazanin" w:eastAsia="IRNazanin"/>
          <w:color w:val="111111"/>
          <w:sz w:val="28"/>
          <w:sz w:val="28"/>
          <w:szCs w:val="28"/>
          <w:rtl w:val="true"/>
          <w:lang w:bidi="fa-IR"/>
        </w:rPr>
        <w:t>إیاک نعبد و إیاک نستعین</w:t>
      </w:r>
    </w:p>
    <w:p>
      <w:pPr>
        <w:pStyle w:val="BookText"/>
        <w:rPr/>
      </w:pPr>
      <w:r>
        <w:rPr>
          <w:rFonts w:ascii="IRNazanin" w:hAnsi="IRNazanin" w:eastAsia="IRNazanin"/>
          <w:color w:val="111111"/>
          <w:sz w:val="28"/>
          <w:sz w:val="28"/>
          <w:szCs w:val="28"/>
          <w:rtl w:val="true"/>
          <w:lang w:bidi="fa-IR"/>
        </w:rPr>
        <w:t>اهدنا الصراط المستقیم</w:t>
      </w:r>
    </w:p>
    <w:p>
      <w:pPr>
        <w:pStyle w:val="BookText"/>
        <w:rPr/>
      </w:pPr>
      <w:r>
        <w:rPr>
          <w:rFonts w:ascii="IRNazanin" w:hAnsi="IRNazanin" w:eastAsia="IRNazanin"/>
          <w:color w:val="111111"/>
          <w:sz w:val="28"/>
          <w:sz w:val="28"/>
          <w:szCs w:val="28"/>
          <w:rtl w:val="true"/>
          <w:lang w:bidi="fa-IR"/>
        </w:rPr>
        <w:t>صراط الذین أنعمت علیهم</w:t>
      </w:r>
    </w:p>
    <w:p>
      <w:pPr>
        <w:pStyle w:val="BookText"/>
        <w:rPr/>
      </w:pPr>
      <w:r>
        <w:rPr>
          <w:rFonts w:ascii="IRNazanin" w:hAnsi="IRNazanin" w:eastAsia="IRNazanin"/>
          <w:color w:val="111111"/>
          <w:sz w:val="28"/>
          <w:sz w:val="28"/>
          <w:szCs w:val="28"/>
          <w:rtl w:val="true"/>
          <w:lang w:bidi="fa-IR"/>
        </w:rPr>
        <w:t>غیر المغضوب علیهم</w:t>
      </w:r>
    </w:p>
    <w:p>
      <w:pPr>
        <w:pStyle w:val="BookText"/>
        <w:rPr/>
      </w:pPr>
      <w:r>
        <w:rPr>
          <w:rFonts w:ascii="IRNazanin" w:hAnsi="IRNazanin" w:eastAsia="IRNazanin"/>
          <w:color w:val="111111"/>
          <w:sz w:val="28"/>
          <w:sz w:val="28"/>
          <w:szCs w:val="28"/>
          <w:rtl w:val="true"/>
          <w:lang w:bidi="fa-IR"/>
        </w:rPr>
        <w:t>ولا الضالین</w:t>
      </w:r>
    </w:p>
    <w:p>
      <w:pPr>
        <w:pStyle w:val="BookText"/>
        <w:rPr/>
      </w:pPr>
      <w:r>
        <w:rPr>
          <w:rFonts w:ascii="IRNazanin" w:hAnsi="IRNazanin" w:eastAsia="IRNazanin"/>
          <w:color w:val="111111"/>
          <w:sz w:val="28"/>
          <w:sz w:val="28"/>
          <w:szCs w:val="28"/>
          <w:rtl w:val="true"/>
          <w:lang w:bidi="fa-IR"/>
        </w:rPr>
        <w:t>صدق الله العلی العظیم</w:t>
      </w:r>
    </w:p>
    <w:p>
      <w:pPr>
        <w:pStyle w:val="Heading2"/>
        <w:numPr>
          <w:ilvl w:val="1"/>
          <w:numId w:val="1"/>
        </w:numPr>
        <w:rPr/>
      </w:pPr>
      <w:bookmarkStart w:id="5" w:name="__RefHeading___Toc998507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الشیعة والشریعة</w:t>
      </w:r>
    </w:p>
    <w:p>
      <w:pPr>
        <w:pStyle w:val="BookText"/>
        <w:rPr/>
      </w:pPr>
      <w:r>
        <w:rPr>
          <w:rFonts w:ascii="IRNazanin" w:hAnsi="IRNazanin" w:eastAsia="IRNazanin"/>
          <w:color w:val="111111"/>
          <w:sz w:val="28"/>
          <w:sz w:val="28"/>
          <w:szCs w:val="28"/>
          <w:rtl w:val="true"/>
          <w:lang w:bidi="fa-IR"/>
        </w:rPr>
        <w:t>آیة الله العظمی</w:t>
      </w:r>
    </w:p>
    <w:p>
      <w:pPr>
        <w:pStyle w:val="BookText"/>
        <w:rPr/>
      </w:pPr>
      <w:r>
        <w:rPr>
          <w:rFonts w:ascii="IRNazanin" w:hAnsi="IRNazanin" w:eastAsia="IRNazanin"/>
          <w:color w:val="111111"/>
          <w:sz w:val="28"/>
          <w:sz w:val="28"/>
          <w:szCs w:val="28"/>
          <w:rtl w:val="true"/>
          <w:lang w:bidi="fa-IR"/>
        </w:rPr>
        <w:t>الامام السید محمد الحسینی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مرکز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للتحقیق والنشر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بیروت ـ لبنان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5951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الرحمن الرحیم</w:t>
      </w:r>
    </w:p>
    <w:p>
      <w:pPr>
        <w:pStyle w:val="BookText"/>
        <w:rPr/>
      </w:pPr>
      <w:r>
        <w:rPr>
          <w:rFonts w:ascii="IRNazanin" w:hAnsi="IRNazanin" w:eastAsia="IRNazanin"/>
          <w:color w:val="111111"/>
          <w:sz w:val="28"/>
          <w:sz w:val="28"/>
          <w:szCs w:val="28"/>
          <w:rtl w:val="true"/>
          <w:lang w:bidi="fa-IR"/>
        </w:rPr>
        <w:t>مالک یوم الدین</w:t>
      </w:r>
    </w:p>
    <w:p>
      <w:pPr>
        <w:pStyle w:val="BookText"/>
        <w:rPr/>
      </w:pPr>
      <w:r>
        <w:rPr>
          <w:rFonts w:ascii="IRNazanin" w:hAnsi="IRNazanin" w:eastAsia="IRNazanin"/>
          <w:color w:val="111111"/>
          <w:sz w:val="28"/>
          <w:sz w:val="28"/>
          <w:szCs w:val="28"/>
          <w:rtl w:val="true"/>
          <w:lang w:bidi="fa-IR"/>
        </w:rPr>
        <w:t>إیاک نعبد و إیاک نستعین</w:t>
      </w:r>
    </w:p>
    <w:p>
      <w:pPr>
        <w:pStyle w:val="BookText"/>
        <w:rPr/>
      </w:pPr>
      <w:r>
        <w:rPr>
          <w:rFonts w:ascii="IRNazanin" w:hAnsi="IRNazanin" w:eastAsia="IRNazanin"/>
          <w:color w:val="111111"/>
          <w:sz w:val="28"/>
          <w:sz w:val="28"/>
          <w:szCs w:val="28"/>
          <w:rtl w:val="true"/>
          <w:lang w:bidi="fa-IR"/>
        </w:rPr>
        <w:t>اهدنا الصراط المستقیم</w:t>
      </w:r>
    </w:p>
    <w:p>
      <w:pPr>
        <w:pStyle w:val="BookText"/>
        <w:rPr/>
      </w:pPr>
      <w:r>
        <w:rPr>
          <w:rFonts w:ascii="IRNazanin" w:hAnsi="IRNazanin" w:eastAsia="IRNazanin"/>
          <w:color w:val="111111"/>
          <w:sz w:val="28"/>
          <w:sz w:val="28"/>
          <w:szCs w:val="28"/>
          <w:rtl w:val="true"/>
          <w:lang w:bidi="fa-IR"/>
        </w:rPr>
        <w:t>صراط الذین أنعمت علیهم</w:t>
      </w:r>
    </w:p>
    <w:p>
      <w:pPr>
        <w:pStyle w:val="BookText"/>
        <w:rPr/>
      </w:pPr>
      <w:r>
        <w:rPr>
          <w:rFonts w:ascii="IRNazanin" w:hAnsi="IRNazanin" w:eastAsia="IRNazanin"/>
          <w:color w:val="111111"/>
          <w:sz w:val="28"/>
          <w:sz w:val="28"/>
          <w:szCs w:val="28"/>
          <w:rtl w:val="true"/>
          <w:lang w:bidi="fa-IR"/>
        </w:rPr>
        <w:t>غیر المغضوب علیهم</w:t>
      </w:r>
    </w:p>
    <w:p>
      <w:pPr>
        <w:pStyle w:val="BookText"/>
        <w:rPr/>
      </w:pPr>
      <w:r>
        <w:rPr>
          <w:rFonts w:ascii="IRNazanin" w:hAnsi="IRNazanin" w:eastAsia="IRNazanin"/>
          <w:color w:val="111111"/>
          <w:sz w:val="28"/>
          <w:sz w:val="28"/>
          <w:szCs w:val="28"/>
          <w:rtl w:val="true"/>
          <w:lang w:bidi="fa-IR"/>
        </w:rPr>
        <w:t>ولا الضالین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الله العلی العظیم</w:t>
      </w:r>
      <w:bookmarkStart w:id="7" w:name="pg973_8554"/>
    </w:p>
    <w:p>
      <w:pPr>
        <w:pStyle w:val="Heading2"/>
        <w:numPr>
          <w:ilvl w:val="1"/>
          <w:numId w:val="1"/>
        </w:numPr>
        <w:rPr/>
      </w:pPr>
      <w:bookmarkStart w:id="8" w:name="__RefHeading___Toc998509_373438147"/>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إن من یرید أن یبلّغ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یستوعبها جیداً، وأن یشعر بالمسؤولیة تجاهها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والمبلّغ الناجح هو الذی یعطی الصورة الحقیقیة للرسالة التی یبلّغها، فعلیه أن یجسّدها فی شخصه کما هو شأن الرسالات السماویة والرسل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کل واحد منهم کان یجسّد رسالته فی شخصه فیکون الرسول هو الصورة الحیّة والمتحرّکة فی الواقع للرسالة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یدل علیه الحدیث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لنا بغیر 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بأعمالکم وأخلاقکم …</w:t>
      </w:r>
    </w:p>
    <w:p>
      <w:pPr>
        <w:pStyle w:val="BookText"/>
        <w:rPr/>
      </w:pPr>
      <w:r>
        <w:rPr>
          <w:rFonts w:ascii="IRNazanin" w:hAnsi="IRNazanin" w:eastAsia="IRNazanin"/>
          <w:color w:val="111111"/>
          <w:sz w:val="28"/>
          <w:sz w:val="28"/>
          <w:szCs w:val="28"/>
          <w:rtl w:val="true"/>
          <w:lang w:bidi="fa-IR"/>
        </w:rPr>
        <w:t xml:space="preserve">ومن هذا المنطلق انبری سماحة المرجع الدینی الأعلی الإمام السید محمد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الموسوعی فی علمه، والعالمی فی فکره وتطلّعه، والإسلامی فی طرحه … للتعریف بمذهب أهل البیت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 بشکل عام حتی تعرف الدنیا نهجهم القویم ورسالتهم السماویة السمحة… وللمسلمین بصورة خاصة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المنطلق کان سماحته یکتب فی کل عام کرّاسا مبسّطا وسهلا یوزع فی أکبر مؤتمر إسلامی ألا وهو موسم الحج إلی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قبل ثلث قرن، ویعتقد  أن لو أجدنا استثمار هذا المؤتمر کما یجب أو ینبغی لحلّت أکثر مشاکل</w:t>
      </w:r>
    </w:p>
    <w:p>
      <w:pPr>
        <w:pStyle w:val="BookText"/>
        <w:rPr/>
      </w:pPr>
      <w:r>
        <w:rPr>
          <w:rFonts w:ascii="IRNazanin" w:hAnsi="IRNazanin" w:eastAsia="IRNazanin"/>
          <w:color w:val="111111"/>
          <w:sz w:val="28"/>
          <w:sz w:val="28"/>
          <w:szCs w:val="28"/>
          <w:rtl w:val="true"/>
          <w:lang w:bidi="fa-IR"/>
        </w:rPr>
        <w:t>العالم الإسلامی ولعادت الأمة إلی سابق عهدها فی وحدة الکلمة ووحدة الموقف علی مستوی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کراساً توزعت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متتالیة تقریباً</w:t>
      </w:r>
      <w:r>
        <w:rPr>
          <w:rStyle w:val="FootnoteAnchor"/>
          <w:rtl w:val="true"/>
        </w:rPr>
        <w:footnoteReference w:id="2"/>
      </w:r>
      <w:r>
        <w:rPr>
          <w:rFonts w:ascii="IRNazanin" w:hAnsi="IRNazanin" w:eastAsia="IRNazanin"/>
          <w:color w:val="111111"/>
          <w:sz w:val="28"/>
          <w:sz w:val="28"/>
          <w:szCs w:val="28"/>
          <w:rtl w:val="true"/>
          <w:lang w:bidi="fa-IR"/>
        </w:rPr>
        <w:t xml:space="preserve">،وکانت تطبع کل واحدة منها ما بین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توزّع جمیعها مجانا وفی موسم الحج ، وفیها عناوین للمراسلة لمن یرید التعرّف الأکثر علی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مردود تلک النشرات ـ الکرّاسات ـ إیجابیا جداً،  وهذا ما تبیّن من خلال الرسائل والمراسلات التی کانت تعقب موسم الحج استفساراً واستفهاماً عن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وساعدت فی دحض الکثیر من الشبهات التی کانت تنشر حول ذاک المذهب الحق…</w:t>
      </w:r>
    </w:p>
    <w:p>
      <w:pPr>
        <w:pStyle w:val="BookText"/>
        <w:rPr/>
      </w:pPr>
      <w:r>
        <w:rPr>
          <w:rFonts w:ascii="IRNazanin" w:hAnsi="IRNazanin" w:eastAsia="IRNazanin"/>
          <w:color w:val="111111"/>
          <w:sz w:val="28"/>
          <w:sz w:val="28"/>
          <w:szCs w:val="28"/>
          <w:rtl w:val="true"/>
          <w:lang w:bidi="fa-IR"/>
        </w:rPr>
        <w:t xml:space="preserve">ونحن فی مرکز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أن نحیی تلک الکرّاسات ونعید طباعتها تباعا لنفس الغایة التی کتبت لأجلها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راجین من الله السداد والقبول، وأن یوفّقنا جمیعاً للعمل الصالح إنه سمیع مجیب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للتحقیق والنشر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بیروت ـ لبنان  ص ب</w:t>
      </w:r>
      <w:r>
        <w:rPr>
          <w:rFonts w:eastAsia="IRNazanin" w:cs="IRNazanin"/>
          <w:color w:val="111111"/>
          <w:sz w:val="28"/>
          <w:szCs w:val="28"/>
          <w:rtl w:val="true"/>
          <w:lang w:bidi="fa-IR"/>
        </w:rPr>
        <w:t xml:space="preserve">: </w:t>
      </w:r>
      <w:r>
        <w:rPr>
          <w:rFonts w:eastAsia="IRNazanin" w:cs="IRNazanin"/>
          <w:color w:val="111111"/>
          <w:sz w:val="28"/>
          <w:szCs w:val="28"/>
          <w:lang w:bidi="fa-IR"/>
        </w:rPr>
        <w:t>5951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bookmarkStart w:id="10" w:name="pg973_8556"/>
    </w:p>
    <w:p>
      <w:pPr>
        <w:pStyle w:val="Heading2"/>
        <w:numPr>
          <w:ilvl w:val="1"/>
          <w:numId w:val="1"/>
        </w:numPr>
        <w:rPr/>
      </w:pPr>
      <w:bookmarkStart w:id="11" w:name="__RefHeading___Toc998511_373438147"/>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الإسلام نظام حیاة أسعد البشریة قروناً، ثم حصروه عقیدةً فی الأذهان، ولکن فی الفترة الأخیرة توالت بشائر تشیر إلی قرب عودة الإسلام نظام حیاة، فقد تعب المسلمون من التفرقة الطائفیة، وتعبوا من تجربة المبادئ والأفکار، ولم یبق أمامهم إلا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الطوائف الإسلامیة تحت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وعترة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الإسلام ـ فی صیغته العملیة ـ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وعندئذ یکون الخلاص من الحروب والقلق والفراغ والبطالة ویکون التقدّم فی جمیع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متواضعة للإلماع إلی الإسلام من وجهة نظر الشیعة، مع مقدمة تُعَرّفُ الشیعة إلی الرأی العام العالمیّ، مساهمة فی تقریب وجهات النظر وتمهیداً لعودة الإسلام إلی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هو الموفق والمستعان</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bookmarkStart w:id="13" w:name="pg973_8557"/>
    </w:p>
    <w:p>
      <w:pPr>
        <w:pStyle w:val="Heading2"/>
        <w:numPr>
          <w:ilvl w:val="1"/>
          <w:numId w:val="1"/>
        </w:numPr>
        <w:rPr/>
      </w:pPr>
      <w:bookmarkStart w:id="14" w:name="__RefHeading___Toc998513_373438147"/>
      <w:bookmarkStart w:id="15" w:name="_Toc5"/>
      <w:bookmarkEnd w:id="13"/>
      <w:bookmarkEnd w:id="14"/>
      <w:r>
        <w:rPr>
          <w:rtl w:val="true"/>
        </w:rPr>
        <w:t>تعریف بالشیعة</w:t>
      </w:r>
      <w:bookmarkEnd w:id="15"/>
    </w:p>
    <w:p>
      <w:pPr>
        <w:pStyle w:val="Heading3"/>
        <w:numPr>
          <w:ilvl w:val="2"/>
          <w:numId w:val="1"/>
        </w:numPr>
        <w:rPr/>
      </w:pPr>
      <w:bookmarkStart w:id="16" w:name="__RefHeading___Toc998515_373438147"/>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الطائفة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عملیة للإسلام، کما طرحه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وبقیة الطوائف الإسلامیة صیغ عملیة للإسلام کما طرحها أئمتها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وعدد الشیعة فی العالم مائتا ملیون نسمة</w:t>
      </w:r>
      <w:r>
        <w:rPr>
          <w:rStyle w:val="FootnoteAnchor"/>
          <w:rtl w:val="true"/>
        </w:rPr>
        <w:footnoteReference w:id="3"/>
      </w:r>
      <w:r>
        <w:rPr>
          <w:rFonts w:ascii="IRNazanin" w:hAnsi="IRNazanin" w:eastAsia="IRNazanin"/>
          <w:color w:val="111111"/>
          <w:sz w:val="28"/>
          <w:sz w:val="28"/>
          <w:szCs w:val="28"/>
          <w:rtl w:val="true"/>
          <w:lang w:bidi="fa-IR"/>
        </w:rPr>
        <w:t>، تتواجد فی أکثر بلاد العالم ومراکز تکاثفها هی العراق، وایران، وبلاد الخلیج، والباکستان، والهند، وأفغانستان، ولبنان، وإندونیسیا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من أطلق علیهم هذا الاسم هو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 وسُمّوا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شایعوا علیاً وأولاده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وسُمّوا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إمامهم السادس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 أن ینشر علوم الإسلام والقرآن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باستیعاب وشمول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أفتی کبار علماء السنَّة بجواز الأخذ بالمذهب الشیعی، 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محمود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الجامع الأزهر الأسبق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وتمتاز الشیعة بالقول بفتح باب الاجتهاد، والترکیز علی العقل فی الشریعة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والإسلام ـ فی نظر الطائفة الشیعیة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bookmarkStart w:id="18" w:name="pg973_8558"/>
    </w:p>
    <w:p>
      <w:pPr>
        <w:pStyle w:val="Heading3"/>
        <w:numPr>
          <w:ilvl w:val="2"/>
          <w:numId w:val="1"/>
        </w:numPr>
        <w:rPr/>
      </w:pPr>
      <w:bookmarkStart w:id="19" w:name="__RefHeading___Toc998517_373438147"/>
      <w:bookmarkStart w:id="20" w:name="_Toc7"/>
      <w:bookmarkEnd w:id="18"/>
      <w:bookmarkEnd w:id="19"/>
      <w:r>
        <w:rPr/>
        <w:t>1</w:t>
      </w:r>
      <w:r>
        <w:rPr>
          <w:rtl w:val="true"/>
        </w:rPr>
        <w:t xml:space="preserve">. </w:t>
      </w:r>
      <w:r>
        <w:rPr>
          <w:rtl w:val="true"/>
        </w:rPr>
        <w:t>عقیدة الشیعة</w:t>
      </w:r>
      <w:bookmarkEnd w:id="20"/>
    </w:p>
    <w:p>
      <w:pPr>
        <w:pStyle w:val="BookText"/>
        <w:rPr/>
      </w:pPr>
      <w:r>
        <w:rPr>
          <w:rFonts w:ascii="IRNazanin" w:hAnsi="IRNazanin" w:eastAsia="IRNazanin"/>
          <w:color w:val="111111"/>
          <w:sz w:val="28"/>
          <w:sz w:val="28"/>
          <w:szCs w:val="28"/>
          <w:rtl w:val="true"/>
          <w:lang w:bidi="fa-IR"/>
        </w:rPr>
        <w:t>العقیدة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والعدل، والنبوة، والإمامة، والمعاد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الله واحد لا شریک له ولا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الله عادل، لا یظلم ولا یقرّ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الله بلطفه أرسل أنبیاء إلی الناس لإیضاح الخیر والشر وتوجیه الناس إلی الخیر ومنعهم من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ـ بأمر من الله ـ من بعده أئمة إثنی عشر، یجب اتباعهم وأخذ معالم الدین عنهم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علی بن أبی طالب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موسی بن جعفر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محمد بن 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المهدی بن الحسن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فی دار الدنیا، ویظهر فی آخر الزمان</w:t>
      </w:r>
    </w:p>
    <w:p>
      <w:pPr>
        <w:pStyle w:val="BookText"/>
        <w:rPr/>
      </w:pPr>
      <w:r>
        <w:rPr>
          <w:rFonts w:ascii="IRNazanin" w:hAnsi="IRNazanin" w:eastAsia="IRNazanin"/>
          <w:color w:val="111111"/>
          <w:sz w:val="28"/>
          <w:sz w:val="28"/>
          <w:szCs w:val="28"/>
          <w:rtl w:val="true"/>
          <w:lang w:bidi="fa-IR"/>
        </w:rPr>
        <w:t xml:space="preserve">فیملأ الأرض قسطاً وعدلاً، بعد أن مُلِئَتْ ظلماً وجوراً، کما ورد النص علیه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الله تعالی یعید الخلق یوم القیامة لیثیب المحسن ویعاقب المسیء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ومن یعمل مثقال ذرة شراً یره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وتعتقد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الزهراء والأئمة الاثنی عشر معصومون، عصمهم الله من الخطأ والنسیان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وتعتقد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ولرسوله ولأولیائه، ویجب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أعداء الله وأعداء رسوله وأعداء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وتعتقد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الإسلام هو دین الله المنزل من السماء، لإنقاذ البشر من جمیع المشاکل، ولإسعاد الناس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وتعتقد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القرآن معجزة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وبأنه الکتاب الذی لا یأتیه الباطل من بین یدیه ولا من خلفه، لم ینقص منه ولم یزد فیه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وتعتقد الشیعة، بأن مصادر التشریع التی یجب أخذ الأحکام الشرعیة عنها أربعة، هی الکتاب والسنة والإجماع والعقل</w:t>
      </w:r>
      <w:r>
        <w:rPr>
          <w:rFonts w:eastAsia="IRNazanin" w:cs="IRNazanin"/>
          <w:color w:val="111111"/>
          <w:sz w:val="28"/>
          <w:szCs w:val="28"/>
          <w:rtl w:val="true"/>
          <w:lang w:bidi="fa-IR"/>
        </w:rPr>
        <w:t>.</w:t>
      </w:r>
      <w:bookmarkStart w:id="21" w:name="pg973_8560"/>
    </w:p>
    <w:p>
      <w:pPr>
        <w:pStyle w:val="Heading3"/>
        <w:numPr>
          <w:ilvl w:val="2"/>
          <w:numId w:val="1"/>
        </w:numPr>
        <w:rPr/>
      </w:pPr>
      <w:bookmarkStart w:id="22" w:name="__RefHeading___Toc998519_373438147"/>
      <w:bookmarkStart w:id="23" w:name="_Toc8"/>
      <w:bookmarkEnd w:id="21"/>
      <w:bookmarkEnd w:id="22"/>
      <w:r>
        <w:rPr/>
        <w:t>2</w:t>
      </w:r>
      <w:r>
        <w:rPr>
          <w:rtl w:val="true"/>
        </w:rPr>
        <w:t xml:space="preserve">. </w:t>
      </w:r>
      <w:r>
        <w:rPr>
          <w:rtl w:val="true"/>
        </w:rPr>
        <w:t>الشریعة</w:t>
      </w:r>
      <w:bookmarkEnd w:id="23"/>
    </w:p>
    <w:p>
      <w:pPr>
        <w:pStyle w:val="BookText"/>
        <w:rPr/>
      </w:pPr>
      <w:r>
        <w:rPr>
          <w:rFonts w:ascii="IRNazanin" w:hAnsi="IRNazanin" w:eastAsia="IRNazanin"/>
          <w:color w:val="111111"/>
          <w:sz w:val="28"/>
          <w:sz w:val="28"/>
          <w:szCs w:val="28"/>
          <w:rtl w:val="true"/>
          <w:lang w:bidi="fa-IR"/>
        </w:rPr>
        <w:t>الشریعة،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وهی الأعمال التی یُتقرّب بها إلی الله،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والصوم، والخمس، والزکاة، والحج، والجهاد، والطهارة، والاعتکاف، والأمر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وهی الفضائل التی ندب إلیها الإسلام وجوباً أو استحباباً، مثل الصدق، والأمانة، والشجاعة، والمروءة، والنشاط،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والرذائل تقابل الفضائل، وهی التی نفّر عنها الإسلام حرمة أو کراهة، مثل الخیانة، والکذب، والجبن، والخمول، والإفساد،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والآداب، وهی الأعمال التی اعتبرها الإسلام أدباً، کآداب النوم، وآداب الیقظة، وآداب الزواج، وآداب المجلس، وآداب السفر، وغیرها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والمحرّمات، وهی الأمور التی منعها الإسلام، مثل شرب الخمر، وأکل لحم الخنزیر، ولعب القمار، وتعاطی الربا، وارتکاب الزنا، وغیرها</w:t>
      </w:r>
      <w:r>
        <w:rPr>
          <w:rFonts w:eastAsia="IRNazanin" w:cs="IRNazanin"/>
          <w:color w:val="111111"/>
          <w:sz w:val="28"/>
          <w:szCs w:val="28"/>
          <w:rtl w:val="true"/>
          <w:lang w:bidi="fa-IR"/>
        </w:rPr>
        <w:t>..</w:t>
      </w:r>
      <w:bookmarkStart w:id="24" w:name="pg973_8561"/>
    </w:p>
    <w:p>
      <w:pPr>
        <w:pStyle w:val="Heading3"/>
        <w:numPr>
          <w:ilvl w:val="2"/>
          <w:numId w:val="1"/>
        </w:numPr>
        <w:rPr/>
      </w:pPr>
      <w:bookmarkStart w:id="25" w:name="__RefHeading___Toc998521_373438147"/>
      <w:bookmarkStart w:id="26" w:name="_Toc9"/>
      <w:bookmarkEnd w:id="24"/>
      <w:bookmarkEnd w:id="25"/>
      <w:r>
        <w:rPr/>
        <w:t>3</w:t>
      </w:r>
      <w:r>
        <w:rPr>
          <w:rtl w:val="true"/>
        </w:rPr>
        <w:t xml:space="preserve">. </w:t>
      </w:r>
      <w:r>
        <w:rPr>
          <w:rtl w:val="true"/>
        </w:rPr>
        <w:t>النظام الإسلامی</w:t>
      </w:r>
      <w:bookmarkEnd w:id="26"/>
    </w:p>
    <w:p>
      <w:pPr>
        <w:pStyle w:val="BookText"/>
        <w:rPr/>
      </w:pPr>
      <w:r>
        <w:rPr>
          <w:rFonts w:ascii="IRNazanin" w:hAnsi="IRNazanin" w:eastAsia="IRNazanin"/>
          <w:color w:val="111111"/>
          <w:sz w:val="28"/>
          <w:sz w:val="28"/>
          <w:szCs w:val="28"/>
          <w:rtl w:val="true"/>
          <w:lang w:bidi="fa-IR"/>
        </w:rPr>
        <w:t>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الأحکام التی تقنّن حیاة الإنسان من قَبل الولادة إلی ما بعد الوفاة، وتنظم المجتمع، وتسعی لعمارة الأرض، وتقدم الحیاة، وتوجب إسعاد الإنسان فی الدنیا والآخرة، مثل أحکام البیع والإجارة، والتجارة، والسیاسة، والاقتصاد، والجیش، والدولة، والزراعة، والعمارة، والرهن، والسفر، والإقامة، والأمن، والنکاح، والطلاق، والقضاء، والشهادات، والدیات، والمواریث،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وللتدلیل علی شمولیة الإسلام، وتلبیته لکل حاجات الإنسان والمجتمع، نقتطف بعض نصوص القرآن والسنة التی تضع الخطوط العریضة للفکر الإسلامی فی کل مجالات الحیاة، ولنقتصر علی المجالات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العقیدة</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آمنا بالله وما أنزل إلینا وما أنزل إلی إبراهیم وإسماعیل وإسحاق ویعقوب والأسباط وما    أوتی موسی وعیسی</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والذین لا</w:t>
      </w:r>
    </w:p>
    <w:p>
      <w:pPr>
        <w:pStyle w:val="BookText"/>
        <w:rPr/>
      </w:pP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ومسلمة</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المساواة، فلا تفرقة عنصریة</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سواسیة کأسنان المشط</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ادخلوا فی السّلم کافّة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الکرامة</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کرّمنا بنی آدم وحملناهم فی البرّ والبحر ورزقناهم من الطیّبات</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تأکلوا أموالکم بینکم بالباطل إلا أن تکون تجارة عن تراض منکم</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وأمرهم شوری بینهم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الجیش والقوة</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 الفضاء</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والإنس إن استطعتم أن تنفذوا من أقطار السماوات والأرض فانفذوا لاتنفذون إلا بسلطان</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العلم فی الثریا لناله رجال</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بطرق السماء من طرق الأرض</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بینکم مودّة ورحمة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سبحانه فی القرآن الحکیم فی وصف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ویضع عنهم إصرهم</w:t>
      </w:r>
    </w:p>
    <w:p>
      <w:pPr>
        <w:pStyle w:val="BookText"/>
        <w:rPr/>
      </w:pPr>
      <w:r>
        <w:rPr>
          <w:rFonts w:ascii="IRNazanin" w:hAnsi="IRNazanin" w:eastAsia="IRNazanin"/>
          <w:color w:val="111111"/>
          <w:sz w:val="28"/>
          <w:sz w:val="28"/>
          <w:szCs w:val="28"/>
          <w:rtl w:val="true"/>
          <w:lang w:bidi="fa-IR"/>
        </w:rPr>
        <w:t>والأغلال التی کانت علیهم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عبد غیرک وقد جعلک الله حرّاً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القاعدة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 وأنفسهم</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استئصال الجریمة</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تعتدوا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بعد ذلک فله عذاب ألیم</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الذین یحاربون الله ورسوله ویسعون فی الأرض فساداً أن یقتلوا أو یصلبوا أو تقطع أیدیهم وأرجلهم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ویحبّ المتطهّرین</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من الإیمان</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جمیل یحبّ الجمال</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 ولا تسرفوا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تصحّوا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سافروا تصحّوا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من طاقات الکون</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وسخّر لکم الشمس والقمر دائبین وسخّر لکم اللیل والنهار وآتاکم من کلّ ما سألتموه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والإصلاح</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خیر</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طائفتان من المؤمنین اقتتلا فاصلحوا بینهما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یریدا إصلاحاً یوفّق الله بینهما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التعاون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والتقوی</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الاتحاد</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هذه أمتکم أمة واحدة</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تفرّقوا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تنازعوا فتفشلوا وتذهب ریحکم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الفضیلة والأخلاق الطیبة</w:t>
      </w:r>
    </w:p>
    <w:p>
      <w:pPr>
        <w:pStyle w:val="BookText"/>
        <w:rPr/>
      </w:pPr>
      <w:r>
        <w:rPr>
          <w:rFonts w:ascii="IRNazanin" w:hAnsi="IRNazanin" w:eastAsia="IRNazanin"/>
          <w:color w:val="111111"/>
          <w:sz w:val="28"/>
          <w:sz w:val="28"/>
          <w:szCs w:val="28"/>
          <w:rtl w:val="true"/>
          <w:lang w:bidi="fa-IR"/>
        </w:rPr>
        <w:t xml:space="preserve">قال سبحانه فی القرآن الحکیم حول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یزکّیهم ویعلّمهم الکتاب والحکمة</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بعثت لأتمّمَ مکارمَ الأخلاق</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الاطمئنان وعدم القلق</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یؤمن بالله یهدِ قلبه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قلتم فاعدلوا</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قوّامین بالقسط</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المسؤولیة والرقابة الاجتماعیة</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تساوی یوماه فهو مغبون</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التوسط فی کل شیء ، فلا إفراط ولا تفریط</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جعلناکم أمة وسطاً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الدین الغنی</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التکافل الاجتماعی</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إنما غنمتم من شیء فأن لله خمسه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 …</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الیسر والتسامح</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تعفوا أقرب للتقوی</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ولا یرید بکم العسر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أنشأکم من الأرض واستعمرکم فیها</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وجعلناکم شعوباً وقبائل لتعارفوا</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تفقّهوا وإلاّ کنتم أعراباً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أجلافاً</w:t>
      </w:r>
      <w:r>
        <w:rPr>
          <w:rFonts w:eastAsia="Amiri" w:cs="Amiri" w:ascii="Amiri" w:hAnsi="Amiri"/>
          <w:color w:val="111111"/>
          <w:sz w:val="28"/>
          <w:szCs w:val="28"/>
          <w:rtl w:val="true"/>
          <w:lang w:bidi="ar-SA"/>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الکلمة من معنی</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استجیبوا لله وللرسول إذا دعاکم لما یحییکم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والآخرة</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یقول ربنا آتنا فی الدنیا حسنة وفی الآخرة حسنة</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إعمل لدنیاک کأنّک تعیش أبداً، واعمل لآخرتک کأنّک تموت غداً</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لکل شیء</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علیک الکتاب تبیاناً لکل شیء</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نهج البلاغة 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استوص بالتجار وذوی الصناعات وأوص بهم خیراً</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قوام لهم ـ للمجتمع ـ جمیعاً إلا بالتجار وذوی الصناعات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الزراعة</w:t>
      </w:r>
    </w:p>
    <w:p>
      <w:pPr>
        <w:pStyle w:val="BookText"/>
        <w:rPr/>
      </w:pPr>
      <w:r>
        <w:rPr>
          <w:rFonts w:ascii="IRNazanin" w:hAnsi="IRNazanin" w:eastAsia="IRNazanin"/>
          <w:color w:val="111111"/>
          <w:sz w:val="28"/>
          <w:sz w:val="28"/>
          <w:szCs w:val="28"/>
          <w:rtl w:val="true"/>
          <w:lang w:bidi="fa-IR"/>
        </w:rPr>
        <w:t>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الزارعون کنوز الله فی الأرض</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العمارة</w:t>
      </w:r>
    </w:p>
    <w:p>
      <w:pPr>
        <w:pStyle w:val="BookText"/>
        <w:rPr/>
      </w:pPr>
      <w:r>
        <w:rPr>
          <w:rFonts w:ascii="IRNazanin" w:hAnsi="IRNazanin" w:eastAsia="IRNazanin"/>
          <w:color w:val="111111"/>
          <w:sz w:val="28"/>
          <w:sz w:val="28"/>
          <w:szCs w:val="28"/>
          <w:rtl w:val="true"/>
          <w:lang w:bidi="fa-IR"/>
        </w:rPr>
        <w:t>ففی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نظرک ـ اهتمامک ـ فی عمارة الأرض أبلغ من نظرک فی استجلاب الخراج</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النظم</w:t>
      </w:r>
    </w:p>
    <w:p>
      <w:pPr>
        <w:pStyle w:val="BookText"/>
        <w:rPr/>
      </w:pPr>
      <w:r>
        <w:rPr>
          <w:rFonts w:ascii="IRNazanin" w:hAnsi="IRNazanin" w:eastAsia="IRNazanin"/>
          <w:color w:val="111111"/>
          <w:sz w:val="28"/>
          <w:sz w:val="28"/>
          <w:szCs w:val="28"/>
          <w:rtl w:val="true"/>
          <w:lang w:bidi="fa-IR"/>
        </w:rPr>
        <w:t>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نظم أمرکم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التعاطف بین الحکومة والشعب</w:t>
      </w:r>
    </w:p>
    <w:p>
      <w:pPr>
        <w:pStyle w:val="BookText"/>
        <w:rPr/>
      </w:pPr>
      <w:r>
        <w:rPr>
          <w:rFonts w:ascii="IRNazanin" w:hAnsi="IRNazanin" w:eastAsia="IRNazanin"/>
          <w:color w:val="111111"/>
          <w:sz w:val="28"/>
          <w:sz w:val="28"/>
          <w:szCs w:val="28"/>
          <w:rtl w:val="true"/>
          <w:lang w:bidi="fa-IR"/>
        </w:rPr>
        <w:t>قال سبحانه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قلبک المحبة للرعیة</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 الشمول العالمی</w:t>
      </w:r>
    </w:p>
    <w:p>
      <w:pPr>
        <w:pStyle w:val="BookText"/>
        <w:rPr/>
      </w:pPr>
      <w:r>
        <w:rPr>
          <w:rFonts w:ascii="IRNazanin" w:hAnsi="IRNazanin" w:eastAsia="IRNazanin"/>
          <w:color w:val="111111"/>
          <w:sz w:val="28"/>
          <w:sz w:val="28"/>
          <w:szCs w:val="28"/>
          <w:rtl w:val="true"/>
          <w:lang w:bidi="fa-IR"/>
        </w:rPr>
        <w:t>قال تعالی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رحمةً للعالمین</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کافة للناس</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ـ الناس ـ صنفان إما أخٌ لک فی الدین أو نظیر لک فی الخلق</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تکون الشیعة تعبیراً عملیاً أصیلاً لنهج الإسلام کما طرحه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تعبیر عملی عن کل ما ورد فی القرآن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إنسان یحبّ الخیر لنفسه ولمجتمعه أن یسعی إلی إزالة الفوارق بین الطوائف الإسلامیة تمهیداً لإعادة النظام الإسلامی إلی واقع الممارسة الحیة فی 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الهادی إلی سواء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آخر ما أردنا بیانه فی هذا الکتاب ، والله الموفق وهو المستعان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الکویت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المهدی الحسینی الشیرازی</w:t>
      </w:r>
      <w:bookmarkStart w:id="27" w:name="pg973_8572"/>
    </w:p>
    <w:p>
      <w:pPr>
        <w:pStyle w:val="Heading2"/>
        <w:numPr>
          <w:ilvl w:val="1"/>
          <w:numId w:val="1"/>
        </w:numPr>
        <w:rPr/>
      </w:pPr>
      <w:bookmarkStart w:id="28" w:name="__RefHeading___Toc998523_373438147"/>
      <w:bookmarkStart w:id="29" w:name="_Toc10"/>
      <w:bookmarkEnd w:id="27"/>
      <w:bookmarkEnd w:id="28"/>
      <w:r>
        <w:rPr>
          <w:rtl w:val="true"/>
        </w:rPr>
        <w:t>الفهرس</w:t>
      </w:r>
      <w:bookmarkEnd w:id="29"/>
    </w:p>
    <w:p>
      <w:pPr>
        <w:pStyle w:val="BookText"/>
        <w:rPr/>
      </w:pPr>
      <w:r>
        <w:rPr>
          <w:rFonts w:ascii="IRNazanin" w:hAnsi="IRNazanin" w:eastAsia="IRNazanin"/>
          <w:color w:val="111111"/>
          <w:sz w:val="28"/>
          <w:sz w:val="28"/>
          <w:szCs w:val="28"/>
          <w:rtl w:val="true"/>
          <w:lang w:bidi="fa-IR"/>
        </w:rPr>
        <w:t>کلمة 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تعریف بالشیعة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عقیدة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النظام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منذ حج عام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هـ حتی الحج من عام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هـ</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والآن فقد تجاوزت الخمسمائة ملیون حسب الاحصاءات الأخیرة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مشیراً الی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والذی نفسی بیده ان هذا وشیعته لهم الفائزون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تاریخ دمشق لابن عساکر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الشافعی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شواهد التنزیل للحسکانی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للکنجی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الحقائق للمناوی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للسبط ابن الجوزی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فی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لآیة الله السید صادق الشیرازی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21250</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سواء کاسنان المشط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والزیارة ص</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زیارة الجامعة الکبیرة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فی وصیته لابنه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کتاب القواعد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20016</w:t>
      </w:r>
      <w:r>
        <w:rPr>
          <w:rFonts w:ascii="IRNazanin" w:hAnsi="IRNazanin" w:eastAsia="IRNazanin"/>
          <w:b w:val="false"/>
          <w:b w:val="false"/>
          <w:bCs w:val="false"/>
          <w:i w:val="false"/>
          <w:i w:val="false"/>
          <w:iCs w:val="false"/>
          <w:color w:val="333333"/>
          <w:sz w:val="20"/>
          <w:sz w:val="20"/>
          <w:szCs w:val="20"/>
          <w:rtl w:val="true"/>
        </w:rPr>
        <w:t xml:space="preserve">،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8744</w:t>
      </w:r>
      <w:r>
        <w:rPr>
          <w:rFonts w:ascii="IRNazanin" w:hAnsi="IRNazanin" w:eastAsia="IRNazanin"/>
          <w:b w:val="false"/>
          <w:b w:val="false"/>
          <w:bCs w:val="false"/>
          <w:i w:val="false"/>
          <w:i w:val="false"/>
          <w:iCs w:val="false"/>
          <w:color w:val="333333"/>
          <w:sz w:val="20"/>
          <w:sz w:val="20"/>
          <w:szCs w:val="20"/>
          <w:rtl w:val="true"/>
        </w:rPr>
        <w:t xml:space="preserve">،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14126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حجوا واعتمروا تصح أجسامکم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8462</w:t>
      </w:r>
      <w:r>
        <w:rPr>
          <w:rFonts w:ascii="IRNazanin" w:hAnsi="IRNazanin" w:eastAsia="IRNazanin"/>
          <w:b w:val="false"/>
          <w:b w:val="false"/>
          <w:bCs w:val="false"/>
          <w:i w:val="false"/>
          <w:i w:val="false"/>
          <w:iCs w:val="false"/>
          <w:color w:val="333333"/>
          <w:sz w:val="20"/>
          <w:sz w:val="20"/>
          <w:szCs w:val="20"/>
          <w:rtl w:val="true"/>
        </w:rPr>
        <w:t xml:space="preserve">،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12701</w:t>
      </w:r>
      <w:r>
        <w:rPr>
          <w:rFonts w:ascii="IRNazanin" w:hAnsi="IRNazanin" w:eastAsia="IRNazanin"/>
          <w:b w:val="false"/>
          <w:b w:val="false"/>
          <w:bCs w:val="false"/>
          <w:i w:val="false"/>
          <w:i w:val="false"/>
          <w:iCs w:val="false"/>
          <w:color w:val="333333"/>
          <w:sz w:val="20"/>
          <w:sz w:val="20"/>
          <w:szCs w:val="20"/>
          <w:rtl w:val="true"/>
        </w:rPr>
        <w:t xml:space="preserve">،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استوی یوماه فهو مغبون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العون علی تقوی الله الغنی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تفقهوا وإلا انتم أعراب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المقطع</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المقطع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الزارعون کنوز الله فی أرضه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أوصیکما بتقوی الله ونظم أمرکم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أشعر قلبک الرحمة للرعیة والمحبة لهم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2.jpeg"/><Relationship Id="rId28" Type="http://schemas.openxmlformats.org/officeDocument/2006/relationships/image" Target="media/image2.jpeg"/><Relationship Id="rId29" Type="http://schemas.openxmlformats.org/officeDocument/2006/relationships/footer" Target="footer22.xml"/><Relationship Id="rId30" Type="http://schemas.openxmlformats.org/officeDocument/2006/relationships/footnotes" Target="footnotes.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Pages>
  <Words>3004</Words>
  <Characters>14193</Characters>
  <CharactersWithSpaces>17003</CharactersWithSpaces>
  <Paragraphs>378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2026-08-16T10:55:28Z</dcterms:created>
  <dc:creator>ghaemiyeh.com</dc:creator>
  <dc:description/>
  <dc:language>en-US</dc:language>
  <cp:lastModifiedBy/>
  <dcterms:modified xsi:type="dcterms:W3CDTF">2026-08-16T14:25:29Z</dcterms:modified>
  <cp:revision>1</cp:revision>
  <dc:subject/>
  <dc:title>الشیعه و الشریعه</dc:title>
</cp:coreProperties>
</file>

<file path=docProps/custom.xml><?xml version="1.0" encoding="utf-8"?>
<Properties xmlns="http://schemas.openxmlformats.org/officeDocument/2006/custom-properties" xmlns:vt="http://schemas.openxmlformats.org/officeDocument/2006/docPropsVTypes"/>
</file>