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الاحکام الشرعیة ثابتة لا تتغیر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5202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5204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5206_373438147">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975208_37343814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975210_373438147">
            <w:r>
              <w:rPr>
                <w:webHidden/>
                <w:rStyle w:val="IndexLink"/>
                <w:rtl w:val="true"/>
              </w:rPr>
              <w:t>الإسلام دين إلهيّ عالميّ لجميع العصور</w:t>
            </w:r>
            <w:r>
              <w:rPr>
                <w:rStyle w:val="IndexLink"/>
                <w:rtl w:val="true"/>
              </w:rPr>
              <w:tab/>
            </w:r>
            <w:r>
              <w:rPr>
                <w:rStyle w:val="IndexLink"/>
              </w:rPr>
              <w:t>9</w:t>
            </w:r>
          </w:hyperlink>
        </w:p>
        <w:p>
          <w:pPr>
            <w:pStyle w:val="Contents2"/>
            <w:tabs>
              <w:tab w:val="clear" w:pos="8743"/>
              <w:tab w:val="right" w:pos="9026" w:leader="dot"/>
            </w:tabs>
            <w:rPr/>
          </w:pPr>
          <w:hyperlink w:anchor="__RefHeading___Toc975212_373438147">
            <w:r>
              <w:rPr>
                <w:webHidden/>
                <w:rStyle w:val="IndexLink"/>
                <w:rtl w:val="true"/>
              </w:rPr>
              <w:t>الأمر الأوّل</w:t>
            </w:r>
            <w:r>
              <w:rPr>
                <w:rStyle w:val="IndexLink"/>
                <w:rtl w:val="true"/>
              </w:rPr>
              <w:t xml:space="preserve">: </w:t>
            </w:r>
            <w:r>
              <w:rPr>
                <w:rStyle w:val="IndexLink"/>
                <w:rtl w:val="true"/>
              </w:rPr>
              <w:t>الخلط بين الحكم الشرعي والفتوى</w:t>
            </w:r>
            <w:r>
              <w:rPr>
                <w:rStyle w:val="IndexLink"/>
                <w:rtl w:val="true"/>
              </w:rPr>
              <w:tab/>
            </w:r>
            <w:r>
              <w:rPr>
                <w:rStyle w:val="IndexLink"/>
              </w:rPr>
              <w:t>16</w:t>
            </w:r>
          </w:hyperlink>
        </w:p>
        <w:p>
          <w:pPr>
            <w:pStyle w:val="Contents2"/>
            <w:tabs>
              <w:tab w:val="clear" w:pos="8743"/>
              <w:tab w:val="right" w:pos="9026" w:leader="dot"/>
            </w:tabs>
            <w:rPr/>
          </w:pPr>
          <w:hyperlink w:anchor="__RefHeading___Toc975214_373438147">
            <w:r>
              <w:rPr>
                <w:webHidden/>
                <w:rStyle w:val="IndexLink"/>
                <w:rtl w:val="true"/>
              </w:rPr>
              <w:t>الأمر الثاني</w:t>
            </w:r>
            <w:r>
              <w:rPr>
                <w:rStyle w:val="IndexLink"/>
                <w:rtl w:val="true"/>
              </w:rPr>
              <w:t xml:space="preserve">: </w:t>
            </w:r>
            <w:r>
              <w:rPr>
                <w:rStyle w:val="IndexLink"/>
                <w:rtl w:val="true"/>
              </w:rPr>
              <w:t>التفصيل بين الأحكام في الثبات والتغيُّر</w:t>
            </w:r>
            <w:r>
              <w:rPr>
                <w:rStyle w:val="IndexLink"/>
                <w:rtl w:val="true"/>
              </w:rPr>
              <w:tab/>
            </w:r>
            <w:r>
              <w:rPr>
                <w:rStyle w:val="IndexLink"/>
              </w:rPr>
              <w:t>20</w:t>
            </w:r>
          </w:hyperlink>
        </w:p>
        <w:p>
          <w:pPr>
            <w:pStyle w:val="Contents2"/>
            <w:tabs>
              <w:tab w:val="clear" w:pos="8743"/>
              <w:tab w:val="right" w:pos="9026" w:leader="dot"/>
            </w:tabs>
            <w:rPr/>
          </w:pPr>
          <w:hyperlink w:anchor="__RefHeading___Toc975216_373438147">
            <w:r>
              <w:rPr>
                <w:webHidden/>
                <w:rStyle w:val="IndexLink"/>
                <w:rtl w:val="true"/>
              </w:rPr>
              <w:t>الأمر الثالث</w:t>
            </w:r>
            <w:r>
              <w:rPr>
                <w:rStyle w:val="IndexLink"/>
                <w:rtl w:val="true"/>
              </w:rPr>
              <w:t xml:space="preserve">: </w:t>
            </w:r>
            <w:r>
              <w:rPr>
                <w:rStyle w:val="IndexLink"/>
                <w:rtl w:val="true"/>
              </w:rPr>
              <w:t>أحكام المعاملات</w:t>
            </w:r>
            <w:r>
              <w:rPr>
                <w:rStyle w:val="IndexLink"/>
                <w:rtl w:val="true"/>
              </w:rPr>
              <w:tab/>
            </w:r>
            <w:r>
              <w:rPr>
                <w:rStyle w:val="IndexLink"/>
              </w:rPr>
              <w:t>24</w:t>
            </w:r>
          </w:hyperlink>
        </w:p>
        <w:p>
          <w:pPr>
            <w:pStyle w:val="Contents2"/>
            <w:tabs>
              <w:tab w:val="clear" w:pos="8743"/>
              <w:tab w:val="right" w:pos="9026" w:leader="dot"/>
            </w:tabs>
            <w:rPr/>
          </w:pPr>
          <w:hyperlink w:anchor="__RefHeading___Toc975218_373438147">
            <w:r>
              <w:rPr>
                <w:webHidden/>
                <w:rStyle w:val="IndexLink"/>
                <w:rtl w:val="true"/>
              </w:rPr>
              <w:t>الأمر الرابع</w:t>
            </w:r>
            <w:r>
              <w:rPr>
                <w:rStyle w:val="IndexLink"/>
                <w:rtl w:val="true"/>
              </w:rPr>
              <w:t xml:space="preserve">: </w:t>
            </w:r>
            <w:r>
              <w:rPr>
                <w:rStyle w:val="IndexLink"/>
                <w:rtl w:val="true"/>
              </w:rPr>
              <w:t>هل أنّ أحكام المعاملات إلهية، أو اجتهادات من الرسول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w:t>
            </w:r>
            <w:r>
              <w:rPr>
                <w:rStyle w:val="IndexLink"/>
                <w:rtl w:val="true"/>
              </w:rPr>
              <w:tab/>
            </w:r>
            <w:r>
              <w:rPr>
                <w:rStyle w:val="IndexLink"/>
              </w:rPr>
              <w:t>32</w:t>
            </w:r>
          </w:hyperlink>
        </w:p>
        <w:p>
          <w:pPr>
            <w:pStyle w:val="Contents2"/>
            <w:tabs>
              <w:tab w:val="clear" w:pos="8743"/>
              <w:tab w:val="right" w:pos="9026" w:leader="dot"/>
            </w:tabs>
            <w:rPr/>
          </w:pPr>
          <w:hyperlink w:anchor="__RefHeading___Toc975220_373438147">
            <w:r>
              <w:rPr>
                <w:webHidden/>
                <w:rStyle w:val="IndexLink"/>
                <w:rtl w:val="true"/>
              </w:rPr>
              <w:t>الأمر الخامس</w:t>
            </w:r>
            <w:r>
              <w:rPr>
                <w:rStyle w:val="IndexLink"/>
                <w:rtl w:val="true"/>
              </w:rPr>
              <w:t xml:space="preserve">: </w:t>
            </w:r>
            <w:r>
              <w:rPr>
                <w:rStyle w:val="IndexLink"/>
                <w:rtl w:val="true"/>
              </w:rPr>
              <w:t>النبيّ والاجتهاد</w:t>
            </w:r>
            <w:r>
              <w:rPr>
                <w:rStyle w:val="IndexLink"/>
                <w:rtl w:val="true"/>
              </w:rPr>
              <w:tab/>
            </w:r>
            <w:r>
              <w:rPr>
                <w:rStyle w:val="IndexLink"/>
              </w:rPr>
              <w:t>40</w:t>
            </w:r>
          </w:hyperlink>
        </w:p>
        <w:p>
          <w:pPr>
            <w:pStyle w:val="Contents2"/>
            <w:tabs>
              <w:tab w:val="clear" w:pos="8743"/>
              <w:tab w:val="right" w:pos="9026" w:leader="dot"/>
            </w:tabs>
            <w:rPr/>
          </w:pPr>
          <w:hyperlink w:anchor="__RefHeading___Toc975222_373438147">
            <w:r>
              <w:rPr>
                <w:webHidden/>
                <w:rStyle w:val="IndexLink"/>
                <w:rtl w:val="true"/>
              </w:rPr>
              <w:t>الأمر السادس</w:t>
            </w:r>
            <w:r>
              <w:rPr>
                <w:rStyle w:val="IndexLink"/>
                <w:rtl w:val="true"/>
              </w:rPr>
              <w:t xml:space="preserve">: </w:t>
            </w:r>
            <w:r>
              <w:rPr>
                <w:rStyle w:val="IndexLink"/>
                <w:rtl w:val="true"/>
              </w:rPr>
              <w:t>الأحكام کلّيتها وجزئيتها</w:t>
            </w:r>
            <w:r>
              <w:rPr>
                <w:rStyle w:val="IndexLink"/>
                <w:rtl w:val="true"/>
              </w:rPr>
              <w:tab/>
            </w:r>
            <w:r>
              <w:rPr>
                <w:rStyle w:val="IndexLink"/>
              </w:rPr>
              <w:t>44</w:t>
            </w:r>
          </w:hyperlink>
        </w:p>
        <w:p>
          <w:pPr>
            <w:pStyle w:val="Contents2"/>
            <w:tabs>
              <w:tab w:val="clear" w:pos="8743"/>
              <w:tab w:val="right" w:pos="9026" w:leader="dot"/>
            </w:tabs>
            <w:rPr/>
          </w:pPr>
          <w:hyperlink w:anchor="__RefHeading___Toc975224_373438147">
            <w:r>
              <w:rPr>
                <w:webHidden/>
                <w:rStyle w:val="IndexLink"/>
                <w:rtl w:val="true"/>
              </w:rPr>
              <w:t>الأمر السابع</w:t>
            </w:r>
            <w:r>
              <w:rPr>
                <w:rStyle w:val="IndexLink"/>
                <w:rtl w:val="true"/>
              </w:rPr>
              <w:t xml:space="preserve">: </w:t>
            </w:r>
            <w:r>
              <w:rPr>
                <w:rStyle w:val="IndexLink"/>
                <w:rtl w:val="true"/>
              </w:rPr>
              <w:t>فتاوى السابقين لا حصانة لها</w:t>
            </w:r>
            <w:r>
              <w:rPr>
                <w:rStyle w:val="IndexLink"/>
                <w:rtl w:val="true"/>
              </w:rPr>
              <w:tab/>
            </w:r>
            <w:r>
              <w:rPr>
                <w:rStyle w:val="IndexLink"/>
              </w:rPr>
              <w:t>46</w:t>
            </w:r>
          </w:hyperlink>
        </w:p>
        <w:p>
          <w:pPr>
            <w:pStyle w:val="Contents2"/>
            <w:tabs>
              <w:tab w:val="clear" w:pos="8743"/>
              <w:tab w:val="right" w:pos="9026" w:leader="dot"/>
            </w:tabs>
            <w:rPr/>
          </w:pPr>
          <w:hyperlink w:anchor="__RefHeading___Toc975226_373438147">
            <w:r>
              <w:rPr>
                <w:webHidden/>
                <w:rStyle w:val="IndexLink"/>
                <w:rtl w:val="true"/>
              </w:rPr>
              <w:t>الأمر الثامن</w:t>
            </w:r>
            <w:r>
              <w:rPr>
                <w:rStyle w:val="IndexLink"/>
                <w:rtl w:val="true"/>
              </w:rPr>
              <w:t xml:space="preserve">: </w:t>
            </w:r>
            <w:r>
              <w:rPr>
                <w:rStyle w:val="IndexLink"/>
                <w:rtl w:val="true"/>
              </w:rPr>
              <w:t>الآراء والأحكام البشرية</w:t>
            </w:r>
            <w:r>
              <w:rPr>
                <w:rStyle w:val="IndexLink"/>
                <w:rtl w:val="true"/>
              </w:rPr>
              <w:tab/>
            </w:r>
            <w:r>
              <w:rPr>
                <w:rStyle w:val="IndexLink"/>
              </w:rPr>
              <w:t>48</w:t>
            </w:r>
          </w:hyperlink>
        </w:p>
        <w:p>
          <w:pPr>
            <w:pStyle w:val="Contents2"/>
            <w:tabs>
              <w:tab w:val="clear" w:pos="8743"/>
              <w:tab w:val="right" w:pos="9026" w:leader="dot"/>
            </w:tabs>
            <w:rPr/>
          </w:pPr>
          <w:hyperlink w:anchor="__RefHeading___Toc975228_373438147">
            <w:r>
              <w:rPr>
                <w:webHidden/>
                <w:rStyle w:val="IndexLink"/>
                <w:rtl w:val="true"/>
              </w:rPr>
              <w:t>الأمر التاسع</w:t>
            </w:r>
            <w:r>
              <w:rPr>
                <w:rStyle w:val="IndexLink"/>
                <w:rtl w:val="true"/>
              </w:rPr>
              <w:t xml:space="preserve">: </w:t>
            </w:r>
            <w:r>
              <w:rPr>
                <w:rStyle w:val="IndexLink"/>
                <w:rtl w:val="true"/>
              </w:rPr>
              <w:t>باب الاجتهاد مفتوح للجميع إلی يوم القيامة</w:t>
            </w:r>
            <w:r>
              <w:rPr>
                <w:rStyle w:val="IndexLink"/>
                <w:rtl w:val="true"/>
              </w:rPr>
              <w:tab/>
            </w:r>
            <w:r>
              <w:rPr>
                <w:rStyle w:val="IndexLink"/>
              </w:rPr>
              <w:t>50</w:t>
            </w:r>
          </w:hyperlink>
        </w:p>
        <w:p>
          <w:pPr>
            <w:pStyle w:val="Contents2"/>
            <w:tabs>
              <w:tab w:val="clear" w:pos="8743"/>
              <w:tab w:val="right" w:pos="9026" w:leader="dot"/>
            </w:tabs>
            <w:rPr/>
          </w:pPr>
          <w:hyperlink w:anchor="__RefHeading___Toc975230_373438147">
            <w:r>
              <w:rPr>
                <w:webHidden/>
                <w:rStyle w:val="IndexLink"/>
                <w:rtl w:val="true"/>
              </w:rPr>
              <w:t>الأمر العاشر</w:t>
            </w:r>
            <w:r>
              <w:rPr>
                <w:rStyle w:val="IndexLink"/>
                <w:rtl w:val="true"/>
              </w:rPr>
              <w:t xml:space="preserve">: </w:t>
            </w:r>
            <w:r>
              <w:rPr>
                <w:rStyle w:val="IndexLink"/>
                <w:rtl w:val="true"/>
              </w:rPr>
              <w:t>الأحكام الحكومية</w:t>
            </w:r>
            <w:r>
              <w:rPr>
                <w:rStyle w:val="IndexLink"/>
                <w:rtl w:val="true"/>
              </w:rPr>
              <w:tab/>
            </w:r>
            <w:r>
              <w:rPr>
                <w:rStyle w:val="IndexLink"/>
              </w:rPr>
              <w:t>54</w:t>
            </w:r>
          </w:hyperlink>
        </w:p>
        <w:p>
          <w:pPr>
            <w:pStyle w:val="Contents2"/>
            <w:tabs>
              <w:tab w:val="clear" w:pos="8743"/>
              <w:tab w:val="right" w:pos="9026" w:leader="dot"/>
            </w:tabs>
            <w:rPr/>
          </w:pPr>
          <w:hyperlink w:anchor="__RefHeading___Toc975232_373438147">
            <w:r>
              <w:rPr>
                <w:webHidden/>
                <w:rStyle w:val="IndexLink"/>
                <w:rtl w:val="true"/>
              </w:rPr>
              <w:t>الأمر الحادي عشر</w:t>
            </w:r>
            <w:r>
              <w:rPr>
                <w:rStyle w:val="IndexLink"/>
                <w:rtl w:val="true"/>
              </w:rPr>
              <w:t xml:space="preserve">: </w:t>
            </w:r>
            <w:r>
              <w:rPr>
                <w:rStyle w:val="IndexLink"/>
                <w:rtl w:val="true"/>
              </w:rPr>
              <w:t>بعض الأمثلة في الفتاوى والأحكام الإلهيّة</w:t>
            </w:r>
            <w:r>
              <w:rPr>
                <w:rStyle w:val="IndexLink"/>
                <w:rtl w:val="true"/>
              </w:rPr>
              <w:tab/>
            </w:r>
            <w:r>
              <w:rPr>
                <w:rStyle w:val="IndexLink"/>
              </w:rPr>
              <w:t>56</w:t>
            </w:r>
          </w:hyperlink>
        </w:p>
        <w:p>
          <w:pPr>
            <w:pStyle w:val="Contents2"/>
            <w:tabs>
              <w:tab w:val="clear" w:pos="8743"/>
              <w:tab w:val="right" w:pos="9026" w:leader="dot"/>
            </w:tabs>
            <w:rPr/>
          </w:pPr>
          <w:hyperlink w:anchor="__RefHeading___Toc975234_373438147">
            <w:r>
              <w:rPr>
                <w:webHidden/>
                <w:rStyle w:val="IndexLink"/>
                <w:rtl w:val="true"/>
              </w:rPr>
              <w:t>مصادر التحقیق</w:t>
            </w:r>
            <w:r>
              <w:rPr>
                <w:rStyle w:val="IndexLink"/>
                <w:rtl w:val="true"/>
              </w:rPr>
              <w:tab/>
            </w:r>
            <w:r>
              <w:rPr>
                <w:rStyle w:val="IndexLink"/>
              </w:rPr>
              <w:t>62</w:t>
            </w:r>
          </w:hyperlink>
        </w:p>
        <w:p>
          <w:pPr>
            <w:pStyle w:val="Contents2"/>
            <w:tabs>
              <w:tab w:val="clear" w:pos="8743"/>
              <w:tab w:val="right" w:pos="9026" w:leader="dot"/>
            </w:tabs>
            <w:rPr/>
          </w:pPr>
          <w:hyperlink w:anchor="__RefHeading___Toc975236_373438147">
            <w:r>
              <w:rPr>
                <w:webHidden/>
                <w:rStyle w:val="IndexLink"/>
                <w:rtl w:val="true"/>
              </w:rPr>
              <w:t>الفهرس</w:t>
            </w:r>
            <w:r>
              <w:rPr>
                <w:rStyle w:val="IndexLink"/>
                <w:rtl w:val="true"/>
              </w:rPr>
              <w:tab/>
            </w:r>
            <w:r>
              <w:rPr>
                <w:rStyle w:val="IndexLink"/>
              </w:rPr>
              <w:t>67</w:t>
            </w:r>
          </w:hyperlink>
        </w:p>
        <w:p>
          <w:pPr>
            <w:pStyle w:val="Contents2"/>
            <w:tabs>
              <w:tab w:val="clear" w:pos="8743"/>
              <w:tab w:val="right" w:pos="9026" w:leader="dot"/>
            </w:tabs>
            <w:rPr/>
          </w:pPr>
          <w:hyperlink w:anchor="__RefHeading___Toc975238_373438147">
            <w:r>
              <w:rPr>
                <w:webHidden/>
                <w:rStyle w:val="IndexLink"/>
                <w:rtl w:val="true"/>
              </w:rPr>
              <w:t>آثار سماحة آية الله العظمى الصافي الگلپايگاني مدّ ظلّه الوارف</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0_8183"/>
      <w:bookmarkStart w:id="1" w:name="pg970_8183"/>
      <w:bookmarkEnd w:id="1"/>
    </w:p>
    <w:p>
      <w:pPr>
        <w:pStyle w:val="Heading2"/>
        <w:numPr>
          <w:ilvl w:val="1"/>
          <w:numId w:val="1"/>
        </w:numPr>
        <w:rPr/>
      </w:pPr>
      <w:bookmarkStart w:id="2" w:name="pg970_8183"/>
      <w:bookmarkStart w:id="3" w:name="__RefHeading___Toc975202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الشرعیه ثابته لاتتغیر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 الله صافی گلپایگانی دام ظله،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کریم،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Law and legislation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4605282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5204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الأحکام الشرعیة</w:t>
      </w:r>
    </w:p>
    <w:p>
      <w:pPr>
        <w:pStyle w:val="BookText"/>
        <w:rPr/>
      </w:pPr>
      <w:r>
        <w:rPr>
          <w:rFonts w:ascii="IRNazanin" w:hAnsi="IRNazanin" w:eastAsia="IRNazanin"/>
          <w:color w:val="111111"/>
          <w:sz w:val="28"/>
          <w:sz w:val="28"/>
          <w:szCs w:val="28"/>
          <w:rtl w:val="true"/>
          <w:lang w:bidi="fa-IR"/>
        </w:rPr>
        <w:t>ثابتة لا تتغیّر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الفقیه الکبیر المرجع الدیني الأعلی سماحة آیة الله العظمی الشیخ لطف الله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bookmarkStart w:id="7" w:name="pg970_8187"/>
    </w:p>
    <w:p>
      <w:pPr>
        <w:pStyle w:val="Heading2"/>
        <w:numPr>
          <w:ilvl w:val="1"/>
          <w:numId w:val="1"/>
        </w:numPr>
        <w:rPr/>
      </w:pPr>
      <w:bookmarkStart w:id="8" w:name="__RefHeading___Toc975206_373438147"/>
      <w:bookmarkStart w:id="9" w:name="_Toc3"/>
      <w:bookmarkEnd w:id="7"/>
      <w:bookmarkEnd w:id="8"/>
      <w:r>
        <w:rPr>
          <w:rtl w:val="true"/>
        </w:rPr>
        <w:t>المقدّمة</w:t>
      </w:r>
      <w:bookmarkEnd w:id="9"/>
    </w:p>
    <w:p>
      <w:pPr>
        <w:pStyle w:val="Heading3"/>
        <w:numPr>
          <w:ilvl w:val="2"/>
          <w:numId w:val="1"/>
        </w:numPr>
        <w:rPr/>
      </w:pPr>
      <w:bookmarkStart w:id="10" w:name="__RefHeading___Toc975208_37343814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جعل دين الإسلام خاتم الشرائع والأديان، وضمن صيانة أحكامه عن النسخ والتغيير في جمیع الأدوار والأزمان، والصلاة والسلام على خير من أرسله لهداية نوع الإنسان، سيّدنا أبي القاسم محمّد المنزل عليه القرآن، وعلى آله الطيّبين الطاهرين اُمناء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هل عسى رجل يبلغه الحديثُ عنّي وهو متّكِئٌ </w:t>
      </w:r>
      <w:bookmarkStart w:id="12" w:name="pg970_8188"/>
    </w:p>
    <w:p>
      <w:pPr>
        <w:pStyle w:val="BookText"/>
        <w:rPr/>
      </w:pPr>
      <w:bookmarkEnd w:id="12"/>
      <w:r>
        <w:rPr>
          <w:rFonts w:ascii="IRNazanin" w:hAnsi="IRNazanin" w:eastAsia="IRNazanin"/>
          <w:color w:val="111111"/>
          <w:sz w:val="28"/>
          <w:sz w:val="28"/>
          <w:szCs w:val="28"/>
          <w:rtl w:val="true"/>
          <w:lang w:bidi="fa-IR"/>
        </w:rPr>
        <w:t>علی أريكَتِه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بيننا وبينكم كتابُ الله فما وجدنا فيه حلالاً استحللناه، وما وجدنا فيه حراماً حرّمناه، وإنّ ما حرّم رسول الله كما حرَّم الله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عند ابن عبّاس الضبّ، فقال رجل من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يحلِّه ولم يحرّمه،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تقولون، إنّما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محلّلاً ومحرّماً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975210_373438147"/>
      <w:bookmarkStart w:id="14" w:name="_Toc5"/>
      <w:bookmarkEnd w:id="13"/>
      <w:r>
        <w:rPr>
          <w:rtl w:val="true"/>
        </w:rPr>
        <w:t>الإسلام دين إلهيّ عالميّ لجميع العصور</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الاُمور الّتي لا ريب فيها والّتي اتّفق عليها المسلمون، ودلَّت عليها البراهين المحكمة العقلية والسمعية أنّ الإسلام دينٌ عالميٌّ لنوع الإنسان كافّة، ولجميع الأعصار والأزمان، وأنّه أقوم الأديان وأوضحها، وأوسط الطرق وأشملها، وأنّه صالحٌ لإدارة المجتمع الإنساني دائماً، فکلّما يمضي عليه الزمان لا تسبقه الحضارات والمدنيّات، ولا يتأخّر عن العلم والتكنيك، فهو يقود البشرية ويهديها إلی الرشد والكمال، فلا يوجد باب إلی خير الإنسان وفلاحه وسعادته، إلّا وقد </w:t>
      </w:r>
    </w:p>
    <w:p>
      <w:pPr>
        <w:pStyle w:val="BookText"/>
        <w:rPr/>
      </w:pPr>
      <w:r>
        <w:rPr>
          <w:rFonts w:ascii="IRNazanin" w:hAnsi="IRNazanin" w:eastAsia="IRNazanin"/>
          <w:color w:val="111111"/>
          <w:sz w:val="28"/>
          <w:sz w:val="28"/>
          <w:szCs w:val="28"/>
          <w:rtl w:val="true"/>
          <w:lang w:bidi="fa-IR"/>
        </w:rPr>
        <w:t>فتحه عليه، ولا يوجد باب يؤدّي إلی الشقاء والبوار والتبار، إلّا وقد أغلقه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تكفّل وشمل بسعة تعاليمه وأحكامه وشرائعه جميع ما يحتاج إلیه البشر من النظم المادّيّة والمعنوية، والروحية والجسمية، والفردية والاجتماعية، وغيرها ممّا هو مبيّن بالكتاب والسنّة، فقد أنزله الله تعالى ليكون دين الجميع ودين العالم کلّه، ودين الأزمنة والأعصار کلّها، ورفع به جميع ما يمنع الإنسان عن الرُّقيّ والتقدّم السليم الحكيم، وحرّر به الإنسان عن رقّيّته السيّئة المخزية، وأخرجه من ذلّ عبادة الطواغيت المستكبرين وحكومة الجبّارين، وأدخله في عزّ حكومة الله تعالى خالق الكون وربّ العالمين، وهتف به وناداه أنّه لا فضل لعربيّ على عجمي، وأنّ کلّ الناس عالمهم وجاهلهم، غنيّهم وفقيرهم، قويّهم وضعيفهم أمام الحقّ سواء، وأنّ أكرمهم عند الله أتقاهم، وأنّ الدار الآخرة للّذين لا يريدون علوّا في الأرض ولا فساداً والعاقبة للمتّقين، وأنّ الله يأمر بالعدل والإحسان وإيتاء ذي القربى، وينهى عن الفحشاء والمنكر والبغي</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قَبَسٌ قَليلٌ من الإسلام الّذي ختم الله به الأديان، دين الله الخاتم، دين الفطرة ودين الحياة، دين العلم والعدل والإنصاف وكرائم </w:t>
      </w:r>
    </w:p>
    <w:p>
      <w:pPr>
        <w:pStyle w:val="BookText"/>
        <w:rPr/>
      </w:pPr>
      <w:r>
        <w:rPr>
          <w:rFonts w:ascii="IRNazanin" w:hAnsi="IRNazanin" w:eastAsia="IRNazanin"/>
          <w:color w:val="111111"/>
          <w:sz w:val="28"/>
          <w:sz w:val="28"/>
          <w:szCs w:val="28"/>
          <w:rtl w:val="true"/>
          <w:lang w:bidi="fa-IR"/>
        </w:rPr>
        <w:t>الأخلاق، دينٌ کلّه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العقيدة الصحيحة الخالصة من الخرافات، نظام الآداب الحسنة، نظام العبادة لله تعالى، نظام الحكومة والسياسة، نظام المال والاقتصاد، نظام الزواج والعائلة والأحوال الشخصية، نظام التعليم والتربية الرشيدة، نظام القضاء وفصل الخصومات، نظام الحقوق والمعاملات، نظام الصلح والحرب، ونظام کلّ الاُمور، فهو عقيدةٌ وشريعةٌ، وسياسةٌ وحكومة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لا ينسخ ولا يزول ولا يتغيّر أبداً؛ لأنّ الله تعالى ختم به وبالمرسل به سيّدنا وسيّد الخلق أجمعين، وسيّد الأنبياء والمرسلين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النبوّات والرسالات، فلا شريعة بعده ولا كتاب ولا نبوَّة، ومن يبتغ غير الإسلام ديناً فلن يقبل منه، وهو في الآخرة من الخاسرين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أنّ معنى خاتمية الدين بقاء أحكامه الخمسة من الكراهة والندب والإباحة والوجوب والاستحباب، وأحكامه سواء کانت أحكام موضوعات بعناوينها الأوّلية مثل حرمة أکل الميتة، أو بعناوينها الثانوية مثل جواز أکل الميتة في حال الاضطرار، وسواء كانت من الأحكام الظاهرية أو الواقعية، على ما بُيِّن تعريفها في علم اُصول الفقة، وهكذا أحكامه الوضعية كالزوجية والملكية والولاية والحكومة </w:t>
      </w:r>
    </w:p>
    <w:p>
      <w:pPr>
        <w:pStyle w:val="BookText"/>
        <w:rPr/>
      </w:pPr>
      <w:r>
        <w:rPr>
          <w:rFonts w:ascii="IRNazanin" w:hAnsi="IRNazanin" w:eastAsia="IRNazanin"/>
          <w:color w:val="111111"/>
          <w:sz w:val="28"/>
          <w:sz w:val="28"/>
          <w:szCs w:val="28"/>
          <w:rtl w:val="true"/>
          <w:lang w:bidi="fa-IR"/>
        </w:rPr>
        <w:t>وغيرها، سواء قلنا بأنّ الوضعية منها متأصّلة بالتشريع والجعل الإلهي، أو منتزعة من الحكم التکليفي الشرعي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الأحكام بجملتها وبکلّ واحد منها مصونةٌ عن التغيير والتبديل، فلا تنالها يد الإنسان كائناً من کان بتغيير ولا تبديل، لا لأنّها أحكام خالدة حَكَم الله تعالى بخلودها وبقائها ما بقي من الإنسان كائن حيّ فحسب، بل لأنّها مضافاً إلی ذلك ليس لغير الله تعالى على أساس الإیمان بالتوحيد وبصفات الله الكمالية الّتي هو سبحانه متفرّد بها صلاحية التشريع والحكم والولاية على غيره، بل وعلى نفسه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فالنظام المؤمن بالله تعالى لا يعدل عن أحكام الله تعالى، ولا يرى لشعبه ولا لقيادته حقّ التشريع، ولا يتّخذ حاكماً ووليّاً من دون الله، بل يقدّس الله وينزّهه عن أن يكون له شريك في الحاكمية والمشرِّعية، وذلك بخلاف مبادئ الأنظمة المشركة الملحدة، الّتي من مبادئها أنّ الحكومة ووضع القوانين والأنظمة حقّ للشعب والأكثرية دون الله تعالى، ولا فرق بينها وبين حكومات الطواغيت الماضية والأنظمة المَلكية المطلقة في الشرك ونفي حاكمية الله تعالى، إلّا أنّ هؤلاء المؤمنین بالديمقراطية يرون الحاكمية والاستبداد بالأمر، وتشريع البرامج والنظم السياسية والقضائية وغيرها حقّاً للشعب والناس، والحكومات الديكتاتورية </w:t>
      </w:r>
    </w:p>
    <w:p>
      <w:pPr>
        <w:pStyle w:val="BookText"/>
        <w:rPr/>
      </w:pPr>
      <w:r>
        <w:rPr>
          <w:rFonts w:ascii="IRNazanin" w:hAnsi="IRNazanin" w:eastAsia="IRNazanin"/>
          <w:color w:val="111111"/>
          <w:sz w:val="28"/>
          <w:sz w:val="28"/>
          <w:szCs w:val="28"/>
          <w:rtl w:val="true"/>
          <w:lang w:bidi="fa-IR"/>
        </w:rPr>
        <w:t>الطاغوتية تراها للديكتاتور الطاغوت، فهذه حكومة طاغوتية جَماعية خارجة عن حكومة الله تعالى، وهذه حكومة طاغوتية استبدادية فردية، وکلّ منهما ليست من الحكومات الشرعية المؤمنة بالله تعالى وحكومته وأحكامه وشرائعه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عليك أنّ صيانة الأحكام الإلهية عن تصرّف أفراد البشر بالنسخ والتغيير والتبديل خصيصة عامّة لجميع الشرائع والأديان السماوية، فلا ولاية لأحد على تغيير حكم من أحكام الله، نعم عدم جواز نسخ الأحكام من جانب الله تعالى كما في الشرائع السابقة خصيصة اختصّ بها دين الإسلام؛ لأنّه خاتم الأديان والشرائع، وأفضلها وأقومها، فلا نبوّة ولا نبيّ بعده كما جاء في الخبر المتواتر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w:t>
      </w:r>
    </w:p>
    <w:p>
      <w:pPr>
        <w:pStyle w:val="BookText"/>
        <w:rPr/>
      </w:pPr>
      <w:r>
        <w:rPr>
          <w:rFonts w:ascii="Amiri" w:hAnsi="Amiri" w:eastAsia="Amiri" w:cs="Amiri"/>
          <w:color w:val="111111"/>
          <w:sz w:val="28"/>
          <w:sz w:val="28"/>
          <w:szCs w:val="28"/>
          <w:rtl w:val="true"/>
          <w:lang w:bidi="ar-SA"/>
        </w:rPr>
        <w:t>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نُبُوَّةَ بَعْدِي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والخاتمية سرّها وباطنها وعلّتها أكملية الدين، فالدين الخاتم، يجب أن </w:t>
      </w:r>
    </w:p>
    <w:p>
      <w:pPr>
        <w:pStyle w:val="BookText"/>
        <w:rPr/>
      </w:pPr>
      <w:r>
        <w:rPr>
          <w:rFonts w:ascii="IRNazanin" w:hAnsi="IRNazanin" w:eastAsia="IRNazanin"/>
          <w:color w:val="111111"/>
          <w:sz w:val="28"/>
          <w:sz w:val="28"/>
          <w:szCs w:val="28"/>
          <w:rtl w:val="true"/>
          <w:lang w:bidi="fa-IR"/>
        </w:rPr>
        <w:t>يكون أكمل الأديان، كما أنّ الأكمل لابدّ وأن يكون الخاتم؛ لأنّه نهاية الغرض والحكمة من إرسال الرسل وإنزال الكتب، فلا رسالة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فالرسالة المحمدية هي تمام الرسالات وكمالها، وجاء بها نبيّنا الأعظم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أحسن ما قيل 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أحمد نام جمله أنبياء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صد آمد نود هم پيش ما است</w:t>
      </w:r>
    </w:p>
    <w:p>
      <w:pPr>
        <w:pStyle w:val="BookText"/>
        <w:rPr/>
      </w:pPr>
      <w:r>
        <w:rPr>
          <w:rFonts w:ascii="IRNazanin" w:hAnsi="IRNazanin" w:eastAsia="IRNazanin"/>
          <w:color w:val="111111"/>
          <w:sz w:val="28"/>
          <w:sz w:val="28"/>
          <w:szCs w:val="28"/>
          <w:rtl w:val="true"/>
          <w:lang w:bidi="fa-IR"/>
        </w:rPr>
        <w:t>نعم جاء برسالته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بلغ المجتمع الإنساني بلوغه الصالح لتحمل هذه الرسالة والعمل بها، ومهما تتقدّم العلوم والمعارف، وتتقارب البلدان وتسير إلى الأمام والوحدة الاجتماعية والسياسية، يتكامل هذا البلوغ والصلاحية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وجدير بالذكر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الأساس والعقيدة عند المسلمين بأنّ الأحكام مصونة عن التغيير والتبديل، کان من أدلّ الأدلّة لردّ المتجاوزين والمتعدّين حدود الله وأحكامه، ونفي إبطال المبطلين طوال أربعة عشر قرناً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نحتفظ بهذا الأصل الأصيل، ولم ننكر على من يتخلّف عنه أو يقول باختصاصه بالنصوص القرآنية، أو باختصاصه بغير الاُمور الدنيوية والمالية، لرأينا الدين غير الدين والملّة غير الملّة، ولتلاعب أهل الأهواء والآراء في کلّ عصر بلعب جديد يوافق بزعمهم مزاج العصر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هذه التلاعبات مقالٌ نُشِر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الكويتية، العدد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ذو القعدة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يونيو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والأحكام الإسلامية بين التغيّر والثبات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الدكتور عبد المنعم النمر، نلفت أنظار الباحثين الأعزّاء إلی الاُمور التالية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الحكم الشرعي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في الثبات والتغيّر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أحكام المعاملات إلهية أو اجتهادات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کلّيّتها وجزئيّتها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السابقين لا حصانة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والأحكام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الاجتهاد مفتوح للجميع إلی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الحكومية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الأمثلة في الفتاوى والأحكام الإلهية</w:t>
      </w:r>
      <w:r>
        <w:rPr>
          <w:rFonts w:eastAsia="Amiri" w:cs="Amiri" w:ascii="Amiri" w:hAnsi="Amiri"/>
          <w:color w:val="111111"/>
          <w:sz w:val="28"/>
          <w:szCs w:val="28"/>
          <w:rtl w:val="true"/>
          <w:lang w:bidi="ar-SA"/>
        </w:rPr>
        <w:t xml:space="preserve">. </w:t>
      </w:r>
      <w:bookmarkStart w:id="15" w:name="pg970_8195"/>
    </w:p>
    <w:p>
      <w:pPr>
        <w:pStyle w:val="Heading2"/>
        <w:numPr>
          <w:ilvl w:val="1"/>
          <w:numId w:val="1"/>
        </w:numPr>
        <w:rPr/>
      </w:pPr>
      <w:bookmarkStart w:id="16" w:name="__RefHeading___Toc975212_373438147"/>
      <w:bookmarkStart w:id="17" w:name="_Toc6"/>
      <w:bookmarkEnd w:id="15"/>
      <w:bookmarkEnd w:id="16"/>
      <w:r>
        <w:rPr>
          <w:rtl w:val="true"/>
        </w:rPr>
        <w:t>الأمر الأوّل</w:t>
      </w:r>
      <w:r>
        <w:rPr>
          <w:rtl w:val="true"/>
        </w:rPr>
        <w:t xml:space="preserve">: </w:t>
      </w:r>
      <w:r>
        <w:rPr>
          <w:rtl w:val="true"/>
        </w:rPr>
        <w:t>الخلط بين الحكم الشرعي والفتوى</w:t>
      </w:r>
      <w:bookmarkEnd w:id="1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لکلّ الأحكام والفتاوى الإسلامية حصانة من تغيّرها حسب الزمان والمكان، والظروف الّتي تمرّ ببيئة المسلم ومجتمعه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 خلط بين الحكم والفتوى ولم يفرّق بينهما، مع أنّ الأحكام الشرعية لا تتغيّر وهي ثابتة باقية، وفعليتها متقوّمة بوجود موضوعاتها في الخارج، كما أنّها باقية ببقائها، سواء في ذلك أحكام الشريعة الإسلامية وأحكام الشرائع السابقة، غير أنّ الثانية قد نالتها يد النسخ دون الاُولى، فلا تنالها يد النسخ أبداً لخاتمية دين الإسلام، فلا يأتي بعده حكم جديد من السماء، وحلاله حلال إلى يوم القيامة، وحرامه حرام إلی يوم القيامة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أراد بالحكم الأحكام السلطانية الموقّتة المنشأة في موارد الضرورة وتزاحم الأحكام والّتي يدور بقاؤها مدار الضرورة الّتي أوجبتها، لصحّ ذلك؛ لأنّها بطبيعتها تقتضي التغيّر، ولكنّ الظاهر من </w:t>
      </w:r>
    </w:p>
    <w:p>
      <w:pPr>
        <w:pStyle w:val="BookText"/>
        <w:rPr/>
      </w:pPr>
      <w:r>
        <w:rPr>
          <w:rFonts w:ascii="IRNazanin" w:hAnsi="IRNazanin" w:eastAsia="IRNazanin"/>
          <w:color w:val="111111"/>
          <w:sz w:val="28"/>
          <w:sz w:val="28"/>
          <w:szCs w:val="28"/>
          <w:rtl w:val="true"/>
          <w:lang w:bidi="fa-IR"/>
        </w:rPr>
        <w:t>کلامه إرادة غير ذلك أو أعمّ من ذلك، أو القول بكون الأحكام کلّها إلّا ما کان منصوصاً عليه في القرآن من الأحكام السلطانية، فلا يكون ما صدر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الأحكام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من الحكم الأحكام القضائية فهي وإن کانت تقبل التغيير والنقض أيضاً كما هو مذكور في كتاب القضاء كما لو تبيّن للقاضي خطؤه، إلّا أنّ کلامه لا يشمل ذلك، والظاهر من کلامه نفي کلّية حصانة جميع الأحكام الشرعية عن التغيير، والقول بتغييرها في الجملة على نحو الموجبة الجزئية، ولكنّ العقل والنقل والضرورة وخاتمية الدين تدلّ على عدم جواز وقوع أيّ تغيير في الأحكام الشرعية، فلا يجمع بينها وبين الفتاوى بنفي</w:t>
      </w:r>
    </w:p>
    <w:p>
      <w:pPr>
        <w:pStyle w:val="BookText"/>
        <w:rPr/>
      </w:pPr>
      <w:r>
        <w:rPr>
          <w:rFonts w:ascii="Amiri" w:hAnsi="Amiri" w:eastAsia="Amiri" w:cs="Amiri"/>
          <w:color w:val="111111"/>
          <w:sz w:val="28"/>
          <w:sz w:val="28"/>
          <w:szCs w:val="28"/>
          <w:rtl w:val="true"/>
          <w:lang w:bidi="ar-SA"/>
        </w:rPr>
        <w:t>الحصانة عنها، والحكم بجواز تغييرها في الجملة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الفتوى الّتي هي نتيجة اجتهاد المجتهد ونظره في الأدلّة من العامّ والخاصّ، والمطلق والمقيّد، والمجمل والمبيّن، والاُصول اللفظية، والاُصول العملية وغيرها، واستنباط حكم الشرع منها فهي قابلة للتغيير، وليس من لوازمها الثبات، لعدم حصانة المجتهد من الاشتباه والخطأ في اجتهاده، فربّما يفتي المجتهد مثلاً بإطلاق أو عموم، أو بالبراءة من التکليف لعدم عثوره على مقيّد للإطلاق أو مخصّص للعموم، أو دليل على التکليف مع الفحص المتعارف، ثمّ يطّلع على </w:t>
      </w:r>
    </w:p>
    <w:p>
      <w:pPr>
        <w:pStyle w:val="BookText"/>
        <w:rPr/>
      </w:pPr>
      <w:r>
        <w:rPr>
          <w:rFonts w:ascii="IRNazanin" w:hAnsi="IRNazanin" w:eastAsia="IRNazanin"/>
          <w:color w:val="111111"/>
          <w:sz w:val="28"/>
          <w:sz w:val="28"/>
          <w:szCs w:val="28"/>
          <w:rtl w:val="true"/>
          <w:lang w:bidi="fa-IR"/>
        </w:rPr>
        <w:t>الدليل المقيّد للإطلاق، أو المخصّص للعموم، أو الدالّ على التکليف ممّا يستظهر به خطؤه وبطلان فتواه، فيرجع لا محالة عن فتواه الاُولى ويتغيّر رأيه لا من جهة أنّ الحكم الّذي أفتى به تغيّر، بل لظهور أنّ الحكم الشرعي لم يكن على ما أفتى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فالرأي الاجتهادي حيث إنّه يحصل من الظنّ المعتبر الحجّية بحكم العقل والشرع، يجب اتّباعه عمليّاً ما دام لم يكشف خلافه، أمّا لو انكشف خلافه فيؤخذ بالظنّ المعتبر الّذي قام على خلافه، وليس هذا من تغيير حكم الله في شيء، فحكم الله تعالى واحد إلّا أنّ اجتهاد المجتهد ورأيه يتغيّر إذا ظهر له خطأه وعدم إصابته حكم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الطريق الّذي يقوم عند المجتهد للوصول إلی الواقع قد يؤدّي إلیه وقد لا يؤدّي إلیه على مذهب المخطِّئة القائلين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حكم الله الواقعي للجميع من الجاهل به والعالم سواء، فللمصيب أجران وللمخطئ أجر واحد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قول المصوِّبة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أحكام الله تعالى بتعدّد ظنون المجتهدين وآرائهم تبعاً لما يقوم عندهم من الطرق، فلابدّ من القول بتحمّل الواقعة الواحدة حكمين متخالفين بسبب تخالف ظنون المجتهدين أو تغيّر ظنّ المجتهد الواحد، وهذا أيضاً غير تغيُّر حكم الله </w:t>
      </w:r>
    </w:p>
    <w:p>
      <w:pPr>
        <w:pStyle w:val="BookText"/>
        <w:rPr/>
      </w:pPr>
      <w:r>
        <w:rPr>
          <w:rFonts w:ascii="Amiri" w:hAnsi="Amiri" w:eastAsia="Amiri" w:cs="Amiri"/>
          <w:color w:val="111111"/>
          <w:sz w:val="28"/>
          <w:sz w:val="28"/>
          <w:szCs w:val="28"/>
          <w:rtl w:val="true"/>
          <w:lang w:bidi="ar-SA"/>
        </w:rPr>
        <w:t>تعالى، بل هو نظير انتفاء موضوع حكم وتحقّق موضوع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أصل مسألة التصويب محلّ إشكال؛ لاستلزامه الدور المحال، واستلزامه دخالة ظنّ المجتهد أو علمه بالحكم، في وجود الحكم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کلام في التفصيل بين الأدلّة الظنّية القائمة لتعريف أصل التکليف وبيانه، وبين الأدلّة الظنّية المبنيّة لشرائط التکليف وأجزائه، مثل شرائط الصلاة وأجزائها نفياً وإثباتاً، ذكرناه في الاُصول ولا نطيل ببيانه هنا؛ لأنّ النتيجة على کلّ صورةٍ أنّ حكم الله تعالى لا يتغيّر وإن تغيّرت فتوى المجتهد فيه</w:t>
      </w:r>
      <w:r>
        <w:rPr>
          <w:rFonts w:eastAsia="IRNazanin" w:cs="IRNazanin"/>
          <w:color w:val="111111"/>
          <w:sz w:val="28"/>
          <w:szCs w:val="28"/>
          <w:rtl w:val="true"/>
          <w:lang w:bidi="fa-IR"/>
        </w:rPr>
        <w:t xml:space="preserve">. </w:t>
      </w:r>
      <w:bookmarkStart w:id="18" w:name="pg970_8199"/>
    </w:p>
    <w:p>
      <w:pPr>
        <w:pStyle w:val="Heading2"/>
        <w:numPr>
          <w:ilvl w:val="1"/>
          <w:numId w:val="1"/>
        </w:numPr>
        <w:rPr/>
      </w:pPr>
      <w:bookmarkStart w:id="19" w:name="__RefHeading___Toc975214_373438147"/>
      <w:bookmarkStart w:id="20" w:name="_Toc7"/>
      <w:bookmarkEnd w:id="18"/>
      <w:bookmarkEnd w:id="19"/>
      <w:r>
        <w:rPr>
          <w:rtl w:val="true"/>
        </w:rPr>
        <w:t>الأمر الثاني</w:t>
      </w:r>
      <w:r>
        <w:rPr>
          <w:rtl w:val="true"/>
        </w:rPr>
        <w:t xml:space="preserve">: </w:t>
      </w:r>
      <w:r>
        <w:rPr>
          <w:rtl w:val="true"/>
        </w:rPr>
        <w:t>التفصيل بين الأحكام في الثبات والتغيُّر</w:t>
      </w:r>
      <w:bookmarkEnd w:id="20"/>
    </w:p>
    <w:p>
      <w:pPr>
        <w:pStyle w:val="BookText"/>
        <w:rPr/>
      </w:pPr>
      <w:r>
        <w:rPr>
          <w:rFonts w:ascii="Amiri" w:hAnsi="Amiri" w:eastAsia="Amiri" w:cs="Amiri"/>
          <w:color w:val="111111"/>
          <w:sz w:val="28"/>
          <w:sz w:val="28"/>
          <w:szCs w:val="28"/>
          <w:rtl w:val="true"/>
          <w:lang w:bidi="ar-SA"/>
        </w:rPr>
        <w:t>فصَّل الكاتب بين الأحكام العبادية المنصوص عليها في الكتاب والسنّة، وبين الأحكام الدنيوية المتعلّقة بالمعاملات والتصرّفات الحياتية المنصوص عليها في الكتاب والسنّة، مثل حلِّ البيع وتحريم الربا وكيفية تقسيم المواريث وحكم قتل العمد والخطأ وشبه العمد، والطلاق والزواج، وقاعدة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فَلِلذَّكَرِ مِثْلُ حَظِّ الْأُنْثَيَيْنِ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أحكام وقواعد دلّت عليها النصوص، ولا مجال لأحدٍ أن يغيّرها ويدّعي أنّها کانت أحكاماً لظروف خاصّة، بل هي تسري في کلّ الظروف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ربّما يظهر من الكاتب في آخر بحثه حول مسألة حقّ الانتخاب للمرأة، أنّه يقول بجواز تغيير الأحكام المنصوص عليها أيضاً كما سيأتي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ذلك فلهذه الأحكام الثابتة تفصيلات لم يكن بها نصّ </w:t>
      </w:r>
    </w:p>
    <w:p>
      <w:pPr>
        <w:pStyle w:val="BookText"/>
        <w:rPr/>
      </w:pPr>
      <w:r>
        <w:rPr>
          <w:rFonts w:ascii="IRNazanin" w:hAnsi="IRNazanin" w:eastAsia="IRNazanin"/>
          <w:color w:val="111111"/>
          <w:sz w:val="28"/>
          <w:sz w:val="28"/>
          <w:szCs w:val="28"/>
          <w:rtl w:val="true"/>
          <w:lang w:bidi="fa-IR"/>
        </w:rPr>
        <w:t>قاطع المعنى، بل يكون معناه محتملاً لأكثر من وجه، وهذه يجري فيها الرأي الّذي يقوم به العالم المتخصّص على ضوء ما يفهمه من الكتاب والسنّة لا على ضوء ظروف الحياة وتحقيق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فيه نصّ قطعي لا يحتمل إلّا معنى واحداً فليس فيه مجال للاجتهاد، وما يحتمل أكثر من معنى يجري فيه الاجتهاد، ولكن هذا لا يختصّ بما ذكره من تفاصيل الأحكام، بل إذا ورد نفس الحكم في نصّ يحتمل أكثر من معنى</w:t>
      </w:r>
    </w:p>
    <w:p>
      <w:pPr>
        <w:pStyle w:val="BookText"/>
        <w:rPr/>
      </w:pPr>
      <w:r>
        <w:rPr>
          <w:rFonts w:ascii="Amiri" w:hAnsi="Amiri" w:eastAsia="Amiri" w:cs="Amiri"/>
          <w:color w:val="111111"/>
          <w:sz w:val="28"/>
          <w:sz w:val="28"/>
          <w:szCs w:val="28"/>
          <w:rtl w:val="true"/>
          <w:lang w:bidi="ar-SA"/>
        </w:rPr>
        <w:t>فهو قابل للاجتهاد وتغيّر الرأي أيضاً كما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بكفاية مسح بعض الرأس أو بوجوب مسحه کلّه، ليس من باب تغيّر الحكم، وكيف يكون الرأيان المتقابلان في زمان واحد من تغيّر الحكم؟ بل على القول بالتصويب يكون کلّ منهما بالنسبة إلی من اختاره حكم الله تعالى؛ لأنّ الحكم على هذا القول متعدّد، أو يتعدّد بعدد آراء المجتهدين أو المجتهد الواحد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والإشكال على هذا الرأي بأنّه إذا کان الأمر كذلك فعن أيّ حكم يفحص المجتهد ويطلب عليه الدليل؟ مع أنّه معلّق على علمه أو ظنّه ولا تحقّق له قبل رأيه، هذا الإشكال وارد على القائل بالتصويب ولا جواب عنده عليه، إلّا أنّ ما يهمّنا هنا أنّه على کلا القولين بالتخطئة </w:t>
      </w:r>
    </w:p>
    <w:p>
      <w:pPr>
        <w:pStyle w:val="BookText"/>
        <w:rPr/>
      </w:pPr>
      <w:r>
        <w:rPr>
          <w:rFonts w:ascii="Amiri" w:hAnsi="Amiri" w:eastAsia="Amiri" w:cs="Amiri"/>
          <w:color w:val="111111"/>
          <w:sz w:val="28"/>
          <w:sz w:val="28"/>
          <w:szCs w:val="28"/>
          <w:rtl w:val="true"/>
          <w:lang w:bidi="ar-SA"/>
        </w:rPr>
        <w:t>والتصويب، فإنّ اختلاف آراء المجتهدين وتغيّر فتاواهم بأسبابها المعروفة ليس من باب تغيير الحكم بل يؤيّد ثبات الأحكام وصيانتها عن التغيير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ينبغي الإشارة إلی ما ورد في کلامه من تفسير الاجتهاد، فقد ذكر أنّ مثل فهم الباء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بِرُؤُسِكُمْ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أنّها للتبعيض أو هي زائدة ليس اجتهاداً بالمعنى الصحيح، بل هو اختيار لمعنى من المعنيين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ذلك محلّ نظر ونقاش، فكأنّه توهّم أنّ للناظر في الأدلّة المحتملة لمعان متعدّدة، الخيار في اختيار واحد منها، مع أنّ عليه أيضاً أن ينظر في اللغة والشواهد الّتي اُقيمت على کلّ واحد من المعاني، والقرائن الدالّة على إرادة بعضها المعيّن، فيرجّح باجتهاده واحداً من المعاني ويفتي به، وإلّا فيتوقّف عن الفتوى</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70_8203"/>
      <w:bookmarkStart w:id="22" w:name="pg970_8203"/>
      <w:bookmarkEnd w:id="22"/>
    </w:p>
    <w:p>
      <w:pPr>
        <w:pStyle w:val="Heading2"/>
        <w:numPr>
          <w:ilvl w:val="1"/>
          <w:numId w:val="1"/>
        </w:numPr>
        <w:rPr/>
      </w:pPr>
      <w:bookmarkStart w:id="23" w:name="pg970_8203"/>
      <w:bookmarkStart w:id="24" w:name="__RefHeading___Toc975216_373438147"/>
      <w:bookmarkStart w:id="25" w:name="_Toc8"/>
      <w:bookmarkEnd w:id="23"/>
      <w:bookmarkEnd w:id="24"/>
      <w:r>
        <w:rPr>
          <w:rtl w:val="true"/>
        </w:rPr>
        <w:t>الأمر الثالث</w:t>
      </w:r>
      <w:r>
        <w:rPr>
          <w:rtl w:val="true"/>
        </w:rPr>
        <w:t xml:space="preserve">: </w:t>
      </w:r>
      <w:r>
        <w:rPr>
          <w:rtl w:val="true"/>
        </w:rPr>
        <w:t>أحكام المعاملات</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المعاملات وترتيبها وأحكامها فهي حقّ للعباد، ومن أجل مصالحهم في دنياهم، فمن حقّهم أنّ يحدّدوا أين تكون مصالحهم إذا لم يأت من الشرع الحكيم نصّ قرآني يحدّدها، كما جاء مثلاً في المواريث لما يعلمه سبحانه من تدخّل العواطف فيها فحسم الرأي، وقد أشار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هذا في حديثه المشهور بعدما حدث في تلقيح النخل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مِنْ اُمور دِيِنكُمْ فُخُذُوا منْهُ مَا اسْتَطَعْتُمْ، وَمَا کان مِنْ أَمْرِ دُنْيَاكُمْ فإِلَيْكُمْ، أَنْتُمْ أَعْلَمُ بِشُؤُونِ دنْيَاكُمْ</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الحديث هو الأصل في إمكان تغيير بعض الأحكام الخاصّة بالمعاملات حسب تغيير عللها وظروفها والمصلحة للناس فيها، على أن يكون التغيير على أساس </w:t>
      </w:r>
    </w:p>
    <w:p>
      <w:pPr>
        <w:pStyle w:val="BookText"/>
        <w:rPr/>
      </w:pPr>
      <w:r>
        <w:rPr>
          <w:rFonts w:ascii="IRNazanin" w:hAnsi="IRNazanin" w:eastAsia="IRNazanin"/>
          <w:color w:val="111111"/>
          <w:sz w:val="28"/>
          <w:sz w:val="28"/>
          <w:szCs w:val="28"/>
          <w:rtl w:val="true"/>
          <w:lang w:bidi="fa-IR"/>
        </w:rPr>
        <w:t>القواعد العامّة الشرعية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ودرء المفاسد مقدّم على جلب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کلام في أنّه إذا لم يأت من الشارع الحكيم نصّ قرآني ولا نبويّ وإن لم يذكره واقتصر على القرآني منه في مورد ولم تشمله النصوص العامّة بعمومها أو إطلاقها، فمباح بحكم الشرع أيضاً للمکلّفين فعله وتركه، وهذا أي حكم الشرع بالإباحة فيما لا نصّ فيه حكم ثابت لا يقبل التغيير، فليس لأحد تحريم تركه أو إيجاب فعله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 هذا الخبر وما هو بمضمونه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مفاد الخبر على ما بنيتم عليه أنّ الاُمّة أعلم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بشؤون دنياهم، ولذا يجوز لهم مخالفة أوامره المربوطة باُمور الدنيا من المعاملات </w:t>
      </w:r>
    </w:p>
    <w:p>
      <w:pPr>
        <w:pStyle w:val="BookText"/>
        <w:rPr/>
      </w:pPr>
      <w:r>
        <w:rPr>
          <w:rFonts w:ascii="IRNazanin" w:hAnsi="IRNazanin" w:eastAsia="IRNazanin"/>
          <w:color w:val="111111"/>
          <w:sz w:val="28"/>
          <w:sz w:val="28"/>
          <w:szCs w:val="28"/>
          <w:rtl w:val="true"/>
          <w:lang w:bidi="fa-IR"/>
        </w:rPr>
        <w:t>وغيرها ممّا لم يَرِد فيه النصّ القرآني،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يجب اتّباع شيء من أوامر النبيّ ونواهيه المربوطة بالسياسات والمعاملات وغيرها من الأنظمة المقرَّرة الثابتة بلسانه أو بسيرته في الأحوال الشخصية والاجتماعية والمالية وغيرها، فيكون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الناس في أقواله وأفعاله وسيرته، فلا وجوب لاتّباعه ولا حسن للتأسّي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لا أظنّ أحداً من المسلمين فضلاً عن علمائهم وفقهائهم الراسخين في العلوم الإسلامية يلتزم 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نفهمه نحن من الخبر بعد الغضّ عن اضطراب متنه ومخالفته لما ثبت بالكتاب والسنّة أنّ المراد منه أنّه ليس من شأن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 رسالته ولا زعامته وقيادته السياسية وإدارته اُمور الناس، أن يتدخّل في شؤونهم الفردية الّتي يعمل کلّ أحد فيها ما يريد ويختار وتختلف فيه الأنظار، فهذا يرى هذه المهنة وافية لمعاشه والآخر يرى غيرها كذلك، وهذا يرى سقي الزرع في المواعيد المعيّنة وذاك يراه في غيرها، وهذا يرى تلقيح النخل مفيداً والآخر يرى أن يبقيها على حالها، هذا يرى أنّ يبيع مثلاً سكناه للاتّجار بثمنه، والآخر يرى غير ذلك، وهذا الطبيب يرى علاج المرض الخاصّ بكيفية خاصّة وغيره يرى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فالدين والشرع وحتى القوانين الّتي تنشأ من قِبَل البرلمانات </w:t>
      </w:r>
    </w:p>
    <w:p>
      <w:pPr>
        <w:pStyle w:val="BookText"/>
        <w:rPr/>
      </w:pPr>
      <w:r>
        <w:rPr>
          <w:rFonts w:ascii="IRNazanin" w:hAnsi="IRNazanin" w:eastAsia="IRNazanin"/>
          <w:color w:val="111111"/>
          <w:sz w:val="28"/>
          <w:sz w:val="28"/>
          <w:szCs w:val="28"/>
          <w:rtl w:val="true"/>
          <w:lang w:bidi="fa-IR"/>
        </w:rPr>
        <w:t>والمراكز الّتي لها صلاحية وضع القانون أو الدستور في الأنظمة العلمانية لا تتدخّل في أمثال هذه الاُمور، بل کلّ واحد من الناس حرّ مختار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تلقيح النخل أيضاً الأمر هكذا، فکلّ قوم وکلّ شخص يعمل على طبق ما يرى فيه صلاح نفسه ولا يتدخّل فيه الشرع ولا القانون الوضعي، نعم ربّما تقتضي الضرورة كحفظ النظام وإدارة المجتمع وأمن الأموال والنفوس المحترمة أن يحجز الحاكم الناس عن بعض حرّيّاتهم في زمان أو مكانٍ مّا، ولكن مع أنّ وجوب إطاعة الحاكم من الأحكام الشرعية؛ فإنّ حكمه هذا ليس حكماً شرعياً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العبادات والمعاملات والسياسات والحقوق والأحوال الشخصية وغيرها، ولا بحث لنا فيه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الخبر الّذي استشهد به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يأمرهم في اُمور دنياهم بأمر وحكم، فالاستدلال به لإثبات جواز التغيير في أحكام المعاملات والاُمور الدنيوية ضربٌ من التهافت والتناقض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منه أنّهم أعلم بشؤون دنياهم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ويحقّ لهم أن ينظروا في اُمور دنياهم ونظام اُمورهم الدنيوية، فشأن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أدّبه الله تعالى وأحسن تأديبه أجلُّ وأنبل وأعلى من التدخّل فيما لا حقّ فيه، بل هو حقّ للعباد وهم أبصر منه به، فهو يجتنب لا محالة عن هذا </w:t>
      </w:r>
    </w:p>
    <w:p>
      <w:pPr>
        <w:pStyle w:val="BookText"/>
        <w:rPr/>
      </w:pPr>
      <w:r>
        <w:rPr>
          <w:rFonts w:ascii="IRNazanin" w:hAnsi="IRNazanin" w:eastAsia="IRNazanin"/>
          <w:color w:val="111111"/>
          <w:sz w:val="28"/>
          <w:sz w:val="28"/>
          <w:szCs w:val="28"/>
          <w:rtl w:val="true"/>
          <w:lang w:bidi="fa-IR"/>
        </w:rPr>
        <w:t>اللغو، وقد قال الله</w:t>
      </w:r>
    </w:p>
    <w:p>
      <w:pPr>
        <w:pStyle w:val="BookText"/>
        <w:rPr/>
      </w:pPr>
      <w:r>
        <w:rPr>
          <w:rFonts w:ascii="Amiri" w:hAnsi="Amiri" w:eastAsia="Amiri" w:cs="Amiri"/>
          <w:color w:val="111111"/>
          <w:sz w:val="28"/>
          <w:sz w:val="28"/>
          <w:szCs w:val="28"/>
          <w:rtl w:val="true"/>
          <w:lang w:bidi="ar-SA"/>
        </w:rPr>
        <w:t>تعالى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وهوصاحب الخلق العظيم وأسمى مراتب الأدب ومكارم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إلی أنّ الخبر إن کان يدلّ على أنّ أمر دنيا الناس مفوّض إليهم، فلا اعتبار بأوامره ونواهيه فيه،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أكثر الأحكام الشرعية الراجعة إلى اُمور الناس ومعايشهم وسياسة المدن والإدارة الثابتة بسنّة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وأوامره ونواهيه من دائرة الدين، ونبقى نحن وأحكام العبادات وقليل من غيرها من الأحكام المنصوصة في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لم يأت من المتنوّرين العصريّين من يقول فيها أيضاً شبه ما قال عبد المنعم النمر في الأوامر النبوية والأحكام الثابتة بالسنّة،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الفقهاء حذف أكثر أبواب الفقه الإسلامي الّتي هي من أعظم براهين صدق هذه النبوّة الخاتمة وكمالها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هم أعلم باُمور دنياهم من رسول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أعلم من الفقهاء بالطريق الأولى، فما معنى موقف الفقهاء في الاجتهاد في هذه الاُمور والنظر في السنّة بعدما کان الناس أولى وأحقّ بدنياهم وأعلم حسب الفرض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إذا کان موقف الناس هكذا قِبال أوامر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ونواهيه حتّى في </w:t>
      </w:r>
    </w:p>
    <w:p>
      <w:pPr>
        <w:pStyle w:val="BookText"/>
        <w:rPr/>
      </w:pPr>
      <w:r>
        <w:rPr>
          <w:rFonts w:ascii="IRNazanin" w:hAnsi="IRNazanin" w:eastAsia="IRNazanin"/>
          <w:color w:val="111111"/>
          <w:sz w:val="28"/>
          <w:sz w:val="28"/>
          <w:szCs w:val="28"/>
          <w:rtl w:val="true"/>
          <w:lang w:bidi="fa-IR"/>
        </w:rPr>
        <w:t>حياته وكان يجوز لهم ترك العمل بأوامره، وکان الأصل والمعتبر ما يرون هم بأنفسهم في اُمورهم حسبما تقتضيه المصالح والظروف، فما قيمة اجتهاد الفقهاء في اُمور الناس الدنيوية؟</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مغزى هذا الرأي أنّه لا اعتناء بسيرة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في الأنظمة الدنيوية، بل الناس هم وما رأوا فيها من مصالحهم ومنافعهم، وإذن فليس فيها تشريع ولا يوجد حكم شرعي، فما معنى تغيّر الحكم؟</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اشترطتم أن يكون التغيير على أساس القواعد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العامّة الشرعية فليس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أَعْلَمُ بِشُؤونِ 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الكرّ على ما فرَّ، وقد ذكر أنّ مراده من هذه القواعد العامّة، مثل لا ضرر ولا ضرار، ودرء المفاسد مقدّم على جلب المصالح، فإن أراد من القاعدة الثابتة كما لابدّ أن يكون أنّ درء المفاسد الّتي نهى عنها الشرع مقدّم على جلب المصالح الّتي أمر بها، فذلك، وإن لم يكن قاعدة کلّية عامّة؛ لأنّ مفسدة ارتكاب بعض المحرّمات ربّما لا تكون أهمّ من مفسدة ترك بعض الواجبات ومصلحة فعلها، بل تكون هذه أهمّ من الأُولى، ولكنّ القائل بها لا يريد بها إلّا القاعدة الشرعية الّتي هي كالشارح والمفسّر لأدلّة سائر الأحكام ومعها لا تغيير أيضاً في الحكم؛ لأنّ المعيار في المصلحة هو المصالح الّتي أمر الشارع بحفظها والمفاسد الّتي نصّ الشارع على وجوب درئها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اُريد من تغيير الأحكام تغييرها بظروفها وعللها والمصلحة للناس حسب ما أمره الشارع، مثل أکل الميتة الّذي يباح عند الاضطرار، أو ارتكاب أيّ محذور آخر أخفّ إذا دار الأمر بين المحذورين، والأهمّ والمهمّ، أو ترك واجب لدفع الضرر، أو نحو ذلك، فهذا ليس من تغيير الحكم كما أشرنا إلیه بشيء، بل هو انتفاء حكم خاصّ بانتفاء موضوعه، ووجود حكم آخر بوجود موضوعه، فأکل الميتة لغير المضطرّ حرام شرعاً، وللمضطرّ حلال شرعاً، وکلّ منهما حكم شرعي لموضوعه المختصّ به ثابت لا يقبل التغيير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والوضوء واجب إذا لم يكن فيه ضرر على صحّة جسم المتوضّي، وهو حرام وبدعة إذا کان فيه خطر على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دوران الأمر بين الأهمّ والمهمّ، أو المهمّين المتساويين عند الشرع، فحيث إنّ المکلّف لا يتمكّن من امتثال الوجوبين لابدّ له عقلاً في الصورة الاُولى من حفظ الأهمّ، وفي الصورة الثانية هو بالخيار في الإتيان بأيّهما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کلّ هذه الصور لا تغيير في الحكم الشرعي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عليك أنّ ذلك يجري في الأحكام الجزئية لا الأحكام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الکلّية، فلا تجد حكماً کلّياً مزاحماً بکلّيته لحكم کلّي آخر</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قاعدة إنّ درء المفاسد مقدّم على جلب المصالح ليس معناها كما مرّ الإشارة إلیه تغيير الحكم الشرعي، بل المراد أنّ الحكمين الشرعيين اللذين أحدهما شرّع لدفع مفسدة، والآخر لجلب مصلحة، کأن يكون أحدهما حكماً تحريميّاً توجب مخالفته الوقوع في المفسدة، والآخر وجوبيّاً توجب مخالفته تفويت المصلحة، ولا يمكن للمکلّف الجمع بين امتثال کلا الحكمين، فيأتي بالّذي يدرء المفسدة أو يترك ما فيه المفسدة دون الّذي يجلب المصلحة، وعليك إن أردت المزيد بملاحظة باب تزاحم الأحكام في الكتب الاُصولية</w:t>
      </w:r>
      <w:r>
        <w:rPr>
          <w:rFonts w:eastAsia="IRNazanin" w:cs="IRNazanin"/>
          <w:color w:val="111111"/>
          <w:sz w:val="28"/>
          <w:szCs w:val="28"/>
          <w:rtl w:val="true"/>
          <w:lang w:bidi="fa-IR"/>
        </w:rPr>
        <w:t xml:space="preserve">. </w:t>
      </w:r>
      <w:bookmarkStart w:id="26" w:name="pg970_8211"/>
    </w:p>
    <w:p>
      <w:pPr>
        <w:pStyle w:val="Heading2"/>
        <w:numPr>
          <w:ilvl w:val="1"/>
          <w:numId w:val="1"/>
        </w:numPr>
        <w:rPr/>
      </w:pPr>
      <w:bookmarkStart w:id="27" w:name="__RefHeading___Toc975218_373438147"/>
      <w:bookmarkStart w:id="28" w:name="_Toc9"/>
      <w:bookmarkEnd w:id="26"/>
      <w:bookmarkEnd w:id="27"/>
      <w:r>
        <w:rPr>
          <w:rtl w:val="true"/>
        </w:rPr>
        <w:t>الأمر الرابع</w:t>
      </w:r>
      <w:r>
        <w:rPr>
          <w:rtl w:val="true"/>
        </w:rPr>
        <w:t xml:space="preserve">: </w:t>
      </w:r>
      <w:r>
        <w:rPr>
          <w:rtl w:val="true"/>
        </w:rPr>
        <w:t>هل أنّ أحكام المعاملات إلهية، أو اجتهادات من الرسول</w:t>
      </w:r>
      <w:r>
        <w:rPr>
          <w:rtl w:val="true"/>
        </w:rPr>
        <w:t>(</w:t>
      </w:r>
      <w:r>
        <w:rPr>
          <w:rtl w:val="true"/>
        </w:rPr>
        <w:t>صلی الله علیه و آله</w:t>
      </w:r>
      <w:r>
        <w:rPr>
          <w:rtl w:val="true"/>
        </w:rPr>
        <w:t xml:space="preserve">) </w:t>
      </w:r>
      <w:r>
        <w:rPr>
          <w:rtl w:val="true"/>
        </w:rPr>
        <w:t>؟</w:t>
      </w:r>
      <w:bookmarkEnd w:id="2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 في مقاله بأنّ أحكام المعاملات الّتي عبّر عنها بالاُمور الجزئية لم تكن على أساس الوحي، بل کانت باجتهاد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نصّ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المدينة فوجدهم يتبايعون في الثمار قبل نضجها وبُدُوِّ صلاحها دون تضرّر ونزاع فأباحها لهم في ظلّ الإسلام، ثم بدأ المتعاملون بها يتنازعون وتكثر شكواهم لثمرة أصابها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وجاؤوا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يتحاكمون إلیه، فغيّر رأيه الأوّل بناء على هذا،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وقد تنازعتم فلا تبيعوا الثمر قبل ظهور صلاحه ونضجه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بذلك بيع الثمر قبل ظهور صلاحه، حتى لا يتعلّل المشتري بما طرأ عليه </w:t>
      </w:r>
    </w:p>
    <w:p>
      <w:pPr>
        <w:pStyle w:val="BookText"/>
        <w:rPr/>
      </w:pPr>
      <w:r>
        <w:rPr>
          <w:rFonts w:ascii="IRNazanin" w:hAnsi="IRNazanin" w:eastAsia="IRNazanin"/>
          <w:color w:val="111111"/>
          <w:sz w:val="28"/>
          <w:sz w:val="28"/>
          <w:szCs w:val="28"/>
          <w:rtl w:val="true"/>
          <w:lang w:bidi="fa-IR"/>
        </w:rPr>
        <w:t>من تلف ليرجع في الصفقة أو ينقص له البائع من ثمنها الّذي تبايعا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أحكام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الاُمور الجزئية لم تكن على أساس وحي من الله نزل عليه خاصّ بهذه الجزئية، بل کانت باجتهاد منه وتقدير للمصلحة على ضوء الظروف الّتي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يكون مثل هذا من النسخ؟ وأنّ الحكم الأوّل قد نسخ بالثاني، ونسخ الحكم لا مانع من وقوعه إذا وقع في عصر الرسالة، وإلّا فهل يقول أحد بجواز العمل بالحكم الأوّل إذا اقتضى اجتهاد المجتهد ذلك، ولا يراه من الاجتهاد في مقابل النصّ؟</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عليه أهل المدينة من التبايع في الثمار قبل نضجها وبُدُوِّ صلاحها لم يكن من الأحكام الشرعية الموحى بها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المجتمع في هذه القوانين والعادات الّتي کانوا ملتزمين بها قبل بزوغ شمس النبوّة الخاتمة باقين على حالهم، والأحكام إنّما نزلت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تدريجاً وفي المناسبات، فالحكم الشرعي الإلهي الّذي لا يتغيّر هو عدم جواز بيع الثمار قبل بدوّ صلاحها على التفاصيل المذكورة في الفقه، لا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 رأيه الأوّل وظهر له خطؤه، وأنّ الحكم الثاني کان من رأيه أيضاً وهو قابل للتغيير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فالصحيح أنّ الحكم الثاني ثابت أبداً لا يتغيّر، صارت الظروف ما صارت وتغيّرت الأحوال ما تغيّرت، والنصّ النبويّ كالنصّ القرآني لا فرق في ذلك بين المعاملات والعبادات فکلّها مصونة عن التغيير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الأحكام السلطانية الّتي تصدر تحقيقاً لتنفيذ الأحكام الشرعية، وحفظ النظام، وإقامة العدل، وإيصال حقّ کلّ ذي حقّ إلیه، والدفاع عن حوزة الإسلام، ربّما تحدّد حرّيّات الأفراد في أموالهم وأنفسهم في مقدار من الزمان، وما دامت الضرورة الموجبة للتحديد المذكور باقية، فللحاكم مثلاً أن يحكم على مالك الغلّات بعرض غلّته للبيع عند احتياج الناس إليها دفعاً للحرج عن العامّة، وحفظاً للنفوس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بين حكم الحاكم وحكم الشارع أنّ الأوّل غيريّ موقّت، شرّع جوازه من الشارع حفظاً لنظام الدين ومصالح المسلمين، والثاني حكم ثابت نفسي، نسبته إلی الأحكام الحكومية كنسبة الأصل إلی الفرع والهدف إلی الوسيلة، والأوّل لا يستند بنفسه إلی الله تعالى بل إلی الحاكم نبيّاً کان أم غيره، نعم جواز حكمه وجواز حكومته ووجوب إطاعته من الأحكام الشرعية الثابتة الّتي لا تقبل التغيير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مع ذلك فإنّ للأحكام الحكومية الصادرة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قداسة ليست لغيرها، فلا يجوز تغييرها؛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يحكم إلّا بوحي من </w:t>
      </w:r>
    </w:p>
    <w:p>
      <w:pPr>
        <w:pStyle w:val="BookText"/>
        <w:rPr/>
      </w:pPr>
      <w:r>
        <w:rPr>
          <w:rFonts w:ascii="Amiri" w:hAnsi="Amiri" w:eastAsia="Amiri" w:cs="Amiri"/>
          <w:color w:val="111111"/>
          <w:sz w:val="28"/>
          <w:sz w:val="28"/>
          <w:szCs w:val="28"/>
          <w:rtl w:val="true"/>
          <w:lang w:bidi="ar-SA"/>
        </w:rPr>
        <w:t>الله تعالى على ما نصّ به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لزوم التأسّي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صيانة الله وحفظه عن الخطأ في أحكامه وجميع أفعاله وأقواله، سواء کان في الشرعيّات أو الإخبار بالملاحم وحالات الاُمم الآتية والماضية، وأحوال الملائكة، وكيفيات عالم الغيب مثل الجنّة والنار، أو بيان المعارف والأخلاقيات، أو الأحكام الحكومية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القوم حيث رأوا أنّ بعض الصحابة قد تجرّأ على التصرّف في الأحكام الإلهية والردّ على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 عليه صلح الحديبية،</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يقبل منه تشريع متعة الحجّ وحرَّمها، وحرّم متعة النساء بعد ارتحال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الرفيق الأعلى،</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كتابة وصيّته، وقال کلمته الخبيثة الّتي لا ننقلها تأدّباً وحذراً من التعدّي </w:t>
      </w:r>
    </w:p>
    <w:p>
      <w:pPr>
        <w:pStyle w:val="BookText"/>
        <w:rPr/>
      </w:pPr>
      <w:r>
        <w:rPr>
          <w:rFonts w:ascii="IRNazanin" w:hAnsi="IRNazanin" w:eastAsia="IRNazanin"/>
          <w:color w:val="111111"/>
          <w:sz w:val="28"/>
          <w:sz w:val="28"/>
          <w:szCs w:val="28"/>
          <w:rtl w:val="true"/>
          <w:lang w:bidi="fa-IR"/>
        </w:rPr>
        <w:t>على ساحة صاحب الخلق العظيم، الرسول الرؤوف الرحيم، صلوات الله عليه وعلى آله، وغير ذلك ممّا فعل أو قال هو أو غيره لمّا رأوا ذلك استهانوا بمخالفة النصوص الشرعية، والسنّة النبويّة، ونسبوا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الاشتباه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الأمثلة الّتي ذكرها لإثبات مرامه کلّها قابلة للمناقشة لا يثبت بها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فالمنع عن التقاط ضالّة الإبل، وإجازة التقاطها أيضاً، ليس من قبيل تغيير الحكم، بل يمكن الجمع بينهما بأنّ مورد المنع عن الالتقاط غير مورد الجواز، فإذا لم يخش على الإبل التلف لامتناعها على السباع واستمرارها بالرعي، لا تتعرّض لها ولا تلتقط؛ لأنّ العادة جرت بطلب مالكها لها حيث فقدها، أمّا إذا كانت فاقدة الأمرين فيجوز التقاطها، وفي الصورتين راعى الشارع الأقدس مصلحة المال والمالك، والحكمان حكمان ثابتان لا يقبلان التغيير إلی يوم القيامة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الإمام أبي عبد الله جعفر بن محمّد الصادق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ترك دابّته من جهد،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تَرَكَهَا فِي كَلَإٍ وَمَاءٍ وَأَمْنٍ فَهِيَ لَهُ يَأْخُذُهَا حَيْثُ أَصَابَهَا، وَإِنْ تَرَكَهَا فِي خَوْفٍ وَعَلَى غَيْرِ مَاءٍ وَلَا كَلَإٍ فَهِيَ لِمَنْ أَصَابَهَا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خبر مسمع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يقول في الدابّة إذا سرحها أهلها أو عجزوا عن علفها أو نفقتها فهي للّذي أحياها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ترك دابّته في مَضْيَعَة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تركها في كَلَإٍ وماء وأمن فهي له، يأخذها متى شاء، وإن تركها في غير كَلَإٍ وماء فهي للّذي أحياها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امتناع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التسعير فلا يستفاد منه الإطلاق، وأنّه کان ممتنعاً عنه ولو عُرض مثل الحنطة وأشباهها، ممّا تتقوّم به الحياة والمعاش بسعر لا يستطيع أكثر الناس شراءه، ويقعون بذلك في الحرج والمشقّة الشديدة والمجاعة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أكثر الموارد الّتي استشهد بها هذا الكاتب وغيره على اجتهاد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حكمه حكماً موسمياً ورأياً رآه، دون أن يكون مستمدّاً من الوحي، هي موارد دار الأمر فيها بين ارتكاب أحد المحذورين الشرعيّين والمتزاحمين، فرجّح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المحذور الأخفّ، في ضوء إرشادات الشارع وتعاليمه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الاُمور لا تعدّ من التغيير به، وهكذا عمل القاضي </w:t>
      </w:r>
    </w:p>
    <w:p>
      <w:pPr>
        <w:pStyle w:val="BookText"/>
        <w:rPr/>
      </w:pPr>
      <w:r>
        <w:rPr>
          <w:rFonts w:ascii="IRNazanin" w:hAnsi="IRNazanin" w:eastAsia="IRNazanin"/>
          <w:color w:val="111111"/>
          <w:sz w:val="28"/>
          <w:sz w:val="28"/>
          <w:szCs w:val="28"/>
          <w:rtl w:val="true"/>
          <w:lang w:bidi="fa-IR"/>
        </w:rPr>
        <w:t>شريح، مضافاً إلی أنّه ليس بحجّة، فقد بقي قاضياً إلی عصر غلبة بني اُميّة، العصر الّذي سلب فيه الناس حرّيّاتهم الإسلامية، ولم يكن لأحدٍ حقّ النصيحة لعمّال الحكومة وقضاتها، والأمر بالمعروف والنهي عن المنكر إلّا بتعريض ماله ونفسه وخاصّته للنهب، وأنواع التعذيب والقتل، مضافاً إلی ذلك؛ فإنّه يمكن حمل عمل شريح على هذه المحامل إن کان هو ممّن يفهم هذه الاُمور، فمثلاً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المدّعي واليمين على من أنكر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وقاعدة حجّية البيّنة، لا ريب أنّها قاعدة شرعية وطريق لإثبات الدعاوي وفصل الخصومات، إلّا أنّها كذلك إذا كانت بحسب النوع تفيد الظنّ ويعتمد عليها العرف، أمّا إذا تغيّر حال الناس وآل الأمر إلی ما آل من ظهور بني اُميّة وأعوانهم وأتباعهم على الاُمور، ورأى القاضي المسكين أنّ أعوان القاضي والشهود الّذين يشهدون على دماء الناس وأموالهم يتقرّبون إلی أرباب السياسة والحكومة بالشهادة على المخالفين والثائرين عليهم، ويشهدون كذباً وزوراً على محبّي أهل بيت النبوًة وشيعة الحقّ، فلابدّ له أن يعتذر بعدم اعتماده على البيّنة، وأنّه باجتهاده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استنبط من دليل اعتبار البيّنة أنّ مناط حجّيتها حصول الاطمئنان بها للنوع غالباً واعتماد العرف عليها؛ فإذا انتفت تلك </w:t>
      </w:r>
    </w:p>
    <w:p>
      <w:pPr>
        <w:pStyle w:val="BookText"/>
        <w:rPr/>
      </w:pPr>
      <w:r>
        <w:rPr>
          <w:rFonts w:ascii="IRNazanin" w:hAnsi="IRNazanin" w:eastAsia="IRNazanin"/>
          <w:color w:val="111111"/>
          <w:sz w:val="28"/>
          <w:sz w:val="28"/>
          <w:szCs w:val="28"/>
          <w:rtl w:val="true"/>
          <w:lang w:bidi="fa-IR"/>
        </w:rPr>
        <w:t>الخصوصية تنتفي حجّيّتها لا محالة، ولا ريب أنّه لم يمكن له في مثل ذلك العصر ردّ الشاهد ضدّ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بسبب فسقه العملي والقولي</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کلّ، لا ريب في أنّ اختلاف آراء القضاة أو القاضي الواحد في القضايا المتشابهة، كاختلاف أهل الفتيا في فتاويهم، أو المفتي الواحد في فتواه في موضوع واحد لا ربط له بتغيير الحكم الشرعي، بل الواقع أنّه هو يجتهد ولا يرى مثلاً لدليل حجّية البيّنة أو الحلف أو غيرهما إطلاقاً يشمل بعض القضايا، وإلّا فلا يجوز لأيّ قاضٍ كائناً من کان مع الاعتراف بشمول إطلاق النصّ وعمومه الامتناع عن القضاء، أو القضاء على خلاف النصّ</w:t>
      </w:r>
      <w:r>
        <w:rPr>
          <w:rFonts w:eastAsia="IRNazanin" w:cs="IRNazanin"/>
          <w:color w:val="111111"/>
          <w:sz w:val="28"/>
          <w:szCs w:val="28"/>
          <w:rtl w:val="true"/>
          <w:lang w:bidi="fa-IR"/>
        </w:rPr>
        <w:t xml:space="preserve">. </w:t>
      </w:r>
      <w:bookmarkStart w:id="29" w:name="pg970_8219"/>
    </w:p>
    <w:p>
      <w:pPr>
        <w:pStyle w:val="Heading2"/>
        <w:numPr>
          <w:ilvl w:val="1"/>
          <w:numId w:val="1"/>
        </w:numPr>
        <w:rPr/>
      </w:pPr>
      <w:bookmarkStart w:id="30" w:name="__RefHeading___Toc975220_373438147"/>
      <w:bookmarkStart w:id="31" w:name="_Toc10"/>
      <w:bookmarkEnd w:id="29"/>
      <w:bookmarkEnd w:id="30"/>
      <w:r>
        <w:rPr>
          <w:rtl w:val="true"/>
        </w:rPr>
        <w:t>الأمر الخامس</w:t>
      </w:r>
      <w:r>
        <w:rPr>
          <w:rtl w:val="true"/>
        </w:rPr>
        <w:t xml:space="preserve">: </w:t>
      </w:r>
      <w:r>
        <w:rPr>
          <w:rtl w:val="true"/>
        </w:rPr>
        <w:t>النبيّ والاجتهاد</w:t>
      </w:r>
      <w:bookmarkEnd w:id="31"/>
    </w:p>
    <w:p>
      <w:pPr>
        <w:pStyle w:val="BookText"/>
        <w:rPr/>
      </w:pPr>
      <w:r>
        <w:rPr>
          <w:rFonts w:ascii="IRNazanin" w:hAnsi="IRNazanin" w:eastAsia="IRNazanin"/>
          <w:color w:val="111111"/>
          <w:sz w:val="28"/>
          <w:sz w:val="28"/>
          <w:szCs w:val="28"/>
          <w:rtl w:val="true"/>
          <w:lang w:bidi="fa-IR"/>
        </w:rPr>
        <w:t>تقدّم أنّ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أحكام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الاُمور الجزئية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وهذا التصريح منه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يأمر به وينهى عنه يعمل بالاجتهاد،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وقوعه في الخطأ كسائر المجتهدين، والمسألة خلافية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نذهب إلیه ونؤمن به تنزيه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الخطأ في الشرعيات فيما هو فيه اُسوة للاُمّة وغيرها، وهذا واضح للمتدبّر بأدنى تدبّر وتأمّل؛ لأنّه إذا كانت سيرة الرسول وسنّته القولية والفعلية من مصادر اجتهاد المجتهدين وتفسير الكتاب وبيان مراداته، وإذا کان هو العالم الأوّل بخصوصه وعمومه، وناسخه ومنسوخه، ومحكمه ومتشابهه، ومفاهيم ألفاظه ومعانيها الحقيقية والمجازية، وكان هو العالم بتعليم الله ووحيه بموضوعات أحكام الله تعالى الکلّية وتفاصيلها، ففي ماذا يجتهد وهو العارف بکلّ ذلك؟ </w:t>
      </w:r>
    </w:p>
    <w:p>
      <w:pPr>
        <w:pStyle w:val="BookText"/>
        <w:rPr/>
      </w:pPr>
      <w:r>
        <w:rPr>
          <w:rFonts w:ascii="Amiri" w:hAnsi="Amiri" w:eastAsia="Amiri" w:cs="Amiri"/>
          <w:color w:val="111111"/>
          <w:sz w:val="28"/>
          <w:sz w:val="28"/>
          <w:szCs w:val="28"/>
          <w:rtl w:val="true"/>
          <w:lang w:bidi="ar-SA"/>
        </w:rPr>
        <w:t>ولو لم يكن عالماً بجميع تفاصيل الأحكام بتعليم الله ووحيه يبقى الدين ناقصاً فاقداً للمصادر الكافية لاستنباط جميع الأحكام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يجتهد عند اشتباه الموضوع بغيره مع أنّه مبيّن للمفهوم عنده، ولكن هذا غير الاجتهاد المصطلح الّذي يقوم به الفقهاء والمجتهدون، وهو خارج عمّا نحن فيه، فالناس کلّهم يجتهدون في تشخيص موضوع الحكم عند اشتباهه بغيره، مثل اشتباه مائع بأنّه دم أو ماء، مع أنّ مفهوم الدم الّذي هو موضوع الحرمة مبيّن لا سترة عليه، فتارة يقعون في الخطأ واُخرى يصيبون الواقع، ولكنّه ليس من اجتهاد الفقيه المصطلح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شأن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أنبل وأجلّ من ذلك، فهو مصون عن ذلك الخطأ وغيره من الأخطاء، بل ربّما يحطّ مثل هذا الخطأ مع كونه في الموضوع وتطبيقه الخارجي من كرامته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وشخصيته الرسولية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خطئه في تبليغ أصل بعض الأحكام، فهو مصون عنه، وهو المؤيّد من عند الله تعالى المحفوظ من الخطأ والزلل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هو الّذي يفحص عن أدلّة الأحكام في الكتاب والسنّة ويفتي بما ظفر به من الأدلّة بعد النظر في عامّها وخاصّها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لا يظفر بالدليل الخاصّ مع وجوده فيفتي بعموم العامّ، أو يظفر </w:t>
      </w:r>
    </w:p>
    <w:p>
      <w:pPr>
        <w:pStyle w:val="BookText"/>
        <w:rPr/>
      </w:pPr>
      <w:r>
        <w:rPr>
          <w:rFonts w:ascii="IRNazanin" w:hAnsi="IRNazanin" w:eastAsia="IRNazanin"/>
          <w:color w:val="111111"/>
          <w:sz w:val="28"/>
          <w:sz w:val="28"/>
          <w:szCs w:val="28"/>
          <w:rtl w:val="true"/>
          <w:lang w:bidi="fa-IR"/>
        </w:rPr>
        <w:t>بسببٍ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العالم بالأحكام سواء کانت جزئية أم کلّية، فإطلاق المجتهد على النبيّ دون شأنه الجليل، وكذا أهل بيته الّذين هم عِدْل القرآن، فهم معصومون عن الخطأ لأنّهم والقرآن لن يفترقا؛ ولأنّ التمسّك بهم أمان من الضلال، وهم سفينة النجاة، كما وردت بذلك صحاح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نزلت عليه الأحكام الکلّية کان يبيّن جزئيّاتها وتفاصيل ما أوحى الله إلیه، إلّا أنّه في هذا أيضاً مصون عن الخطأ والاشتباه،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إخباره عن هذه الجزئيات بالخصوص ليس ممّا نزل به جبرئيل على قلبه الطاهر الأقدس، بل هو بيان لجزئياته أو مصاديقه ولكنّه في کلّ ذلك تحت رعاية الله الخاصّة، لا يخطئ ولا يقول إلّا بوحي من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 عليك أنّ الدليل على أنّه لا يخطئ في موضوعات الأحكام الّتي تشتبه على غيره هو عين الدليل على عصمته وعدم خطئه في أصل الأحكام</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970_8223"/>
      <w:bookmarkStart w:id="33" w:name="pg970_8223"/>
      <w:bookmarkEnd w:id="33"/>
    </w:p>
    <w:p>
      <w:pPr>
        <w:pStyle w:val="Heading2"/>
        <w:numPr>
          <w:ilvl w:val="1"/>
          <w:numId w:val="1"/>
        </w:numPr>
        <w:rPr/>
      </w:pPr>
      <w:bookmarkStart w:id="34" w:name="pg970_8223"/>
      <w:bookmarkStart w:id="35" w:name="__RefHeading___Toc975222_373438147"/>
      <w:bookmarkStart w:id="36" w:name="_Toc11"/>
      <w:bookmarkEnd w:id="34"/>
      <w:bookmarkEnd w:id="35"/>
      <w:r>
        <w:rPr>
          <w:rtl w:val="true"/>
        </w:rPr>
        <w:t>الأمر السادس</w:t>
      </w:r>
      <w:r>
        <w:rPr>
          <w:rtl w:val="true"/>
        </w:rPr>
        <w:t xml:space="preserve">: </w:t>
      </w:r>
      <w:r>
        <w:rPr>
          <w:rtl w:val="true"/>
        </w:rPr>
        <w:t>الأحكام کلّيتها وجزئيتها</w:t>
      </w:r>
      <w:bookmarkEnd w:id="36"/>
    </w:p>
    <w:p>
      <w:pPr>
        <w:pStyle w:val="BookText"/>
        <w:rPr/>
      </w:pPr>
      <w:r>
        <w:rPr>
          <w:rFonts w:ascii="IRNazanin" w:hAnsi="IRNazanin" w:eastAsia="IRNazanin"/>
          <w:color w:val="111111"/>
          <w:sz w:val="28"/>
          <w:sz w:val="28"/>
          <w:szCs w:val="28"/>
          <w:rtl w:val="true"/>
          <w:lang w:bidi="fa-IR"/>
        </w:rPr>
        <w:t>الأحكام الکلّية هي الأحكام المحمولة على الموضوعات الکلّية، مثل الصلاة والصوم والحجّ والبيع والنكاح والرهن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تفاصيلها وشرائطها وأجزاؤها من السجود والركوع والقراءة وخيار الغبن وخيار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موضوعات الأحكام التحريمية مثل الخمر والربا والميسر والغشّ وإيذاء المؤمن والزنی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يكتسب کلّيته من موضوعه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الأحكام الجزئية فهي ما يتعلّق بالجزئيات الخارجية للموضوع الکلّي، فالحكم الجزئي جزئيّ من جزئيات الحكم الکلّي، وهذا مثل حرمة شرب هذا الخمر، أو حرمة غصب ملك زيد، أو حرمة الزنی بامرأة معلومة، أو حرمة نكاح هذه المرأة، أو وجوب أداء زكاة هذا المال المعيّن، أو وجوب صلاة ظهر هذا اليوم، أو وجوب الوضوء لهذه الصلاة، أو خيار الغبن في هذه المعاملة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 اشتبه الأمر على هذا الكاتب فعدّ نهي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 الثمر قبل ظهور صلاحه ونضجه الّذي استقرّت عليه فتاوى الفقهاء وبنوا على بطلانه عدّة من الأحكام الجزئية ولم يتفطّن إلی أنّ الجزئي والکلّي متلازمان، لا يوجد أحدهما بدون الآخر، فإذا کان هذا الحكم أي بطلان بيع الثمرة قبل بدوّ صلاحها جزئياً ، فما هو إذن الحكم الکلّي الّذي هذا من جزئياته؟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وليت شعري كيف يخفى على الّذي يكتب في الفقه وفي مثل هذا الموضوع الّذي شغل فكر أكثر أهل الثقافة العصرية المغترّين بالأساليب الشرقية والغربية، أنّ الحكم ببطلان هذا البيع والنهي عنه هو من الأحكام والنواهي الکلّيّة الّتي لا تحصى جزئياتها، مثل بيع هذه الثمرة أو بيع تلك أو بيع هاتيك</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7" w:name="pg970_8225"/>
    </w:p>
    <w:p>
      <w:pPr>
        <w:pStyle w:val="Heading2"/>
        <w:numPr>
          <w:ilvl w:val="1"/>
          <w:numId w:val="1"/>
        </w:numPr>
        <w:rPr/>
      </w:pPr>
      <w:bookmarkStart w:id="38" w:name="__RefHeading___Toc975224_373438147"/>
      <w:bookmarkStart w:id="39" w:name="_Toc12"/>
      <w:bookmarkEnd w:id="37"/>
      <w:bookmarkEnd w:id="38"/>
      <w:r>
        <w:rPr>
          <w:rtl w:val="true"/>
        </w:rPr>
        <w:t>الأمر السابع</w:t>
      </w:r>
      <w:r>
        <w:rPr>
          <w:rtl w:val="true"/>
        </w:rPr>
        <w:t xml:space="preserve">: </w:t>
      </w:r>
      <w:r>
        <w:rPr>
          <w:rtl w:val="true"/>
        </w:rPr>
        <w:t>فتاوى السابقين لا حصانة لها</w:t>
      </w:r>
      <w:bookmarkEnd w:id="3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حصانة لرأي أحد من السابقين من الصحابة والتابعين فضلاً عن غيرهم، إلّا رأي من نصّ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عصمته وحصانة رأيه، وأنّه مع الحقّ والحقّ معه يدور حيثما دار،</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مع القرآن والقرآن معه</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رأي الأئمّة من العترة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يخلو الزمان من واحد منهم؛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عصمتهم، فقال في الحديث المتواتر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كِتَابَ الله وَعِتْرَتي أَهْلَ بَيْتي مَا إِنْ </w:t>
      </w:r>
    </w:p>
    <w:p>
      <w:pPr>
        <w:pStyle w:val="BookText"/>
        <w:rPr/>
      </w:pPr>
      <w:r>
        <w:rPr>
          <w:rFonts w:ascii="Amiri" w:hAnsi="Amiri" w:eastAsia="Amiri" w:cs="Amiri"/>
          <w:color w:val="111111"/>
          <w:sz w:val="28"/>
          <w:sz w:val="28"/>
          <w:szCs w:val="28"/>
          <w:rtl w:val="true"/>
          <w:lang w:bidi="ar-SA"/>
        </w:rPr>
        <w:t>تَمَسَّكْتُمْ بِهِمَا لَنْ تَضِلّوُا أَبَداً،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يدّعِ أحدٌ تلك الحصانة والعصمة لأحدٍ من الاُمّة إلّا للأئمّة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 عليهم في أحاديث الخلفاء والأئمّة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أيضاً على حصانة أقوالهم وآرائهم وأحاديثهم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متواترة اُخرى ليس هنا مجال الإشارة إليها، ذكرنا طائفة منها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الاُمّة من الضلال والاختلاف</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غيرهم من الصحابة والتابعين والفقهاء والمجتهدين فلم يدّع أحد لهم ذلك، بل ثبت خلاف العصمة لأكبرهم، ومع ذلك ترى كاتب المقالة يستشهد بأقوالهم، ويستشهد بعمل شريح وبکلامه، وبرأي سعيد بن المسيّب، وآراء غيرهما من المجتهدين والصحابة وأعمالهم،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السابقين لا حصانة لها</w:t>
      </w:r>
      <w:r>
        <w:rPr>
          <w:rFonts w:eastAsia="IRNazanin" w:cs="IRNazanin"/>
          <w:color w:val="111111"/>
          <w:sz w:val="28"/>
          <w:szCs w:val="28"/>
          <w:rtl w:val="true"/>
          <w:lang w:bidi="fa-IR"/>
        </w:rPr>
        <w:t xml:space="preserve">. </w:t>
      </w:r>
      <w:bookmarkStart w:id="40" w:name="pg970_8227"/>
    </w:p>
    <w:p>
      <w:pPr>
        <w:pStyle w:val="Heading2"/>
        <w:numPr>
          <w:ilvl w:val="1"/>
          <w:numId w:val="1"/>
        </w:numPr>
        <w:rPr/>
      </w:pPr>
      <w:bookmarkStart w:id="41" w:name="__RefHeading___Toc975226_373438147"/>
      <w:bookmarkStart w:id="42" w:name="_Toc13"/>
      <w:bookmarkEnd w:id="40"/>
      <w:bookmarkEnd w:id="41"/>
      <w:r>
        <w:rPr>
          <w:rtl w:val="true"/>
        </w:rPr>
        <w:t>الأمر الثامن</w:t>
      </w:r>
      <w:r>
        <w:rPr>
          <w:rtl w:val="true"/>
        </w:rPr>
        <w:t xml:space="preserve">: </w:t>
      </w:r>
      <w:r>
        <w:rPr>
          <w:rtl w:val="true"/>
        </w:rPr>
        <w:t>الآراء والأحكام البشرية</w:t>
      </w:r>
      <w:bookmarkEnd w:id="42"/>
    </w:p>
    <w:p>
      <w:pPr>
        <w:pStyle w:val="BookText"/>
        <w:rPr/>
      </w:pPr>
      <w:r>
        <w:rPr>
          <w:rFonts w:ascii="IRNazanin" w:hAnsi="IRNazanin" w:eastAsia="IRNazanin"/>
          <w:color w:val="111111"/>
          <w:sz w:val="28"/>
          <w:sz w:val="28"/>
          <w:szCs w:val="28"/>
          <w:rtl w:val="true"/>
          <w:lang w:bidi="fa-IR"/>
        </w:rPr>
        <w:t>الأحكام السلطانية وإن کانت بشرية غير إلهية، وكانت لا محالة متأخّرة عن الأحكام الإلهية؛ لأنّها لتحقيق إجراء الأحكام الإلهية وتنفيذها، لكن أصل جواز الحكم للحاكم وولايته على إصدار هذه الأحكام وإلزام الآخرين في الموارد الّتي قرّرها الشارع حكم شرعي، كما أنّ وجوب طاعة الحاكم في أحكامه حكم شرعي أيضاً كما ذكرنا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لم يكن الحاكم في هذه الأحكام من المعصومين واُولي الأمر الّذين قرن الله إطاعتهم بطاعة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من عمّالهم والمنصوبين من قبلهم بالنصب الخاصّ أو العامّ فإنّه يجوز وقوعه في الخطأ والاشتباه، ولكن تجب إطاعته حفظاً للنظام إلّا إذا علم خطؤه، وحينئذٍ فلا يجب على العالم بذلك إطاعته، بل ينبغي في بعض الموارد تنبيهه على </w:t>
      </w:r>
    </w:p>
    <w:p>
      <w:pPr>
        <w:pStyle w:val="BookText"/>
        <w:rPr/>
      </w:pPr>
      <w:r>
        <w:rPr>
          <w:rFonts w:ascii="Amiri" w:hAnsi="Amiri" w:eastAsia="Amiri" w:cs="Amiri"/>
          <w:color w:val="111111"/>
          <w:sz w:val="28"/>
          <w:sz w:val="28"/>
          <w:szCs w:val="28"/>
          <w:rtl w:val="true"/>
          <w:lang w:bidi="ar-SA"/>
        </w:rPr>
        <w:t>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يعلم ذلك وإن احتمله فيجب عليه إطاعة الحاكم، على تفصيلاتٍ ليس هنا مقام ذكرها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تطبيق غير الحاكم الأحكام الشرعية على موضوعاتها الخاصّة الخارجية، فتارة يصيب فيها، وتارة يخطئ، وهذا يصيب والآخر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أحمد والترمذي وابن ماجة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حَاصَرْتَ حِصْناً فَأَرَادُوكَ أنْ تُنْزِلَهُمْ عَلَى حُكْمِ اللهِ فَلَا تُنْزِلْهُمْ عَلَى حُكْمِ اللهِ، وَلَكِنْ أَنْزِلْهُمْ عَلَى حُكْمِكَ فَإِنّكَ لَا تَدْري أَتُصيبُ حُكْمَ اللهِ فِيهِم أَمْ لَا</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منه والله أعلم أنّ إنزالهم على حكم الله لابدّ وأن يكون بما هو حكم الله برأيه، وحيث يمكن أن لا يكون في رأيه مصيباً حكم الله تعالى يمكن أن ينزلهم على غير ما شرط لهم، وهو حكم الله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شرط عليهم إنزالهم على حكمه فإنّه وإن أنزلهم على ما هو حكم الله برأيه لكن إن لم يصب حكم الله لم يتخلّف عن الشرط، مضافاً إلی أنّه بذلك يسدّ باب مناقشتهم إيّاه بأنّك ما أنزلتنا على حكم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صريحة بصحّة القول بالتخطئة وبطلان التصويب</w:t>
      </w:r>
      <w:r>
        <w:rPr>
          <w:rFonts w:eastAsia="IRNazanin" w:cs="IRNazanin"/>
          <w:color w:val="111111"/>
          <w:sz w:val="28"/>
          <w:szCs w:val="28"/>
          <w:rtl w:val="true"/>
          <w:lang w:bidi="fa-IR"/>
        </w:rPr>
        <w:t xml:space="preserve">. </w:t>
      </w:r>
      <w:bookmarkStart w:id="43" w:name="pg970_8229"/>
    </w:p>
    <w:p>
      <w:pPr>
        <w:pStyle w:val="Heading2"/>
        <w:numPr>
          <w:ilvl w:val="1"/>
          <w:numId w:val="1"/>
        </w:numPr>
        <w:rPr/>
      </w:pPr>
      <w:bookmarkStart w:id="44" w:name="__RefHeading___Toc975228_373438147"/>
      <w:bookmarkStart w:id="45" w:name="_Toc14"/>
      <w:bookmarkEnd w:id="43"/>
      <w:bookmarkEnd w:id="44"/>
      <w:r>
        <w:rPr>
          <w:rtl w:val="true"/>
        </w:rPr>
        <w:t>الأمر التاسع</w:t>
      </w:r>
      <w:r>
        <w:rPr>
          <w:rtl w:val="true"/>
        </w:rPr>
        <w:t xml:space="preserve">: </w:t>
      </w:r>
      <w:r>
        <w:rPr>
          <w:rtl w:val="true"/>
        </w:rPr>
        <w:t>باب الاجتهاد مفتوح للجميع إلی يوم القيامة</w:t>
      </w:r>
      <w:bookmarkEnd w:id="45"/>
    </w:p>
    <w:p>
      <w:pPr>
        <w:pStyle w:val="BookText"/>
        <w:rPr/>
      </w:pPr>
      <w:r>
        <w:rPr>
          <w:rFonts w:ascii="IRNazanin" w:hAnsi="IRNazanin" w:eastAsia="IRNazanin"/>
          <w:color w:val="111111"/>
          <w:sz w:val="28"/>
          <w:sz w:val="28"/>
          <w:szCs w:val="28"/>
          <w:rtl w:val="true"/>
          <w:lang w:bidi="fa-IR"/>
        </w:rPr>
        <w:t>من الأخطاء الكبيرة القول بسدّ باب الاجتهاد وحصر المذاهب الفقهية في الأربعة المعروفة، وإلزام العامّيّ بتقليد أحد أرباب هذه المذاهب، وإلزام المجتهد أن يكون مجتهداً في الفقه المنسوب إلی واحد منهم، فيسلبونه بذلك حرّيّة التفكير والاجتهاد الحرّ، والنظر في الأدلّة من الكتاب والسنّة، والإفتاء بما يؤدّي إليه نظره وإن خالف جميع المذاهب، كما يسلبون بذلك العاميّ حرّيّته في التقليد، فلا يجوّزون له تقليد مجتهد إذا خالف رأيه في المسألة رأي فقهاء هذه المذاهب، وإن کان موافقاً لرأي كثير من الصحابة والتابعين، والفقهاء الّذين کانوا قبل هذه المذاهب الأربعة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جعلوا هذه الاُمّة بذلك شيَعاً مختلفين متفرّقين، وأحدثوا بهذه البدعة فتن الطوائف الشافعية والحنابلة والأحناف والمالكية، الّتي تسبّبت في حدوث حروب دامية بينهم، لا يتّسع المجال لذكر بعضها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وليت شعري ما مرادهم بأنّ فلاناً مجتهد حنفي أو شافعي، أو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 مرادهم أنّه مجتهد في فقه فلان وأنّه يعرف آراءه وفتاواه من النظر في کلماته، فلا يخلو إمّا أن يقدر هو بنفسه على استنباط الأحكام الشرعية من الكتاب والسنّة فهو مجتهد والحجّة له، ولمن يأخذ بفتواه اجتهاده الشخصي لا اجتهاد الشافعي مثلاً، فهو مجتهد مثل الشافعي، مستقلّ بآرائه وفتاواه، وإن خالف فيها سائر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لا يتمكّن من الاجتهاد فهو عامّي يجب عليه تقليد المجتهد الجامع لشرائط التقليد والإفتاء كائناً من کان، أو عليه الاحتياط في الفروع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خسرت الاُمّة الإسلامية بسبب قول إخواننا السنّيّين بسدّ باب الاجتهاد آراء علمية دقيقة، وفتاوى هامّة مفيدة، کان بإمكانهم أن يستنبطوها من الكتاب والسنّة بحرّيّة تفكيرهم، لولا هذه المقولة الّتي جعلوها ديناً يدان به، بينما نرى مذهب الإمامية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ببركة فتح باب الاجتهاد والبحث الحرّ في الكتاب والسنّة ينمو فقهه ويزداد قوّةً وعمقاً وسعةً، وما زال يظهر منهم في کلّ عصر فقهاء كبار ينتقدون آراء الفقهاء الماضين، ويصلون بالتعمّق في الكتاب والسنّة إلی ما لم يصل إلیه المتقدّمون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والّذي يسهّل الخطب أنّه بفضل جهود جمع من أكابر فقهاء إخواننا السنّة، وإدراكهم عمق الخسارة الّتي تسبّب فيها سدّ باب الاجتهاد، قد تزلزل هذا البناء الّذي بُني لأغراض سياسية، وسيأتي زمان إن شاء الله تعالى لا ترى بفضل جهود المصلحين المخلصين هذا التفرّق المذهبي، ولا يبقى من العلماء المجتهدين من ينسب نفسه إلی الشافعي أو مالك أو أبي حنيفة أو أحمد، بل يتّبع اجتهاده واستنباطه هو؛ لأنّه لم تدلّ آية ولا رواية على أنّهم أولى من غيرهم ممّن يأتي بعدهم، وأنّ اجتهادهم أقوى من اجتهاد مجتهدي عصرنا، فهم واجتهادهم ونحن واجتهادنا، والباحث يعرف قصّة هذا الحصر في الاجتهاد الّذي لم يكن في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عصر الصحابة، إلّا أنّ أرباب السياسة خافوا أن يؤدّي فتح باب الاجتهاد إلی ظهور شخصيّات علمية مرموقة، فلا يكون لهم بدّ من الخضوع لفقههم وآرائهم وزعامتهم الدينية، الأمر الّذي يتعارض مع سلطتهم الاستبدادية، وأنظمتهم الكسروية والقيصرية، لأنّ العلماء إذا ملكوا القلوب يقومون بواجبهم، ويأمرون بالمعروف، وينهون عن المنكر والظلم والاستبداد والاستعباد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علماء الإمامية بفضل‌نعمة فتح باب‌الاجتهاد، وما يترتّب عليه من وجود مرجعية دينية نافذة القول في قلوب الناس، ترى منهم </w:t>
      </w:r>
    </w:p>
    <w:p>
      <w:pPr>
        <w:pStyle w:val="BookText"/>
        <w:rPr/>
      </w:pPr>
      <w:r>
        <w:rPr>
          <w:rFonts w:ascii="IRNazanin" w:hAnsi="IRNazanin" w:eastAsia="IRNazanin"/>
          <w:color w:val="111111"/>
          <w:sz w:val="28"/>
          <w:sz w:val="28"/>
          <w:szCs w:val="28"/>
          <w:rtl w:val="true"/>
          <w:lang w:bidi="fa-IR"/>
        </w:rPr>
        <w:t>رجالاً في کلّ عصر يحرسون الإسلام ويُبَلِّغون رسالته، ويأمرون بالمعروف وينهون عن المنكر، ويقفون في وجه ظلم الحُكّام والاُمراء، وربما ثاروا على المستكبرين الجبّارين، وبذلك يؤكّدون على أنّ الدين هو العقيدة والسياسة والنظام والقضاء والعبادة والأخلاق، وأنّه يجب أن يكون رجالات الدين رجالات السياسة والإدارة والحكومة، لا تنفصل الاُولى عن الثانية، بل السياسة من الدين داخلة فيه دخول الجزء في الکلّ، فالحكومة الشرعية الرشيدة هي الحكومة الّتي يتولّاها الفقيه مباشرة أو يكون تحت رعايته وإرشاده وأمره ونهيه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عرفت أنّ فقهاء الشيعة مع قولهم بفتح باب الاجتهاد اتّفقوا خلفاً عن سلف على ثبات أحكام الله تعالى، ولا يجوّزون تغيير أيّ حكم من أحكام الله تعالى لأحد حتى لأئمّتهم الّذين يقولون بعصمتهم، ومع أنّ فقهاء الإمامية لا يقولون بالرأي والقياس بل يفتون بالكتاب والسنّة في المسائل المستحدثة كغيرها، ويرون أنّ ما أدّى إلیه اجتهادهم حكم الله تعالى الّذي لا يتغيّر أبداً، إلّا أن ينكشف خطؤهم في إصابته</w:t>
      </w:r>
      <w:r>
        <w:rPr>
          <w:rFonts w:eastAsia="IRNazanin" w:cs="IRNazanin"/>
          <w:color w:val="111111"/>
          <w:sz w:val="28"/>
          <w:szCs w:val="28"/>
          <w:rtl w:val="true"/>
          <w:lang w:bidi="fa-IR"/>
        </w:rPr>
        <w:t xml:space="preserve">. </w:t>
      </w:r>
      <w:bookmarkStart w:id="46" w:name="pg970_8233"/>
    </w:p>
    <w:p>
      <w:pPr>
        <w:pStyle w:val="Heading2"/>
        <w:numPr>
          <w:ilvl w:val="1"/>
          <w:numId w:val="1"/>
        </w:numPr>
        <w:rPr/>
      </w:pPr>
      <w:bookmarkStart w:id="47" w:name="__RefHeading___Toc975230_373438147"/>
      <w:bookmarkStart w:id="48" w:name="_Toc15"/>
      <w:bookmarkEnd w:id="46"/>
      <w:bookmarkEnd w:id="47"/>
      <w:r>
        <w:rPr>
          <w:rtl w:val="true"/>
        </w:rPr>
        <w:t>الأمر العاشر</w:t>
      </w:r>
      <w:r>
        <w:rPr>
          <w:rtl w:val="true"/>
        </w:rPr>
        <w:t xml:space="preserve">: </w:t>
      </w:r>
      <w:r>
        <w:rPr>
          <w:rtl w:val="true"/>
        </w:rPr>
        <w:t>الأحكام الحكومية</w:t>
      </w:r>
      <w:bookmarkEnd w:id="48"/>
    </w:p>
    <w:p>
      <w:pPr>
        <w:pStyle w:val="BookText"/>
        <w:rPr/>
      </w:pPr>
      <w:r>
        <w:rPr>
          <w:rFonts w:ascii="IRNazanin" w:hAnsi="IRNazanin" w:eastAsia="IRNazanin"/>
          <w:color w:val="111111"/>
          <w:sz w:val="28"/>
          <w:sz w:val="28"/>
          <w:szCs w:val="28"/>
          <w:rtl w:val="true"/>
          <w:lang w:bidi="fa-IR"/>
        </w:rPr>
        <w:t>تقدّمت الإشارة إلی أنّ الأحكام الحكومية الّتي هي من أجلّ ضمان تطبيق الأحكام الإلهية، تختلف بحسب الأزمنة والأمكنة حتى لو کانت من حاكم واحد، فيوماً يرى إرسال الجيش إلی شرق الدولة مثلاً، وفي زمان يرى تسييرها إلى غربها، وفي زمان آخر يطلب من الناس أن لا يسافروا إلی بلاد الكفر مثلاً، وفي وقت يطلب منهم السفر إليها تحصيلاً لغرض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الأحكام طبيعتها عدم الثبات، بخلاف أحكام المعاملات ونظائرها، فإنّ قوانينها وأحكامها ثابتة لا تقبل التغيير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اخترناه في الفقه، بدلالة تقصِّي بعض الأحاديث المروية عن طريق العترة الطاهرة، أنّ الأحكام إذا کانت نبويّة صادرة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النصّ الدالّ عليها مطلقاً لا يخصّها بزمان خاصّ أو ظرف خاصّ، فلا يجوز رفع اليد عنها بالاجتهاد، وحملها على أنّها </w:t>
      </w:r>
    </w:p>
    <w:p>
      <w:pPr>
        <w:pStyle w:val="BookText"/>
        <w:rPr/>
      </w:pPr>
      <w:r>
        <w:rPr>
          <w:rFonts w:ascii="Amiri" w:hAnsi="Amiri" w:eastAsia="Amiri" w:cs="Amiri"/>
          <w:color w:val="111111"/>
          <w:sz w:val="28"/>
          <w:sz w:val="28"/>
          <w:szCs w:val="28"/>
          <w:rtl w:val="true"/>
          <w:lang w:bidi="ar-SA"/>
        </w:rPr>
        <w:t>أحكام حكومية،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 ليس الحكم بسببية الإحياء للملكية، وجواز التملّك بالإحياء، بل هو إذن منه في الإحياء والانتفاع من الأرض، لكن مع ذلك لا يجوز لأحد ممّن يلي الأمر بعده رفع هذا الأمر، وهذا الإذن ومنع الناس عن إحياء الأرض الموات، أو جعله مشروطاً بشرط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نقم المسلمون فيما نقموا على عثمان أنّه آوى الحَكَم بن العاص وردّه إلى المدينة، وأعطاه مائة ألف بعدما کان منفيّاً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زمان أبي بكر وعمر، وقد سألهما إدخاله المدينة فامتنعا عن الإذن له وقال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أن اُغيّر شيئاً فعله رسول الله والله لا رددته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تتکلّم في لعين رسول الله وطَريده وَعَدُوِّ الله وعدُوّ رسوله</w:t>
      </w:r>
      <w:r>
        <w:rPr>
          <w:rFonts w:eastAsia="IRNazanin" w:cs="IRNazanin"/>
          <w:color w:val="111111"/>
          <w:sz w:val="28"/>
          <w:szCs w:val="28"/>
          <w:rtl w:val="true"/>
          <w:lang w:bidi="fa-IR"/>
        </w:rPr>
        <w:t xml:space="preserve">! </w:t>
      </w:r>
      <w:bookmarkStart w:id="49" w:name="pg970_8235"/>
    </w:p>
    <w:p>
      <w:pPr>
        <w:pStyle w:val="Heading2"/>
        <w:numPr>
          <w:ilvl w:val="1"/>
          <w:numId w:val="1"/>
        </w:numPr>
        <w:rPr/>
      </w:pPr>
      <w:bookmarkStart w:id="50" w:name="__RefHeading___Toc975232_373438147"/>
      <w:bookmarkStart w:id="51" w:name="_Toc16"/>
      <w:bookmarkEnd w:id="49"/>
      <w:bookmarkEnd w:id="50"/>
      <w:r>
        <w:rPr>
          <w:rtl w:val="true"/>
        </w:rPr>
        <w:t>الأمر الحادي عشر</w:t>
      </w:r>
      <w:r>
        <w:rPr>
          <w:rtl w:val="true"/>
        </w:rPr>
        <w:t xml:space="preserve">: </w:t>
      </w:r>
      <w:r>
        <w:rPr>
          <w:rtl w:val="true"/>
        </w:rPr>
        <w:t>بعض الأمثلة في الفتاوى والأحكام الإلهيّة</w:t>
      </w:r>
      <w:bookmarkEnd w:id="51"/>
    </w:p>
    <w:p>
      <w:pPr>
        <w:pStyle w:val="BookText"/>
        <w:rPr/>
      </w:pPr>
      <w:r>
        <w:rPr>
          <w:rFonts w:ascii="IRNazanin" w:hAnsi="IRNazanin" w:eastAsia="IRNazanin"/>
          <w:color w:val="111111"/>
          <w:sz w:val="28"/>
          <w:sz w:val="28"/>
          <w:szCs w:val="28"/>
          <w:rtl w:val="true"/>
          <w:lang w:bidi="fa-IR"/>
        </w:rPr>
        <w:t>في الأمثلة الّتي مثّل بها الكاتب خلط أيضاً بين الأحكام الإلهية وفتاوى الفقهاء الّتي ليست مصونة من التغيير وليس ذلك بسبب أنّ الحكم الّذي أفتى به المفتي يتغيّر فتتغيّر الفتوى بتغيّره؛ فإنّ المفتي إذا أفتى بحسب ما أدّى نظره إليه يرى مؤدّى نظره حكماً شرعياً لا يقبل التغيير، وعندما يرجع عنه لا يرجع بسبب تغيّر الحكم الشرعي الّذي استنبطه، بل لأنّه ليس مصوناً من عدم إصابة حكم الله تعالى، فربّما مخطئ في فتواه ثم يظهر له خطؤه فيرجع عن فتواه، ورجوع المجتهدين عن رأيه إلی رأي جديد ليس بعزيز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يقاس الحكم الشرعي الثابت المصون عن التغيير بفتوى المجتهد الّذي ليس مصوناً من الاشتباه والخطأ</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الأمثلة الّتي ذكرها الكاتب ليس من تغيير الفتوى أيضاً بشيء، بل هي أشبه بالاجتهاد في مقابل النصّ وردّ النصّ بالتأويل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في مسألة كون المرأة ناخبة أو نائبة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صدرت مثلاً فتوى في النصف الأوّل من هذا القرن بعدم السماح للمرأة أن تكون ناخبة أو نائبة، وتجاوز الزمن هذه الفتوى كما تجاوزتها الفتوى البصيرة من العلماء الآن إذ لم يقرّوا الدليل الّذي استند عليه المانعون، ونظروا إلیه من وجهة نظر اُخری، فوق أنّ المرأة تعلّمت وقطعت أشواطاً في العلم كالرجل، وكذلك في الوظائف، وبرز الكثير في عملهنّ وتخصّصهنّ فلم يعدّ من المستساغ باسم الدين منعهنّ من إبداء الرأي في الانتخابات أو المجالس التشريعية أو الأعمال الإدارية بينما نعطيه الرجل الاُمّي، على أنّ لکلّ بلد وضعاً يراعيه المفتون في فتاواهم قد لا يوجد في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نريد الکلام والبحث في المسألة هنا لإبداء رأينا الفقهي، ولكن حيث ندرك خطر المسار الخارج على الأحكام الشرعية الّذي يسيّره مثل هذا الكاتب، لا نخفي أسفنا الشديد على هذه المواجهة الهدّامة مع نصوص من الكتاب والسنّة وإجماع الأئمّة والاُمّة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يرى أنّ لکلّ أحد أن ينظر إلى النصوص والأدلّة بأيّ وجهة شاء، ولو انتهت وجهته إلی ترك النصوص، فلا معيار ولا ميزان للنظر في النصوص والاستنباط منها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ظنّ أنّ الشارع الحكيم العالم بالمغيّبات الّذي أرسل رسوله </w:t>
      </w:r>
    </w:p>
    <w:p>
      <w:pPr>
        <w:pStyle w:val="BookText"/>
        <w:rPr/>
      </w:pPr>
      <w:r>
        <w:rPr>
          <w:rFonts w:ascii="Amiri" w:hAnsi="Amiri" w:eastAsia="Amiri" w:cs="Amiri"/>
          <w:color w:val="111111"/>
          <w:sz w:val="28"/>
          <w:sz w:val="28"/>
          <w:szCs w:val="28"/>
          <w:rtl w:val="true"/>
          <w:lang w:bidi="ar-SA"/>
        </w:rPr>
        <w:t>الخاتم بالدين الّذي ختم به الأديان، وشرائع الأحكام الّتي ختم بها الشرائع، لم يكن عالماً بأنّ المرأة سوف تقطع أشواطاً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وكأنّه زعم أنّ ما جاء في الكتاب والسنّة من الأحكام المختصّة بالنساء أو الرجال مختصّ بعصر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وعصور لم تتقدّم فيها المرأة التقدّم الّذي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عَلَى النِّسَاءِ</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يُفْلِحَ أَمْرُ قَوْمٍ أَسْنَدُوا أَمْرَهُمْ إِلَی</w:t>
      </w:r>
    </w:p>
    <w:p>
      <w:pPr>
        <w:pStyle w:val="BookText"/>
        <w:rPr/>
      </w:pP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من النصوص ساقطة والعياذ بالله عن الاعتماد والاستناد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يكن في عصر الرسالة من النساء من کانت أبصر وأحذق في الاُمور من كثير من الرجال؟ ألم تتولَّ في إيران السلطنة والملك امرأة من بني ساسان،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يُفْلِحَ قَوْمٌ أَسْنَدُوا أَمْرَهُمْ إِلَی امْرَأَةٍ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الرجال کانوا إلّا القليل منهم كالنساء في الاُمّيّة، فلو كانت علّة بعض الفروق الشرعية بين المرأة والرجل اُمّيّة النساء کان اللازم جعل ذلك اللاُمّيّين وغيرهم رجالاً ونساءاً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فاتّضح بذلك أنّ حكمة الفرق في بعض الأحكام بين الرجال والنساء ليست ما زعمه الكاتب من اُمّيّة النساء في عصر الرسالة وتأخّرهنّ عن الرجال في بعض الكفاءات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ظهر ممّا ذكرناه أنّه لا يجوز للمؤمن بالدين الحنيف وخاتميته وبقاء أحكامه إلی آخر الدهر، مواجهة النصوص، وردّها بهذه المحامل الفاسدة الّتي لو فتح بابها لا يبقى نصّ ولا حكم في مأمن منها، بل تكون کلّ الأحكام والقوانين المالية والسياسية والاجتماعية والشخصية معرضاً للتغيير والتبديل المستمرّ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فيمكن 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إنّما جعل بيد الرجل دون المرأة حينما كانت المرأة تعيش عيشة الاُمّيّة، ولا تعرف شيئاً عن حقوقها الإنسانية إلّا أن تكون خادمة للزوج والبيت حاضنةً للطفل، وأمّا في عصر تتنافس النساء مع الرجال في العلوم والفنون، وظهور المرأة أكثر حذقة من الرجال في تدبير المجتمع والدولة، فكيف نسمح أن يكون أمر الطلاق بيد الرجل يطلّق امرأته في أيّ زمان شاء، ولا يكون للمرأة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لقائله في العدّة وغيرها حتى تكون النتيجة، أن يأتي هؤلاء الّذين يعدّون أنفسهم من أهل التنوُّر والثقافة </w:t>
      </w:r>
    </w:p>
    <w:p>
      <w:pPr>
        <w:pStyle w:val="BookText"/>
        <w:rPr/>
      </w:pPr>
      <w:r>
        <w:rPr>
          <w:rFonts w:ascii="IRNazanin" w:hAnsi="IRNazanin" w:eastAsia="IRNazanin"/>
          <w:color w:val="111111"/>
          <w:sz w:val="28"/>
          <w:sz w:val="28"/>
          <w:szCs w:val="28"/>
          <w:rtl w:val="true"/>
          <w:lang w:bidi="fa-IR"/>
        </w:rPr>
        <w:t>بشرعٍ جديد وفقهٍ حديث هو أبعد عن فقه ديننا الحنيف وشرعه القويم الّذي جاء به رسولنا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المشرق عن المغرب؛ لأنّه فقه يحلّل الربا المحرّم ويسمِّيه استثماراً وفائدة، ويحلّل سائر المحرّمات ويسمّيها بأسماء اُخر، أو يبقيها على أسمائها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أعاذنا الله وجميع المسلمين وأحكام دينه المبين من هذا الفقه الخارج عن الكتاب والسنّة وإجماع المسلمين، الفقه الغربي الإمریکي الّذي يؤيّده وينشره ويدعو إلیه فقهاء الأنظمة العميلة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حول ولا قوّة إلّا بالله العليّ العظيم، وصلّى الله على سيّدنا محمّد وآله الطاهرين</w:t>
      </w:r>
    </w:p>
    <w:p>
      <w:pPr>
        <w:pStyle w:val="BookText"/>
        <w:rPr/>
      </w:pPr>
      <w:r>
        <w:rPr>
          <w:rFonts w:ascii="Amiri" w:hAnsi="Amiri" w:eastAsia="Amiri" w:cs="Amiri"/>
          <w:color w:val="111111"/>
          <w:sz w:val="28"/>
          <w:sz w:val="28"/>
          <w:szCs w:val="28"/>
          <w:rtl w:val="true"/>
          <w:lang w:bidi="ar-SA"/>
        </w:rPr>
        <w:t>لطف الله الصافي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 لندن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970_8241"/>
      <w:bookmarkStart w:id="53" w:name="pg970_8241"/>
      <w:bookmarkEnd w:id="53"/>
    </w:p>
    <w:p>
      <w:pPr>
        <w:pStyle w:val="Heading2"/>
        <w:numPr>
          <w:ilvl w:val="1"/>
          <w:numId w:val="1"/>
        </w:numPr>
        <w:rPr/>
      </w:pPr>
      <w:bookmarkStart w:id="54" w:name="pg970_8241"/>
      <w:bookmarkStart w:id="55" w:name="__RefHeading___Toc975234_373438147"/>
      <w:bookmarkStart w:id="56" w:name="_Toc17"/>
      <w:bookmarkEnd w:id="54"/>
      <w:bookmarkEnd w:id="55"/>
      <w:r>
        <w:rPr>
          <w:rtl w:val="true"/>
        </w:rPr>
        <w:t>مصادر التحقیق</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الطبرسي،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دار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في اُصول الأحکام، ابن حزم الأندلسي، عليّ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 مطبعة العاصمة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في إمامة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القمّي، محمّد طاهر بن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مطبعة الأمیر،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علی العباد،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ابن عبد البرّ، یوسف بن عبد 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إعلام الوری بأعلام الهدی، الطبرسي،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أمان الاُمّة من الضلال والاختلاف، الصافي الگپایگاني، لطف الله، قم، المطبعة العلمیة،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الصفّار،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شعبة الحرّاني،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القمّي، القمّي، عليّ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ابن عبد البرّ، یوسف بن عبد 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المغرب، وزارة عموم الأوقاف والشؤون الإسلامیة،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 الطوسي،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الکلام في شرح شرائع الإسلام، النجفي،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الدین الراوندي،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ابن ماجة القزویني،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الترمذي، الترمذي،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البیهقي،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وإزهاق الباطل، المرعشي النجفي، السیّد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المرعشي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البخاري، البخاري،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النیسابوري،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الطرائف في معرفة مذاهب الطوائف، ابن طاووس،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مطبعة الخیّام،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 في سنن الأقوال والأفعال، المتّقي الهندي، علاء</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الهیثمي، عليّ بن أبي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ابن حزم الأندلسي، عليّ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علی الصحیحین، الحاکم النیسابوري،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أحمد بن حنبل،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في الأحادیث والآثار، ابن أبي شیبة الکوفي،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الطبراني،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الصغیر، الطبراني،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الکتب العلمیة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عليّ بن أبي طالب وما نزل من القرآن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مردویه الأصفهانی، أحمد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الحدیث،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المؤتلف من المختلف بین أئمّة السلف، الطبرسي،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مجمع البحوث الإسلامیة،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الأزهار في خلاصة عبقات الأنوار، الحسیني المیلاني، السیّد علي، مطبعة مهر،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إلی تحصیل مسائل الشریعة،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7" w:name="pg970_8246"/>
    </w:p>
    <w:p>
      <w:pPr>
        <w:pStyle w:val="Heading2"/>
        <w:numPr>
          <w:ilvl w:val="1"/>
          <w:numId w:val="1"/>
        </w:numPr>
        <w:rPr/>
      </w:pPr>
      <w:bookmarkStart w:id="58" w:name="__RefHeading___Toc975236_373438147"/>
      <w:bookmarkStart w:id="59" w:name="_Toc18"/>
      <w:bookmarkEnd w:id="57"/>
      <w:bookmarkEnd w:id="58"/>
      <w:r>
        <w:rPr>
          <w:rtl w:val="true"/>
        </w:rPr>
        <w:t>الفهرس</w:t>
      </w:r>
      <w:bookmarkEnd w:id="5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الإسلام دين إلهيّ عالميّ لجميع العصور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الحكم الشرعي والفتوى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في الثبات والتغيُّر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أحكام المعاملات إلهية، أو اجتهادات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والاجتهاد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کلّيتها وجزئيتها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السابقين لا حصانة لها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والأحكام البشرية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الاجتهاد مفتوح للجميع إلی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الحكومية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الأمثلة في الفتاوى والأحكام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60" w:name="pg970_8247"/>
    </w:p>
    <w:p>
      <w:pPr>
        <w:pStyle w:val="Heading2"/>
        <w:numPr>
          <w:ilvl w:val="1"/>
          <w:numId w:val="1"/>
        </w:numPr>
        <w:rPr/>
      </w:pPr>
      <w:bookmarkStart w:id="61" w:name="__RefHeading___Toc975238_373438147"/>
      <w:bookmarkStart w:id="62" w:name="_Toc19"/>
      <w:bookmarkEnd w:id="60"/>
      <w:bookmarkEnd w:id="61"/>
      <w:r>
        <w:rPr>
          <w:rtl w:val="true"/>
        </w:rPr>
        <w:t>آثار سماحة آية الله العظمى الصافي الگلپايگاني مدّ ظلّه الوارف</w:t>
      </w:r>
      <w:bookmarkEnd w:id="62"/>
    </w:p>
    <w:p>
      <w:pPr>
        <w:pStyle w:val="BookText"/>
        <w:rPr/>
      </w:pPr>
      <w:r>
        <w:rPr>
          <w:rFonts w:ascii="Amiri" w:hAnsi="Amiri" w:eastAsia="Amiri" w:cs="Amiri"/>
          <w:color w:val="111111"/>
          <w:sz w:val="28"/>
          <w:sz w:val="28"/>
          <w:szCs w:val="28"/>
          <w:rtl w:val="true"/>
          <w:lang w:bidi="ar-SA"/>
        </w:rPr>
        <w:t>الصورة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أبواب العلم،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ابن عبد البرّ، الاستذکار،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ابن عبد البرّ، التمهید،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رواه الفريقان؛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البخاري، صحیح،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مسلم النیسابوري، صحیح،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 ماجة القزویني،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المرعشي النجفي، شرح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الحسیني المیلاني، نفحات الأزهار،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الأندلسي، الاحکام،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الهيثمي، مجمع الزوائد،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البخاري، صحیح،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مسلم النیسابوري،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ماجة القزویني،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ابن حزم الأندلسي، المحلّی،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المفید،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البیهقي، السنن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ابن عبد البرّ، الاستذکار،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النجفي، 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الحرّ العاملي،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آراء الفقهاء وأقوالهم في المسألة وأحاديث هذا الباب في كتاب الخلاف للشيخ الطوسي، 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المؤتلف من المختلف بين أئمّة السلف، 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والموسوعة الفقهية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للنجفي، كتاب التجارة، الفصل الثامن في بيع الثمار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الأصفهاني، 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الطبرسي،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القمّي، الأربعین،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الطبراني، المعجم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الطوسي، الأمالی،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ابن طاووس، الطرائف،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المفید،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الطبرسي،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الاُمّة من الضلال والاختلاف، للمؤلف،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مسلم النیسابوري،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ابن ماجة القزویني،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الترمذي، سنن،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الحرّ العاملي، وسائل الشيعة،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شیبة الکوفي،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ابن شعبة الحرّاني، تحف العقول،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قطب الدین الراوندي، 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3.jpeg"/><Relationship Id="rId71" Type="http://schemas.openxmlformats.org/officeDocument/2006/relationships/image" Target="media/image3.jpeg"/><Relationship Id="rId72" Type="http://schemas.openxmlformats.org/officeDocument/2006/relationships/footer" Target="footer65.xml"/><Relationship Id="rId73" Type="http://schemas.openxmlformats.org/officeDocument/2006/relationships/image" Target="media/image4.jpeg"/><Relationship Id="rId74" Type="http://schemas.openxmlformats.org/officeDocument/2006/relationships/image" Target="media/image4.jpeg"/><Relationship Id="rId75" Type="http://schemas.openxmlformats.org/officeDocument/2006/relationships/footer" Target="footer66.xml"/><Relationship Id="rId76" Type="http://schemas.openxmlformats.org/officeDocument/2006/relationships/image" Target="media/image5.jpeg"/><Relationship Id="rId77" Type="http://schemas.openxmlformats.org/officeDocument/2006/relationships/image" Target="media/image5.jpeg"/><Relationship Id="rId78" Type="http://schemas.openxmlformats.org/officeDocument/2006/relationships/footer" Target="footer67.xml"/><Relationship Id="rId79" Type="http://schemas.openxmlformats.org/officeDocument/2006/relationships/image" Target="media/image6.jpeg"/><Relationship Id="rId80" Type="http://schemas.openxmlformats.org/officeDocument/2006/relationships/image" Target="media/image6.jpeg"/><Relationship Id="rId81" Type="http://schemas.openxmlformats.org/officeDocument/2006/relationships/footer" Target="footer68.xml"/><Relationship Id="rId82" Type="http://schemas.openxmlformats.org/officeDocument/2006/relationships/image" Target="media/image7.jpeg"/><Relationship Id="rId83" Type="http://schemas.openxmlformats.org/officeDocument/2006/relationships/image" Target="media/image7.jpeg"/><Relationship Id="rId84" Type="http://schemas.openxmlformats.org/officeDocument/2006/relationships/footer" Target="footer69.xml"/><Relationship Id="rId85" Type="http://schemas.openxmlformats.org/officeDocument/2006/relationships/image" Target="media/image8.jpeg"/><Relationship Id="rId86" Type="http://schemas.openxmlformats.org/officeDocument/2006/relationships/image" Target="media/image8.jpeg"/><Relationship Id="rId87" Type="http://schemas.openxmlformats.org/officeDocument/2006/relationships/footer" Target="footer70.xml"/><Relationship Id="rId88" Type="http://schemas.openxmlformats.org/officeDocument/2006/relationships/image" Target="media/image9.jpeg"/><Relationship Id="rId89" Type="http://schemas.openxmlformats.org/officeDocument/2006/relationships/image" Target="media/image9.jpeg"/><Relationship Id="rId90" Type="http://schemas.openxmlformats.org/officeDocument/2006/relationships/footer" Target="footer71.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72.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8939</Words>
  <Characters>41943</Characters>
  <CharactersWithSpaces>50558</CharactersWithSpaces>
  <Paragraphs>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2026-08-16T10:54:23Z</dcterms:created>
  <dc:creator>ghaemiyeh.com</dc:creator>
  <dc:description/>
  <dc:language>en-US</dc:language>
  <cp:lastModifiedBy/>
  <dcterms:modified xsi:type="dcterms:W3CDTF">2026-08-16T14:24:26Z</dcterms:modified>
  <cp:revision>1</cp:revision>
  <dc:subject/>
  <dc:title>الاحکام الشرعیة ثابتة لا تتغیر</dc:title>
</cp:coreProperties>
</file>

<file path=docProps/custom.xml><?xml version="1.0" encoding="utf-8"?>
<Properties xmlns="http://schemas.openxmlformats.org/officeDocument/2006/custom-properties" xmlns:vt="http://schemas.openxmlformats.org/officeDocument/2006/docPropsVTypes"/>
</file>