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دراسه حول الجبر والتفویض القضاء و القدر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81475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8147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81479_211673320">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6881481_211673320">
            <w:r>
              <w:rPr>
                <w:webHidden/>
                <w:rStyle w:val="IndexLink"/>
                <w:rtl w:val="true"/>
              </w:rPr>
              <w:t>الجبر والتفويض والاختيار</w:t>
            </w:r>
            <w:r>
              <w:rPr>
                <w:rStyle w:val="IndexLink"/>
                <w:rtl w:val="true"/>
              </w:rPr>
              <w:tab/>
            </w:r>
            <w:r>
              <w:rPr>
                <w:rStyle w:val="IndexLink"/>
              </w:rPr>
              <w:t>6</w:t>
            </w:r>
          </w:hyperlink>
        </w:p>
        <w:p>
          <w:pPr>
            <w:pStyle w:val="Contents3"/>
            <w:tabs>
              <w:tab w:val="clear" w:pos="8459"/>
              <w:tab w:val="right" w:pos="9026" w:leader="dot"/>
            </w:tabs>
            <w:rPr/>
          </w:pPr>
          <w:hyperlink w:anchor="__RefHeading___Toc6881483_211673320">
            <w:r>
              <w:rPr>
                <w:webHidden/>
                <w:rStyle w:val="IndexLink"/>
                <w:rtl w:val="true"/>
              </w:rPr>
              <w:t>أ</w:t>
            </w:r>
            <w:r>
              <w:rPr>
                <w:rStyle w:val="IndexLink"/>
                <w:rtl w:val="true"/>
              </w:rPr>
              <w:t xml:space="preserve">- </w:t>
            </w:r>
            <w:r>
              <w:rPr>
                <w:rStyle w:val="IndexLink"/>
                <w:rtl w:val="true"/>
              </w:rPr>
              <w:t>الجبر في اللغة</w:t>
            </w:r>
            <w:r>
              <w:rPr>
                <w:rStyle w:val="IndexLink"/>
                <w:rtl w:val="true"/>
              </w:rPr>
              <w:tab/>
            </w:r>
            <w:r>
              <w:rPr>
                <w:rStyle w:val="IndexLink"/>
              </w:rPr>
              <w:t>6</w:t>
            </w:r>
          </w:hyperlink>
        </w:p>
        <w:p>
          <w:pPr>
            <w:pStyle w:val="Contents3"/>
            <w:tabs>
              <w:tab w:val="clear" w:pos="8459"/>
              <w:tab w:val="right" w:pos="9026" w:leader="dot"/>
            </w:tabs>
            <w:rPr/>
          </w:pPr>
          <w:hyperlink w:anchor="__RefHeading___Toc6881485_211673320">
            <w:r>
              <w:rPr>
                <w:webHidden/>
                <w:rStyle w:val="IndexLink"/>
                <w:rtl w:val="true"/>
              </w:rPr>
              <w:t>ب</w:t>
            </w:r>
            <w:r>
              <w:rPr>
                <w:rStyle w:val="IndexLink"/>
                <w:rtl w:val="true"/>
              </w:rPr>
              <w:t xml:space="preserve">- </w:t>
            </w:r>
            <w:r>
              <w:rPr>
                <w:rStyle w:val="IndexLink"/>
                <w:rtl w:val="true"/>
              </w:rPr>
              <w:t>الجَبْرُ في مصطلح علماء العقائد الإسلامية</w:t>
            </w:r>
            <w:r>
              <w:rPr>
                <w:rStyle w:val="IndexLink"/>
                <w:rtl w:val="true"/>
              </w:rPr>
              <w:tab/>
            </w:r>
            <w:r>
              <w:rPr>
                <w:rStyle w:val="IndexLink"/>
              </w:rPr>
              <w:t>6</w:t>
            </w:r>
          </w:hyperlink>
        </w:p>
        <w:p>
          <w:pPr>
            <w:pStyle w:val="Contents3"/>
            <w:tabs>
              <w:tab w:val="clear" w:pos="8459"/>
              <w:tab w:val="right" w:pos="9026" w:leader="dot"/>
            </w:tabs>
            <w:rPr/>
          </w:pPr>
          <w:hyperlink w:anchor="__RefHeading___Toc6881487_211673320">
            <w:r>
              <w:rPr>
                <w:webHidden/>
                <w:rStyle w:val="IndexLink"/>
                <w:rtl w:val="true"/>
              </w:rPr>
              <w:t>ج</w:t>
            </w:r>
            <w:r>
              <w:rPr>
                <w:rStyle w:val="IndexLink"/>
                <w:rtl w:val="true"/>
              </w:rPr>
              <w:t xml:space="preserve">- </w:t>
            </w:r>
            <w:r>
              <w:rPr>
                <w:rStyle w:val="IndexLink"/>
                <w:rtl w:val="true"/>
              </w:rPr>
              <w:t>التفويض في اللغة</w:t>
            </w:r>
            <w:r>
              <w:rPr>
                <w:rStyle w:val="IndexLink"/>
                <w:rtl w:val="true"/>
              </w:rPr>
              <w:tab/>
            </w:r>
            <w:r>
              <w:rPr>
                <w:rStyle w:val="IndexLink"/>
              </w:rPr>
              <w:t>7</w:t>
            </w:r>
          </w:hyperlink>
        </w:p>
        <w:p>
          <w:pPr>
            <w:pStyle w:val="Contents3"/>
            <w:tabs>
              <w:tab w:val="clear" w:pos="8459"/>
              <w:tab w:val="right" w:pos="9026" w:leader="dot"/>
            </w:tabs>
            <w:rPr/>
          </w:pPr>
          <w:hyperlink w:anchor="__RefHeading___Toc6881489_211673320">
            <w:r>
              <w:rPr>
                <w:webHidden/>
                <w:rStyle w:val="IndexLink"/>
                <w:rtl w:val="true"/>
              </w:rPr>
              <w:t>د</w:t>
            </w:r>
            <w:r>
              <w:rPr>
                <w:rStyle w:val="IndexLink"/>
                <w:rtl w:val="true"/>
              </w:rPr>
              <w:t xml:space="preserve">- </w:t>
            </w:r>
            <w:r>
              <w:rPr>
                <w:rStyle w:val="IndexLink"/>
                <w:rtl w:val="true"/>
              </w:rPr>
              <w:t>التفويض في مصطلح علماء العقائد الإسلامية</w:t>
            </w:r>
            <w:r>
              <w:rPr>
                <w:rStyle w:val="IndexLink"/>
                <w:rtl w:val="true"/>
              </w:rPr>
              <w:tab/>
            </w:r>
            <w:r>
              <w:rPr>
                <w:rStyle w:val="IndexLink"/>
              </w:rPr>
              <w:t>7</w:t>
            </w:r>
          </w:hyperlink>
        </w:p>
        <w:p>
          <w:pPr>
            <w:pStyle w:val="Contents3"/>
            <w:tabs>
              <w:tab w:val="clear" w:pos="8459"/>
              <w:tab w:val="right" w:pos="9026" w:leader="dot"/>
            </w:tabs>
            <w:rPr/>
          </w:pPr>
          <w:hyperlink w:anchor="__RefHeading___Toc6881491_211673320">
            <w:r>
              <w:rPr>
                <w:webHidden/>
                <w:rStyle w:val="IndexLink"/>
                <w:rtl w:val="true"/>
              </w:rPr>
              <w:t>ه</w:t>
            </w:r>
            <w:r>
              <w:rPr>
                <w:rStyle w:val="IndexLink"/>
                <w:rtl w:val="true"/>
              </w:rPr>
              <w:t xml:space="preserve">- </w:t>
            </w:r>
            <w:r>
              <w:rPr>
                <w:rStyle w:val="IndexLink"/>
                <w:rtl w:val="true"/>
              </w:rPr>
              <w:t>الاختيار في اللغة</w:t>
            </w:r>
            <w:r>
              <w:rPr>
                <w:rStyle w:val="IndexLink"/>
                <w:rtl w:val="true"/>
              </w:rPr>
              <w:tab/>
            </w:r>
            <w:r>
              <w:rPr>
                <w:rStyle w:val="IndexLink"/>
              </w:rPr>
              <w:t>7</w:t>
            </w:r>
          </w:hyperlink>
        </w:p>
        <w:p>
          <w:pPr>
            <w:pStyle w:val="Contents3"/>
            <w:tabs>
              <w:tab w:val="clear" w:pos="8459"/>
              <w:tab w:val="right" w:pos="9026" w:leader="dot"/>
            </w:tabs>
            <w:rPr/>
          </w:pPr>
          <w:hyperlink w:anchor="__RefHeading___Toc6881493_211673320">
            <w:r>
              <w:rPr>
                <w:webHidden/>
                <w:rStyle w:val="IndexLink"/>
                <w:rtl w:val="true"/>
              </w:rPr>
              <w:t>و</w:t>
            </w:r>
            <w:r>
              <w:rPr>
                <w:rStyle w:val="IndexLink"/>
                <w:rtl w:val="true"/>
              </w:rPr>
              <w:t xml:space="preserve">- </w:t>
            </w:r>
            <w:r>
              <w:rPr>
                <w:rStyle w:val="IndexLink"/>
                <w:rtl w:val="true"/>
              </w:rPr>
              <w:t>الاختيار في مصطلح علماء العقائد الإسلامية</w:t>
            </w:r>
            <w:r>
              <w:rPr>
                <w:rStyle w:val="IndexLink"/>
                <w:rtl w:val="true"/>
              </w:rPr>
              <w:tab/>
            </w:r>
            <w:r>
              <w:rPr>
                <w:rStyle w:val="IndexLink"/>
              </w:rPr>
              <w:t>7</w:t>
            </w:r>
          </w:hyperlink>
        </w:p>
        <w:p>
          <w:pPr>
            <w:pStyle w:val="Contents2"/>
            <w:tabs>
              <w:tab w:val="clear" w:pos="8743"/>
              <w:tab w:val="right" w:pos="9026" w:leader="dot"/>
            </w:tabs>
            <w:rPr/>
          </w:pPr>
          <w:hyperlink w:anchor="__RefHeading___Toc6881495_211673320">
            <w:r>
              <w:rPr>
                <w:webHidden/>
                <w:rStyle w:val="IndexLink"/>
                <w:rtl w:val="true"/>
              </w:rPr>
              <w:t>القضاء والقدر</w:t>
            </w:r>
            <w:r>
              <w:rPr>
                <w:rStyle w:val="IndexLink"/>
                <w:rtl w:val="true"/>
              </w:rPr>
              <w:tab/>
            </w:r>
            <w:r>
              <w:rPr>
                <w:rStyle w:val="IndexLink"/>
              </w:rPr>
              <w:t>9</w:t>
            </w:r>
          </w:hyperlink>
        </w:p>
        <w:p>
          <w:pPr>
            <w:pStyle w:val="Contents3"/>
            <w:tabs>
              <w:tab w:val="clear" w:pos="8459"/>
              <w:tab w:val="right" w:pos="9026" w:leader="dot"/>
            </w:tabs>
            <w:rPr/>
          </w:pPr>
          <w:hyperlink w:anchor="__RefHeading___Toc6881497_211673320">
            <w:r>
              <w:rPr>
                <w:webHidden/>
                <w:rStyle w:val="IndexLink"/>
                <w:rtl w:val="true"/>
              </w:rPr>
              <w:t>أ</w:t>
            </w:r>
            <w:r>
              <w:rPr>
                <w:rStyle w:val="IndexLink"/>
                <w:rtl w:val="true"/>
              </w:rPr>
              <w:t xml:space="preserve">- </w:t>
            </w:r>
            <w:r>
              <w:rPr>
                <w:rStyle w:val="IndexLink"/>
                <w:rtl w:val="true"/>
              </w:rPr>
              <w:t>معاني القضاء والقدر</w:t>
            </w:r>
            <w:r>
              <w:rPr>
                <w:rStyle w:val="IndexLink"/>
                <w:rtl w:val="true"/>
              </w:rPr>
              <w:tab/>
            </w:r>
            <w:r>
              <w:rPr>
                <w:rStyle w:val="IndexLink"/>
              </w:rPr>
              <w:t>9</w:t>
            </w:r>
          </w:hyperlink>
        </w:p>
        <w:p>
          <w:pPr>
            <w:pStyle w:val="Contents3"/>
            <w:tabs>
              <w:tab w:val="clear" w:pos="8459"/>
              <w:tab w:val="right" w:pos="9026" w:leader="dot"/>
            </w:tabs>
            <w:rPr/>
          </w:pPr>
          <w:hyperlink w:anchor="__RefHeading___Toc6881499_211673320">
            <w:r>
              <w:rPr>
                <w:webHidden/>
                <w:rStyle w:val="IndexLink"/>
                <w:rtl w:val="true"/>
              </w:rPr>
              <w:t>ب</w:t>
            </w:r>
            <w:r>
              <w:rPr>
                <w:rStyle w:val="IndexLink"/>
                <w:rtl w:val="true"/>
              </w:rPr>
              <w:t xml:space="preserve">- </w:t>
            </w:r>
            <w:r>
              <w:rPr>
                <w:rStyle w:val="IndexLink"/>
                <w:rtl w:val="true"/>
              </w:rPr>
              <w:t>روايات من أئمة أهل البيت عليهم السلام في القضاء والقدر</w:t>
            </w:r>
            <w:r>
              <w:rPr>
                <w:rStyle w:val="IndexLink"/>
                <w:rtl w:val="true"/>
              </w:rPr>
              <w:tab/>
            </w:r>
            <w:r>
              <w:rPr>
                <w:rStyle w:val="IndexLink"/>
              </w:rPr>
              <w:t>13</w:t>
            </w:r>
          </w:hyperlink>
        </w:p>
        <w:p>
          <w:pPr>
            <w:pStyle w:val="Contents3"/>
            <w:tabs>
              <w:tab w:val="clear" w:pos="8459"/>
              <w:tab w:val="right" w:pos="9026" w:leader="dot"/>
            </w:tabs>
            <w:rPr/>
          </w:pPr>
          <w:hyperlink w:anchor="__RefHeading___Toc6881501_211673320">
            <w:r>
              <w:rPr>
                <w:webHidden/>
                <w:rStyle w:val="IndexLink"/>
                <w:rtl w:val="true"/>
              </w:rPr>
              <w:t>شرح الروايات</w:t>
            </w:r>
            <w:r>
              <w:rPr>
                <w:rStyle w:val="IndexLink"/>
                <w:rtl w:val="true"/>
              </w:rPr>
              <w:tab/>
            </w:r>
            <w:r>
              <w:rPr>
                <w:rStyle w:val="IndexLink"/>
              </w:rPr>
              <w:t>18</w:t>
            </w:r>
          </w:hyperlink>
        </w:p>
        <w:p>
          <w:pPr>
            <w:pStyle w:val="Contents2"/>
            <w:tabs>
              <w:tab w:val="clear" w:pos="8743"/>
              <w:tab w:val="right" w:pos="9026" w:leader="dot"/>
            </w:tabs>
            <w:rPr/>
          </w:pPr>
          <w:hyperlink w:anchor="__RefHeading___Toc6881503_211673320">
            <w:r>
              <w:rPr>
                <w:webHidden/>
                <w:rStyle w:val="IndexLink"/>
                <w:rtl w:val="true"/>
              </w:rPr>
              <w:t>أسئلة وأجوبة</w:t>
            </w:r>
            <w:r>
              <w:rPr>
                <w:rStyle w:val="IndexLink"/>
                <w:rtl w:val="true"/>
              </w:rPr>
              <w:tab/>
            </w:r>
            <w:r>
              <w:rPr>
                <w:rStyle w:val="IndexLink"/>
              </w:rPr>
              <w:t>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8_5692"/>
      <w:bookmarkStart w:id="1" w:name="pg848_5692"/>
      <w:bookmarkEnd w:id="1"/>
    </w:p>
    <w:p>
      <w:pPr>
        <w:pStyle w:val="Heading2"/>
        <w:numPr>
          <w:ilvl w:val="1"/>
          <w:numId w:val="1"/>
        </w:numPr>
        <w:rPr/>
      </w:pPr>
      <w:bookmarkStart w:id="2" w:name="pg848_5692"/>
      <w:bookmarkStart w:id="3" w:name="__RefHeading___Toc6881475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سیدمرتضی،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حول‌الجبر والتفویض والقضاء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مرتضی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مائده الکتاب و السنه؛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81477_211673320"/>
      <w:bookmarkStart w:id="6" w:name="_Toc2"/>
      <w:bookmarkEnd w:id="5"/>
      <w:r>
        <w:rPr>
          <w:rtl w:val="true"/>
        </w:rPr>
        <w:t>اشاره</w:t>
      </w:r>
      <w:bookmarkStart w:id="7" w:name="pg848_5694"/>
      <w:bookmarkEnd w:id="6"/>
    </w:p>
    <w:p>
      <w:pPr>
        <w:pStyle w:val="Heading2"/>
        <w:numPr>
          <w:ilvl w:val="1"/>
          <w:numId w:val="1"/>
        </w:numPr>
        <w:rPr/>
      </w:pPr>
      <w:bookmarkStart w:id="8" w:name="__RefHeading___Toc6881479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الوحدة حول مائدة الكتاب والسنّة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على محمّد وآله الطاهرين، والسلام على أصحابه البررة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معاشر المسلمين على مسائل الخلاف في الداخل ففرّق أعداء الإسلام من الخارج كلمتنا من حيث لا نشعر، وضعفنا عن الدفاع عن بلادنا، وسيطر الأعداء علينا،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لنا اليوم و في كلّ يوم‌أن نرجع إلى الكتاب والسنّة في ما اختلفنا فيه ونوحّد كلمتنا حولهما،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السلسلة من البحوث نرجع إلى الكتاب والسنّة ونستنبط منها ما ينير لنا السبيل في مسائل الخلاف، فتكون بإذنه تعالى وسيلة لتوحيد كلمتنا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من العلماء أن يشاركونا في هذا المجال، ويبعثوا إلينا بوجهات نظرهم على 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bookmarkStart w:id="10" w:name="pg848_5696"/>
    </w:p>
    <w:p>
      <w:pPr>
        <w:pStyle w:val="Heading2"/>
        <w:numPr>
          <w:ilvl w:val="1"/>
          <w:numId w:val="1"/>
        </w:numPr>
        <w:rPr/>
      </w:pPr>
      <w:bookmarkStart w:id="11" w:name="__RefHeading___Toc6881481_211673320"/>
      <w:bookmarkStart w:id="12" w:name="_Toc4"/>
      <w:bookmarkEnd w:id="10"/>
      <w:bookmarkEnd w:id="11"/>
      <w:r>
        <w:rPr>
          <w:rtl w:val="true"/>
        </w:rPr>
        <w:t>الجبر والتفويض والاختيار</w:t>
      </w:r>
      <w:bookmarkEnd w:id="12"/>
    </w:p>
    <w:p>
      <w:pPr>
        <w:pStyle w:val="Heading3"/>
        <w:numPr>
          <w:ilvl w:val="2"/>
          <w:numId w:val="1"/>
        </w:numPr>
        <w:rPr/>
      </w:pPr>
      <w:bookmarkStart w:id="13" w:name="__RefHeading___Toc6881483_211673320"/>
      <w:bookmarkStart w:id="14" w:name="_Toc5"/>
      <w:bookmarkEnd w:id="13"/>
      <w:r>
        <w:rPr>
          <w:rtl w:val="true"/>
        </w:rPr>
        <w:t>أ</w:t>
      </w:r>
      <w:r>
        <w:rPr>
          <w:rtl w:val="true"/>
        </w:rPr>
        <w:t xml:space="preserve">- </w:t>
      </w:r>
      <w:r>
        <w:rPr>
          <w:rtl w:val="true"/>
        </w:rPr>
        <w:t>الجبر في اللغة</w:t>
      </w:r>
      <w:bookmarkEnd w:id="14"/>
    </w:p>
    <w:p>
      <w:pPr>
        <w:pStyle w:val="BookText"/>
        <w:rPr/>
      </w:pPr>
      <w:r>
        <w:rPr>
          <w:rFonts w:ascii="Amiri" w:hAnsi="Amiri" w:eastAsia="Amiri" w:cs="Amiri"/>
          <w:color w:val="111111"/>
          <w:sz w:val="28"/>
          <w:sz w:val="28"/>
          <w:szCs w:val="28"/>
          <w:rtl w:val="true"/>
          <w:lang w:bidi="ar-SA"/>
        </w:rPr>
        <w:t>جَبَرَهُ على الأمر وأجْبَرَهُ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عليه، وأكْرَهَهُ على الإتيان به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881485_211673320"/>
      <w:bookmarkStart w:id="16" w:name="_Toc6"/>
      <w:bookmarkEnd w:id="15"/>
      <w:r>
        <w:rPr>
          <w:rtl w:val="true"/>
        </w:rPr>
        <w:t>ب</w:t>
      </w:r>
      <w:r>
        <w:rPr>
          <w:rtl w:val="true"/>
        </w:rPr>
        <w:t xml:space="preserve">- </w:t>
      </w:r>
      <w:r>
        <w:rPr>
          <w:rtl w:val="true"/>
        </w:rPr>
        <w:t>الجَبْرُ في مصطلح علماء العقائد الإسلامية</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إجيارُ اللَّه تعالى عبادَه على ما يفعلون، خيراً كان أو شراً، حسناً كان أو قبيحاً، دون أنْ يكون للعبد إرادة واختيارُ الرفض والامتناع، ويرى الجبرية الجبر مذهباً يرى أصحابُه أنّ كلّ ما يحدث للإنسان قُدّر عليه أَزَلًا، فهو مُسيّر لا مُخيّر، وهو قول الأشاعرة </w:t>
      </w:r>
      <w:r>
        <w:rPr>
          <w:rStyle w:val="FootnoteAnchor"/>
        </w:rPr>
        <w:footnoteReference w:id="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7" w:name="pg848_5697"/>
    </w:p>
    <w:p>
      <w:pPr>
        <w:pStyle w:val="Heading3"/>
        <w:numPr>
          <w:ilvl w:val="2"/>
          <w:numId w:val="1"/>
        </w:numPr>
        <w:rPr/>
      </w:pPr>
      <w:bookmarkStart w:id="18" w:name="__RefHeading___Toc6881487_211673320"/>
      <w:bookmarkStart w:id="19" w:name="_Toc7"/>
      <w:bookmarkEnd w:id="17"/>
      <w:bookmarkEnd w:id="18"/>
      <w:r>
        <w:rPr>
          <w:rtl w:val="true"/>
        </w:rPr>
        <w:t>ج</w:t>
      </w:r>
      <w:r>
        <w:rPr>
          <w:rtl w:val="true"/>
        </w:rPr>
        <w:t xml:space="preserve">- </w:t>
      </w:r>
      <w:r>
        <w:rPr>
          <w:rtl w:val="true"/>
        </w:rPr>
        <w:t>التفويض في اللغة</w:t>
      </w:r>
      <w:bookmarkEnd w:id="19"/>
    </w:p>
    <w:p>
      <w:pPr>
        <w:pStyle w:val="BookText"/>
        <w:rPr/>
      </w:pPr>
      <w:r>
        <w:rPr>
          <w:rFonts w:ascii="Amiri" w:hAnsi="Amiri" w:eastAsia="Amiri" w:cs="Amiri"/>
          <w:color w:val="111111"/>
          <w:sz w:val="28"/>
          <w:sz w:val="28"/>
          <w:szCs w:val="28"/>
          <w:rtl w:val="true"/>
          <w:lang w:bidi="ar-SA"/>
        </w:rPr>
        <w:t>فَوَّضَ إليه الأمرَ تفويضاً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التَّصَرُّفَ فيه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881489_211673320"/>
      <w:bookmarkStart w:id="21" w:name="_Toc8"/>
      <w:bookmarkEnd w:id="20"/>
      <w:r>
        <w:rPr>
          <w:rtl w:val="true"/>
        </w:rPr>
        <w:t>د</w:t>
      </w:r>
      <w:r>
        <w:rPr>
          <w:rtl w:val="true"/>
        </w:rPr>
        <w:t xml:space="preserve">- </w:t>
      </w:r>
      <w:r>
        <w:rPr>
          <w:rtl w:val="true"/>
        </w:rPr>
        <w:t>التفويض في مصطلح علماء العقائد الإسلامية</w:t>
      </w:r>
      <w:bookmarkEnd w:id="21"/>
    </w:p>
    <w:p>
      <w:pPr>
        <w:pStyle w:val="BookText"/>
        <w:rPr/>
      </w:pPr>
      <w:r>
        <w:rPr>
          <w:rFonts w:ascii="Amiri" w:hAnsi="Amiri" w:eastAsia="Amiri" w:cs="Amiri"/>
          <w:color w:val="111111"/>
          <w:sz w:val="28"/>
          <w:sz w:val="28"/>
          <w:szCs w:val="28"/>
          <w:rtl w:val="true"/>
          <w:lang w:bidi="ar-SA"/>
        </w:rPr>
        <w:t xml:space="preserve">هو أنّ اللَّه تعالى فوّض أفعال العباد إليهم، يفعلون ما يشاؤون، على وجه الإستقلال، دون أن يكون للَّه‌سلطان على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المعتزلة</w:t>
      </w:r>
      <w:r>
        <w:rPr>
          <w:rFonts w:eastAsia="Amiri" w:cs="Amiri" w:ascii="Amiri" w:hAnsi="Amiri"/>
          <w:color w:val="111111"/>
          <w:sz w:val="28"/>
          <w:szCs w:val="28"/>
          <w:rtl w:val="true"/>
          <w:lang w:bidi="ar-SA"/>
        </w:rPr>
        <w:t xml:space="preserve">) </w:t>
      </w:r>
      <w:r>
        <w:rPr>
          <w:rStyle w:val="FootnoteAnchor"/>
        </w:rPr>
        <w:footnoteReference w:id="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6881491_211673320"/>
      <w:bookmarkStart w:id="23" w:name="_Toc9"/>
      <w:bookmarkEnd w:id="22"/>
      <w:r>
        <w:rPr>
          <w:rtl w:val="true"/>
        </w:rPr>
        <w:t>ه</w:t>
      </w:r>
      <w:r>
        <w:rPr>
          <w:rtl w:val="true"/>
        </w:rPr>
        <w:t xml:space="preserve">- </w:t>
      </w:r>
      <w:r>
        <w:rPr>
          <w:rtl w:val="true"/>
        </w:rPr>
        <w:t>الاختيار في اللغة</w:t>
      </w:r>
      <w:bookmarkEnd w:id="23"/>
    </w:p>
    <w:p>
      <w:pPr>
        <w:pStyle w:val="BookText"/>
        <w:rPr/>
      </w:pPr>
      <w:r>
        <w:rPr>
          <w:rFonts w:ascii="Amiri" w:hAnsi="Amiri" w:eastAsia="Amiri" w:cs="Amiri"/>
          <w:color w:val="111111"/>
          <w:sz w:val="28"/>
          <w:sz w:val="28"/>
          <w:szCs w:val="28"/>
          <w:rtl w:val="true"/>
          <w:lang w:bidi="ar-SA"/>
        </w:rPr>
        <w:t>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إليه الاختيار بين أمرين أو شيئين أو أكثر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881493_211673320"/>
      <w:bookmarkStart w:id="25" w:name="_Toc10"/>
      <w:bookmarkEnd w:id="24"/>
      <w:r>
        <w:rPr>
          <w:rtl w:val="true"/>
        </w:rPr>
        <w:t>و</w:t>
      </w:r>
      <w:r>
        <w:rPr>
          <w:rtl w:val="true"/>
        </w:rPr>
        <w:t xml:space="preserve">- </w:t>
      </w:r>
      <w:r>
        <w:rPr>
          <w:rtl w:val="true"/>
        </w:rPr>
        <w:t>الاختيار في مصطلح علماء العقائد الإسلامية</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كلّف عباده بواسطة الأنبياء والرسل ببعض الأفعال ونهاهم عن بعض آخر، وأمرهم بطاعته في ما أمَرَ به ونهى عنه بعد أن منحهم القوّة والإرادة على الفعل والترك وجعل لهم الاختيار في ما يفعلون دون أن يجبر أحداً على الفعل، وسيأتي الاستدلال عليه بحوله تعالى</w:t>
      </w:r>
      <w:r>
        <w:rPr>
          <w:rFonts w:eastAsia="Amiri" w:cs="Amiri" w:ascii="Amiri" w:hAnsi="Amiri"/>
          <w:color w:val="111111"/>
          <w:sz w:val="28"/>
          <w:szCs w:val="28"/>
          <w:rtl w:val="true"/>
          <w:lang w:bidi="ar-SA"/>
        </w:rPr>
        <w:t>.</w:t>
      </w:r>
      <w:bookmarkStart w:id="26" w:name="pg848_5699"/>
    </w:p>
    <w:p>
      <w:pPr>
        <w:pStyle w:val="Heading2"/>
        <w:numPr>
          <w:ilvl w:val="1"/>
          <w:numId w:val="1"/>
        </w:numPr>
        <w:rPr/>
      </w:pPr>
      <w:bookmarkStart w:id="27" w:name="__RefHeading___Toc6881495_211673320"/>
      <w:bookmarkStart w:id="28" w:name="_Toc11"/>
      <w:bookmarkEnd w:id="26"/>
      <w:bookmarkEnd w:id="27"/>
      <w:r>
        <w:rPr>
          <w:rtl w:val="true"/>
        </w:rPr>
        <w:t>القضاء والقدر</w:t>
      </w:r>
      <w:bookmarkEnd w:id="28"/>
    </w:p>
    <w:p>
      <w:pPr>
        <w:pStyle w:val="Heading3"/>
        <w:numPr>
          <w:ilvl w:val="2"/>
          <w:numId w:val="1"/>
        </w:numPr>
        <w:rPr/>
      </w:pPr>
      <w:bookmarkStart w:id="29" w:name="__RefHeading___Toc6881497_211673320"/>
      <w:bookmarkStart w:id="30" w:name="_Toc12"/>
      <w:bookmarkEnd w:id="29"/>
      <w:r>
        <w:rPr>
          <w:rtl w:val="true"/>
        </w:rPr>
        <w:t>أ</w:t>
      </w:r>
      <w:r>
        <w:rPr>
          <w:rtl w:val="true"/>
        </w:rPr>
        <w:t xml:space="preserve">- </w:t>
      </w:r>
      <w:r>
        <w:rPr>
          <w:rtl w:val="true"/>
        </w:rPr>
        <w:t>معاني القضاء والقدر</w:t>
      </w:r>
      <w:bookmarkEnd w:id="30"/>
    </w:p>
    <w:p>
      <w:pPr>
        <w:pStyle w:val="BookText"/>
        <w:rPr/>
      </w:pPr>
      <w:r>
        <w:rPr>
          <w:rFonts w:ascii="Amiri" w:hAnsi="Amiri" w:eastAsia="Amiri" w:cs="Amiri"/>
          <w:color w:val="111111"/>
          <w:sz w:val="28"/>
          <w:sz w:val="28"/>
          <w:szCs w:val="28"/>
          <w:rtl w:val="true"/>
          <w:lang w:bidi="ar-SA"/>
        </w:rPr>
        <w:t>تستعمل مادّتا القضاء والقدر لعدّة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ما يخصّ البحث من مادّة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أو يقضي بين المتخاصمين،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يَقْضِي بَيْنَهُمْ يَوْمَ الْقِيَامَةِ فِيمَا كَانُوا فِيهِ 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أَنْبَأه به، كقوله تعالى في ما أخبر به لوطاً عن مصير قومه في 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إِلَيْهِ ذلِكَ الْأَمْرَ أَنَّ دَابِرَ هؤُلَاءِ مَقْطُوعٌ مُصْبِحِينَ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أنبأناه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الشي‌ء،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 أمر به، كقوله تعالى في 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أمر ربّك وأوجب عليكم ألّا تعبدوا إلّاإيّاه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الأمر أو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إرادته به، قدّره، كقوله تعالى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قَضَى أَمْراً فَإِنَّمَا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أراد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في 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قدّر لكلّ انسان مدّة يحيا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فيما يخصّ البحث من مادّة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على الشي‌ء أو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يفعله، يتغلّب عليه فهو قادر، والقدير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القوّة،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يس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الَّذِي خَلَقَ السَّمَوَاتِ وَالْأَرْضَ بِقَادِرٍ عَلَى أَنْ يَخْلُقَ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لَذَهَبَ بِسَمْعِهِمْ وَأَبْصَارِهِمْ إِنَّ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ذو القدرة على فعل كلّ شي‌ء على قدر ما تقتضي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الرِّزق عليه ويَقْدِر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ضيّقه، كقوله تعالى في سورة 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وَيَقْدِرُ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الأمر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أو أراد وقوعه، كقوله تعالى في سورة المرسلات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فَقَدَرْنَا فَنِعْمَ الْقَادِرُونَ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أو حكم بأنْ يكون، كقوله تعالى في شأن زوجة لوط، في 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فَأَنْجَيْنَاهُ وَأَهْلَهُ إِلَّا امْرَأَتَهُ قَدَّرْنَاهَا مِنَ الْغَابِرِينَ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حكمنا، أو قضينا عليها بأن تكون من الهالكين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تَمَهَّلَ وتروّى في إنجازه، كقوله تعالى في سورة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 السَّرْدِ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تمهّل وتروَّ في صُنعه كي تحكم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والكميّة، كقوله تعالى في 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بمقدار وكميّةٍ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 أو مكانه، كقوله تعالى في سورة 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نَخلُقكُمْ مِنْ مَاءٍ مَهِينٍ فَجَعَلْنَاهُ فِي قَرَارٍ مَكِينٍ إِلَى قَدَرٍ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إلى زمانٍ محدّد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المحكم، أو حكمهُ المبرَم على خلقه، كقوله تعالى في 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قضاءً محكماً، وحُكماً مُبْرَماً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تعدّد معاني ما يُنسبُ إلى اللَّه من مادَّتَي القضاء</w:t>
      </w:r>
      <w:bookmarkStart w:id="31" w:name="pg848_5703"/>
    </w:p>
    <w:p>
      <w:pPr>
        <w:pStyle w:val="BookText"/>
        <w:rPr/>
      </w:pPr>
      <w:bookmarkEnd w:id="31"/>
      <w:r>
        <w:rPr>
          <w:rFonts w:ascii="Amiri" w:hAnsi="Amiri" w:eastAsia="Amiri" w:cs="Amiri"/>
          <w:color w:val="111111"/>
          <w:sz w:val="28"/>
          <w:sz w:val="28"/>
          <w:szCs w:val="28"/>
          <w:rtl w:val="true"/>
          <w:lang w:bidi="ar-SA"/>
        </w:rPr>
        <w:t>والقدر، قد أدّى إلى لبسِ معنى ما ورد منهما في القرآن والحديث، واعتقاد بعض المسلمين بأنّ الإنسان يسيّر في حياته، في كلّ ما يعمل من خير أو شرّ وفق ما قضى اللَّه عليه وقدّر قبل أنْ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في الأخبار لفظ القدري على الجبريّ والتّفويضي كليهما </w:t>
      </w:r>
      <w:r>
        <w:rPr>
          <w:rStyle w:val="FootnoteAnchor"/>
        </w:rPr>
        <w:footnoteReference w:id="4"/>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وعليه فإنّ القَدَرَ اسمٌ للشي‌ء وضدّه كالقُرْء، اسمٌ للحيضِ والطُّهر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نُطيل البحث بإيراد أقوال المعتقدين بذلك، والإجابة عليها، وإنّما نكتفي بايراد الأحاديث التي نجد فيها جواباً لتلكم الأقوال توضيحياً وبياناً للأمر بحوله تعالى</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881499_211673320"/>
      <w:bookmarkStart w:id="33" w:name="_Toc13"/>
      <w:bookmarkEnd w:id="32"/>
      <w:r>
        <w:rPr>
          <w:rtl w:val="true"/>
        </w:rPr>
        <w:t>ب</w:t>
      </w:r>
      <w:r>
        <w:rPr>
          <w:rtl w:val="true"/>
        </w:rPr>
        <w:t xml:space="preserve">- </w:t>
      </w:r>
      <w:r>
        <w:rPr>
          <w:rtl w:val="true"/>
        </w:rPr>
        <w:t>روايات من أئمة أهل البيت عليهم السلام في القضاء والقدر</w:t>
      </w:r>
      <w:bookmarkEnd w:id="3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 أئمة أهل البيت عليّ بن أبي طالب عليه السلام، روي في توحيد الصدوق بسنده إلى الإمام الحسن عليه السلام، وفي تاريخ ابن عساكر بسنده إلى ابن عبّاس واللفظ للأوّل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رجل من أهل العراق على أمير المؤمنين عليه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خروجنا إلى أهل الشام أبقضاءٍ من اللَّه وقدرٍ؟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يا شيخ، فو اللَّه ما علوتم تلعةً ولا هبطتم بطن وادٍ إلّابقضاءٍ من اللَّه وقدرٍ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w:t>
      </w:r>
      <w:r>
        <w:rPr>
          <w:rStyle w:val="FootnoteAnchor"/>
        </w:rPr>
        <w:footnoteReference w:id="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يا شيخ، لعلّك تظنُّ قضاءً حتماً وقدراً لازماً </w:t>
      </w:r>
      <w:r>
        <w:rPr>
          <w:rStyle w:val="FootnoteAnchor"/>
        </w:rPr>
        <w:footnoteReference w:id="6"/>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لو كان كذلك لبطل الثواب والعقاب والأمر والنهي والزّجر، ولسقط معنى الوعيد والوعد، ولم يكن على مُسي‌ءٍ لائمةٌ ولا لمحسنٍ محمدةٌ، ولكان المحسن أولى باللّائمة من المذنب والمذنب أولى بالاحسان من الُمحسن </w:t>
      </w:r>
      <w:r>
        <w:rPr>
          <w:rStyle w:val="FootnoteAnchor"/>
        </w:rPr>
        <w:footnoteReference w:id="7"/>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تلك مقالةُ عبدةِ الأوثانِ وخُصماءِ الرحمن وقدريّة هذه الامّة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اللَّه عزّ وجلّ كلّف تخييراً، ونهى</w:t>
      </w:r>
    </w:p>
    <w:p>
      <w:pPr>
        <w:pStyle w:val="BookText"/>
        <w:rPr/>
      </w:pPr>
      <w:r>
        <w:rPr>
          <w:rFonts w:ascii="Amiri" w:hAnsi="Amiri" w:eastAsia="Amiri" w:cs="Amiri"/>
          <w:color w:val="111111"/>
          <w:sz w:val="28"/>
          <w:sz w:val="28"/>
          <w:szCs w:val="28"/>
          <w:rtl w:val="true"/>
          <w:lang w:bidi="ar-SA"/>
        </w:rPr>
        <w:t xml:space="preserve">تحذيراً، وأعطى على القليل كثيراً، ولم يُعصَ مغلوباً، ولم يُطَع مُكرهاً، ولم يخلق السماوات والأرض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Pr>
        <w:footnoteReference w:id="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الشيخ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بطاعته‌يوم النّجاة من الرحمن غفراناً</w:t>
      </w:r>
    </w:p>
    <w:p>
      <w:pPr>
        <w:pStyle w:val="BookText"/>
        <w:rPr/>
      </w:pPr>
      <w:r>
        <w:rPr>
          <w:rFonts w:ascii="Amiri" w:hAnsi="Amiri" w:eastAsia="Amiri" w:cs="Amiri"/>
          <w:color w:val="111111"/>
          <w:sz w:val="28"/>
          <w:sz w:val="28"/>
          <w:szCs w:val="28"/>
          <w:rtl w:val="true"/>
          <w:lang w:bidi="ar-SA"/>
        </w:rPr>
        <w:t>أوضحْتَ من ديننا ما كان مُلتبساًجزاك ربّك عنّا فيه إحساناً</w:t>
      </w:r>
    </w:p>
    <w:p>
      <w:pPr>
        <w:pStyle w:val="BookText"/>
        <w:rPr/>
      </w:pPr>
      <w:r>
        <w:rPr>
          <w:rFonts w:ascii="Amiri" w:hAnsi="Amiri" w:eastAsia="Amiri" w:cs="Amiri"/>
          <w:color w:val="111111"/>
          <w:sz w:val="28"/>
          <w:sz w:val="28"/>
          <w:szCs w:val="28"/>
          <w:rtl w:val="true"/>
          <w:lang w:bidi="ar-SA"/>
        </w:rPr>
        <w:t xml:space="preserve">فليس معذرةً في فعل فاحشةٍقد كُنْتُ راكبها فسقاً وعصياناً </w:t>
      </w:r>
      <w:r>
        <w:rPr>
          <w:rStyle w:val="FootnoteAnchor"/>
        </w:rPr>
        <w:footnoteReference w:id="9"/>
      </w: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السادس من أئمة أهل البيت عليهم السلام، الامام أبي عبد اللَّه جعفر بن محمد الصادق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في القَدَرِ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اللَّه عزّ وجلّ أجبر الناس على المعاصي، فهذا قد ظلم اللَّه في</w:t>
      </w:r>
    </w:p>
    <w:p>
      <w:pPr>
        <w:pStyle w:val="BookText"/>
        <w:rPr/>
      </w:pPr>
      <w:r>
        <w:rPr>
          <w:rFonts w:ascii="Amiri" w:hAnsi="Amiri" w:eastAsia="Amiri" w:cs="Amiri"/>
          <w:color w:val="111111"/>
          <w:sz w:val="28"/>
          <w:sz w:val="28"/>
          <w:szCs w:val="28"/>
          <w:rtl w:val="true"/>
          <w:lang w:bidi="ar-SA"/>
        </w:rPr>
        <w:t>حُكمه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يزعمُ أنّ الأمر مفوّضٌ إليهم، فهذا قد أوهن اللَّه في سلطانه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يزعمُ أنّ اللَّه كلّف العباد ما يطيقون ولم يكلِّفهم ما لا يُطيقون وإذا أحسن حمد اللَّه وإذا أساء استغفر اللَّه فهذا مسلمٌ بالغ</w:t>
      </w:r>
      <w:r>
        <w:rPr>
          <w:rFonts w:eastAsia="Amiri" w:cs="Amiri" w:ascii="Amiri" w:hAnsi="Amiri"/>
          <w:color w:val="111111"/>
          <w:sz w:val="28"/>
          <w:szCs w:val="28"/>
          <w:rtl w:val="true"/>
          <w:lang w:bidi="ar-SA"/>
        </w:rPr>
        <w:t xml:space="preserve">» </w:t>
      </w:r>
      <w:r>
        <w:rPr>
          <w:rStyle w:val="FootnoteAnchor"/>
        </w:rPr>
        <w:footnoteReference w:id="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الثامن من أئمة أهل البيت الامام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يُطَعْ باكراهٍ، ولم يُعصَ بغلبةٍ، ولم يُهمل العباد في مُلكه، هو المالك لما ملّكهم والقادرُ على ما أقدرهم عليه، فإن ائتمر العبادُ بطاعته لم يكن اللَّه منها صادّاً، ولا منها مانعاً، وإن ائتمروا بمعصيته فشاءَ أنْ يحول بينهم وبين ذلك فعل، وإنْ لم يَحُلْ وفعلوه فليس هو الذي أدخلهم فيه</w:t>
      </w:r>
      <w:r>
        <w:rPr>
          <w:rFonts w:eastAsia="Amiri" w:cs="Amiri" w:ascii="Amiri" w:hAnsi="Amiri"/>
          <w:color w:val="111111"/>
          <w:sz w:val="28"/>
          <w:szCs w:val="28"/>
          <w:rtl w:val="true"/>
          <w:lang w:bidi="ar-SA"/>
        </w:rPr>
        <w:t xml:space="preserve">» </w:t>
      </w:r>
      <w:r>
        <w:rPr>
          <w:rStyle w:val="FootnoteAnchor"/>
        </w:rPr>
        <w:footnoteReference w:id="11"/>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الإنسان الذي أطاع اللَّه لم يكن مجبراً على</w:t>
      </w:r>
    </w:p>
    <w:p>
      <w:pPr>
        <w:pStyle w:val="BookText"/>
        <w:rPr/>
      </w:pPr>
      <w:r>
        <w:rPr>
          <w:rFonts w:ascii="Amiri" w:hAnsi="Amiri" w:eastAsia="Amiri" w:cs="Amiri"/>
          <w:color w:val="111111"/>
          <w:sz w:val="28"/>
          <w:sz w:val="28"/>
          <w:szCs w:val="28"/>
          <w:rtl w:val="true"/>
          <w:lang w:bidi="ar-SA"/>
        </w:rPr>
        <w:t>الطاعة، والإنسان الذي عصاه لم يغلب مشيئة اللَّه، بل اللَّه شاء أن يكون العبد مختاراً في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بمشيئتي كنتَ أنت الذي تشاء لنفسك ما تشاءُ، وبقوَّتي أدَّيتَ إليَّ فرائضي، وبنعمتي قويتَ على معصيتي، جعلتُك سميعاً بصيراً قويّاً، ما أصابك من حسنةٍ فمن اللَّه وما أصابك من سيّئةٍ فمن نفسك</w:t>
      </w:r>
      <w:r>
        <w:rPr>
          <w:rFonts w:eastAsia="Amiri" w:cs="Amiri" w:ascii="Amiri" w:hAnsi="Amiri"/>
          <w:color w:val="111111"/>
          <w:sz w:val="28"/>
          <w:szCs w:val="28"/>
          <w:rtl w:val="true"/>
          <w:lang w:bidi="ar-SA"/>
        </w:rPr>
        <w:t xml:space="preserve">» </w:t>
      </w:r>
      <w:r>
        <w:rPr>
          <w:rStyle w:val="FootnoteAnchor"/>
        </w:rPr>
        <w:footnoteReference w:id="12"/>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بالمعاصي بقوّتي التي جعلتها فيك</w:t>
      </w:r>
      <w:r>
        <w:rPr>
          <w:rFonts w:eastAsia="Amiri" w:cs="Amiri" w:ascii="Amiri" w:hAnsi="Amiri"/>
          <w:color w:val="111111"/>
          <w:sz w:val="28"/>
          <w:szCs w:val="28"/>
          <w:rtl w:val="true"/>
          <w:lang w:bidi="ar-SA"/>
        </w:rPr>
        <w:t xml:space="preserve">» </w:t>
      </w:r>
      <w:r>
        <w:rPr>
          <w:rStyle w:val="FootnoteAnchor"/>
        </w:rPr>
        <w:footnoteReference w:id="13"/>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أبي عبد اللَّه الصادق عليه السلام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بين أمرين؟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 رجل رأيته على معصية فنهيته فلم ينْتَهِ بتركته ففعل تلك المعصية، فليس حيث لم يقبل منك فتركته كنت أنت الذي أمرته</w:t>
      </w:r>
      <w:bookmarkStart w:id="34" w:name="pg848_5708"/>
    </w:p>
    <w:p>
      <w:pPr>
        <w:pStyle w:val="BookText"/>
        <w:rPr/>
      </w:pPr>
      <w:bookmarkEnd w:id="34"/>
      <w:r>
        <w:rPr>
          <w:rFonts w:ascii="Amiri" w:hAnsi="Amiri" w:eastAsia="Amiri" w:cs="Amiri"/>
          <w:color w:val="111111"/>
          <w:sz w:val="28"/>
          <w:sz w:val="28"/>
          <w:szCs w:val="28"/>
          <w:rtl w:val="true"/>
          <w:lang w:bidi="ar-SA"/>
        </w:rPr>
        <w:t>بالمعصية</w:t>
      </w:r>
      <w:r>
        <w:rPr>
          <w:rFonts w:eastAsia="Amiri" w:cs="Amiri" w:ascii="Amiri" w:hAnsi="Amiri"/>
          <w:color w:val="111111"/>
          <w:sz w:val="28"/>
          <w:szCs w:val="28"/>
          <w:rtl w:val="true"/>
          <w:lang w:bidi="ar-SA"/>
        </w:rPr>
        <w:t xml:space="preserve">» </w:t>
      </w:r>
      <w:r>
        <w:rPr>
          <w:rStyle w:val="FootnoteAnchor"/>
        </w:rPr>
        <w:footnoteReference w:id="14"/>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 أنْ تلوم العبد عليه فهو منه وما لم تستطع أن تلوم العبد عليه فهو من فعل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عصيت؟ لم فسقتَ؟ لم شرِبتَ الخمر؟ لمَ زنيت؟ فهذا فعل العبدِ، ولا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مرضتَ؟</w:t>
      </w:r>
    </w:p>
    <w:p>
      <w:pPr>
        <w:pStyle w:val="BookText"/>
        <w:rPr/>
      </w:pPr>
      <w:r>
        <w:rPr>
          <w:rFonts w:ascii="Amiri" w:hAnsi="Amiri" w:eastAsia="Amiri" w:cs="Amiri"/>
          <w:color w:val="111111"/>
          <w:sz w:val="28"/>
          <w:sz w:val="28"/>
          <w:szCs w:val="28"/>
          <w:rtl w:val="true"/>
          <w:lang w:bidi="ar-SA"/>
        </w:rPr>
        <w:t>لم قصُرتَ؟ لم ابيضضْتَ؟ لم اسودَدْت؟ لأنّه من فعل اللَّه تعالى</w:t>
      </w:r>
      <w:r>
        <w:rPr>
          <w:rFonts w:eastAsia="Amiri" w:cs="Amiri" w:ascii="Amiri" w:hAnsi="Amiri"/>
          <w:color w:val="111111"/>
          <w:sz w:val="28"/>
          <w:szCs w:val="28"/>
          <w:rtl w:val="true"/>
          <w:lang w:bidi="ar-SA"/>
        </w:rPr>
        <w:t xml:space="preserve">» </w:t>
      </w:r>
      <w:r>
        <w:rPr>
          <w:rStyle w:val="FootnoteAnchor"/>
        </w:rPr>
        <w:footnoteReference w:id="15"/>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6881501_211673320"/>
      <w:bookmarkStart w:id="36" w:name="_Toc14"/>
      <w:bookmarkEnd w:id="35"/>
      <w:r>
        <w:rPr>
          <w:rtl w:val="true"/>
        </w:rPr>
        <w:t>شرح الروايات</w:t>
      </w:r>
      <w:bookmarkEnd w:id="36"/>
    </w:p>
    <w:p>
      <w:pPr>
        <w:pStyle w:val="BookText"/>
        <w:rPr/>
      </w:pPr>
      <w:r>
        <w:rPr>
          <w:rFonts w:ascii="Amiri" w:hAnsi="Amiri" w:eastAsia="Amiri" w:cs="Amiri"/>
          <w:color w:val="111111"/>
          <w:sz w:val="28"/>
          <w:sz w:val="28"/>
          <w:szCs w:val="28"/>
          <w:rtl w:val="true"/>
          <w:lang w:bidi="ar-SA"/>
        </w:rPr>
        <w:t>إنّ للجبر والتفويض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منهما من صفات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منهما من صفات الإنسان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منهما من صفات اللَّه فينبغي أخذه منه بوساطة الأنبياء، وأوصياء الأنبياء عن الأنبياء، وما كان من صفات الإنسان فإن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هذا أو لا أفعله دليل على أنّا نَفْعَل</w:t>
      </w:r>
    </w:p>
    <w:p>
      <w:pPr>
        <w:pStyle w:val="BookText"/>
        <w:rPr/>
      </w:pPr>
      <w:r>
        <w:rPr>
          <w:rFonts w:ascii="Amiri" w:hAnsi="Amiri" w:eastAsia="Amiri" w:cs="Amiri"/>
          <w:color w:val="111111"/>
          <w:sz w:val="28"/>
          <w:sz w:val="28"/>
          <w:szCs w:val="28"/>
          <w:rtl w:val="true"/>
          <w:lang w:bidi="ar-SA"/>
        </w:rPr>
        <w:t>ما نفعله باختيارنا، وقد عرفنا ممّا سبق أنَّ سير الإنسان في حياته لا يشابه سير الذرّة والكواكب والمجرّات المسخّرات بأمر اللَّه في كلّ حركاتها وما يصدر منها من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يفوّض اللَّه إليه أمر نفسه وكلّ ما سخّر له ليفعل ما يشاء كما يُحبُّ، وكما تهوى نفسه، بل إنّ اللَّه أرشده بوساطة أنبيائه كيف يؤمن بقلبه بالحقّ، وهداه إلى الصالح النافع في ما يفعله بجوارحه، والضارِّ منه، فإذا اتبع هدى اللَّه، وسار على الطريق المستقيم خطوة أخذ اللَّه بيده وسار به عشر خطوات ثُمَّ جزاه بآثار عمله في الدنيا والآخرة سبعمائة مرّة أضعاف عمله، واللَّه يضاعف لمن يشاء بحكمته ووفق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في المثل الذي ضربناه في ما سبق، بأنّ اللَّه أدخلَ الإنسانَ المؤمن والكافر في هذا العالم في مطعم له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سرويس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سبحانه في 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إمداد اللَّه عبيده بكل ما يملكون من طاقات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فكرية وجسديّة، وما سخَّر لهم في هذا العالم لما استطاع المؤمن أن يعمل عملًا صالحاً، ولا الضالّ الكافر أن يعمل عملًا ضارّاً فاسداً، ولو سلبهم لحظة واحدة أيّ جزء ممّا منحهم من الرؤية والعقل والصحّة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استطاعوا أن يفعلوا شيئاً، إذاً فإنّ الإنسان يفعل ما يفعل بما منحه اللَّه بمحض اختياره، وبناءً على ما بيّنّاه، أنّ الإنسان لم يفوّض إليه الأمر في هذا العالم، ولم يجبر على فعلٍ بل هو أمر بين الأمرين، وهذه هي مشيئة اللَّه وسنّته في أمر أفعال العباد، ولن تجد لسنّة اللَّه تبديلًا</w:t>
      </w:r>
      <w:r>
        <w:rPr>
          <w:rFonts w:eastAsia="Amiri" w:cs="Amiri" w:ascii="Amiri" w:hAnsi="Amiri"/>
          <w:color w:val="111111"/>
          <w:sz w:val="28"/>
          <w:szCs w:val="28"/>
          <w:rtl w:val="true"/>
          <w:lang w:bidi="ar-SA"/>
        </w:rPr>
        <w:t>.</w:t>
      </w:r>
      <w:bookmarkStart w:id="37" w:name="pg848_5711"/>
    </w:p>
    <w:p>
      <w:pPr>
        <w:pStyle w:val="Heading2"/>
        <w:numPr>
          <w:ilvl w:val="1"/>
          <w:numId w:val="1"/>
        </w:numPr>
        <w:rPr/>
      </w:pPr>
      <w:bookmarkStart w:id="38" w:name="__RefHeading___Toc6881503_211673320"/>
      <w:bookmarkStart w:id="39" w:name="_Toc15"/>
      <w:bookmarkEnd w:id="37"/>
      <w:bookmarkEnd w:id="38"/>
      <w:r>
        <w:rPr>
          <w:rtl w:val="true"/>
        </w:rPr>
        <w:t>أسئلة وأجوبة</w:t>
      </w:r>
      <w:bookmarkEnd w:id="39"/>
    </w:p>
    <w:p>
      <w:pPr>
        <w:pStyle w:val="BookText"/>
        <w:rPr/>
      </w:pPr>
      <w:r>
        <w:rPr>
          <w:rFonts w:ascii="Amiri" w:hAnsi="Amiri" w:eastAsia="Amiri" w:cs="Amiri"/>
          <w:color w:val="111111"/>
          <w:sz w:val="28"/>
          <w:sz w:val="28"/>
          <w:szCs w:val="28"/>
          <w:rtl w:val="true"/>
          <w:lang w:bidi="ar-SA"/>
        </w:rPr>
        <w:t>وفي هذا المقام ترد الأسئلة الأربعة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الإنسان مختاراً في ما يصدر منه من فعل، مع تسلّط الشيطان عليه من حيث لا يراه، وإغوائه بما يوسوس إلى قلبه ويدعوه إلى فعل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شأن الإنسان الذي يعيش في المحيط الفاسد الذي لا يرى فيه غير الشرّ والفساد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يستطيع أن يفعل الإنسان الذي لم تبلغه دعوة الأنبياء في بعض الغابات؟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ولد الزِّنا، وما جُبل عليه من حبّ فعل الشرّ بسبب فعل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السؤالين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أتمّ الحجّة على الإنسان بما أودع فيه مِنْ غريزة البحث عن سبب وجود كلّ ما رآه والتي توصله إلى معرفة مسبّب الأسباب، ولذلك قال سبحانه وتعالى في 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الإنسان لن يغفل عن غريزة الجوع في حال من الأحوال حتى يملأ جوفه بالطعام، كذلك لن يغفل عن غريزة طلب المعرفة حتى يعرف مُسبِّب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السؤال الثالث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السؤال الرابع،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مجبوراً على فعل الشرّ، وكلّ ما في الأمر أنّ الحالة النفسيّة للوالدين في حال ارتكابهما الزّنا وما يريان من نفسهما بأنّهما باشرا بفعلهما خيانة المجتمع، وانّ المجتمع يتقذّر من فعلهما ويحتقرهما ويعاديهما لو اطّلع على فعلهما، وأنّهما عند ارتكابهما الرذيلة في حالة معاداة للنزيهين من تلك الفعلة في المجتمع والذين هم أبرار المجتمع وأخياره والمتمسِّكون</w:t>
      </w:r>
    </w:p>
    <w:p>
      <w:pPr>
        <w:pStyle w:val="BookText"/>
        <w:rPr/>
      </w:pPr>
      <w:r>
        <w:rPr>
          <w:rFonts w:ascii="Amiri" w:hAnsi="Amiri" w:eastAsia="Amiri" w:cs="Amiri"/>
          <w:color w:val="111111"/>
          <w:sz w:val="28"/>
          <w:sz w:val="28"/>
          <w:szCs w:val="28"/>
          <w:rtl w:val="true"/>
          <w:lang w:bidi="ar-SA"/>
        </w:rPr>
        <w:t>بفضائل الأخلاق والمعروفون بكلّ ذلك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تلك الحالة النفسيّة العدائيّة منهما للمجتمع وأبراره تؤثِّر على النطفة حين انعقادها وتنتقل بالوراثة إلى ما يتكوّن من تلك النطفة، فإنّه يجبل على حبّ الشرّ والعداء للخيّرين والمعروفين بالفضيلة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على ذلك زياد بن أبيه وولده ابن زياد في ما ارتكباه زمان إمارتهما في العراق </w:t>
      </w:r>
      <w:r>
        <w:rPr>
          <w:rStyle w:val="FootnoteAnchor"/>
        </w:rPr>
        <w:footnoteReference w:id="16"/>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وخاصّة ما فعله ابن زياد بعد استشهاد الامام الحسين عليه السلام، مع جسده الشريف وأجساد المستشهدين معه من آل الرسول صلى الله عليه و آله وأنصارهم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التمثيل بهم، وحمله رؤوسهم من بلد إلى بلد، وسوقه بنات الرسول صلى الله عليه و آله سبايا إلى الكوفة وسائر ما عاملهم بها، في حين أنّه لم يبق بعد استشهاد الامام الحسين عليه السلام أيّ مقاوم لحكمهم ولم يكن أي مبرِّر له عندئذٍ في كل ما فعل من ظلم واستهانة بمقامهم في المجتمع، عدا حبّه في كسر</w:t>
      </w:r>
    </w:p>
    <w:p>
      <w:pPr>
        <w:pStyle w:val="BookText"/>
        <w:rPr/>
      </w:pPr>
      <w:r>
        <w:rPr>
          <w:rFonts w:ascii="Amiri" w:hAnsi="Amiri" w:eastAsia="Amiri" w:cs="Amiri"/>
          <w:color w:val="111111"/>
          <w:sz w:val="28"/>
          <w:sz w:val="28"/>
          <w:szCs w:val="28"/>
          <w:rtl w:val="true"/>
          <w:lang w:bidi="ar-SA"/>
        </w:rPr>
        <w:t>شوكة أشرف بيت في العرب وأفضله وتوهينهم، وحبّه للشرّ وعدائه الجبليِّ الفطري للأكرمين في المجتمع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يكون حبّ الشرّ والرغبة في إيذاء الخيِّرين والمعروفين بالفضيلة في المجتمع فطريّ في ولد الزّنا، على عكس ولد الزواج الحلال والذي ليس من فطرته حبّ الشرّ والرغبة في إيذاء الخيّرين في المجتمع، ولكنّهما مع كلّ ذلك ليسا مجبورين على القيام بكلّ ما يفعلانه ويتركانه من خير وشرّ، وإنّما مثلهما في ما جُبِلا عليه مثل شابّ مكتمل الرجولة في الجسد وما يتمتّع به من حيويّة دافقة وشهوة عارمة للجنس، مع شيخ هرم ناف على التسعين وتهدّمت قواه، يعاني الفتور وفقدان القوى الجسديّة، منصرف عن الشهوة الجنسية وفي عدم تمكّن الأخير من ارتكاب الزّنا وتوفّر القوى الجنسيّة في الأوّل؛ فإنّ الشابّ القويّ مكتمل الرجولة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مجبور على ارتكاب الزّنا في ما إذا ارتكب ذلك ليكون معذوراً في ارتكابه الرذيلة، وأمّا إذا تيسّر له ارتكاب الزّنا وخاف مقام ربّه ونهى النفس عن الهوى فإنّ الجنّة هي</w:t>
      </w:r>
    </w:p>
    <w:p>
      <w:pPr>
        <w:pStyle w:val="BookText"/>
        <w:rPr/>
      </w:pPr>
      <w:r>
        <w:rPr>
          <w:rFonts w:ascii="IRNazanin" w:hAnsi="IRNazanin" w:eastAsia="IRNazanin"/>
          <w:color w:val="111111"/>
          <w:sz w:val="28"/>
          <w:sz w:val="28"/>
          <w:szCs w:val="28"/>
          <w:rtl w:val="true"/>
          <w:lang w:bidi="fa-IR"/>
        </w:rPr>
        <w:t xml:space="preserve">المأوى </w:t>
      </w:r>
      <w:r>
        <w:rPr>
          <w:rStyle w:val="FootnoteAnchor"/>
        </w:rPr>
        <w:footnoteReference w:id="17"/>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عكس الشيخ الهرم، فإنّه لا يُثاب على تركه الزّنا، لأنّه لم يترك الزّنا مع 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كلّما تعمّقنا في دراسة أي جانب من جوانب حياة الإنسان، وجدناه مختاراً في ما يصدر منه من فعل، عدا ما يصدر منه عن غفلة وعدم تنبّه</w:t>
      </w:r>
      <w:r>
        <w:rPr>
          <w:rFonts w:eastAsia="Amiri" w:cs="Amiri" w:ascii="Amiri" w:hAnsi="Amiri"/>
          <w:color w:val="111111"/>
          <w:sz w:val="28"/>
          <w:szCs w:val="28"/>
          <w:rtl w:val="true"/>
          <w:lang w:bidi="ar-SA"/>
        </w:rPr>
        <w:t>.</w:t>
      </w:r>
    </w:p>
    <w:p>
      <w:pPr>
        <w:pStyle w:val="BookText"/>
        <w:rPr/>
      </w:pPr>
      <w:r>
        <w:rPr>
          <w:rStyle w:val="FootnoteAnchor"/>
        </w:rPr>
        <w:footnoteReference w:id="18"/>
      </w: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تعريف الأشاعرة في الملل والنحل للشهرستاني بهامش الفصل في الملل والأهواء؛ والنحل لابن حزم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تعريف المعتزلة في الملل والنحل للشهرستاني بهامش الفصل في الملل والأهواء؛ والنحل لابن حزم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خروجنا وجهادنا بقضائه تعالى وقدره لم نستحق أجراً، فرجائي‌أن يكون عنائي عند اللَّه محسوباً في عداد أعمال من يتفضّل عليهم بفضله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زعمته الجبرية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في أصل الفعل سيّان، إذ ليس بقدرتهما وإرادتهما، مع أنّ المحسن‌يمدحه الناس وهو يرى ذلك حقاً له وليس كذلك فليستحق اللائمة دون المذنب، والمذنب يذمّه الناس وهو يرى ذلك حقاً عليه وليس كذلك فليستحقّ الاحسان كي ينجبر تحمّله لأذى ذمّ الناس دون المحسن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سورةص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وترجمة الامام على عليه السلام في تاريخ ابن عساكر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الصدوق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استلحاق زياد في المجلّد الأوّل من كتاب عبد اللَّه بن سبأللمؤلِّف؛ وبحث استشهاد الإمام الحسين عليه السلام في المجلّد الثالث من معالم المدرستين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 في سورة 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خَافَ مَقَامَ رَبِّهِ‌وَنَهَى النَّفْسَ عَنِ الْهَوَى فَإِنَّ الْجَنَّةَ هِيَ الْمَأْوَى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مرتضى العسكري، على مائدة الكتاب و السنة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حول الجبر و التفويض و القضاء و القدر،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تعريف الأشاعرة في الملل والنحل للشهرستاني بهامش الفصل في الملل والأهواء؛ والنحل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تعريف المعتزلة في الملل والنحل للشهرستاني بهامش الفصل في الملل والأهواء؛ والنحل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خروجنا وجهادنا بقضائه تعالى وقدره لم نستحق أجراً، فرجائي‌أن يكون عنائي عند اللَّه محسوباً في عداد أعمال من يتفضّل عليهم بفضله يوم القيامة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الذي زعمته الجبرية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في أصل الفعل سيّان، إذ ليس بقدرتهما وإرادتهما، مع أنّ المحسن‌يمدحه الناس وهو يرى ذلك حقاً له وليس كذلك فليستحق اللائمة دون المذنب، والمذنب يذمّه الناس وهو يرى ذلك حقاً عليه وليس كذلك فليستحقّ الاحسان كي ينجبر تحمّله لأذى ذمّ الناس دون المحسن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وترجمة الامام على عليه السلام في 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المحمودي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استلحاق زياد في المجلّد الأوّل من كتاب عبد اللَّه بن سبأللمؤلِّف؛ وبحث استشهاد الإمام الحسين عليه السلام في المجلّد الثالث من معالم المدرستين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مَنْ خَافَ مَقَامَ رَبِّهِ‌وَنَهَى النَّفْسَ عَنِ الْهَوَى فَإِنَّ الْجَنَّةَ هِيَ الْمَأْوَى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مرتضى العسكري، على مائدة الكتاب و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حول الجبر و التفويض و القضاء و القدر،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2958</Words>
  <Characters>12726</Characters>
  <CharactersWithSpaces>15490</CharactersWithSpaces>
  <Paragraphs>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2026-08-16T09:08:00Z</dcterms:created>
  <dc:creator>ghaemiyeh.com</dc:creator>
  <dc:description/>
  <dc:language>en-US</dc:language>
  <cp:lastModifiedBy/>
  <dcterms:modified xsi:type="dcterms:W3CDTF">2026-08-16T12:38:01Z</dcterms:modified>
  <cp:revision>1</cp:revision>
  <dc:subject/>
  <dc:title>دراسه حول الجبر والتفویض القضاء و القدر</dc:title>
</cp:coreProperties>
</file>

<file path=docProps/custom.xml><?xml version="1.0" encoding="utf-8"?>
<Properties xmlns="http://schemas.openxmlformats.org/officeDocument/2006/custom-properties" xmlns:vt="http://schemas.openxmlformats.org/officeDocument/2006/docPropsVTypes"/>
</file>