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لاحرج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7216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77218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77220_211673320">
            <w:r>
              <w:rPr>
                <w:webHidden/>
                <w:rStyle w:val="IndexLink"/>
                <w:rtl w:val="true"/>
              </w:rPr>
              <w:t>مقدّمه ناشر</w:t>
            </w:r>
            <w:r>
              <w:rPr>
                <w:rStyle w:val="IndexLink"/>
                <w:rtl w:val="true"/>
              </w:rPr>
              <w:tab/>
            </w:r>
            <w:r>
              <w:rPr>
                <w:rStyle w:val="IndexLink"/>
              </w:rPr>
              <w:t>14</w:t>
            </w:r>
          </w:hyperlink>
        </w:p>
        <w:p>
          <w:pPr>
            <w:pStyle w:val="Contents2"/>
            <w:tabs>
              <w:tab w:val="clear" w:pos="8743"/>
              <w:tab w:val="right" w:pos="9026" w:leader="dot"/>
            </w:tabs>
            <w:rPr/>
          </w:pPr>
          <w:hyperlink w:anchor="__RefHeading___Toc6877222_211673320">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6877224_211673320">
            <w:r>
              <w:rPr>
                <w:webHidden/>
                <w:rStyle w:val="IndexLink"/>
                <w:rtl w:val="true"/>
              </w:rPr>
              <w:t>سخن اوّل</w:t>
            </w:r>
            <w:r>
              <w:rPr>
                <w:rStyle w:val="IndexLink"/>
                <w:rtl w:val="true"/>
              </w:rPr>
              <w:tab/>
            </w:r>
            <w:r>
              <w:rPr>
                <w:rStyle w:val="IndexLink"/>
              </w:rPr>
              <w:t>24</w:t>
            </w:r>
          </w:hyperlink>
        </w:p>
        <w:p>
          <w:pPr>
            <w:pStyle w:val="Contents2"/>
            <w:tabs>
              <w:tab w:val="clear" w:pos="8743"/>
              <w:tab w:val="right" w:pos="9026" w:leader="dot"/>
            </w:tabs>
            <w:rPr/>
          </w:pPr>
          <w:hyperlink w:anchor="__RefHeading___Toc6877226_211673320">
            <w:r>
              <w:rPr>
                <w:webHidden/>
                <w:rStyle w:val="IndexLink"/>
                <w:rtl w:val="true"/>
              </w:rPr>
              <w:t>منابع و تاریخچۀ قاعده</w:t>
            </w:r>
            <w:r>
              <w:rPr>
                <w:rStyle w:val="IndexLink"/>
                <w:rtl w:val="true"/>
              </w:rPr>
              <w:tab/>
            </w:r>
            <w:r>
              <w:rPr>
                <w:rStyle w:val="IndexLink"/>
              </w:rPr>
              <w:t>25</w:t>
            </w:r>
          </w:hyperlink>
        </w:p>
        <w:p>
          <w:pPr>
            <w:pStyle w:val="Contents2"/>
            <w:tabs>
              <w:tab w:val="clear" w:pos="8743"/>
              <w:tab w:val="right" w:pos="9026" w:leader="dot"/>
            </w:tabs>
            <w:rPr/>
          </w:pPr>
          <w:hyperlink w:anchor="__RefHeading___Toc6877228_211673320">
            <w:r>
              <w:rPr>
                <w:webHidden/>
                <w:rStyle w:val="IndexLink"/>
                <w:rtl w:val="true"/>
              </w:rPr>
              <w:t>دیدگاه های کلّی در مورد قاعده لا حرج</w:t>
            </w:r>
            <w:r>
              <w:rPr>
                <w:rStyle w:val="IndexLink"/>
                <w:rtl w:val="true"/>
              </w:rPr>
              <w:tab/>
            </w:r>
            <w:r>
              <w:rPr>
                <w:rStyle w:val="IndexLink"/>
              </w:rPr>
              <w:t>26</w:t>
            </w:r>
          </w:hyperlink>
        </w:p>
        <w:p>
          <w:pPr>
            <w:pStyle w:val="Contents3"/>
            <w:tabs>
              <w:tab w:val="clear" w:pos="8459"/>
              <w:tab w:val="right" w:pos="9026" w:leader="dot"/>
            </w:tabs>
            <w:rPr/>
          </w:pPr>
          <w:hyperlink w:anchor="__RefHeading___Toc6877230_211673320">
            <w:r>
              <w:rPr>
                <w:webHidden/>
                <w:rStyle w:val="IndexLink"/>
                <w:rtl w:val="true"/>
              </w:rPr>
              <w:t>دیدگاه فقهای امامیّه</w:t>
            </w:r>
            <w:r>
              <w:rPr>
                <w:rStyle w:val="IndexLink"/>
                <w:rtl w:val="true"/>
              </w:rPr>
              <w:tab/>
            </w:r>
            <w:r>
              <w:rPr>
                <w:rStyle w:val="IndexLink"/>
              </w:rPr>
              <w:t>26</w:t>
            </w:r>
          </w:hyperlink>
        </w:p>
        <w:p>
          <w:pPr>
            <w:pStyle w:val="Contents3"/>
            <w:tabs>
              <w:tab w:val="clear" w:pos="8459"/>
              <w:tab w:val="right" w:pos="9026" w:leader="dot"/>
            </w:tabs>
            <w:rPr/>
          </w:pPr>
          <w:hyperlink w:anchor="__RefHeading___Toc6877232_211673320">
            <w:r>
              <w:rPr>
                <w:webHidden/>
                <w:rStyle w:val="IndexLink"/>
                <w:rtl w:val="true"/>
              </w:rPr>
              <w:t>دیدگاه فقهای عامّه</w:t>
            </w:r>
            <w:r>
              <w:rPr>
                <w:rStyle w:val="IndexLink"/>
                <w:rtl w:val="true"/>
              </w:rPr>
              <w:tab/>
            </w:r>
            <w:r>
              <w:rPr>
                <w:rStyle w:val="IndexLink"/>
              </w:rPr>
              <w:t>27</w:t>
            </w:r>
          </w:hyperlink>
        </w:p>
        <w:p>
          <w:pPr>
            <w:pStyle w:val="Contents2"/>
            <w:tabs>
              <w:tab w:val="clear" w:pos="8743"/>
              <w:tab w:val="right" w:pos="9026" w:leader="dot"/>
            </w:tabs>
            <w:rPr/>
          </w:pPr>
          <w:hyperlink w:anchor="__RefHeading___Toc6877234_211673320">
            <w:r>
              <w:rPr>
                <w:webHidden/>
                <w:rStyle w:val="IndexLink"/>
                <w:rtl w:val="true"/>
              </w:rPr>
              <w:t>معنا و استعمالات حرج</w:t>
            </w:r>
            <w:r>
              <w:rPr>
                <w:rStyle w:val="IndexLink"/>
                <w:rtl w:val="true"/>
              </w:rPr>
              <w:tab/>
            </w:r>
            <w:r>
              <w:rPr>
                <w:rStyle w:val="IndexLink"/>
              </w:rPr>
              <w:t>28</w:t>
            </w:r>
          </w:hyperlink>
        </w:p>
        <w:p>
          <w:pPr>
            <w:pStyle w:val="Contents3"/>
            <w:tabs>
              <w:tab w:val="clear" w:pos="8459"/>
              <w:tab w:val="right" w:pos="9026" w:leader="dot"/>
            </w:tabs>
            <w:rPr/>
          </w:pPr>
          <w:hyperlink w:anchor="__RefHeading___Toc6877236_211673320">
            <w:r>
              <w:rPr>
                <w:webHidden/>
                <w:rStyle w:val="IndexLink"/>
                <w:rtl w:val="true"/>
              </w:rPr>
              <w:t>معنای لغوی حرج</w:t>
            </w:r>
            <w:r>
              <w:rPr>
                <w:rStyle w:val="IndexLink"/>
                <w:rtl w:val="true"/>
              </w:rPr>
              <w:tab/>
            </w:r>
            <w:r>
              <w:rPr>
                <w:rStyle w:val="IndexLink"/>
              </w:rPr>
              <w:t>28</w:t>
            </w:r>
          </w:hyperlink>
        </w:p>
        <w:p>
          <w:pPr>
            <w:pStyle w:val="Contents3"/>
            <w:tabs>
              <w:tab w:val="clear" w:pos="8459"/>
              <w:tab w:val="right" w:pos="9026" w:leader="dot"/>
            </w:tabs>
            <w:rPr/>
          </w:pPr>
          <w:hyperlink w:anchor="__RefHeading___Toc6877238_211673320">
            <w:r>
              <w:rPr>
                <w:webHidden/>
                <w:rStyle w:val="IndexLink"/>
                <w:rtl w:val="true"/>
              </w:rPr>
              <w:t>معنای حرج در عرف عام</w:t>
            </w:r>
            <w:r>
              <w:rPr>
                <w:rStyle w:val="IndexLink"/>
                <w:rtl w:val="true"/>
              </w:rPr>
              <w:tab/>
            </w:r>
            <w:r>
              <w:rPr>
                <w:rStyle w:val="IndexLink"/>
              </w:rPr>
              <w:t>29</w:t>
            </w:r>
          </w:hyperlink>
        </w:p>
        <w:p>
          <w:pPr>
            <w:pStyle w:val="Contents3"/>
            <w:tabs>
              <w:tab w:val="clear" w:pos="8459"/>
              <w:tab w:val="right" w:pos="9026" w:leader="dot"/>
            </w:tabs>
            <w:rPr/>
          </w:pPr>
          <w:hyperlink w:anchor="__RefHeading___Toc6877240_211673320">
            <w:r>
              <w:rPr>
                <w:webHidden/>
                <w:rStyle w:val="IndexLink"/>
                <w:rtl w:val="true"/>
              </w:rPr>
              <w:t>موارد کاربرد واژۀ حرج در قرآن</w:t>
            </w:r>
            <w:r>
              <w:rPr>
                <w:rStyle w:val="IndexLink"/>
                <w:rtl w:val="true"/>
              </w:rPr>
              <w:tab/>
            </w:r>
            <w:r>
              <w:rPr>
                <w:rStyle w:val="IndexLink"/>
              </w:rPr>
              <w:t>29</w:t>
            </w:r>
          </w:hyperlink>
        </w:p>
        <w:p>
          <w:pPr>
            <w:pStyle w:val="Contents4"/>
            <w:tabs>
              <w:tab w:val="clear" w:pos="8176"/>
              <w:tab w:val="right" w:pos="9026" w:leader="dot"/>
            </w:tabs>
            <w:rPr/>
          </w:pPr>
          <w:hyperlink w:anchor="__RefHeading___Toc6877242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6877244_211673320">
            <w:r>
              <w:rPr>
                <w:webHidden/>
                <w:rStyle w:val="IndexLink"/>
                <w:rtl w:val="true"/>
              </w:rPr>
              <w:t>الف</w:t>
            </w:r>
            <w:r>
              <w:rPr>
                <w:rStyle w:val="IndexLink"/>
                <w:rtl w:val="true"/>
              </w:rPr>
              <w:t xml:space="preserve">) </w:t>
            </w:r>
            <w:r>
              <w:rPr>
                <w:rStyle w:val="IndexLink"/>
                <w:rtl w:val="true"/>
              </w:rPr>
              <w:t xml:space="preserve">آیاتی که واژۀ </w:t>
            </w:r>
            <w:r>
              <w:rPr>
                <w:rStyle w:val="IndexLink"/>
                <w:rtl w:val="true"/>
              </w:rPr>
              <w:t>«</w:t>
            </w:r>
            <w:r>
              <w:rPr>
                <w:rStyle w:val="IndexLink"/>
                <w:rtl w:val="true"/>
              </w:rPr>
              <w:t>حرج</w:t>
            </w:r>
            <w:r>
              <w:rPr>
                <w:rStyle w:val="IndexLink"/>
                <w:rtl w:val="true"/>
              </w:rPr>
              <w:t xml:space="preserve">» </w:t>
            </w:r>
            <w:r>
              <w:rPr>
                <w:rStyle w:val="IndexLink"/>
                <w:rtl w:val="true"/>
              </w:rPr>
              <w:t xml:space="preserve">در آنها به معنای </w:t>
            </w:r>
            <w:r>
              <w:rPr>
                <w:rStyle w:val="IndexLink"/>
                <w:rtl w:val="true"/>
              </w:rPr>
              <w:t>«</w:t>
            </w:r>
            <w:r>
              <w:rPr>
                <w:rStyle w:val="IndexLink"/>
                <w:rtl w:val="true"/>
              </w:rPr>
              <w:t>ضیق</w:t>
            </w:r>
            <w:r>
              <w:rPr>
                <w:rStyle w:val="IndexLink"/>
                <w:rtl w:val="true"/>
              </w:rPr>
              <w:t xml:space="preserve">» </w:t>
            </w:r>
            <w:r>
              <w:rPr>
                <w:rStyle w:val="IndexLink"/>
                <w:rtl w:val="true"/>
              </w:rPr>
              <w:t>آمده، عبارت است از</w:t>
            </w:r>
            <w:r>
              <w:rPr>
                <w:rStyle w:val="IndexLink"/>
                <w:rtl w:val="true"/>
              </w:rPr>
              <w:tab/>
            </w:r>
            <w:r>
              <w:rPr>
                <w:rStyle w:val="IndexLink"/>
              </w:rPr>
              <w:t>29</w:t>
            </w:r>
          </w:hyperlink>
        </w:p>
        <w:p>
          <w:pPr>
            <w:pStyle w:val="Contents4"/>
            <w:tabs>
              <w:tab w:val="clear" w:pos="8176"/>
              <w:tab w:val="right" w:pos="9026" w:leader="dot"/>
            </w:tabs>
            <w:rPr/>
          </w:pPr>
          <w:hyperlink w:anchor="__RefHeading___Toc6877246_211673320">
            <w:r>
              <w:rPr>
                <w:webHidden/>
                <w:rStyle w:val="IndexLink"/>
                <w:rtl w:val="true"/>
              </w:rPr>
              <w:t>ب</w:t>
            </w:r>
            <w:r>
              <w:rPr>
                <w:rStyle w:val="IndexLink"/>
                <w:rtl w:val="true"/>
              </w:rPr>
              <w:t xml:space="preserve">) </w:t>
            </w:r>
            <w:r>
              <w:rPr>
                <w:rStyle w:val="IndexLink"/>
                <w:rtl w:val="true"/>
              </w:rPr>
              <w:t xml:space="preserve">در پاره ای از آیات شریفه نیز </w:t>
            </w:r>
            <w:r>
              <w:rPr>
                <w:rStyle w:val="IndexLink"/>
                <w:rtl w:val="true"/>
              </w:rPr>
              <w:t>«</w:t>
            </w:r>
            <w:r>
              <w:rPr>
                <w:rStyle w:val="IndexLink"/>
                <w:rtl w:val="true"/>
              </w:rPr>
              <w:t>حرج</w:t>
            </w:r>
            <w:r>
              <w:rPr>
                <w:rStyle w:val="IndexLink"/>
                <w:rtl w:val="true"/>
              </w:rPr>
              <w:t xml:space="preserve">» </w:t>
            </w:r>
            <w:r>
              <w:rPr>
                <w:rStyle w:val="IndexLink"/>
                <w:rtl w:val="true"/>
              </w:rPr>
              <w:t xml:space="preserve">به معنای </w:t>
            </w:r>
            <w:r>
              <w:rPr>
                <w:rStyle w:val="IndexLink"/>
                <w:rtl w:val="true"/>
              </w:rPr>
              <w:t>«</w:t>
            </w:r>
            <w:r>
              <w:rPr>
                <w:rStyle w:val="IndexLink"/>
                <w:rtl w:val="true"/>
              </w:rPr>
              <w:t>معصیت و گناه</w:t>
            </w:r>
            <w:r>
              <w:rPr>
                <w:rStyle w:val="IndexLink"/>
                <w:rtl w:val="true"/>
              </w:rPr>
              <w:t xml:space="preserve">» </w:t>
            </w:r>
            <w:r>
              <w:rPr>
                <w:rStyle w:val="IndexLink"/>
                <w:rtl w:val="true"/>
              </w:rPr>
              <w:t>به کار رفته است</w:t>
            </w:r>
            <w:r>
              <w:rPr>
                <w:rStyle w:val="IndexLink"/>
                <w:rtl w:val="true"/>
              </w:rPr>
              <w:tab/>
            </w:r>
            <w:r>
              <w:rPr>
                <w:rStyle w:val="IndexLink"/>
              </w:rPr>
              <w:t>31</w:t>
            </w:r>
          </w:hyperlink>
        </w:p>
        <w:p>
          <w:pPr>
            <w:pStyle w:val="Contents2"/>
            <w:tabs>
              <w:tab w:val="clear" w:pos="8743"/>
              <w:tab w:val="right" w:pos="9026" w:leader="dot"/>
            </w:tabs>
            <w:rPr/>
          </w:pPr>
          <w:hyperlink w:anchor="__RefHeading___Toc6877248_211673320">
            <w:r>
              <w:rPr>
                <w:webHidden/>
                <w:rStyle w:val="IndexLink"/>
                <w:rtl w:val="true"/>
              </w:rPr>
              <w:t>مبانی فقهی قاعده لا حرج</w:t>
            </w:r>
            <w:r>
              <w:rPr>
                <w:rStyle w:val="IndexLink"/>
                <w:rtl w:val="true"/>
              </w:rPr>
              <w:tab/>
            </w:r>
            <w:r>
              <w:rPr>
                <w:rStyle w:val="IndexLink"/>
              </w:rPr>
              <w:t>34</w:t>
            </w:r>
          </w:hyperlink>
        </w:p>
        <w:p>
          <w:pPr>
            <w:pStyle w:val="Contents3"/>
            <w:tabs>
              <w:tab w:val="clear" w:pos="8459"/>
              <w:tab w:val="right" w:pos="9026" w:leader="dot"/>
            </w:tabs>
            <w:rPr/>
          </w:pPr>
          <w:hyperlink w:anchor="__RefHeading___Toc6877250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877252_211673320">
            <w:r>
              <w:rPr>
                <w:webHidden/>
                <w:rStyle w:val="IndexLink"/>
                <w:rtl w:val="true"/>
              </w:rPr>
              <w:t>دلیل اوّل</w:t>
            </w:r>
            <w:r>
              <w:rPr>
                <w:rStyle w:val="IndexLink"/>
                <w:rtl w:val="true"/>
              </w:rPr>
              <w:t xml:space="preserve">: </w:t>
            </w:r>
            <w:r>
              <w:rPr>
                <w:rStyle w:val="IndexLink"/>
                <w:rtl w:val="true"/>
              </w:rPr>
              <w:t xml:space="preserve">کتاب </w:t>
            </w:r>
            <w:r>
              <w:rPr>
                <w:rStyle w:val="IndexLink"/>
                <w:rtl w:val="true"/>
              </w:rPr>
              <w:t>(</w:t>
            </w:r>
            <w:r>
              <w:rPr>
                <w:rStyle w:val="IndexLink"/>
                <w:rtl w:val="true"/>
              </w:rPr>
              <w:t>آیات قرآن کریم</w:t>
            </w:r>
            <w:r>
              <w:rPr>
                <w:rStyle w:val="IndexLink"/>
                <w:rtl w:val="true"/>
              </w:rPr>
              <w:t>)</w:t>
              <w:tab/>
            </w:r>
            <w:r>
              <w:rPr>
                <w:rStyle w:val="IndexLink"/>
              </w:rPr>
              <w:t>35</w:t>
            </w:r>
          </w:hyperlink>
        </w:p>
        <w:p>
          <w:pPr>
            <w:pStyle w:val="Contents4"/>
            <w:tabs>
              <w:tab w:val="clear" w:pos="8176"/>
              <w:tab w:val="right" w:pos="9026" w:leader="dot"/>
            </w:tabs>
            <w:rPr/>
          </w:pPr>
          <w:hyperlink w:anchor="__RefHeading___Toc6877254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877256_211673320">
            <w:r>
              <w:rPr>
                <w:webHidden/>
                <w:rStyle w:val="IndexLink"/>
              </w:rPr>
              <w:t>1</w:t>
            </w:r>
            <w:r>
              <w:rPr>
                <w:rStyle w:val="IndexLink"/>
                <w:rtl w:val="true"/>
              </w:rPr>
              <w:t>)</w:t>
            </w:r>
            <w:r>
              <w:rPr>
                <w:rStyle w:val="IndexLink"/>
                <w:rtl w:val="true"/>
              </w:rPr>
              <w:t xml:space="preserve">آیۀ </w:t>
            </w:r>
            <w:r>
              <w:rPr>
                <w:rStyle w:val="IndexLink"/>
              </w:rPr>
              <w:t>78</w:t>
            </w:r>
            <w:r>
              <w:rPr>
                <w:rStyle w:val="IndexLink"/>
                <w:rtl w:val="true"/>
              </w:rPr>
              <w:t xml:space="preserve"> </w:t>
            </w:r>
            <w:r>
              <w:rPr>
                <w:rStyle w:val="IndexLink"/>
                <w:rtl w:val="true"/>
              </w:rPr>
              <w:t>سورۀ حجّ</w:t>
            </w:r>
            <w:r>
              <w:rPr>
                <w:rStyle w:val="IndexLink"/>
                <w:rtl w:val="true"/>
              </w:rPr>
              <w:tab/>
            </w:r>
            <w:r>
              <w:rPr>
                <w:rStyle w:val="IndexLink"/>
              </w:rPr>
              <w:t>35</w:t>
            </w:r>
          </w:hyperlink>
        </w:p>
        <w:p>
          <w:pPr>
            <w:pStyle w:val="Contents5"/>
            <w:tabs>
              <w:tab w:val="clear" w:pos="7892"/>
              <w:tab w:val="right" w:pos="9026" w:leader="dot"/>
            </w:tabs>
            <w:rPr/>
          </w:pPr>
          <w:hyperlink w:anchor="__RefHeading___Toc6877258_2116733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6877260_211673320">
            <w:r>
              <w:rPr>
                <w:webHidden/>
                <w:rStyle w:val="IndexLink"/>
                <w:rtl w:val="true"/>
              </w:rPr>
              <w:t>نکات موجود در آیۀ شریفه</w:t>
            </w:r>
            <w:r>
              <w:rPr>
                <w:rStyle w:val="IndexLink"/>
                <w:rtl w:val="true"/>
              </w:rPr>
              <w:tab/>
            </w:r>
            <w:r>
              <w:rPr>
                <w:rStyle w:val="IndexLink"/>
              </w:rPr>
              <w:t>35</w:t>
            </w:r>
          </w:hyperlink>
        </w:p>
        <w:p>
          <w:pPr>
            <w:pStyle w:val="Contents5"/>
            <w:tabs>
              <w:tab w:val="clear" w:pos="7892"/>
              <w:tab w:val="right" w:pos="9026" w:leader="dot"/>
            </w:tabs>
            <w:rPr/>
          </w:pPr>
          <w:hyperlink w:anchor="__RefHeading___Toc6877262_211673320">
            <w:r>
              <w:rPr>
                <w:webHidden/>
                <w:rStyle w:val="IndexLink"/>
                <w:rtl w:val="true"/>
              </w:rPr>
              <w:t>احتمالات موجود در معنای</w:t>
            </w:r>
            <w:r>
              <w:rPr>
                <w:rStyle w:val="IndexLink"/>
                <w:rtl w:val="true"/>
              </w:rPr>
              <w:tab/>
            </w:r>
            <w:r>
              <w:rPr>
                <w:rStyle w:val="IndexLink"/>
              </w:rPr>
              <w:t>38</w:t>
            </w:r>
          </w:hyperlink>
        </w:p>
        <w:p>
          <w:pPr>
            <w:pStyle w:val="Contents5"/>
            <w:tabs>
              <w:tab w:val="clear" w:pos="7892"/>
              <w:tab w:val="right" w:pos="9026" w:leader="dot"/>
            </w:tabs>
            <w:rPr/>
          </w:pPr>
          <w:hyperlink w:anchor="__RefHeading___Toc6877264_211673320">
            <w:r>
              <w:rPr>
                <w:webHidden/>
                <w:rStyle w:val="IndexLink"/>
                <w:rtl w:val="true"/>
              </w:rPr>
              <w:t>انواع حکم حرجی</w:t>
            </w:r>
            <w:r>
              <w:rPr>
                <w:rStyle w:val="IndexLink"/>
                <w:rtl w:val="true"/>
              </w:rPr>
              <w:tab/>
            </w:r>
            <w:r>
              <w:rPr>
                <w:rStyle w:val="IndexLink"/>
              </w:rPr>
              <w:t>42</w:t>
            </w:r>
          </w:hyperlink>
        </w:p>
        <w:p>
          <w:pPr>
            <w:pStyle w:val="Contents5"/>
            <w:tabs>
              <w:tab w:val="clear" w:pos="7892"/>
              <w:tab w:val="right" w:pos="9026" w:leader="dot"/>
            </w:tabs>
            <w:rPr/>
          </w:pPr>
          <w:hyperlink w:anchor="__RefHeading___Toc6877266_211673320">
            <w:r>
              <w:rPr>
                <w:webHidden/>
                <w:rStyle w:val="IndexLink"/>
                <w:rtl w:val="true"/>
              </w:rPr>
              <w:t>روایات وارد در ذیل آیه حرج</w:t>
            </w:r>
            <w:r>
              <w:rPr>
                <w:rStyle w:val="IndexLink"/>
                <w:rtl w:val="true"/>
              </w:rPr>
              <w:tab/>
            </w:r>
            <w:r>
              <w:rPr>
                <w:rStyle w:val="IndexLink"/>
              </w:rPr>
              <w:t>44</w:t>
            </w:r>
          </w:hyperlink>
        </w:p>
        <w:p>
          <w:pPr>
            <w:pStyle w:val="Contents5"/>
            <w:tabs>
              <w:tab w:val="clear" w:pos="7892"/>
              <w:tab w:val="right" w:pos="9026" w:leader="dot"/>
            </w:tabs>
            <w:rPr/>
          </w:pPr>
          <w:hyperlink w:anchor="__RefHeading___Toc6877268_211673320">
            <w:r>
              <w:rPr>
                <w:webHidden/>
                <w:rStyle w:val="IndexLink"/>
                <w:rtl w:val="true"/>
              </w:rPr>
              <w:t>اشکالات وارد شده بر روایت</w:t>
            </w:r>
            <w:r>
              <w:rPr>
                <w:rStyle w:val="IndexLink"/>
                <w:rtl w:val="true"/>
              </w:rPr>
              <w:tab/>
            </w:r>
            <w:r>
              <w:rPr>
                <w:rStyle w:val="IndexLink"/>
              </w:rPr>
              <w:t>60</w:t>
            </w:r>
          </w:hyperlink>
        </w:p>
        <w:p>
          <w:pPr>
            <w:pStyle w:val="Contents5"/>
            <w:tabs>
              <w:tab w:val="clear" w:pos="7892"/>
              <w:tab w:val="right" w:pos="9026" w:leader="dot"/>
            </w:tabs>
            <w:rPr/>
          </w:pPr>
          <w:hyperlink w:anchor="__RefHeading___Toc6877270_211673320">
            <w:r>
              <w:rPr>
                <w:webHidden/>
                <w:rStyle w:val="IndexLink"/>
                <w:rtl w:val="true"/>
              </w:rPr>
              <w:t xml:space="preserve">اشکال صاحب </w:t>
            </w:r>
            <w:r>
              <w:rPr>
                <w:rStyle w:val="IndexLink"/>
                <w:rtl w:val="true"/>
              </w:rPr>
              <w:t>«</w:t>
            </w:r>
            <w:r>
              <w:rPr>
                <w:rStyle w:val="IndexLink"/>
                <w:rtl w:val="true"/>
              </w:rPr>
              <w:t>منتقی</w:t>
            </w:r>
            <w:r>
              <w:rPr>
                <w:rStyle w:val="IndexLink"/>
                <w:rtl w:val="true"/>
              </w:rPr>
              <w:t xml:space="preserve">» </w:t>
            </w:r>
            <w:r>
              <w:rPr>
                <w:rStyle w:val="IndexLink"/>
                <w:rtl w:val="true"/>
              </w:rPr>
              <w:t>بر قاعدۀ لا حرج</w:t>
            </w:r>
            <w:r>
              <w:rPr>
                <w:rStyle w:val="IndexLink"/>
                <w:rtl w:val="true"/>
              </w:rPr>
              <w:tab/>
            </w:r>
            <w:r>
              <w:rPr>
                <w:rStyle w:val="IndexLink"/>
              </w:rPr>
              <w:t>64</w:t>
            </w:r>
          </w:hyperlink>
        </w:p>
        <w:p>
          <w:pPr>
            <w:pStyle w:val="Contents5"/>
            <w:tabs>
              <w:tab w:val="clear" w:pos="7892"/>
              <w:tab w:val="right" w:pos="9026" w:leader="dot"/>
            </w:tabs>
            <w:rPr/>
          </w:pPr>
          <w:hyperlink w:anchor="__RefHeading___Toc6877272_211673320">
            <w:r>
              <w:rPr>
                <w:webHidden/>
                <w:rStyle w:val="IndexLink"/>
                <w:rtl w:val="true"/>
              </w:rPr>
              <w:t xml:space="preserve">پاسخ اشکال صاحب </w:t>
            </w:r>
            <w:r>
              <w:rPr>
                <w:rStyle w:val="IndexLink"/>
                <w:rtl w:val="true"/>
              </w:rPr>
              <w:t>«</w:t>
            </w:r>
            <w:r>
              <w:rPr>
                <w:rStyle w:val="IndexLink"/>
                <w:rtl w:val="true"/>
              </w:rPr>
              <w:t>منتقی الأصول</w:t>
            </w:r>
            <w:r>
              <w:rPr>
                <w:rStyle w:val="IndexLink"/>
                <w:rtl w:val="true"/>
              </w:rPr>
              <w:t>»</w:t>
              <w:tab/>
            </w:r>
            <w:r>
              <w:rPr>
                <w:rStyle w:val="IndexLink"/>
              </w:rPr>
              <w:t>65</w:t>
            </w:r>
          </w:hyperlink>
        </w:p>
        <w:p>
          <w:pPr>
            <w:pStyle w:val="Contents5"/>
            <w:tabs>
              <w:tab w:val="clear" w:pos="7892"/>
              <w:tab w:val="right" w:pos="9026" w:leader="dot"/>
            </w:tabs>
            <w:rPr/>
          </w:pPr>
          <w:hyperlink w:anchor="__RefHeading___Toc6877274_211673320">
            <w:r>
              <w:rPr>
                <w:webHidden/>
                <w:rStyle w:val="IndexLink"/>
                <w:rtl w:val="true"/>
              </w:rPr>
              <w:t>جمع‌بندی مطالب و نکات آیۀ شریفه</w:t>
            </w:r>
            <w:r>
              <w:rPr>
                <w:rStyle w:val="IndexLink"/>
                <w:rtl w:val="true"/>
              </w:rPr>
              <w:tab/>
            </w:r>
            <w:r>
              <w:rPr>
                <w:rStyle w:val="IndexLink"/>
              </w:rPr>
              <w:t>66</w:t>
            </w:r>
          </w:hyperlink>
        </w:p>
        <w:p>
          <w:pPr>
            <w:pStyle w:val="Contents4"/>
            <w:tabs>
              <w:tab w:val="clear" w:pos="8176"/>
              <w:tab w:val="right" w:pos="9026" w:leader="dot"/>
            </w:tabs>
            <w:rPr/>
          </w:pPr>
          <w:hyperlink w:anchor="__RefHeading___Toc6877276_211673320">
            <w:r>
              <w:rPr>
                <w:webHidden/>
                <w:rStyle w:val="IndexLink"/>
              </w:rPr>
              <w:t>2</w:t>
            </w:r>
            <w:r>
              <w:rPr>
                <w:rStyle w:val="IndexLink"/>
                <w:rtl w:val="true"/>
              </w:rPr>
              <w:t>)</w:t>
            </w:r>
            <w:r>
              <w:rPr>
                <w:rStyle w:val="IndexLink"/>
                <w:rtl w:val="true"/>
              </w:rPr>
              <w:t xml:space="preserve">آیۀ </w:t>
            </w:r>
            <w:r>
              <w:rPr>
                <w:rStyle w:val="IndexLink"/>
              </w:rPr>
              <w:t>6</w:t>
            </w:r>
            <w:r>
              <w:rPr>
                <w:rStyle w:val="IndexLink"/>
                <w:rtl w:val="true"/>
              </w:rPr>
              <w:t xml:space="preserve"> </w:t>
            </w:r>
            <w:r>
              <w:rPr>
                <w:rStyle w:val="IndexLink"/>
                <w:rtl w:val="true"/>
              </w:rPr>
              <w:t>سوره مائده</w:t>
            </w:r>
            <w:r>
              <w:rPr>
                <w:rStyle w:val="IndexLink"/>
                <w:rtl w:val="true"/>
              </w:rPr>
              <w:tab/>
            </w:r>
            <w:r>
              <w:rPr>
                <w:rStyle w:val="IndexLink"/>
              </w:rPr>
              <w:t>68</w:t>
            </w:r>
          </w:hyperlink>
        </w:p>
        <w:p>
          <w:pPr>
            <w:pStyle w:val="Contents5"/>
            <w:tabs>
              <w:tab w:val="clear" w:pos="7892"/>
              <w:tab w:val="right" w:pos="9026" w:leader="dot"/>
            </w:tabs>
            <w:rPr/>
          </w:pPr>
          <w:hyperlink w:anchor="__RefHeading___Toc6877278_2116733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6877280_211673320">
            <w:r>
              <w:rPr>
                <w:webHidden/>
                <w:rStyle w:val="IndexLink"/>
                <w:rtl w:val="true"/>
              </w:rPr>
              <w:t>بیان مرحوم طبرسی</w:t>
            </w:r>
            <w:r>
              <w:rPr>
                <w:rStyle w:val="IndexLink"/>
                <w:rtl w:val="true"/>
              </w:rPr>
              <w:tab/>
            </w:r>
            <w:r>
              <w:rPr>
                <w:rStyle w:val="IndexLink"/>
              </w:rPr>
              <w:t>69</w:t>
            </w:r>
          </w:hyperlink>
        </w:p>
        <w:p>
          <w:pPr>
            <w:pStyle w:val="Contents5"/>
            <w:tabs>
              <w:tab w:val="clear" w:pos="7892"/>
              <w:tab w:val="right" w:pos="9026" w:leader="dot"/>
            </w:tabs>
            <w:rPr/>
          </w:pPr>
          <w:hyperlink w:anchor="__RefHeading___Toc6877282_211673320">
            <w:r>
              <w:rPr>
                <w:webHidden/>
                <w:rStyle w:val="IndexLink"/>
                <w:rtl w:val="true"/>
              </w:rPr>
              <w:t xml:space="preserve">کلام صاحب </w:t>
            </w:r>
            <w:r>
              <w:rPr>
                <w:rStyle w:val="IndexLink"/>
                <w:rtl w:val="true"/>
              </w:rPr>
              <w:t>«</w:t>
            </w:r>
            <w:r>
              <w:rPr>
                <w:rStyle w:val="IndexLink"/>
                <w:rtl w:val="true"/>
              </w:rPr>
              <w:t>روح المعانی</w:t>
            </w:r>
            <w:r>
              <w:rPr>
                <w:rStyle w:val="IndexLink"/>
                <w:rtl w:val="true"/>
              </w:rPr>
              <w:t>»</w:t>
              <w:tab/>
            </w:r>
            <w:r>
              <w:rPr>
                <w:rStyle w:val="IndexLink"/>
              </w:rPr>
              <w:t>70</w:t>
            </w:r>
          </w:hyperlink>
        </w:p>
        <w:p>
          <w:pPr>
            <w:pStyle w:val="Contents5"/>
            <w:tabs>
              <w:tab w:val="clear" w:pos="7892"/>
              <w:tab w:val="right" w:pos="9026" w:leader="dot"/>
            </w:tabs>
            <w:rPr/>
          </w:pPr>
          <w:hyperlink w:anchor="__RefHeading___Toc6877284_211673320">
            <w:r>
              <w:rPr>
                <w:webHidden/>
                <w:rStyle w:val="IndexLink"/>
                <w:rtl w:val="true"/>
              </w:rPr>
              <w:t>بیان علّامه طباطبایی رحمه الله</w:t>
            </w:r>
            <w:r>
              <w:rPr>
                <w:rStyle w:val="IndexLink"/>
                <w:rtl w:val="true"/>
              </w:rPr>
              <w:tab/>
            </w:r>
            <w:r>
              <w:rPr>
                <w:rStyle w:val="IndexLink"/>
              </w:rPr>
              <w:t>71</w:t>
            </w:r>
          </w:hyperlink>
        </w:p>
        <w:p>
          <w:pPr>
            <w:pStyle w:val="Contents5"/>
            <w:tabs>
              <w:tab w:val="clear" w:pos="7892"/>
              <w:tab w:val="right" w:pos="9026" w:leader="dot"/>
            </w:tabs>
            <w:rPr/>
          </w:pPr>
          <w:hyperlink w:anchor="__RefHeading___Toc6877286_211673320">
            <w:r>
              <w:rPr>
                <w:webHidden/>
                <w:rStyle w:val="IndexLink"/>
                <w:rtl w:val="true"/>
              </w:rPr>
              <w:t>بیان امام خمینی قدس سره</w:t>
            </w:r>
            <w:r>
              <w:rPr>
                <w:rStyle w:val="IndexLink"/>
                <w:rtl w:val="true"/>
              </w:rPr>
              <w:tab/>
            </w:r>
            <w:r>
              <w:rPr>
                <w:rStyle w:val="IndexLink"/>
              </w:rPr>
              <w:t>74</w:t>
            </w:r>
          </w:hyperlink>
        </w:p>
        <w:p>
          <w:pPr>
            <w:pStyle w:val="Contents5"/>
            <w:tabs>
              <w:tab w:val="clear" w:pos="7892"/>
              <w:tab w:val="right" w:pos="9026" w:leader="dot"/>
            </w:tabs>
            <w:rPr/>
          </w:pPr>
          <w:hyperlink w:anchor="__RefHeading___Toc6877288_211673320">
            <w:r>
              <w:rPr>
                <w:webHidden/>
                <w:rStyle w:val="IndexLink"/>
                <w:rtl w:val="true"/>
              </w:rPr>
              <w:t>کلام محقّق خوئی رحمه الله</w:t>
            </w:r>
            <w:r>
              <w:rPr>
                <w:rStyle w:val="IndexLink"/>
                <w:rtl w:val="true"/>
              </w:rPr>
              <w:tab/>
            </w:r>
            <w:r>
              <w:rPr>
                <w:rStyle w:val="IndexLink"/>
              </w:rPr>
              <w:t>75</w:t>
            </w:r>
          </w:hyperlink>
        </w:p>
        <w:p>
          <w:pPr>
            <w:pStyle w:val="Contents5"/>
            <w:tabs>
              <w:tab w:val="clear" w:pos="7892"/>
              <w:tab w:val="right" w:pos="9026" w:leader="dot"/>
            </w:tabs>
            <w:rPr/>
          </w:pPr>
          <w:hyperlink w:anchor="__RefHeading___Toc6877290_211673320">
            <w:r>
              <w:rPr>
                <w:webHidden/>
                <w:rStyle w:val="IndexLink"/>
                <w:rtl w:val="true"/>
              </w:rPr>
              <w:t>بیان مرحوم اردبیلی</w:t>
            </w:r>
            <w:r>
              <w:rPr>
                <w:rStyle w:val="IndexLink"/>
                <w:rtl w:val="true"/>
              </w:rPr>
              <w:tab/>
            </w:r>
            <w:r>
              <w:rPr>
                <w:rStyle w:val="IndexLink"/>
              </w:rPr>
              <w:t>76</w:t>
            </w:r>
          </w:hyperlink>
        </w:p>
        <w:p>
          <w:pPr>
            <w:pStyle w:val="Contents5"/>
            <w:tabs>
              <w:tab w:val="clear" w:pos="7892"/>
              <w:tab w:val="right" w:pos="9026" w:leader="dot"/>
            </w:tabs>
            <w:rPr/>
          </w:pPr>
          <w:hyperlink w:anchor="__RefHeading___Toc6877292_211673320">
            <w:r>
              <w:rPr>
                <w:webHidden/>
                <w:rStyle w:val="IndexLink"/>
                <w:rtl w:val="true"/>
              </w:rPr>
              <w:t>نکاتی در مورد آیۀ شریفه</w:t>
            </w:r>
            <w:r>
              <w:rPr>
                <w:rStyle w:val="IndexLink"/>
                <w:rtl w:val="true"/>
              </w:rPr>
              <w:tab/>
            </w:r>
            <w:r>
              <w:rPr>
                <w:rStyle w:val="IndexLink"/>
              </w:rPr>
              <w:t>78</w:t>
            </w:r>
          </w:hyperlink>
        </w:p>
        <w:p>
          <w:pPr>
            <w:pStyle w:val="Contents4"/>
            <w:tabs>
              <w:tab w:val="clear" w:pos="8176"/>
              <w:tab w:val="right" w:pos="9026" w:leader="dot"/>
            </w:tabs>
            <w:rPr/>
          </w:pPr>
          <w:hyperlink w:anchor="__RefHeading___Toc6877294_211673320">
            <w:r>
              <w:rPr>
                <w:webHidden/>
                <w:rStyle w:val="IndexLink"/>
              </w:rPr>
              <w:t>3</w:t>
            </w:r>
            <w:r>
              <w:rPr>
                <w:rStyle w:val="IndexLink"/>
                <w:rtl w:val="true"/>
              </w:rPr>
              <w:t>)</w:t>
            </w:r>
            <w:r>
              <w:rPr>
                <w:rStyle w:val="IndexLink"/>
                <w:rtl w:val="true"/>
              </w:rPr>
              <w:t xml:space="preserve">آیۀ </w:t>
            </w:r>
            <w:r>
              <w:rPr>
                <w:rStyle w:val="IndexLink"/>
              </w:rPr>
              <w:t>185</w:t>
            </w:r>
            <w:r>
              <w:rPr>
                <w:rStyle w:val="IndexLink"/>
                <w:rtl w:val="true"/>
              </w:rPr>
              <w:t xml:space="preserve"> </w:t>
            </w:r>
            <w:r>
              <w:rPr>
                <w:rStyle w:val="IndexLink"/>
                <w:rtl w:val="true"/>
              </w:rPr>
              <w:t>سورۀ بقره</w:t>
            </w:r>
            <w:r>
              <w:rPr>
                <w:rStyle w:val="IndexLink"/>
                <w:rtl w:val="true"/>
              </w:rPr>
              <w:tab/>
            </w:r>
            <w:r>
              <w:rPr>
                <w:rStyle w:val="IndexLink"/>
              </w:rPr>
              <w:t>80</w:t>
            </w:r>
          </w:hyperlink>
        </w:p>
        <w:p>
          <w:pPr>
            <w:pStyle w:val="Contents5"/>
            <w:tabs>
              <w:tab w:val="clear" w:pos="7892"/>
              <w:tab w:val="right" w:pos="9026" w:leader="dot"/>
            </w:tabs>
            <w:rPr/>
          </w:pPr>
          <w:hyperlink w:anchor="__RefHeading___Toc6877296_2116733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6877298_211673320">
            <w:r>
              <w:rPr>
                <w:webHidden/>
                <w:rStyle w:val="IndexLink"/>
                <w:rtl w:val="true"/>
              </w:rPr>
              <w:t>نکات آیۀ شریفه</w:t>
            </w:r>
            <w:r>
              <w:rPr>
                <w:rStyle w:val="IndexLink"/>
                <w:rtl w:val="true"/>
              </w:rPr>
              <w:tab/>
            </w:r>
            <w:r>
              <w:rPr>
                <w:rStyle w:val="IndexLink"/>
              </w:rPr>
              <w:t>83</w:t>
            </w:r>
          </w:hyperlink>
        </w:p>
        <w:p>
          <w:pPr>
            <w:pStyle w:val="Contents4"/>
            <w:tabs>
              <w:tab w:val="clear" w:pos="8176"/>
              <w:tab w:val="right" w:pos="9026" w:leader="dot"/>
            </w:tabs>
            <w:rPr/>
          </w:pPr>
          <w:hyperlink w:anchor="__RefHeading___Toc6877300_211673320">
            <w:r>
              <w:rPr>
                <w:webHidden/>
                <w:rStyle w:val="IndexLink"/>
              </w:rPr>
              <w:t>4</w:t>
            </w:r>
            <w:r>
              <w:rPr>
                <w:rStyle w:val="IndexLink"/>
                <w:rtl w:val="true"/>
              </w:rPr>
              <w:t>)</w:t>
            </w:r>
            <w:r>
              <w:rPr>
                <w:rStyle w:val="IndexLink"/>
                <w:rtl w:val="true"/>
              </w:rPr>
              <w:t xml:space="preserve">آیۀ </w:t>
            </w:r>
            <w:r>
              <w:rPr>
                <w:rStyle w:val="IndexLink"/>
              </w:rPr>
              <w:t>286</w:t>
            </w:r>
            <w:r>
              <w:rPr>
                <w:rStyle w:val="IndexLink"/>
                <w:rtl w:val="true"/>
              </w:rPr>
              <w:t xml:space="preserve"> </w:t>
            </w:r>
            <w:r>
              <w:rPr>
                <w:rStyle w:val="IndexLink"/>
                <w:rtl w:val="true"/>
              </w:rPr>
              <w:t>سورۀ بقره</w:t>
            </w:r>
            <w:r>
              <w:rPr>
                <w:rStyle w:val="IndexLink"/>
                <w:rtl w:val="true"/>
              </w:rPr>
              <w:tab/>
            </w:r>
            <w:r>
              <w:rPr>
                <w:rStyle w:val="IndexLink"/>
              </w:rPr>
              <w:t>84</w:t>
            </w:r>
          </w:hyperlink>
        </w:p>
        <w:p>
          <w:pPr>
            <w:pStyle w:val="Contents5"/>
            <w:tabs>
              <w:tab w:val="clear" w:pos="7892"/>
              <w:tab w:val="right" w:pos="9026" w:leader="dot"/>
            </w:tabs>
            <w:rPr/>
          </w:pPr>
          <w:hyperlink w:anchor="__RefHeading___Toc6877302_2116733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6877304_211673320">
            <w:r>
              <w:rPr>
                <w:webHidden/>
                <w:rStyle w:val="IndexLink"/>
                <w:rtl w:val="true"/>
              </w:rPr>
              <w:t>نظر مرحوم طبرسی</w:t>
            </w:r>
            <w:r>
              <w:rPr>
                <w:rStyle w:val="IndexLink"/>
                <w:rtl w:val="true"/>
              </w:rPr>
              <w:tab/>
            </w:r>
            <w:r>
              <w:rPr>
                <w:rStyle w:val="IndexLink"/>
              </w:rPr>
              <w:t>87</w:t>
            </w:r>
          </w:hyperlink>
        </w:p>
        <w:p>
          <w:pPr>
            <w:pStyle w:val="Contents3"/>
            <w:tabs>
              <w:tab w:val="clear" w:pos="8459"/>
              <w:tab w:val="right" w:pos="9026" w:leader="dot"/>
            </w:tabs>
            <w:rPr/>
          </w:pPr>
          <w:hyperlink w:anchor="__RefHeading___Toc6877306_211673320">
            <w:r>
              <w:rPr>
                <w:webHidden/>
                <w:rStyle w:val="IndexLink"/>
                <w:rtl w:val="true"/>
              </w:rPr>
              <w:t>دلیل دوّم</w:t>
            </w:r>
            <w:r>
              <w:rPr>
                <w:rStyle w:val="IndexLink"/>
                <w:rtl w:val="true"/>
              </w:rPr>
              <w:t xml:space="preserve">: </w:t>
            </w:r>
            <w:r>
              <w:rPr>
                <w:rStyle w:val="IndexLink"/>
                <w:rtl w:val="true"/>
              </w:rPr>
              <w:t xml:space="preserve">سنّت </w:t>
            </w:r>
            <w:r>
              <w:rPr>
                <w:rStyle w:val="IndexLink"/>
                <w:rtl w:val="true"/>
              </w:rPr>
              <w:t>(</w:t>
            </w:r>
            <w:r>
              <w:rPr>
                <w:rStyle w:val="IndexLink"/>
                <w:rtl w:val="true"/>
              </w:rPr>
              <w:t>روایات</w:t>
            </w:r>
            <w:r>
              <w:rPr>
                <w:rStyle w:val="IndexLink"/>
                <w:rtl w:val="true"/>
              </w:rPr>
              <w:t>)</w:t>
              <w:tab/>
            </w:r>
            <w:r>
              <w:rPr>
                <w:rStyle w:val="IndexLink"/>
              </w:rPr>
              <w:t>88</w:t>
            </w:r>
          </w:hyperlink>
        </w:p>
        <w:p>
          <w:pPr>
            <w:pStyle w:val="Contents4"/>
            <w:tabs>
              <w:tab w:val="clear" w:pos="8176"/>
              <w:tab w:val="right" w:pos="9026" w:leader="dot"/>
            </w:tabs>
            <w:rPr/>
          </w:pPr>
          <w:hyperlink w:anchor="__RefHeading___Toc6877308_2116733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877310_211673320">
            <w:r>
              <w:rPr>
                <w:webHidden/>
                <w:rStyle w:val="IndexLink"/>
                <w:rtl w:val="true"/>
              </w:rPr>
              <w:t>نکتۀ تکمیلی بحث آیات و روایات</w:t>
            </w:r>
            <w:r>
              <w:rPr>
                <w:rStyle w:val="IndexLink"/>
                <w:rtl w:val="true"/>
              </w:rPr>
              <w:tab/>
            </w:r>
            <w:r>
              <w:rPr>
                <w:rStyle w:val="IndexLink"/>
              </w:rPr>
              <w:t>91</w:t>
            </w:r>
          </w:hyperlink>
        </w:p>
        <w:p>
          <w:pPr>
            <w:pStyle w:val="Contents4"/>
            <w:tabs>
              <w:tab w:val="clear" w:pos="8176"/>
              <w:tab w:val="right" w:pos="9026" w:leader="dot"/>
            </w:tabs>
            <w:rPr/>
          </w:pPr>
          <w:hyperlink w:anchor="__RefHeading___Toc6877312_211673320">
            <w:r>
              <w:rPr>
                <w:webHidden/>
                <w:rStyle w:val="IndexLink"/>
                <w:rtl w:val="true"/>
              </w:rPr>
              <w:t>کلام محقّق نراقی رحمه الله</w:t>
            </w:r>
            <w:r>
              <w:rPr>
                <w:rStyle w:val="IndexLink"/>
                <w:rtl w:val="true"/>
              </w:rPr>
              <w:tab/>
            </w:r>
            <w:r>
              <w:rPr>
                <w:rStyle w:val="IndexLink"/>
              </w:rPr>
              <w:t>91</w:t>
            </w:r>
          </w:hyperlink>
        </w:p>
        <w:p>
          <w:pPr>
            <w:pStyle w:val="Contents4"/>
            <w:tabs>
              <w:tab w:val="clear" w:pos="8176"/>
              <w:tab w:val="right" w:pos="9026" w:leader="dot"/>
            </w:tabs>
            <w:rPr/>
          </w:pPr>
          <w:hyperlink w:anchor="__RefHeading___Toc6877314_211673320">
            <w:r>
              <w:rPr>
                <w:webHidden/>
                <w:rStyle w:val="IndexLink"/>
                <w:rtl w:val="true"/>
              </w:rPr>
              <w:t>بررسی نظر محقّق نراقی رحمه الله</w:t>
            </w:r>
            <w:r>
              <w:rPr>
                <w:rStyle w:val="IndexLink"/>
                <w:rtl w:val="true"/>
              </w:rPr>
              <w:tab/>
            </w:r>
            <w:r>
              <w:rPr>
                <w:rStyle w:val="IndexLink"/>
              </w:rPr>
              <w:t>92</w:t>
            </w:r>
          </w:hyperlink>
        </w:p>
        <w:p>
          <w:pPr>
            <w:pStyle w:val="Contents3"/>
            <w:tabs>
              <w:tab w:val="clear" w:pos="8459"/>
              <w:tab w:val="right" w:pos="9026" w:leader="dot"/>
            </w:tabs>
            <w:rPr/>
          </w:pPr>
          <w:hyperlink w:anchor="__RefHeading___Toc6877316_211673320">
            <w:r>
              <w:rPr>
                <w:webHidden/>
                <w:rStyle w:val="IndexLink"/>
                <w:rtl w:val="true"/>
              </w:rPr>
              <w:t>دلیل سوّم</w:t>
            </w:r>
            <w:r>
              <w:rPr>
                <w:rStyle w:val="IndexLink"/>
                <w:rtl w:val="true"/>
              </w:rPr>
              <w:t xml:space="preserve">: </w:t>
            </w:r>
            <w:r>
              <w:rPr>
                <w:rStyle w:val="IndexLink"/>
                <w:rtl w:val="true"/>
              </w:rPr>
              <w:t>اجماع</w:t>
            </w:r>
            <w:r>
              <w:rPr>
                <w:rStyle w:val="IndexLink"/>
                <w:rtl w:val="true"/>
              </w:rPr>
              <w:tab/>
            </w:r>
            <w:r>
              <w:rPr>
                <w:rStyle w:val="IndexLink"/>
              </w:rPr>
              <w:t>96</w:t>
            </w:r>
          </w:hyperlink>
        </w:p>
        <w:p>
          <w:pPr>
            <w:pStyle w:val="Contents4"/>
            <w:tabs>
              <w:tab w:val="clear" w:pos="8176"/>
              <w:tab w:val="right" w:pos="9026" w:leader="dot"/>
            </w:tabs>
            <w:rPr/>
          </w:pPr>
          <w:hyperlink w:anchor="__RefHeading___Toc6877318_2116733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877320_211673320">
            <w:r>
              <w:rPr>
                <w:webHidden/>
                <w:rStyle w:val="IndexLink"/>
                <w:rtl w:val="true"/>
              </w:rPr>
              <w:t>بر این دلیل سه اشکال وارد است</w:t>
            </w:r>
            <w:r>
              <w:rPr>
                <w:rStyle w:val="IndexLink"/>
                <w:rtl w:val="true"/>
              </w:rPr>
              <w:t>:</w:t>
              <w:tab/>
            </w:r>
            <w:r>
              <w:rPr>
                <w:rStyle w:val="IndexLink"/>
              </w:rPr>
              <w:t>97</w:t>
            </w:r>
          </w:hyperlink>
        </w:p>
        <w:p>
          <w:pPr>
            <w:pStyle w:val="Contents3"/>
            <w:tabs>
              <w:tab w:val="clear" w:pos="8459"/>
              <w:tab w:val="right" w:pos="9026" w:leader="dot"/>
            </w:tabs>
            <w:rPr/>
          </w:pPr>
          <w:hyperlink w:anchor="__RefHeading___Toc6877322_211673320">
            <w:r>
              <w:rPr>
                <w:webHidden/>
                <w:rStyle w:val="IndexLink"/>
                <w:rtl w:val="true"/>
              </w:rPr>
              <w:t>دلیل چهارم</w:t>
            </w:r>
            <w:r>
              <w:rPr>
                <w:rStyle w:val="IndexLink"/>
                <w:rtl w:val="true"/>
              </w:rPr>
              <w:t xml:space="preserve">: </w:t>
            </w:r>
            <w:r>
              <w:rPr>
                <w:rStyle w:val="IndexLink"/>
                <w:rtl w:val="true"/>
              </w:rPr>
              <w:t>عقل</w:t>
            </w:r>
            <w:r>
              <w:rPr>
                <w:rStyle w:val="IndexLink"/>
                <w:rtl w:val="true"/>
              </w:rPr>
              <w:tab/>
            </w:r>
            <w:r>
              <w:rPr>
                <w:rStyle w:val="IndexLink"/>
              </w:rPr>
              <w:t>97</w:t>
            </w:r>
          </w:hyperlink>
        </w:p>
        <w:p>
          <w:pPr>
            <w:pStyle w:val="Contents4"/>
            <w:tabs>
              <w:tab w:val="clear" w:pos="8176"/>
              <w:tab w:val="right" w:pos="9026" w:leader="dot"/>
            </w:tabs>
            <w:rPr/>
          </w:pPr>
          <w:hyperlink w:anchor="__RefHeading___Toc6877324_2116733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877326_211673320">
            <w:r>
              <w:rPr>
                <w:webHidden/>
                <w:rStyle w:val="IndexLink"/>
                <w:rtl w:val="true"/>
              </w:rPr>
              <w:t>بیان اوّل</w:t>
            </w:r>
            <w:r>
              <w:rPr>
                <w:rStyle w:val="IndexLink"/>
                <w:rtl w:val="true"/>
              </w:rPr>
              <w:t xml:space="preserve">: </w:t>
            </w:r>
            <w:r>
              <w:rPr>
                <w:rStyle w:val="IndexLink"/>
                <w:rtl w:val="true"/>
              </w:rPr>
              <w:t>تکلیف حرجی از مصادیق تکلیف به مالایطاق است</w:t>
            </w:r>
            <w:r>
              <w:rPr>
                <w:rStyle w:val="IndexLink"/>
                <w:rtl w:val="true"/>
              </w:rPr>
              <w:t>.</w:t>
              <w:tab/>
            </w:r>
            <w:r>
              <w:rPr>
                <w:rStyle w:val="IndexLink"/>
              </w:rPr>
              <w:t>98</w:t>
            </w:r>
          </w:hyperlink>
        </w:p>
        <w:p>
          <w:pPr>
            <w:pStyle w:val="Contents5"/>
            <w:tabs>
              <w:tab w:val="clear" w:pos="7892"/>
              <w:tab w:val="right" w:pos="9026" w:leader="dot"/>
            </w:tabs>
            <w:rPr/>
          </w:pPr>
          <w:hyperlink w:anchor="__RefHeading___Toc6877328_21167332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6877330_211673320">
            <w:r>
              <w:rPr>
                <w:webHidden/>
                <w:rStyle w:val="IndexLink"/>
                <w:rtl w:val="true"/>
              </w:rPr>
              <w:t>اشکالات بیان اوّل</w:t>
            </w:r>
            <w:r>
              <w:rPr>
                <w:rStyle w:val="IndexLink"/>
                <w:rtl w:val="true"/>
              </w:rPr>
              <w:tab/>
            </w:r>
            <w:r>
              <w:rPr>
                <w:rStyle w:val="IndexLink"/>
              </w:rPr>
              <w:t>98</w:t>
            </w:r>
          </w:hyperlink>
        </w:p>
        <w:p>
          <w:pPr>
            <w:pStyle w:val="Contents4"/>
            <w:tabs>
              <w:tab w:val="clear" w:pos="8176"/>
              <w:tab w:val="right" w:pos="9026" w:leader="dot"/>
            </w:tabs>
            <w:rPr/>
          </w:pPr>
          <w:hyperlink w:anchor="__RefHeading___Toc6877332_211673320">
            <w:r>
              <w:rPr>
                <w:webHidden/>
                <w:rStyle w:val="IndexLink"/>
                <w:rtl w:val="true"/>
              </w:rPr>
              <w:t>بیان دوّم</w:t>
            </w:r>
            <w:r>
              <w:rPr>
                <w:rStyle w:val="IndexLink"/>
                <w:rtl w:val="true"/>
              </w:rPr>
              <w:t xml:space="preserve">: </w:t>
            </w:r>
            <w:r>
              <w:rPr>
                <w:rStyle w:val="IndexLink"/>
                <w:rtl w:val="true"/>
              </w:rPr>
              <w:t>امتناع عرفی</w:t>
            </w:r>
            <w:r>
              <w:rPr>
                <w:rStyle w:val="IndexLink"/>
                <w:rtl w:val="true"/>
              </w:rPr>
              <w:tab/>
            </w:r>
            <w:r>
              <w:rPr>
                <w:rStyle w:val="IndexLink"/>
              </w:rPr>
              <w:t>99</w:t>
            </w:r>
          </w:hyperlink>
        </w:p>
        <w:p>
          <w:pPr>
            <w:pStyle w:val="Contents5"/>
            <w:tabs>
              <w:tab w:val="clear" w:pos="7892"/>
              <w:tab w:val="right" w:pos="9026" w:leader="dot"/>
            </w:tabs>
            <w:rPr/>
          </w:pPr>
          <w:hyperlink w:anchor="__RefHeading___Toc6877334_21167332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6877336_211673320">
            <w:r>
              <w:rPr>
                <w:webHidden/>
                <w:rStyle w:val="IndexLink"/>
                <w:rtl w:val="true"/>
              </w:rPr>
              <w:t>اشکال بیان دوّم</w:t>
            </w:r>
            <w:r>
              <w:rPr>
                <w:rStyle w:val="IndexLink"/>
                <w:rtl w:val="true"/>
              </w:rPr>
              <w:tab/>
            </w:r>
            <w:r>
              <w:rPr>
                <w:rStyle w:val="IndexLink"/>
              </w:rPr>
              <w:t>99</w:t>
            </w:r>
          </w:hyperlink>
        </w:p>
        <w:p>
          <w:pPr>
            <w:pStyle w:val="Contents4"/>
            <w:tabs>
              <w:tab w:val="clear" w:pos="8176"/>
              <w:tab w:val="right" w:pos="9026" w:leader="dot"/>
            </w:tabs>
            <w:rPr/>
          </w:pPr>
          <w:hyperlink w:anchor="__RefHeading___Toc6877338_211673320">
            <w:r>
              <w:rPr>
                <w:webHidden/>
                <w:rStyle w:val="IndexLink"/>
                <w:rtl w:val="true"/>
              </w:rPr>
              <w:t>بیان سوّم</w:t>
            </w:r>
            <w:r>
              <w:rPr>
                <w:rStyle w:val="IndexLink"/>
                <w:rtl w:val="true"/>
              </w:rPr>
              <w:t xml:space="preserve">: </w:t>
            </w:r>
            <w:r>
              <w:rPr>
                <w:rStyle w:val="IndexLink"/>
                <w:rtl w:val="true"/>
              </w:rPr>
              <w:t>تکلیف حرجی موجب اختلال نظام است</w:t>
            </w:r>
            <w:r>
              <w:rPr>
                <w:rStyle w:val="IndexLink"/>
                <w:rtl w:val="true"/>
              </w:rPr>
              <w:t>.</w:t>
              <w:tab/>
            </w:r>
            <w:r>
              <w:rPr>
                <w:rStyle w:val="IndexLink"/>
              </w:rPr>
              <w:t>100</w:t>
            </w:r>
          </w:hyperlink>
        </w:p>
        <w:p>
          <w:pPr>
            <w:pStyle w:val="Contents5"/>
            <w:tabs>
              <w:tab w:val="clear" w:pos="7892"/>
              <w:tab w:val="right" w:pos="9026" w:leader="dot"/>
            </w:tabs>
            <w:rPr/>
          </w:pPr>
          <w:hyperlink w:anchor="__RefHeading___Toc6877340_2116733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6877342_211673320">
            <w:r>
              <w:rPr>
                <w:webHidden/>
                <w:rStyle w:val="IndexLink"/>
                <w:rtl w:val="true"/>
              </w:rPr>
              <w:t>اشکال بیان سوّم</w:t>
            </w:r>
            <w:r>
              <w:rPr>
                <w:rStyle w:val="IndexLink"/>
                <w:rtl w:val="true"/>
              </w:rPr>
              <w:tab/>
            </w:r>
            <w:r>
              <w:rPr>
                <w:rStyle w:val="IndexLink"/>
              </w:rPr>
              <w:t>100</w:t>
            </w:r>
          </w:hyperlink>
        </w:p>
        <w:p>
          <w:pPr>
            <w:pStyle w:val="Contents4"/>
            <w:tabs>
              <w:tab w:val="clear" w:pos="8176"/>
              <w:tab w:val="right" w:pos="9026" w:leader="dot"/>
            </w:tabs>
            <w:rPr/>
          </w:pPr>
          <w:hyperlink w:anchor="__RefHeading___Toc6877344_211673320">
            <w:r>
              <w:rPr>
                <w:webHidden/>
                <w:rStyle w:val="IndexLink"/>
                <w:rtl w:val="true"/>
              </w:rPr>
              <w:t>بیان چهارم</w:t>
            </w:r>
            <w:r>
              <w:rPr>
                <w:rStyle w:val="IndexLink"/>
                <w:rtl w:val="true"/>
              </w:rPr>
              <w:t xml:space="preserve">: </w:t>
            </w:r>
            <w:r>
              <w:rPr>
                <w:rStyle w:val="IndexLink"/>
                <w:rtl w:val="true"/>
              </w:rPr>
              <w:t>قاعده لطف</w:t>
            </w:r>
            <w:r>
              <w:rPr>
                <w:rStyle w:val="IndexLink"/>
                <w:rtl w:val="true"/>
              </w:rPr>
              <w:tab/>
            </w:r>
            <w:r>
              <w:rPr>
                <w:rStyle w:val="IndexLink"/>
              </w:rPr>
              <w:t>100</w:t>
            </w:r>
          </w:hyperlink>
        </w:p>
        <w:p>
          <w:pPr>
            <w:pStyle w:val="Contents5"/>
            <w:tabs>
              <w:tab w:val="clear" w:pos="7892"/>
              <w:tab w:val="right" w:pos="9026" w:leader="dot"/>
            </w:tabs>
            <w:rPr/>
          </w:pPr>
          <w:hyperlink w:anchor="__RefHeading___Toc6877346_2116733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6877348_211673320">
            <w:r>
              <w:rPr>
                <w:webHidden/>
                <w:rStyle w:val="IndexLink"/>
                <w:rtl w:val="true"/>
              </w:rPr>
              <w:t>اشکالات بیان چهارم</w:t>
            </w:r>
            <w:r>
              <w:rPr>
                <w:rStyle w:val="IndexLink"/>
                <w:rtl w:val="true"/>
              </w:rPr>
              <w:tab/>
            </w:r>
            <w:r>
              <w:rPr>
                <w:rStyle w:val="IndexLink"/>
              </w:rPr>
              <w:t>101</w:t>
            </w:r>
          </w:hyperlink>
        </w:p>
        <w:p>
          <w:pPr>
            <w:pStyle w:val="Contents4"/>
            <w:tabs>
              <w:tab w:val="clear" w:pos="8176"/>
              <w:tab w:val="right" w:pos="9026" w:leader="dot"/>
            </w:tabs>
            <w:rPr/>
          </w:pPr>
          <w:hyperlink w:anchor="__RefHeading___Toc6877350_211673320">
            <w:r>
              <w:rPr>
                <w:webHidden/>
                <w:rStyle w:val="IndexLink"/>
                <w:rtl w:val="true"/>
              </w:rPr>
              <w:t>شاهد و مؤیّدی بر قاعدۀ لطف و اشکال آن</w:t>
            </w:r>
            <w:r>
              <w:rPr>
                <w:rStyle w:val="IndexLink"/>
                <w:rtl w:val="true"/>
              </w:rPr>
              <w:tab/>
            </w:r>
            <w:r>
              <w:rPr>
                <w:rStyle w:val="IndexLink"/>
              </w:rPr>
              <w:t>105</w:t>
            </w:r>
          </w:hyperlink>
        </w:p>
        <w:p>
          <w:pPr>
            <w:pStyle w:val="Contents2"/>
            <w:tabs>
              <w:tab w:val="clear" w:pos="8743"/>
              <w:tab w:val="right" w:pos="9026" w:leader="dot"/>
            </w:tabs>
            <w:rPr/>
          </w:pPr>
          <w:hyperlink w:anchor="__RefHeading___Toc6877352_211673320">
            <w:r>
              <w:rPr>
                <w:webHidden/>
                <w:rStyle w:val="IndexLink"/>
                <w:rtl w:val="true"/>
              </w:rPr>
              <w:t>تنبیهات قاعدۀ لا حرج</w:t>
            </w:r>
            <w:r>
              <w:rPr>
                <w:rStyle w:val="IndexLink"/>
                <w:rtl w:val="true"/>
              </w:rPr>
              <w:tab/>
            </w:r>
            <w:r>
              <w:rPr>
                <w:rStyle w:val="IndexLink"/>
              </w:rPr>
              <w:t>108</w:t>
            </w:r>
          </w:hyperlink>
        </w:p>
        <w:p>
          <w:pPr>
            <w:pStyle w:val="Contents3"/>
            <w:tabs>
              <w:tab w:val="clear" w:pos="8459"/>
              <w:tab w:val="right" w:pos="9026" w:leader="dot"/>
            </w:tabs>
            <w:rPr/>
          </w:pPr>
          <w:hyperlink w:anchor="__RefHeading___Toc6877354_2116733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877356_211673320">
            <w:r>
              <w:rPr>
                <w:webHidden/>
                <w:rStyle w:val="IndexLink"/>
                <w:rtl w:val="true"/>
              </w:rPr>
              <w:t>تنبیه اوّل</w:t>
            </w:r>
            <w:r>
              <w:rPr>
                <w:rStyle w:val="IndexLink"/>
                <w:rtl w:val="true"/>
              </w:rPr>
              <w:t xml:space="preserve">: </w:t>
            </w:r>
            <w:r>
              <w:rPr>
                <w:rStyle w:val="IndexLink"/>
                <w:rtl w:val="true"/>
              </w:rPr>
              <w:t>تخصیص قاعده لاحرج</w:t>
            </w:r>
            <w:r>
              <w:rPr>
                <w:rStyle w:val="IndexLink"/>
                <w:rtl w:val="true"/>
              </w:rPr>
              <w:tab/>
            </w:r>
            <w:r>
              <w:rPr>
                <w:rStyle w:val="IndexLink"/>
              </w:rPr>
              <w:t>109</w:t>
            </w:r>
          </w:hyperlink>
        </w:p>
        <w:p>
          <w:pPr>
            <w:pStyle w:val="Contents4"/>
            <w:tabs>
              <w:tab w:val="clear" w:pos="8176"/>
              <w:tab w:val="right" w:pos="9026" w:leader="dot"/>
            </w:tabs>
            <w:rPr/>
          </w:pPr>
          <w:hyperlink w:anchor="__RefHeading___Toc6877358_2116733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877360_211673320">
            <w:r>
              <w:rPr>
                <w:webHidden/>
                <w:rStyle w:val="IndexLink"/>
                <w:rtl w:val="true"/>
              </w:rPr>
              <w:t>جواب اشکالات</w:t>
            </w:r>
            <w:r>
              <w:rPr>
                <w:rStyle w:val="IndexLink"/>
                <w:rtl w:val="true"/>
              </w:rPr>
              <w:tab/>
            </w:r>
            <w:r>
              <w:rPr>
                <w:rStyle w:val="IndexLink"/>
              </w:rPr>
              <w:t>110</w:t>
            </w:r>
          </w:hyperlink>
        </w:p>
        <w:p>
          <w:pPr>
            <w:pStyle w:val="Contents4"/>
            <w:tabs>
              <w:tab w:val="clear" w:pos="8176"/>
              <w:tab w:val="right" w:pos="9026" w:leader="dot"/>
            </w:tabs>
            <w:rPr/>
          </w:pPr>
          <w:hyperlink w:anchor="__RefHeading___Toc6877362_211673320">
            <w:r>
              <w:rPr>
                <w:webHidden/>
                <w:rStyle w:val="IndexLink"/>
              </w:rPr>
              <w:t>1</w:t>
            </w:r>
            <w:r>
              <w:rPr>
                <w:rStyle w:val="IndexLink"/>
                <w:rtl w:val="true"/>
              </w:rPr>
              <w:t xml:space="preserve"> - </w:t>
            </w:r>
            <w:r>
              <w:rPr>
                <w:rStyle w:val="IndexLink"/>
                <w:rtl w:val="true"/>
              </w:rPr>
              <w:t>جواب سیّد بحرالعلوم رحمه الله</w:t>
            </w:r>
            <w:r>
              <w:rPr>
                <w:rStyle w:val="IndexLink"/>
                <w:rtl w:val="true"/>
              </w:rPr>
              <w:tab/>
            </w:r>
            <w:r>
              <w:rPr>
                <w:rStyle w:val="IndexLink"/>
              </w:rPr>
              <w:t>110</w:t>
            </w:r>
          </w:hyperlink>
        </w:p>
        <w:p>
          <w:pPr>
            <w:pStyle w:val="Contents5"/>
            <w:tabs>
              <w:tab w:val="clear" w:pos="7892"/>
              <w:tab w:val="right" w:pos="9026" w:leader="dot"/>
            </w:tabs>
            <w:rPr/>
          </w:pPr>
          <w:hyperlink w:anchor="__RefHeading___Toc6877364_21167332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6877366_211673320">
            <w:r>
              <w:rPr>
                <w:webHidden/>
                <w:rStyle w:val="IndexLink"/>
                <w:rtl w:val="true"/>
              </w:rPr>
              <w:t>اشکالات محقّق نراقی رحمه الله بر جواب علّامه بحرالعلوم رحمه الله</w:t>
            </w:r>
            <w:r>
              <w:rPr>
                <w:rStyle w:val="IndexLink"/>
                <w:rtl w:val="true"/>
              </w:rPr>
              <w:tab/>
            </w:r>
            <w:r>
              <w:rPr>
                <w:rStyle w:val="IndexLink"/>
              </w:rPr>
              <w:t>111</w:t>
            </w:r>
          </w:hyperlink>
        </w:p>
        <w:p>
          <w:pPr>
            <w:pStyle w:val="Contents4"/>
            <w:tabs>
              <w:tab w:val="clear" w:pos="8176"/>
              <w:tab w:val="right" w:pos="9026" w:leader="dot"/>
            </w:tabs>
            <w:rPr/>
          </w:pPr>
          <w:hyperlink w:anchor="__RefHeading___Toc6877368_211673320">
            <w:r>
              <w:rPr>
                <w:webHidden/>
                <w:rStyle w:val="IndexLink"/>
              </w:rPr>
              <w:t>2</w:t>
            </w:r>
            <w:r>
              <w:rPr>
                <w:rStyle w:val="IndexLink"/>
                <w:rtl w:val="true"/>
              </w:rPr>
              <w:t xml:space="preserve">- </w:t>
            </w:r>
            <w:r>
              <w:rPr>
                <w:rStyle w:val="IndexLink"/>
                <w:rtl w:val="true"/>
              </w:rPr>
              <w:t>پاسخ صاحب فصول رحمه الله و اشکالات آن</w:t>
            </w:r>
            <w:r>
              <w:rPr>
                <w:rStyle w:val="IndexLink"/>
                <w:rtl w:val="true"/>
              </w:rPr>
              <w:tab/>
            </w:r>
            <w:r>
              <w:rPr>
                <w:rStyle w:val="IndexLink"/>
              </w:rPr>
              <w:t>112</w:t>
            </w:r>
          </w:hyperlink>
        </w:p>
        <w:p>
          <w:pPr>
            <w:pStyle w:val="Contents4"/>
            <w:tabs>
              <w:tab w:val="clear" w:pos="8176"/>
              <w:tab w:val="right" w:pos="9026" w:leader="dot"/>
            </w:tabs>
            <w:rPr/>
          </w:pPr>
          <w:hyperlink w:anchor="__RefHeading___Toc6877370_211673320">
            <w:r>
              <w:rPr>
                <w:webHidden/>
                <w:rStyle w:val="IndexLink"/>
              </w:rPr>
              <w:t>3</w:t>
            </w:r>
            <w:r>
              <w:rPr>
                <w:rStyle w:val="IndexLink"/>
                <w:rtl w:val="true"/>
              </w:rPr>
              <w:t xml:space="preserve"> - </w:t>
            </w:r>
            <w:r>
              <w:rPr>
                <w:rStyle w:val="IndexLink"/>
                <w:rtl w:val="true"/>
              </w:rPr>
              <w:t>پاسخ مرحوم میرفتّاح</w:t>
            </w:r>
            <w:r>
              <w:rPr>
                <w:rStyle w:val="IndexLink"/>
                <w:rtl w:val="true"/>
              </w:rPr>
              <w:tab/>
            </w:r>
            <w:r>
              <w:rPr>
                <w:rStyle w:val="IndexLink"/>
              </w:rPr>
              <w:t>114</w:t>
            </w:r>
          </w:hyperlink>
        </w:p>
        <w:p>
          <w:pPr>
            <w:pStyle w:val="Contents5"/>
            <w:tabs>
              <w:tab w:val="clear" w:pos="7892"/>
              <w:tab w:val="right" w:pos="9026" w:leader="dot"/>
            </w:tabs>
            <w:rPr/>
          </w:pPr>
          <w:hyperlink w:anchor="__RefHeading___Toc6877372_21167332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6877374_211673320">
            <w:r>
              <w:rPr>
                <w:webHidden/>
                <w:rStyle w:val="IndexLink"/>
                <w:rtl w:val="true"/>
              </w:rPr>
              <w:t>ملاک حرجی بودن تکالیف از نظر میرفتّاح رحمه الله</w:t>
            </w:r>
            <w:r>
              <w:rPr>
                <w:rStyle w:val="IndexLink"/>
                <w:rtl w:val="true"/>
              </w:rPr>
              <w:tab/>
            </w:r>
            <w:r>
              <w:rPr>
                <w:rStyle w:val="IndexLink"/>
              </w:rPr>
              <w:t>116</w:t>
            </w:r>
          </w:hyperlink>
        </w:p>
        <w:p>
          <w:pPr>
            <w:pStyle w:val="Contents5"/>
            <w:tabs>
              <w:tab w:val="clear" w:pos="7892"/>
              <w:tab w:val="right" w:pos="9026" w:leader="dot"/>
            </w:tabs>
            <w:rPr/>
          </w:pPr>
          <w:hyperlink w:anchor="__RefHeading___Toc6877376_211673320">
            <w:r>
              <w:rPr>
                <w:webHidden/>
                <w:rStyle w:val="IndexLink"/>
                <w:rtl w:val="true"/>
              </w:rPr>
              <w:t>اشکال این ملاک</w:t>
            </w:r>
            <w:r>
              <w:rPr>
                <w:rStyle w:val="IndexLink"/>
                <w:rtl w:val="true"/>
              </w:rPr>
              <w:tab/>
            </w:r>
            <w:r>
              <w:rPr>
                <w:rStyle w:val="IndexLink"/>
              </w:rPr>
              <w:t>116</w:t>
            </w:r>
          </w:hyperlink>
        </w:p>
        <w:p>
          <w:pPr>
            <w:pStyle w:val="Contents4"/>
            <w:tabs>
              <w:tab w:val="clear" w:pos="8176"/>
              <w:tab w:val="right" w:pos="9026" w:leader="dot"/>
            </w:tabs>
            <w:rPr/>
          </w:pPr>
          <w:hyperlink w:anchor="__RefHeading___Toc6877378_211673320">
            <w:r>
              <w:rPr>
                <w:webHidden/>
                <w:rStyle w:val="IndexLink"/>
              </w:rPr>
              <w:t>4</w:t>
            </w:r>
            <w:r>
              <w:rPr>
                <w:rStyle w:val="IndexLink"/>
                <w:rtl w:val="true"/>
              </w:rPr>
              <w:t xml:space="preserve"> - </w:t>
            </w:r>
            <w:r>
              <w:rPr>
                <w:rStyle w:val="IndexLink"/>
                <w:rtl w:val="true"/>
              </w:rPr>
              <w:t>پاسخ میرزای قمی رحمه الله</w:t>
            </w:r>
            <w:r>
              <w:rPr>
                <w:rStyle w:val="IndexLink"/>
                <w:rtl w:val="true"/>
              </w:rPr>
              <w:tab/>
            </w:r>
            <w:r>
              <w:rPr>
                <w:rStyle w:val="IndexLink"/>
              </w:rPr>
              <w:t>117</w:t>
            </w:r>
          </w:hyperlink>
        </w:p>
        <w:p>
          <w:pPr>
            <w:pStyle w:val="Contents5"/>
            <w:tabs>
              <w:tab w:val="clear" w:pos="7892"/>
              <w:tab w:val="right" w:pos="9026" w:leader="dot"/>
            </w:tabs>
            <w:rPr/>
          </w:pPr>
          <w:hyperlink w:anchor="__RefHeading___Toc6877380_2116733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6877382_211673320">
            <w:r>
              <w:rPr>
                <w:webHidden/>
                <w:rStyle w:val="IndexLink"/>
                <w:rtl w:val="true"/>
              </w:rPr>
              <w:t>احتمالات موجود در عبارت میرزای قمی رحمه الله</w:t>
            </w:r>
            <w:r>
              <w:rPr>
                <w:rStyle w:val="IndexLink"/>
                <w:rtl w:val="true"/>
              </w:rPr>
              <w:tab/>
            </w:r>
            <w:r>
              <w:rPr>
                <w:rStyle w:val="IndexLink"/>
              </w:rPr>
              <w:t>119</w:t>
            </w:r>
          </w:hyperlink>
        </w:p>
        <w:p>
          <w:pPr>
            <w:pStyle w:val="Contents4"/>
            <w:tabs>
              <w:tab w:val="clear" w:pos="8176"/>
              <w:tab w:val="right" w:pos="9026" w:leader="dot"/>
            </w:tabs>
            <w:rPr/>
          </w:pPr>
          <w:hyperlink w:anchor="__RefHeading___Toc6877384_211673320">
            <w:r>
              <w:rPr>
                <w:webHidden/>
                <w:rStyle w:val="IndexLink"/>
              </w:rPr>
              <w:t>5</w:t>
            </w:r>
            <w:r>
              <w:rPr>
                <w:rStyle w:val="IndexLink"/>
                <w:rtl w:val="true"/>
              </w:rPr>
              <w:t xml:space="preserve"> - </w:t>
            </w:r>
            <w:r>
              <w:rPr>
                <w:rStyle w:val="IndexLink"/>
                <w:rtl w:val="true"/>
              </w:rPr>
              <w:t>جواب محقّق نراقی رحمه الله</w:t>
            </w:r>
            <w:r>
              <w:rPr>
                <w:rStyle w:val="IndexLink"/>
                <w:rtl w:val="true"/>
              </w:rPr>
              <w:tab/>
            </w:r>
            <w:r>
              <w:rPr>
                <w:rStyle w:val="IndexLink"/>
              </w:rPr>
              <w:t>120</w:t>
            </w:r>
          </w:hyperlink>
        </w:p>
        <w:p>
          <w:pPr>
            <w:pStyle w:val="Contents5"/>
            <w:tabs>
              <w:tab w:val="clear" w:pos="7892"/>
              <w:tab w:val="right" w:pos="9026" w:leader="dot"/>
            </w:tabs>
            <w:rPr/>
          </w:pPr>
          <w:hyperlink w:anchor="__RefHeading___Toc6877386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877388_211673320">
            <w:r>
              <w:rPr>
                <w:webHidden/>
                <w:rStyle w:val="IndexLink"/>
                <w:rtl w:val="true"/>
              </w:rPr>
              <w:t>اشکال‌های پاسخ محقّق نراقی رحمه الله</w:t>
            </w:r>
            <w:r>
              <w:rPr>
                <w:rStyle w:val="IndexLink"/>
                <w:rtl w:val="true"/>
              </w:rPr>
              <w:tab/>
            </w:r>
            <w:r>
              <w:rPr>
                <w:rStyle w:val="IndexLink"/>
              </w:rPr>
              <w:t>125</w:t>
            </w:r>
          </w:hyperlink>
        </w:p>
        <w:p>
          <w:pPr>
            <w:pStyle w:val="Contents4"/>
            <w:tabs>
              <w:tab w:val="clear" w:pos="8176"/>
              <w:tab w:val="right" w:pos="9026" w:leader="dot"/>
            </w:tabs>
            <w:rPr/>
          </w:pPr>
          <w:hyperlink w:anchor="__RefHeading___Toc6877390_211673320">
            <w:r>
              <w:rPr>
                <w:webHidden/>
                <w:rStyle w:val="IndexLink"/>
              </w:rPr>
              <w:t>6</w:t>
            </w:r>
            <w:r>
              <w:rPr>
                <w:rStyle w:val="IndexLink"/>
                <w:rtl w:val="true"/>
              </w:rPr>
              <w:t xml:space="preserve"> - </w:t>
            </w:r>
            <w:r>
              <w:rPr>
                <w:rStyle w:val="IndexLink"/>
                <w:rtl w:val="true"/>
              </w:rPr>
              <w:t>بیان میرزای آشتیانی رحمه الله</w:t>
            </w:r>
            <w:r>
              <w:rPr>
                <w:rStyle w:val="IndexLink"/>
                <w:rtl w:val="true"/>
              </w:rPr>
              <w:tab/>
            </w:r>
            <w:r>
              <w:rPr>
                <w:rStyle w:val="IndexLink"/>
              </w:rPr>
              <w:t>126</w:t>
            </w:r>
          </w:hyperlink>
        </w:p>
        <w:p>
          <w:pPr>
            <w:pStyle w:val="Contents4"/>
            <w:tabs>
              <w:tab w:val="clear" w:pos="8176"/>
              <w:tab w:val="right" w:pos="9026" w:leader="dot"/>
            </w:tabs>
            <w:rPr/>
          </w:pPr>
          <w:hyperlink w:anchor="__RefHeading___Toc6877392_211673320">
            <w:r>
              <w:rPr>
                <w:webHidden/>
                <w:rStyle w:val="IndexLink"/>
              </w:rPr>
              <w:t>7</w:t>
            </w:r>
            <w:r>
              <w:rPr>
                <w:rStyle w:val="IndexLink"/>
                <w:rtl w:val="true"/>
              </w:rPr>
              <w:t xml:space="preserve">- </w:t>
            </w:r>
            <w:r>
              <w:rPr>
                <w:rStyle w:val="IndexLink"/>
                <w:rtl w:val="true"/>
              </w:rPr>
              <w:t>پاسخ محقّق بجنوردی رحمه الله</w:t>
            </w:r>
            <w:r>
              <w:rPr>
                <w:rStyle w:val="IndexLink"/>
                <w:rtl w:val="true"/>
              </w:rPr>
              <w:tab/>
            </w:r>
            <w:r>
              <w:rPr>
                <w:rStyle w:val="IndexLink"/>
              </w:rPr>
              <w:t>128</w:t>
            </w:r>
          </w:hyperlink>
        </w:p>
        <w:p>
          <w:pPr>
            <w:pStyle w:val="Contents5"/>
            <w:tabs>
              <w:tab w:val="clear" w:pos="7892"/>
              <w:tab w:val="right" w:pos="9026" w:leader="dot"/>
            </w:tabs>
            <w:rPr/>
          </w:pPr>
          <w:hyperlink w:anchor="__RefHeading___Toc6877394_21167332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6877396_211673320">
            <w:r>
              <w:rPr>
                <w:webHidden/>
                <w:rStyle w:val="IndexLink"/>
                <w:rtl w:val="true"/>
              </w:rPr>
              <w:t>اشکالات پاسخ محقّق بجنوردی رحمه الله</w:t>
            </w:r>
            <w:r>
              <w:rPr>
                <w:rStyle w:val="IndexLink"/>
                <w:rtl w:val="true"/>
              </w:rPr>
              <w:tab/>
            </w:r>
            <w:r>
              <w:rPr>
                <w:rStyle w:val="IndexLink"/>
              </w:rPr>
              <w:t>129</w:t>
            </w:r>
          </w:hyperlink>
        </w:p>
        <w:p>
          <w:pPr>
            <w:pStyle w:val="Contents5"/>
            <w:tabs>
              <w:tab w:val="clear" w:pos="7892"/>
              <w:tab w:val="right" w:pos="9026" w:leader="dot"/>
            </w:tabs>
            <w:rPr/>
          </w:pPr>
          <w:hyperlink w:anchor="__RefHeading___Toc6877398_211673320">
            <w:r>
              <w:rPr>
                <w:webHidden/>
                <w:rStyle w:val="IndexLink"/>
                <w:rtl w:val="true"/>
              </w:rPr>
              <w:t>نظر و پاسخ برگزیده</w:t>
            </w:r>
            <w:r>
              <w:rPr>
                <w:rStyle w:val="IndexLink"/>
                <w:rtl w:val="true"/>
              </w:rPr>
              <w:tab/>
            </w:r>
            <w:r>
              <w:rPr>
                <w:rStyle w:val="IndexLink"/>
              </w:rPr>
              <w:t>129</w:t>
            </w:r>
          </w:hyperlink>
        </w:p>
        <w:p>
          <w:pPr>
            <w:pStyle w:val="Contents3"/>
            <w:tabs>
              <w:tab w:val="clear" w:pos="8459"/>
              <w:tab w:val="right" w:pos="9026" w:leader="dot"/>
            </w:tabs>
            <w:rPr/>
          </w:pPr>
          <w:hyperlink w:anchor="__RefHeading___Toc6877400_211673320">
            <w:r>
              <w:rPr>
                <w:webHidden/>
                <w:rStyle w:val="IndexLink"/>
                <w:rtl w:val="true"/>
              </w:rPr>
              <w:t>تنبیه دوّم</w:t>
            </w:r>
            <w:r>
              <w:rPr>
                <w:rStyle w:val="IndexLink"/>
                <w:rtl w:val="true"/>
              </w:rPr>
              <w:t xml:space="preserve">: </w:t>
            </w:r>
            <w:r>
              <w:rPr>
                <w:rStyle w:val="IndexLink"/>
                <w:rtl w:val="true"/>
              </w:rPr>
              <w:t>مقصود از حرج، شخصی است یا نوعی ؟</w:t>
            </w:r>
            <w:r>
              <w:rPr>
                <w:rStyle w:val="IndexLink"/>
                <w:rtl w:val="true"/>
              </w:rPr>
              <w:tab/>
            </w:r>
            <w:r>
              <w:rPr>
                <w:rStyle w:val="IndexLink"/>
              </w:rPr>
              <w:t>131</w:t>
            </w:r>
          </w:hyperlink>
        </w:p>
        <w:p>
          <w:pPr>
            <w:pStyle w:val="Contents4"/>
            <w:tabs>
              <w:tab w:val="clear" w:pos="8176"/>
              <w:tab w:val="right" w:pos="9026" w:leader="dot"/>
            </w:tabs>
            <w:rPr/>
          </w:pPr>
          <w:hyperlink w:anchor="__RefHeading___Toc6877402_21167332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877404_211673320">
            <w:r>
              <w:rPr>
                <w:webHidden/>
                <w:rStyle w:val="IndexLink"/>
                <w:rtl w:val="true"/>
              </w:rPr>
              <w:t>اشکال اوّل</w:t>
            </w:r>
            <w:r>
              <w:rPr>
                <w:rStyle w:val="IndexLink"/>
                <w:rtl w:val="true"/>
              </w:rPr>
              <w:t xml:space="preserve">: </w:t>
            </w:r>
            <w:r>
              <w:rPr>
                <w:rStyle w:val="IndexLink"/>
                <w:rtl w:val="true"/>
              </w:rPr>
              <w:t>امتنانی بودن لاحرج مستلزم حرج شخصی است</w:t>
            </w:r>
            <w:r>
              <w:rPr>
                <w:rStyle w:val="IndexLink"/>
                <w:rtl w:val="true"/>
              </w:rPr>
              <w:tab/>
            </w:r>
            <w:r>
              <w:rPr>
                <w:rStyle w:val="IndexLink"/>
              </w:rPr>
              <w:t>132</w:t>
            </w:r>
          </w:hyperlink>
        </w:p>
        <w:p>
          <w:pPr>
            <w:pStyle w:val="Contents4"/>
            <w:tabs>
              <w:tab w:val="clear" w:pos="8176"/>
              <w:tab w:val="right" w:pos="9026" w:leader="dot"/>
            </w:tabs>
            <w:rPr/>
          </w:pPr>
          <w:hyperlink w:anchor="__RefHeading___Toc6877406_211673320">
            <w:r>
              <w:rPr>
                <w:webHidden/>
                <w:rStyle w:val="IndexLink"/>
                <w:rtl w:val="true"/>
              </w:rPr>
              <w:t>پاسخ اشکال اوّل</w:t>
            </w:r>
            <w:r>
              <w:rPr>
                <w:rStyle w:val="IndexLink"/>
                <w:rtl w:val="true"/>
              </w:rPr>
              <w:tab/>
            </w:r>
            <w:r>
              <w:rPr>
                <w:rStyle w:val="IndexLink"/>
              </w:rPr>
              <w:t>133</w:t>
            </w:r>
          </w:hyperlink>
        </w:p>
        <w:p>
          <w:pPr>
            <w:pStyle w:val="Contents4"/>
            <w:tabs>
              <w:tab w:val="clear" w:pos="8176"/>
              <w:tab w:val="right" w:pos="9026" w:leader="dot"/>
            </w:tabs>
            <w:rPr/>
          </w:pPr>
          <w:hyperlink w:anchor="__RefHeading___Toc6877408_211673320">
            <w:r>
              <w:rPr>
                <w:webHidden/>
                <w:rStyle w:val="IndexLink"/>
                <w:rtl w:val="true"/>
              </w:rPr>
              <w:t>اشکال دوّم</w:t>
            </w:r>
            <w:r>
              <w:rPr>
                <w:rStyle w:val="IndexLink"/>
                <w:rtl w:val="true"/>
              </w:rPr>
              <w:t xml:space="preserve">: </w:t>
            </w:r>
            <w:r>
              <w:rPr>
                <w:rStyle w:val="IndexLink"/>
                <w:rtl w:val="true"/>
              </w:rPr>
              <w:t>حرج علّت نفی حکم است و با حرج شخصی سازگاری دارد</w:t>
            </w:r>
            <w:r>
              <w:rPr>
                <w:rStyle w:val="IndexLink"/>
                <w:rtl w:val="true"/>
              </w:rPr>
              <w:tab/>
            </w:r>
            <w:r>
              <w:rPr>
                <w:rStyle w:val="IndexLink"/>
              </w:rPr>
              <w:t>133</w:t>
            </w:r>
          </w:hyperlink>
        </w:p>
        <w:p>
          <w:pPr>
            <w:pStyle w:val="Contents4"/>
            <w:tabs>
              <w:tab w:val="clear" w:pos="8176"/>
              <w:tab w:val="right" w:pos="9026" w:leader="dot"/>
            </w:tabs>
            <w:rPr/>
          </w:pPr>
          <w:hyperlink w:anchor="__RefHeading___Toc6877410_211673320">
            <w:r>
              <w:rPr>
                <w:webHidden/>
                <w:rStyle w:val="IndexLink"/>
                <w:rtl w:val="true"/>
              </w:rPr>
              <w:t>پاسخ اشکال دوّم</w:t>
            </w:r>
            <w:r>
              <w:rPr>
                <w:rStyle w:val="IndexLink"/>
                <w:rtl w:val="true"/>
              </w:rPr>
              <w:tab/>
            </w:r>
            <w:r>
              <w:rPr>
                <w:rStyle w:val="IndexLink"/>
              </w:rPr>
              <w:t>134</w:t>
            </w:r>
          </w:hyperlink>
        </w:p>
        <w:p>
          <w:pPr>
            <w:pStyle w:val="Contents4"/>
            <w:tabs>
              <w:tab w:val="clear" w:pos="8176"/>
              <w:tab w:val="right" w:pos="9026" w:leader="dot"/>
            </w:tabs>
            <w:rPr/>
          </w:pPr>
          <w:hyperlink w:anchor="__RefHeading___Toc6877412_211673320">
            <w:r>
              <w:rPr>
                <w:webHidden/>
                <w:rStyle w:val="IndexLink"/>
                <w:rtl w:val="true"/>
              </w:rPr>
              <w:t>اشکال سوم و پاسخ آن</w:t>
            </w:r>
            <w:r>
              <w:rPr>
                <w:rStyle w:val="IndexLink"/>
                <w:rtl w:val="true"/>
              </w:rPr>
              <w:tab/>
            </w:r>
            <w:r>
              <w:rPr>
                <w:rStyle w:val="IndexLink"/>
              </w:rPr>
              <w:t>134</w:t>
            </w:r>
          </w:hyperlink>
        </w:p>
        <w:p>
          <w:pPr>
            <w:pStyle w:val="Contents3"/>
            <w:tabs>
              <w:tab w:val="clear" w:pos="8459"/>
              <w:tab w:val="right" w:pos="9026" w:leader="dot"/>
            </w:tabs>
            <w:rPr/>
          </w:pPr>
          <w:hyperlink w:anchor="__RefHeading___Toc6877414_211673320">
            <w:r>
              <w:rPr>
                <w:webHidden/>
                <w:rStyle w:val="IndexLink"/>
                <w:rtl w:val="true"/>
              </w:rPr>
              <w:t>تنبیه سوّم</w:t>
            </w:r>
            <w:r>
              <w:rPr>
                <w:rStyle w:val="IndexLink"/>
                <w:rtl w:val="true"/>
              </w:rPr>
              <w:t xml:space="preserve">: </w:t>
            </w:r>
            <w:r>
              <w:rPr>
                <w:rStyle w:val="IndexLink"/>
                <w:rtl w:val="true"/>
              </w:rPr>
              <w:t>مفاد قاعده لاحرج، رخصت است یا عزیمت ؟</w:t>
            </w:r>
            <w:r>
              <w:rPr>
                <w:rStyle w:val="IndexLink"/>
                <w:rtl w:val="true"/>
              </w:rPr>
              <w:tab/>
            </w:r>
            <w:r>
              <w:rPr>
                <w:rStyle w:val="IndexLink"/>
              </w:rPr>
              <w:t>136</w:t>
            </w:r>
          </w:hyperlink>
        </w:p>
        <w:p>
          <w:pPr>
            <w:pStyle w:val="Contents4"/>
            <w:tabs>
              <w:tab w:val="clear" w:pos="8176"/>
              <w:tab w:val="right" w:pos="9026" w:leader="dot"/>
            </w:tabs>
            <w:rPr/>
          </w:pPr>
          <w:hyperlink w:anchor="__RefHeading___Toc6877416_2116733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877418_211673320">
            <w:r>
              <w:rPr>
                <w:webHidden/>
                <w:rStyle w:val="IndexLink"/>
                <w:rtl w:val="true"/>
              </w:rPr>
              <w:t>مرحوم محقّق همدانی رحمه الله بیان می کند</w:t>
            </w:r>
            <w:r>
              <w:rPr>
                <w:rStyle w:val="IndexLink"/>
                <w:rtl w:val="true"/>
              </w:rPr>
              <w:t>:</w:t>
              <w:tab/>
            </w:r>
            <w:r>
              <w:rPr>
                <w:rStyle w:val="IndexLink"/>
              </w:rPr>
              <w:t>137</w:t>
            </w:r>
          </w:hyperlink>
        </w:p>
        <w:p>
          <w:pPr>
            <w:pStyle w:val="Contents4"/>
            <w:tabs>
              <w:tab w:val="clear" w:pos="8176"/>
              <w:tab w:val="right" w:pos="9026" w:leader="dot"/>
            </w:tabs>
            <w:rPr/>
          </w:pPr>
          <w:hyperlink w:anchor="__RefHeading___Toc6877420_211673320">
            <w:r>
              <w:rPr>
                <w:webHidden/>
                <w:rStyle w:val="IndexLink"/>
                <w:rtl w:val="true"/>
              </w:rPr>
              <w:t>اشکال نظر محقّق بجنوردی رحمه الله</w:t>
            </w:r>
            <w:r>
              <w:rPr>
                <w:rStyle w:val="IndexLink"/>
                <w:rtl w:val="true"/>
              </w:rPr>
              <w:tab/>
            </w:r>
            <w:r>
              <w:rPr>
                <w:rStyle w:val="IndexLink"/>
              </w:rPr>
              <w:t>139</w:t>
            </w:r>
          </w:hyperlink>
        </w:p>
        <w:p>
          <w:pPr>
            <w:pStyle w:val="Contents3"/>
            <w:tabs>
              <w:tab w:val="clear" w:pos="8459"/>
              <w:tab w:val="right" w:pos="9026" w:leader="dot"/>
            </w:tabs>
            <w:rPr/>
          </w:pPr>
          <w:hyperlink w:anchor="__RefHeading___Toc6877422_211673320">
            <w:r>
              <w:rPr>
                <w:webHidden/>
                <w:rStyle w:val="IndexLink"/>
                <w:rtl w:val="true"/>
              </w:rPr>
              <w:t>تنبیه چهارم</w:t>
            </w:r>
            <w:r>
              <w:rPr>
                <w:rStyle w:val="IndexLink"/>
                <w:rtl w:val="true"/>
              </w:rPr>
              <w:t xml:space="preserve">: </w:t>
            </w:r>
            <w:r>
              <w:rPr>
                <w:rStyle w:val="IndexLink"/>
                <w:rtl w:val="true"/>
              </w:rPr>
              <w:t>جریان قاعده در احکام وضعی و عدم جریان آن</w:t>
            </w:r>
            <w:r>
              <w:rPr>
                <w:rStyle w:val="IndexLink"/>
                <w:rtl w:val="true"/>
              </w:rPr>
              <w:tab/>
            </w:r>
            <w:r>
              <w:rPr>
                <w:rStyle w:val="IndexLink"/>
              </w:rPr>
              <w:t>144</w:t>
            </w:r>
          </w:hyperlink>
        </w:p>
        <w:p>
          <w:pPr>
            <w:pStyle w:val="Contents4"/>
            <w:tabs>
              <w:tab w:val="clear" w:pos="8176"/>
              <w:tab w:val="right" w:pos="9026" w:leader="dot"/>
            </w:tabs>
            <w:rPr/>
          </w:pPr>
          <w:hyperlink w:anchor="__RefHeading___Toc6877424_2116733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877426_211673320">
            <w:r>
              <w:rPr>
                <w:webHidden/>
                <w:rStyle w:val="IndexLink"/>
                <w:rtl w:val="true"/>
              </w:rPr>
              <w:t>جهات مانع از جریان قاعده در احکام وضعی</w:t>
            </w:r>
            <w:r>
              <w:rPr>
                <w:rStyle w:val="IndexLink"/>
                <w:rtl w:val="true"/>
              </w:rPr>
              <w:tab/>
            </w:r>
            <w:r>
              <w:rPr>
                <w:rStyle w:val="IndexLink"/>
              </w:rPr>
              <w:t>145</w:t>
            </w:r>
          </w:hyperlink>
        </w:p>
        <w:p>
          <w:pPr>
            <w:pStyle w:val="Contents4"/>
            <w:tabs>
              <w:tab w:val="clear" w:pos="8176"/>
              <w:tab w:val="right" w:pos="9026" w:leader="dot"/>
            </w:tabs>
            <w:rPr/>
          </w:pPr>
          <w:hyperlink w:anchor="__RefHeading___Toc6877428_211673320">
            <w:r>
              <w:rPr>
                <w:webHidden/>
                <w:rStyle w:val="IndexLink"/>
                <w:rtl w:val="true"/>
              </w:rPr>
              <w:t>مؤیّدات عدم جریان قاعده در احکام وضعی</w:t>
            </w:r>
            <w:r>
              <w:rPr>
                <w:rStyle w:val="IndexLink"/>
                <w:rtl w:val="true"/>
              </w:rPr>
              <w:tab/>
            </w:r>
            <w:r>
              <w:rPr>
                <w:rStyle w:val="IndexLink"/>
              </w:rPr>
              <w:t>146</w:t>
            </w:r>
          </w:hyperlink>
        </w:p>
        <w:p>
          <w:pPr>
            <w:pStyle w:val="Contents4"/>
            <w:tabs>
              <w:tab w:val="clear" w:pos="8176"/>
              <w:tab w:val="right" w:pos="9026" w:leader="dot"/>
            </w:tabs>
            <w:rPr/>
          </w:pPr>
          <w:hyperlink w:anchor="__RefHeading___Toc6877430_211673320">
            <w:r>
              <w:rPr>
                <w:webHidden/>
                <w:rStyle w:val="IndexLink"/>
                <w:rtl w:val="true"/>
              </w:rPr>
              <w:t>کلام محقّق نائینی رحمه الله</w:t>
            </w:r>
            <w:r>
              <w:rPr>
                <w:rStyle w:val="IndexLink"/>
                <w:rtl w:val="true"/>
              </w:rPr>
              <w:tab/>
            </w:r>
            <w:r>
              <w:rPr>
                <w:rStyle w:val="IndexLink"/>
              </w:rPr>
              <w:t>148</w:t>
            </w:r>
          </w:hyperlink>
        </w:p>
        <w:p>
          <w:pPr>
            <w:pStyle w:val="Contents3"/>
            <w:tabs>
              <w:tab w:val="clear" w:pos="8459"/>
              <w:tab w:val="right" w:pos="9026" w:leader="dot"/>
            </w:tabs>
            <w:rPr/>
          </w:pPr>
          <w:hyperlink w:anchor="__RefHeading___Toc6877432_211673320">
            <w:r>
              <w:rPr>
                <w:webHidden/>
                <w:rStyle w:val="IndexLink"/>
                <w:rtl w:val="true"/>
              </w:rPr>
              <w:t>تنبیه پنجم</w:t>
            </w:r>
            <w:r>
              <w:rPr>
                <w:rStyle w:val="IndexLink"/>
                <w:rtl w:val="true"/>
              </w:rPr>
              <w:t xml:space="preserve">: </w:t>
            </w:r>
            <w:r>
              <w:rPr>
                <w:rStyle w:val="IndexLink"/>
                <w:rtl w:val="true"/>
              </w:rPr>
              <w:t>جریان قاعده لاحرج نسبت به محرّمات</w:t>
            </w:r>
            <w:r>
              <w:rPr>
                <w:rStyle w:val="IndexLink"/>
                <w:rtl w:val="true"/>
              </w:rPr>
              <w:tab/>
            </w:r>
            <w:r>
              <w:rPr>
                <w:rStyle w:val="IndexLink"/>
              </w:rPr>
              <w:t>149</w:t>
            </w:r>
          </w:hyperlink>
        </w:p>
        <w:p>
          <w:pPr>
            <w:pStyle w:val="Contents4"/>
            <w:tabs>
              <w:tab w:val="clear" w:pos="8176"/>
              <w:tab w:val="right" w:pos="9026" w:leader="dot"/>
            </w:tabs>
            <w:rPr/>
          </w:pPr>
          <w:hyperlink w:anchor="__RefHeading___Toc6877434_2116733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877436_211673320">
            <w:r>
              <w:rPr>
                <w:webHidden/>
                <w:rStyle w:val="IndexLink"/>
                <w:rtl w:val="true"/>
              </w:rPr>
              <w:t>کلام محقّق بجنوردی رحمه الله</w:t>
            </w:r>
            <w:r>
              <w:rPr>
                <w:rStyle w:val="IndexLink"/>
                <w:rtl w:val="true"/>
              </w:rPr>
              <w:tab/>
            </w:r>
            <w:r>
              <w:rPr>
                <w:rStyle w:val="IndexLink"/>
              </w:rPr>
              <w:t>156</w:t>
            </w:r>
          </w:hyperlink>
        </w:p>
        <w:p>
          <w:pPr>
            <w:pStyle w:val="Contents4"/>
            <w:tabs>
              <w:tab w:val="clear" w:pos="8176"/>
              <w:tab w:val="right" w:pos="9026" w:leader="dot"/>
            </w:tabs>
            <w:rPr/>
          </w:pPr>
          <w:hyperlink w:anchor="__RefHeading___Toc6877438_211673320">
            <w:r>
              <w:rPr>
                <w:webHidden/>
                <w:rStyle w:val="IndexLink"/>
                <w:rtl w:val="true"/>
              </w:rPr>
              <w:t>اشکال بر محقّق بجنوردی رحمه الله</w:t>
            </w:r>
            <w:r>
              <w:rPr>
                <w:rStyle w:val="IndexLink"/>
                <w:rtl w:val="true"/>
              </w:rPr>
              <w:tab/>
            </w:r>
            <w:r>
              <w:rPr>
                <w:rStyle w:val="IndexLink"/>
              </w:rPr>
              <w:t>157</w:t>
            </w:r>
          </w:hyperlink>
        </w:p>
        <w:p>
          <w:pPr>
            <w:pStyle w:val="Contents3"/>
            <w:tabs>
              <w:tab w:val="clear" w:pos="8459"/>
              <w:tab w:val="right" w:pos="9026" w:leader="dot"/>
            </w:tabs>
            <w:rPr/>
          </w:pPr>
          <w:hyperlink w:anchor="__RefHeading___Toc6877440_211673320">
            <w:r>
              <w:rPr>
                <w:webHidden/>
                <w:rStyle w:val="IndexLink"/>
                <w:rtl w:val="true"/>
              </w:rPr>
              <w:t>تنبیه ششم</w:t>
            </w:r>
            <w:r>
              <w:rPr>
                <w:rStyle w:val="IndexLink"/>
                <w:rtl w:val="true"/>
              </w:rPr>
              <w:t xml:space="preserve">: </w:t>
            </w:r>
            <w:r>
              <w:rPr>
                <w:rStyle w:val="IndexLink"/>
                <w:rtl w:val="true"/>
              </w:rPr>
              <w:t>نسبت بین قاعده لاحرج و حقوق</w:t>
            </w:r>
            <w:r>
              <w:rPr>
                <w:rStyle w:val="IndexLink"/>
                <w:rtl w:val="true"/>
              </w:rPr>
              <w:tab/>
            </w:r>
            <w:r>
              <w:rPr>
                <w:rStyle w:val="IndexLink"/>
              </w:rPr>
              <w:t>163</w:t>
            </w:r>
          </w:hyperlink>
        </w:p>
        <w:p>
          <w:pPr>
            <w:pStyle w:val="Contents3"/>
            <w:tabs>
              <w:tab w:val="clear" w:pos="8459"/>
              <w:tab w:val="right" w:pos="9026" w:leader="dot"/>
            </w:tabs>
            <w:rPr/>
          </w:pPr>
          <w:hyperlink w:anchor="__RefHeading___Toc6877442_211673320">
            <w:r>
              <w:rPr>
                <w:webHidden/>
                <w:rStyle w:val="IndexLink"/>
                <w:rtl w:val="true"/>
              </w:rPr>
              <w:t>تنبیه هفتم</w:t>
            </w:r>
            <w:r>
              <w:rPr>
                <w:rStyle w:val="IndexLink"/>
                <w:rtl w:val="true"/>
              </w:rPr>
              <w:t xml:space="preserve">: </w:t>
            </w:r>
            <w:r>
              <w:rPr>
                <w:rStyle w:val="IndexLink"/>
                <w:rtl w:val="true"/>
              </w:rPr>
              <w:t>تعارض بین قاعده لاحرج و قاعده لاضرر</w:t>
            </w:r>
            <w:r>
              <w:rPr>
                <w:rStyle w:val="IndexLink"/>
                <w:rtl w:val="true"/>
              </w:rPr>
              <w:tab/>
            </w:r>
            <w:r>
              <w:rPr>
                <w:rStyle w:val="IndexLink"/>
              </w:rPr>
              <w:t>165</w:t>
            </w:r>
          </w:hyperlink>
        </w:p>
        <w:p>
          <w:pPr>
            <w:pStyle w:val="Contents3"/>
            <w:tabs>
              <w:tab w:val="clear" w:pos="8459"/>
              <w:tab w:val="right" w:pos="9026" w:leader="dot"/>
            </w:tabs>
            <w:rPr/>
          </w:pPr>
          <w:hyperlink w:anchor="__RefHeading___Toc6877444_211673320">
            <w:r>
              <w:rPr>
                <w:webHidden/>
                <w:rStyle w:val="IndexLink"/>
                <w:rtl w:val="true"/>
              </w:rPr>
              <w:t>تنبیه هشتم</w:t>
            </w:r>
            <w:r>
              <w:rPr>
                <w:rStyle w:val="IndexLink"/>
                <w:rtl w:val="true"/>
              </w:rPr>
              <w:t xml:space="preserve">: </w:t>
            </w:r>
            <w:r>
              <w:rPr>
                <w:rStyle w:val="IndexLink"/>
                <w:rtl w:val="true"/>
              </w:rPr>
              <w:t>عدم شمول قاعده نسبت به احکام غیرالزامی</w:t>
            </w:r>
            <w:r>
              <w:rPr>
                <w:rStyle w:val="IndexLink"/>
                <w:rtl w:val="true"/>
              </w:rPr>
              <w:tab/>
            </w:r>
            <w:r>
              <w:rPr>
                <w:rStyle w:val="IndexLink"/>
              </w:rPr>
              <w:t>167</w:t>
            </w:r>
          </w:hyperlink>
        </w:p>
        <w:p>
          <w:pPr>
            <w:pStyle w:val="Contents4"/>
            <w:tabs>
              <w:tab w:val="clear" w:pos="8176"/>
              <w:tab w:val="right" w:pos="9026" w:leader="dot"/>
            </w:tabs>
            <w:rPr/>
          </w:pPr>
          <w:hyperlink w:anchor="__RefHeading___Toc6877446_2116733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6877448_211673320">
            <w:r>
              <w:rPr>
                <w:webHidden/>
                <w:rStyle w:val="IndexLink"/>
                <w:rtl w:val="true"/>
              </w:rPr>
              <w:t>بیان صاحب فصول رحمه الله</w:t>
            </w:r>
            <w:r>
              <w:rPr>
                <w:rStyle w:val="IndexLink"/>
                <w:rtl w:val="true"/>
              </w:rPr>
              <w:tab/>
            </w:r>
            <w:r>
              <w:rPr>
                <w:rStyle w:val="IndexLink"/>
              </w:rPr>
              <w:t>168</w:t>
            </w:r>
          </w:hyperlink>
        </w:p>
        <w:p>
          <w:pPr>
            <w:pStyle w:val="Contents4"/>
            <w:tabs>
              <w:tab w:val="clear" w:pos="8176"/>
              <w:tab w:val="right" w:pos="9026" w:leader="dot"/>
            </w:tabs>
            <w:rPr/>
          </w:pPr>
          <w:hyperlink w:anchor="__RefHeading___Toc6877450_211673320">
            <w:r>
              <w:rPr>
                <w:webHidden/>
                <w:rStyle w:val="IndexLink"/>
                <w:rtl w:val="true"/>
              </w:rPr>
              <w:t>اشکال بر صاحب فصول رحمه الله</w:t>
            </w:r>
            <w:r>
              <w:rPr>
                <w:rStyle w:val="IndexLink"/>
                <w:rtl w:val="true"/>
              </w:rPr>
              <w:tab/>
            </w:r>
            <w:r>
              <w:rPr>
                <w:rStyle w:val="IndexLink"/>
              </w:rPr>
              <w:t>168</w:t>
            </w:r>
          </w:hyperlink>
        </w:p>
        <w:p>
          <w:pPr>
            <w:pStyle w:val="Contents4"/>
            <w:tabs>
              <w:tab w:val="clear" w:pos="8176"/>
              <w:tab w:val="right" w:pos="9026" w:leader="dot"/>
            </w:tabs>
            <w:rPr/>
          </w:pPr>
          <w:hyperlink w:anchor="__RefHeading___Toc6877452_211673320">
            <w:r>
              <w:rPr>
                <w:webHidden/>
                <w:rStyle w:val="IndexLink"/>
                <w:rtl w:val="true"/>
              </w:rPr>
              <w:t>کلام میرزای آشتیانی رحمه الله</w:t>
            </w:r>
            <w:r>
              <w:rPr>
                <w:rStyle w:val="IndexLink"/>
                <w:rtl w:val="true"/>
              </w:rPr>
              <w:tab/>
            </w:r>
            <w:r>
              <w:rPr>
                <w:rStyle w:val="IndexLink"/>
              </w:rPr>
              <w:t>168</w:t>
            </w:r>
          </w:hyperlink>
        </w:p>
        <w:p>
          <w:pPr>
            <w:pStyle w:val="Contents4"/>
            <w:tabs>
              <w:tab w:val="clear" w:pos="8176"/>
              <w:tab w:val="right" w:pos="9026" w:leader="dot"/>
            </w:tabs>
            <w:rPr/>
          </w:pPr>
          <w:hyperlink w:anchor="__RefHeading___Toc6877454_211673320">
            <w:r>
              <w:rPr>
                <w:webHidden/>
                <w:rStyle w:val="IndexLink"/>
                <w:rtl w:val="true"/>
              </w:rPr>
              <w:t>مناقشه در کلام آشتیانی رحمه الله</w:t>
            </w:r>
            <w:r>
              <w:rPr>
                <w:rStyle w:val="IndexLink"/>
                <w:rtl w:val="true"/>
              </w:rPr>
              <w:tab/>
            </w:r>
            <w:r>
              <w:rPr>
                <w:rStyle w:val="IndexLink"/>
              </w:rPr>
              <w:t>169</w:t>
            </w:r>
          </w:hyperlink>
        </w:p>
        <w:p>
          <w:pPr>
            <w:pStyle w:val="Contents3"/>
            <w:tabs>
              <w:tab w:val="clear" w:pos="8459"/>
              <w:tab w:val="right" w:pos="9026" w:leader="dot"/>
            </w:tabs>
            <w:rPr/>
          </w:pPr>
          <w:hyperlink w:anchor="__RefHeading___Toc6877456_211673320">
            <w:r>
              <w:rPr>
                <w:webHidden/>
                <w:rStyle w:val="IndexLink"/>
                <w:rtl w:val="true"/>
              </w:rPr>
              <w:t>تنبیه نهم</w:t>
            </w:r>
            <w:r>
              <w:rPr>
                <w:rStyle w:val="IndexLink"/>
                <w:rtl w:val="true"/>
              </w:rPr>
              <w:t xml:space="preserve">: </w:t>
            </w:r>
            <w:r>
              <w:rPr>
                <w:rStyle w:val="IndexLink"/>
                <w:rtl w:val="true"/>
              </w:rPr>
              <w:t>جریان قاعده در موارد سببیّت مکلّف برای حرج</w:t>
            </w:r>
            <w:r>
              <w:rPr>
                <w:rStyle w:val="IndexLink"/>
                <w:rtl w:val="true"/>
              </w:rPr>
              <w:tab/>
            </w:r>
            <w:r>
              <w:rPr>
                <w:rStyle w:val="IndexLink"/>
              </w:rPr>
              <w:t>171</w:t>
            </w:r>
          </w:hyperlink>
        </w:p>
        <w:p>
          <w:pPr>
            <w:pStyle w:val="Contents4"/>
            <w:tabs>
              <w:tab w:val="clear" w:pos="8176"/>
              <w:tab w:val="right" w:pos="9026" w:leader="dot"/>
            </w:tabs>
            <w:rPr/>
          </w:pPr>
          <w:hyperlink w:anchor="__RefHeading___Toc6877458_21167332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877460_211673320">
            <w:r>
              <w:rPr>
                <w:webHidden/>
                <w:rStyle w:val="IndexLink"/>
                <w:rtl w:val="true"/>
              </w:rPr>
              <w:t>بیان میرزای آشتیانی رحمه الله</w:t>
            </w:r>
            <w:r>
              <w:rPr>
                <w:rStyle w:val="IndexLink"/>
                <w:rtl w:val="true"/>
              </w:rPr>
              <w:tab/>
            </w:r>
            <w:r>
              <w:rPr>
                <w:rStyle w:val="IndexLink"/>
              </w:rPr>
              <w:t>171</w:t>
            </w:r>
          </w:hyperlink>
        </w:p>
        <w:p>
          <w:pPr>
            <w:pStyle w:val="Contents4"/>
            <w:tabs>
              <w:tab w:val="clear" w:pos="8176"/>
              <w:tab w:val="right" w:pos="9026" w:leader="dot"/>
            </w:tabs>
            <w:rPr/>
          </w:pPr>
          <w:hyperlink w:anchor="__RefHeading___Toc6877462_211673320">
            <w:r>
              <w:rPr>
                <w:webHidden/>
                <w:rStyle w:val="IndexLink"/>
                <w:rtl w:val="true"/>
              </w:rPr>
              <w:t>اشکال بیان محقّق آشتیانی رحمه الله</w:t>
            </w:r>
            <w:r>
              <w:rPr>
                <w:rStyle w:val="IndexLink"/>
                <w:rtl w:val="true"/>
              </w:rPr>
              <w:tab/>
            </w:r>
            <w:r>
              <w:rPr>
                <w:rStyle w:val="IndexLink"/>
              </w:rPr>
              <w:t>172</w:t>
            </w:r>
          </w:hyperlink>
        </w:p>
        <w:p>
          <w:pPr>
            <w:pStyle w:val="Contents3"/>
            <w:tabs>
              <w:tab w:val="clear" w:pos="8459"/>
              <w:tab w:val="right" w:pos="9026" w:leader="dot"/>
            </w:tabs>
            <w:rPr/>
          </w:pPr>
          <w:hyperlink w:anchor="__RefHeading___Toc6877464_211673320">
            <w:r>
              <w:rPr>
                <w:webHidden/>
                <w:rStyle w:val="IndexLink"/>
                <w:rtl w:val="true"/>
              </w:rPr>
              <w:t>تنبیه دهم</w:t>
            </w:r>
            <w:r>
              <w:rPr>
                <w:rStyle w:val="IndexLink"/>
                <w:rtl w:val="true"/>
              </w:rPr>
              <w:t xml:space="preserve">: </w:t>
            </w:r>
            <w:r>
              <w:rPr>
                <w:rStyle w:val="IndexLink"/>
                <w:rtl w:val="true"/>
              </w:rPr>
              <w:t>آیا قاعده لاحرج فقط نافی حکم است ؟</w:t>
            </w:r>
            <w:r>
              <w:rPr>
                <w:rStyle w:val="IndexLink"/>
                <w:rtl w:val="true"/>
              </w:rPr>
              <w:tab/>
            </w:r>
            <w:r>
              <w:rPr>
                <w:rStyle w:val="IndexLink"/>
              </w:rPr>
              <w:t>175</w:t>
            </w:r>
          </w:hyperlink>
        </w:p>
        <w:p>
          <w:pPr>
            <w:pStyle w:val="Contents2"/>
            <w:tabs>
              <w:tab w:val="clear" w:pos="8743"/>
              <w:tab w:val="right" w:pos="9026" w:leader="dot"/>
            </w:tabs>
            <w:rPr/>
          </w:pPr>
          <w:hyperlink w:anchor="__RefHeading___Toc6877466_211673320">
            <w:r>
              <w:rPr>
                <w:webHidden/>
                <w:rStyle w:val="IndexLink"/>
                <w:rtl w:val="true"/>
              </w:rPr>
              <w:t>فهرست منابع</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4_7936"/>
      <w:bookmarkStart w:id="1" w:name="pg844_7936"/>
      <w:bookmarkEnd w:id="1"/>
    </w:p>
    <w:p>
      <w:pPr>
        <w:pStyle w:val="Heading2"/>
        <w:numPr>
          <w:ilvl w:val="1"/>
          <w:numId w:val="1"/>
        </w:numPr>
        <w:rPr/>
      </w:pPr>
      <w:bookmarkStart w:id="2" w:name="pg844_7936"/>
      <w:bookmarkStart w:id="3" w:name="__RefHeading___Toc687721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استاد معظم حاج شیخ محمد جواد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و تنظیم جواد حسینی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علیهم السلام،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 هایی از قواعد فقه؛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خواه،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۱۰۳۶۹۶۶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721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قاعده لاحرج</w:t>
      </w:r>
    </w:p>
    <w:p>
      <w:pPr>
        <w:pStyle w:val="BookText"/>
        <w:rPr/>
      </w:pPr>
      <w:r>
        <w:rPr>
          <w:rFonts w:ascii="IRNazanin" w:hAnsi="IRNazanin" w:eastAsia="IRNazanin"/>
          <w:color w:val="111111"/>
          <w:sz w:val="28"/>
          <w:sz w:val="28"/>
          <w:szCs w:val="28"/>
          <w:rtl w:val="true"/>
          <w:lang w:bidi="fa-IR"/>
        </w:rPr>
        <w:t>تقریرات دروس استاد معظم حاج شیخ محمد جواد 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و تنظیم جواد حسینی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91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5791320"/>
                        </a:xfrm>
                        <a:prstGeom prst="rect">
                          <a:avLst/>
                        </a:prstGeom>
                        <a:ln w="0">
                          <a:noFill/>
                        </a:ln>
                      </pic:spPr>
                    </pic:pic>
                  </a:graphicData>
                </a:graphic>
              </wp:inline>
            </w:drawing>
          </mc:Choice>
          <mc:Fallback>
            <w:pict>
              <v:shape id="shape_0" stroked="f" o:allowincell="f" style="position:absolute;margin-left:0pt;margin-top:-456.05pt;width:419.95pt;height:455.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22" o:detectmouseclick="t"/>
                <v:stroke color="#3465a4" joinstyle="round" endcap="flat"/>
                <w10:wrap type="none"/>
              </v:shape>
            </w:pict>
          </mc:Fallback>
        </mc:AlternateContent>
      </w:r>
      <w:bookmarkStart w:id="7" w:name="pg844_7954"/>
    </w:p>
    <w:p>
      <w:pPr>
        <w:pStyle w:val="Heading2"/>
        <w:numPr>
          <w:ilvl w:val="1"/>
          <w:numId w:val="1"/>
        </w:numPr>
        <w:rPr/>
      </w:pPr>
      <w:bookmarkStart w:id="8" w:name="__RefHeading___Toc6877220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خداوندی را سزد که انسان را آفرید و با چراغ عقل و شرع راه را بر او هموار کرد، با ارسال فرستادگانش بر او منّت نهاد و یاری‌اش داد؛ و با ارسال خاتم رسولان و جانشینی خاندانش که درود بی‌پایان حق بر آنان باد، دینش را کامل نموده و نعمتش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که دگربار بر مستضعفین منّت نهاده، دین خود را به صورت کامل‌در عرصه‌گیتی به‌نمایش درآورد وحکومت جهانی خلیفه‌اش بر عالم سایه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علم را گستره‌ای است که کرانه‌ای برایش متصوّر نیست و ژرفای آن را حدّی محدود نمی‌کند؛ اندیشه دیگران ما را از اندیشیدن بی‌نیاز نکرده و از دریافت‌های جدید مأیوس نمی‌دارد؛ آیندگان با آن که از ذخائر علوم پیشینیان بهره گرفته‌اند، ولی گاه به نتایجی رسیده‌اند که خود از ذخائر علوم برای نسل‌های آینده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دانش‌هایی که پس از علم به مبدأ از اهمیّت بیشتری برخوردار است، علم فقه می‌باشد؛ و با توجّه به این که از یک سو، هیچ عمل انسانی نیست مگر آن که محکوم به یکی از احکام شرعی، اعمّ از تکلیفی یا وضعی است؛ و از سوی دیگر، هر روز با مسائل نوینی روبرو هستیم که سابقه‌ای در کتاب‌های فقهی پیشینیان نداشته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حقیقت اعتراف کرد که فقه دریای بیکرانی است که دسترسی به ساحل آن به راحتی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پیامبر اکرم صلی الله علیه و آله در خطبه غدیریه خطاب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شیء یقرّبکم إلی اللّه وقد أمرتکم به وما من شیء یبعّدکم عن اللّه إلّاوقد نهیتکم عنه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نبود که شما را به خداوند نزدیک کند جز آن که شما را به آن فرمان دادم و هیچ چیزی نبود که شما را از خداوند دور کند جز آن که شما را از آن پرهیز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وتنها یک‌مسأله می‌ماند وآن معرفی خلیفه پس‌از من وسپردن سکّان‌کشتی نجات امت‌اسلام به‌فردی لایق است‌که مرضیّ خداوند باشد، واین امر نیز در غدیرخم و حجّة‌الوداع محقّق شد وبا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الْإِسْلَمَ دِینًا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مهر تکمیل بر پرونده رسالت پیامبر اکرم صلی الله علیه و آله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نتیجه می‌گیریم آن‌چه برای تبیین دین اعم از مسائل فقهی و غیر فقهی لازم بود، توسط پیامبر اکرم صلی الله علیه و آله و با پیوست خلافت علی بن ابیطالب و امامان از فرزندان او علیهم السلام مطرح شده است؛ لکن در پیگیری مسائل فقهی بخصوص با کثرت فروعات آن به این حقیقت نیز می‌رسیم که تبیین تمام آنها به صورت تفصیلی نبوده و گاه مطالب در قالب کلیّات بیان شده است؛ و این که اهل بیت عصمت و طهارت علیهم السلام دوستانشان را برای بدست آوردن احکام به اصحابشان ارجاع می‌دادند و نیز اصحابشان را با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إلیکم الاُصول وعلیکم أن تفرّعوا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تحریص به اجتهاد و استنباط احکام شرعی می‌کردند؛ بیانگر این معنا است که زمینه استنباط احکام برای آنان فراهم بوده و کلیّاتی در اختیارشان گذارده شده بود که می‌توانستند از آن حکم جزئیات را دریابند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این کلیّات همان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به‌لحاظ تعمیم آنها نسبت به مسائل فرعی فقهی از دیرباز مورد توجه فقها قرار گرفته و کتاب‌های</w:t>
      </w:r>
    </w:p>
    <w:p>
      <w:pPr>
        <w:pStyle w:val="BookText"/>
        <w:rPr/>
      </w:pPr>
      <w:r>
        <w:rPr>
          <w:rFonts w:ascii="IRNazanin" w:hAnsi="IRNazanin" w:eastAsia="IRNazanin"/>
          <w:color w:val="111111"/>
          <w:sz w:val="28"/>
          <w:sz w:val="28"/>
          <w:szCs w:val="28"/>
          <w:rtl w:val="true"/>
          <w:lang w:bidi="fa-IR"/>
        </w:rPr>
        <w:t>مستقلّی درباره آنها تدوین کرده‌اند که از بیان آن به جهت رعایت اختصار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مسائل فقهی هر چه پیش می‌رویم هر روز نکته‌ای روشن می‌شود که پیش از آن در هاله‌ای از ابهام به سر می‌برد؛ و هر فقیهی مطلب را از زاویه خاص نگریسته که دیگران از آن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محقّقان همیشه با امید، به میدان پژوهش و تحقیق قدم می‌گذارند تا شاید بتوانند از مجهولات کاسته و بر میزان معلومات بشری بیفزایند؛ علم قواعد فقه نیز از این مقوله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فقهی ائمّه اطهار علیهم السلام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امر مبارک مرجع عالیقدر شیعه حضرت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یکی از مسؤولیت‌های مهمّ خویش را نشر تحقیقات و پژوهش‌های مهمّ فقهی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بحثی که پیش رو دارید استاد ارجمند درس‌های خارج فقه و اصول حوزه علمیّه قم جناب مستطاب آقای حاج شیخ محمّدجواد فاضل‌لنکرانی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و بررسی قرار داده، از زوایای مختلف به آن نگریسته، و به نکات بدیعی دست یافته‌اند؛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جریان و عدم جریان این قاعده در احکام وضعی و نیز در محرّمات، مباحثی را ارائه کرده‌اند که در تحقیقات پیشینیان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بحث‌ها به لحاظ اهمیّت آن پس از تدریس معظّم‌له از نوار پیاده شده و در بخش پژوهش مرکز فقهی ائمۀ اطهار علیهم السلام توسط برادر ارجمند جناب حجّة الإسلام و المسلمین آقای سیّدجواد حسینی‌خواه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مصادر گردیده و به قلم شیوای ایشان به رشته تحریر درآمد؛ و توسط جناب مستطاب حجة الإسلام و المسلمین حاج شیخ مهدی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ویراستاری مجدّد شده و هم‌اکنون در اختیار علاقمندان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این خدمت مورد قبول درگاه احدیّت و صاحب شریعت حضرت حجّة بن الحسن‌العسکری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ونسئل اللّه تعالی أن یعجّل له الفرج والنصر ویجعلنا من أعوانه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 اطهار علیهم السلام</w:t>
      </w:r>
    </w:p>
    <w:p>
      <w:pPr>
        <w:pStyle w:val="BookText"/>
        <w:rPr/>
      </w:pPr>
      <w:r>
        <w:rPr>
          <w:rFonts w:ascii="IRNazanin" w:hAnsi="IRNazanin" w:eastAsia="IRNazanin"/>
          <w:color w:val="111111"/>
          <w:sz w:val="28"/>
          <w:sz w:val="28"/>
          <w:szCs w:val="28"/>
          <w:rtl w:val="true"/>
          <w:lang w:bidi="fa-IR"/>
        </w:rPr>
        <w:t>محمّدرضا فاضل‌کاشانی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1385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10" w:name="pg844_7962"/>
    </w:p>
    <w:p>
      <w:pPr>
        <w:pStyle w:val="Heading2"/>
        <w:numPr>
          <w:ilvl w:val="1"/>
          <w:numId w:val="1"/>
        </w:numPr>
        <w:rPr/>
      </w:pPr>
      <w:bookmarkStart w:id="11" w:name="__RefHeading___Toc6877222_21167332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الحمد للّه‌ربّ العالمین علی ما عرّفنا من نفسه وألهمنا من شکره وفتح لنا من أبواب العلم بربوبیّته، والصّلاة والسّلام علی رسوله النبیّ المنذر الأمین وعلی آله الشموس الطالعة والسّادة المیامین واللعن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ویژه‌ای برخوردار بوده و می‌توان گفت پس از خداشناسی و اصول عقائد، فقه که متصدّی استنباط و بیان احکام شرعیّه برای عمل مکلّفین می‌باشد، از شریف‌ترین علوم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دانش‌هایی که جنبه مقدّمیّت برای فقه دارند و فقیه را در استنباط و اجتهاد احکام شرعی یاری می‌رسانند و به اجتهاد او جهت می‌دهند، اهمیّت قواعد فقهی کمتر از قواعد اصولی نیست؛ چه آن که قواعد اصولی در طریق استنباط احکام کلّی قرار می‌گیرد، امّا قواعد فقهی، خود، همان حکم شرعی است که بر جزئیّات احکام منطبق می‌شود، تا جایی که گاه به مکلّف غیر مجتهد این اجازه داده می‌شود که حکم شرعی را با توجّه به قاعده فقهی موجود، خود بر مصادیق خارجی آن منطبق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در صحّت نماز خاصی پس از اتمام آن شک کرد، با دانستن قاعده فراغ و تجاوز، حکم به صحّت نماز خود می‌کند؛ و یا اگر یقین به عدم توانایی نسبت به گرفتن</w:t>
      </w:r>
    </w:p>
    <w:p>
      <w:pPr>
        <w:pStyle w:val="BookText"/>
        <w:rPr/>
      </w:pPr>
      <w:r>
        <w:rPr>
          <w:rFonts w:ascii="IRNazanin" w:hAnsi="IRNazanin" w:eastAsia="IRNazanin"/>
          <w:color w:val="111111"/>
          <w:sz w:val="28"/>
          <w:sz w:val="28"/>
          <w:szCs w:val="28"/>
          <w:rtl w:val="true"/>
          <w:lang w:bidi="fa-IR"/>
        </w:rPr>
        <w:t>روزه کرد و روزه‌داری را برای خود حرجی دانست، با توجّه به قاعده لاحرج، آن روزه را نمی‌گیرد و خود را مرتکب هیچ گناهی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ضبط الفقه بقواعده، إستغنی عن حفظ الجزئیّات، لاندراجها فی الکلیّات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فقه را بر اساس قواعد آن یاد بگیرد و حفظ کند، از حفظ جزئیّات و فروع فقهی بی‌نیاز می‌شود؛ زیرا، آن جزئیّات داخل در کلیّات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تألیف کتاب‌های قواعد فقهی در میان اهل سنّت قرن چهارم هجری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مذهب ابی‌حنیفة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نوشته است</w:t>
      </w:r>
      <w:r>
        <w:rPr>
          <w:rStyle w:val="FootnoteAnchor"/>
          <w:rtl w:val="true"/>
        </w:rPr>
        <w:footnoteReference w:id="6"/>
      </w:r>
      <w:r>
        <w:rPr>
          <w:rFonts w:ascii="IRNazanin" w:hAnsi="IRNazanin" w:eastAsia="IRNazanin"/>
          <w:color w:val="111111"/>
          <w:sz w:val="28"/>
          <w:sz w:val="28"/>
          <w:szCs w:val="28"/>
          <w:rtl w:val="true"/>
          <w:lang w:bidi="fa-IR"/>
        </w:rPr>
        <w:t xml:space="preserve">؛ امّا در میان فقیهان امامیّه، آغاز نگارش کتاب‌های قواعد فقهی به صورت مستقلّ را باید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 چرا که پیش از این تاریخ، فقها و اصولیین گرانقدر به قواعد فقهی به عنوان علمی مستقلّ نمی‌نگریستند و آنها را ضمن مباحث فقهی و اصولی خویش مورد بررسی و تدقیق قرار می‌دادند؛ و این امر بر اساس آن بود که ائمّه معصومین علیهم السلام ضمن روایات خود اصول کلّی را بیان داشته و به فقها می‌فرمودند که مسائل و احکام فقهی را از آن اصول استنباط نموده و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بر این نکته دلالت دارد؛ از جمله، روایت امام علی بن موسی الرضا علیهما السلام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الاُصول وعلیکم التفریع</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عهده ما بیان اصول است و بر شماست که فروعات فقهی را از آنها استخراج و استنباط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قواعد فقهی در میان آثار و تألیفات فقهی امامیّه به صورت پراکنده وجود داشته است، امّا به عنوان کتابی مستقلّ به رشته تحریر در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سعی شد که قواعد فقهی را از میان کتاب‌های فقهی و اصولی گردآوری و به صورت مستقلّ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اوّلین فقیه شیعی که به نگارش کتابی در این زمینه اقدام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نجیب‌الدّین یحیی بن سعید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فی الجمع بین 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نمود؛ و پس از او، شهید اوّل قدس سره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فقهیّه را با شیوه‌ای خاص به نگارش در آورد؛ به گونه‌ای که مرحوم شهید قدس سره در اجازه‌ای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خود را مبتکر این عمل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فممّا صنفته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یشتمل علی ضوابط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أصولیّة وفرعیّة، تستنبط منها الأحکام الشرعیّة، لم یعمل الأصحاب مثله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تصنیفات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یکسری ضوابط و قواعد کلّی اصولی و فقهی می‌باشد و از آنها احکام شرعی استنباط می‌گردد؛ و علمای پیشین چنین تألیفی نداشته‌اند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تا کنون، فقها و اصولیین ارجمند، این راه را ادامه داده و قواعد فقهی را در کتاب‌های مستقلّی</w:t>
      </w:r>
      <w:r>
        <w:rPr>
          <w:rStyle w:val="FootnoteAnchor"/>
          <w:rtl w:val="true"/>
        </w:rPr>
        <w:footnoteReference w:id="9"/>
      </w:r>
      <w:r>
        <w:rPr>
          <w:rFonts w:ascii="IRNazanin" w:hAnsi="IRNazanin" w:eastAsia="IRNazanin"/>
          <w:color w:val="111111"/>
          <w:sz w:val="28"/>
          <w:sz w:val="28"/>
          <w:szCs w:val="28"/>
          <w:rtl w:val="true"/>
          <w:lang w:bidi="fa-IR"/>
        </w:rPr>
        <w:t>مورد بحث و بررسی قرار داده‌اند؛ و در کنار تدریس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اصول،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نیز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پیش رو دارید، از سلسله بحث‌هایی است که در مورد یکی از قواعد مهمّ فقهی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معظّم و گرانقدر حوزه علمیّه قم آقای حاج شیخ محمّدجواد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ماه مبارک رمضان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از آنجا که این مباحث حاوی مطالب سودمند و مفیدی برای طلّاب، دانش‌پژوهان و دانشجویان بود، تقریر آن از طرف استاد معظّم به عهده این حقیر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حسن اعتماد خدا را شاکرم و از او استمداد می‌جویم که از عهده تکلیف با سربلندی برآئیم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تنظیم مطالب کتاب حاضر، نهایت سعی و تلاش به کار گرفته شده است تا بیان استاد محترم به درستی تقریر شود؛ با این وجود، به مقتضای طبیعت کار بشری، آن را از نقص و اشتباه مصون نمی‌دانم؛ امید است رهنمود صاحب‌نظران نیز روشنگر راهمان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بحث‌های کتاب، به ترتیب درس‌های استاد گرانقدر تنظیم شده، و جز در مواردی اندک، تصرّفی در آن صورت نگرفته است؛ چه آن که گاه استاد معظّم در مباحث بعد، به نکات جدیدی در مورد مباحث گذشته اشاره می‌نمودند که ما آن نکات را به بحث‌های قبل و در جایگاه مناسب خود، ملحق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نیز بر خود لازم می‌دانم که از راهنمایی‌های حضرت استاد در تنظیم مطالب و مباحث کتاب، و هم‌چنین از تلاش‌های مدیر محترم مرکز فقهی ائمّه اطهار علیهم السلام جناب حجّة الإسلام و المسلمین آقای حاج شیخ محمّدرضا فاضل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تلاش مقبول درگاه خداوند متعال و مورد رضایت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باشد که خداوند منّان ما را از انصار و خدمتگزاران حضرتش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سیّدجواد حسینی‌خواه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13" w:name="pg844_7974"/>
    </w:p>
    <w:p>
      <w:pPr>
        <w:pStyle w:val="Heading2"/>
        <w:numPr>
          <w:ilvl w:val="1"/>
          <w:numId w:val="1"/>
        </w:numPr>
        <w:rPr/>
      </w:pPr>
      <w:bookmarkStart w:id="14" w:name="__RefHeading___Toc6877224_211673320"/>
      <w:bookmarkStart w:id="15" w:name="_Toc5"/>
      <w:bookmarkEnd w:id="13"/>
      <w:bookmarkEnd w:id="14"/>
      <w:r>
        <w:rPr>
          <w:rtl w:val="true"/>
        </w:rPr>
        <w:t>سخن اوّل</w:t>
      </w:r>
      <w:bookmarkEnd w:id="15"/>
    </w:p>
    <w:p>
      <w:pPr>
        <w:pStyle w:val="BookText"/>
        <w:rPr/>
      </w:pPr>
      <w:r>
        <w:rPr>
          <w:rFonts w:ascii="Amiri" w:hAnsi="Amiri" w:eastAsia="Amiri" w:cs="Amiri"/>
          <w:color w:val="111111"/>
          <w:sz w:val="28"/>
          <w:sz w:val="28"/>
          <w:szCs w:val="28"/>
          <w:rtl w:val="true"/>
          <w:lang w:bidi="ar-SA"/>
        </w:rPr>
        <w:t>سخن اوّل</w:t>
      </w:r>
    </w:p>
    <w:p>
      <w:pPr>
        <w:pStyle w:val="BookText"/>
        <w:rPr/>
      </w:pPr>
      <w:r>
        <w:rPr>
          <w:rFonts w:ascii="IRNazanin" w:hAnsi="IRNazanin" w:eastAsia="IRNazanin"/>
          <w:color w:val="111111"/>
          <w:sz w:val="28"/>
          <w:sz w:val="28"/>
          <w:szCs w:val="28"/>
          <w:rtl w:val="true"/>
          <w:lang w:bidi="fa-IR"/>
        </w:rPr>
        <w:t xml:space="preserve">از قواعد معروف و مهمّ فقهی که مورد بحث علما و بزرگان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تمامی ابواب فقه اعمّ از عبادات، معاملات و سیاسات جاری می‌شود؛ و فقهای امامیّه و عامّه به این قاعده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قاعده فوائد زیادی را به دنبال 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قاعده، روشن می‌شود که شریعت اسلام، تنگ‌نظر و سخت‌گیر نبوده و احکامش مطابق و موافق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برکت این قاعده، استفاده می‌کنیم که سستی در احکام الهی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قاعده دو مطلب عمده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در دین اسلام احکام حرجی وجود ندارد؛ و دیگر آن که به صرف وجود مشقّت و سختی، تعطیلی احکام شرع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دوّمی که از مطالعه و بررسی این قاعده بدست می‌آید، آن است که قواعد دیگری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الضرورات تبیح المحذورات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اماریّت سوق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می‌توان به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هرچند بیان خواهیم کرد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متعدّدی وجود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این که برخی از قواعد فقهی فقط در یکی از ابواب فقهی جریان دارند؛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باب نماز جاری است؛ امّا پس از اثبات عمومیّت</w:t>
      </w:r>
      <w:bookmarkStart w:id="16" w:name="pg844_7976"/>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می‌گردد این قاعده در همۀ ابواب فقهی جریان دارد و حتّی در بعضی از موارد که عنوان فرع فقهی نیز ندارند، این قاعده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امر دلالت بر مرّه دارد یا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وجوهی که برای عدم دلالت بر تکرار به آن استدلال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بیان که اگر مکلّف مأمور باشد امری را به صورت مکرّر امتثال نماید، موجب حرج می‌شود و حرج در شریعت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آن که این قاعده حتّی در بعضی از مسائل غیر فقهی و اصولی نیز جاری می‌شود؛ به عنوان نمونه، می‌توان مسأله مشروعیّت توبه و این که یکی از راه‌های تخلّص از گناه، توبه است را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Heading2"/>
        <w:numPr>
          <w:ilvl w:val="1"/>
          <w:numId w:val="1"/>
        </w:numPr>
        <w:rPr/>
      </w:pPr>
      <w:bookmarkStart w:id="17" w:name="__RefHeading___Toc6877226_211673320"/>
      <w:bookmarkStart w:id="18" w:name="_Toc6"/>
      <w:bookmarkEnd w:id="17"/>
      <w:r>
        <w:rPr>
          <w:rtl w:val="true"/>
        </w:rPr>
        <w:t>منابع و تاریخچۀ قاعده</w:t>
      </w:r>
      <w:bookmarkEnd w:id="18"/>
    </w:p>
    <w:p>
      <w:pPr>
        <w:pStyle w:val="BookText"/>
        <w:rPr/>
      </w:pPr>
      <w:r>
        <w:rPr>
          <w:rFonts w:ascii="IRNazanin" w:hAnsi="IRNazanin" w:eastAsia="IRNazanin"/>
          <w:color w:val="111111"/>
          <w:sz w:val="28"/>
          <w:sz w:val="28"/>
          <w:szCs w:val="28"/>
          <w:rtl w:val="true"/>
          <w:lang w:bidi="fa-IR"/>
        </w:rPr>
        <w:t>در میان قدمای فقهای امامیّه کسی به صورت مستقلّ این قاعده را مورد بحث و بررسی قرار نداده و بلکه، به صورت پراکنده و ضمن برخی از فروعات فقهیّه مطرح شده است؛ البتّه اکثر قواعد فقهیّه به همین صورت بوده که قدما آنها را به صورت مستقلّ مورد بررسی قرار نداده‌اند، لکن در دویست سال اخیر، برخی از بزرگان این قاعده را به صورت رساله‌ای مستقلّ و ضمن قواعد دیگر فقهی ذکر نموده‌اند؛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چهارم از این قاعده بحث کرده؛ مرحوم میرزا حسن آشتیانی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مستقلّ در این مورد دارند؛ و مرحوم میرفتّاح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عناوین کتاب‌شان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میان متأخّرین نیز مرحوم بجنوردی رحمه الله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معظّم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فقیهان و بزرگان این قاعده را مورد بحث و بررسی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ضمن بحث نیز به برخی منابع دیگر که این قاعده را مطرح نموده‌اند،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حائری رحمه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خواهیم داشت</w:t>
      </w:r>
      <w:r>
        <w:rPr>
          <w:rFonts w:eastAsia="IRNazanin" w:cs="IRNazanin"/>
          <w:color w:val="111111"/>
          <w:sz w:val="28"/>
          <w:szCs w:val="28"/>
          <w:rtl w:val="true"/>
          <w:lang w:bidi="fa-IR"/>
        </w:rPr>
        <w:t>.</w:t>
      </w:r>
      <w:bookmarkStart w:id="19" w:name="pg844_7978"/>
    </w:p>
    <w:p>
      <w:pPr>
        <w:pStyle w:val="Heading2"/>
        <w:numPr>
          <w:ilvl w:val="1"/>
          <w:numId w:val="1"/>
        </w:numPr>
        <w:rPr/>
      </w:pPr>
      <w:bookmarkStart w:id="20" w:name="__RefHeading___Toc6877228_211673320"/>
      <w:bookmarkStart w:id="21" w:name="_Toc7"/>
      <w:bookmarkEnd w:id="19"/>
      <w:bookmarkEnd w:id="20"/>
      <w:r>
        <w:rPr>
          <w:rtl w:val="true"/>
        </w:rPr>
        <w:t>دیدگاه های کلّی در مورد قاعده لا حرج</w:t>
      </w:r>
      <w:bookmarkEnd w:id="21"/>
    </w:p>
    <w:p>
      <w:pPr>
        <w:pStyle w:val="Heading3"/>
        <w:numPr>
          <w:ilvl w:val="2"/>
          <w:numId w:val="1"/>
        </w:numPr>
        <w:rPr/>
      </w:pPr>
      <w:bookmarkStart w:id="22" w:name="__RefHeading___Toc6877230_211673320"/>
      <w:bookmarkStart w:id="23" w:name="_Toc8"/>
      <w:bookmarkEnd w:id="22"/>
      <w:r>
        <w:rPr>
          <w:rtl w:val="true"/>
        </w:rPr>
        <w:t>دیدگاه فقهای امامیّه</w:t>
      </w:r>
      <w:bookmarkEnd w:id="23"/>
    </w:p>
    <w:p>
      <w:pPr>
        <w:pStyle w:val="BookText"/>
        <w:rPr/>
      </w:pPr>
      <w:r>
        <w:rPr>
          <w:rFonts w:ascii="IRNazanin" w:hAnsi="IRNazanin" w:eastAsia="IRNazanin"/>
          <w:color w:val="111111"/>
          <w:sz w:val="28"/>
          <w:sz w:val="28"/>
          <w:szCs w:val="28"/>
          <w:rtl w:val="true"/>
          <w:lang w:bidi="fa-IR"/>
        </w:rPr>
        <w:t xml:space="preserve">دیدگاه‌های فقهای امامیّه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گروه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چون صاحب‌فصول رحمه الله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قواعد مسلّمی است که عقل به صورت مستقلّ آنها را درک، و به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مستقلّات عقلیّه نیز بیان شده که اگر چیزی جزء مستقلّات عقلیّه باشد، قابلیّت تخصیص ندارد؛ بنابراین، قاعده لاحرج به هیچ عنوان تخصیص‌بردار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بزرگان می‌گویند مواردی که از این قاعده به وسیله تخصیص خارج می‌شود، بسیار فراوان است؛ کثرت تخصیص نیز موجب وهن قاعده می‌شود؛ به همین جهت، قاعدۀ لاحرج، دیگر قابلیّت استدلال ندارد و فقط در مواردی که فقها به آن عمل کرده‌اند، قابل تمسّک است؛ همان‌طور که برخی از بزرگان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نظری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 مرحوم شیخ حرّ عاملی و مرحوم مقدّس اردبیلی رحمهما الله به طور کلّ وجود چنین قاعده‌ای را انکار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دارد، قاعده‌ای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از سوی دیگر، این قاعده مستلزم آن است که تمام تکالیف شارع از بین برود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مقدّس اردبیلی رحمه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w:t>
      </w:r>
      <w:bookmarkStart w:id="24" w:name="pg844_7981"/>
    </w:p>
    <w:p>
      <w:pPr>
        <w:pStyle w:val="BookText"/>
        <w:rPr/>
      </w:pPr>
      <w:bookmarkEnd w:id="24"/>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برای رفع ضرر و حرج استدلال شده است؛ امّا در آن اجمال وجود دارد و قابلیّت استدلال ندارد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یکی از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اماره و دلیل برای فقیه نیست که در تمامی موارد حرجی، به آن استدلال کند؛ بلکه در حدّ یکی از اصول عملیّه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موارد فقدان دلیل بر تکلیف و عدم ورود بیان از طرف شارع، اصالة البرائة جاری می‌شود،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مواردی که دلیلی برای تکلیف حرجی وجود ندارد،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 نظریه پنجمی نیز وجود دارد که آن را در خلال مطالب مطرح خواهیم کرد</w:t>
      </w:r>
      <w:r>
        <w:rPr>
          <w:rFonts w:eastAsia="IRNazanin" w:cs="IRNazanin"/>
          <w:color w:val="111111"/>
          <w:sz w:val="28"/>
          <w:szCs w:val="28"/>
          <w:rtl w:val="true"/>
          <w:lang w:bidi="fa-IR"/>
        </w:rPr>
        <w:t>.</w:t>
      </w:r>
    </w:p>
    <w:p>
      <w:pPr>
        <w:pStyle w:val="Heading3"/>
        <w:numPr>
          <w:ilvl w:val="2"/>
          <w:numId w:val="1"/>
        </w:numPr>
        <w:rPr/>
      </w:pPr>
      <w:bookmarkStart w:id="25" w:name="__RefHeading___Toc6877232_211673320"/>
      <w:bookmarkStart w:id="26" w:name="_Toc9"/>
      <w:bookmarkEnd w:id="25"/>
      <w:r>
        <w:rPr>
          <w:rtl w:val="true"/>
        </w:rPr>
        <w:t>دیدگاه فقهای عامّه</w:t>
      </w:r>
      <w:bookmarkEnd w:id="26"/>
    </w:p>
    <w:p>
      <w:pPr>
        <w:pStyle w:val="BookText"/>
        <w:rPr/>
      </w:pPr>
      <w:r>
        <w:rPr>
          <w:rFonts w:ascii="IRNazanin" w:hAnsi="IRNazanin" w:eastAsia="IRNazanin"/>
          <w:color w:val="111111"/>
          <w:sz w:val="28"/>
          <w:sz w:val="28"/>
          <w:szCs w:val="28"/>
          <w:rtl w:val="true"/>
          <w:lang w:bidi="fa-IR"/>
        </w:rPr>
        <w:t xml:space="preserve">فقهای عامّه در مباحث خود به حدّی این قاعده را توسعه داده‌اند که تمامی تخفیف و ترخیص‌های موجود در شریعت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فقدان آب و لزوم تیمّم، حکم به قصر نماز در سفر، نشسته نماز خواندن شخص بیمار و بالاخره هر موردی که برای انسان اضطرارآور است را از مصادیق این قاعده قرار داده‌اند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یک تقسیم‌بندی شکلی ارائه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 فقهی شیعه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تخفیفات را به هفت صورت تقسیم کرده‌اند که برای اطّلاع بیشتر، به کتاب‌های آنها مراجعه شود</w:t>
      </w:r>
      <w:r>
        <w:rPr>
          <w:rFonts w:eastAsia="IRNazanin" w:cs="IRNazanin"/>
          <w:color w:val="111111"/>
          <w:sz w:val="28"/>
          <w:szCs w:val="28"/>
          <w:rtl w:val="true"/>
          <w:lang w:bidi="fa-IR"/>
        </w:rPr>
        <w:t>.</w:t>
      </w:r>
      <w:r>
        <w:rPr>
          <w:rStyle w:val="FootnoteAnchor"/>
          <w:rtl w:val="true"/>
        </w:rPr>
        <w:footnoteReference w:id="12"/>
      </w:r>
      <w:bookmarkStart w:id="27" w:name="pg844_7983"/>
    </w:p>
    <w:p>
      <w:pPr>
        <w:pStyle w:val="Heading2"/>
        <w:numPr>
          <w:ilvl w:val="1"/>
          <w:numId w:val="1"/>
        </w:numPr>
        <w:rPr/>
      </w:pPr>
      <w:bookmarkStart w:id="28" w:name="__RefHeading___Toc6877234_211673320"/>
      <w:bookmarkStart w:id="29" w:name="_Toc10"/>
      <w:bookmarkEnd w:id="27"/>
      <w:bookmarkEnd w:id="28"/>
      <w:r>
        <w:rPr>
          <w:rtl w:val="true"/>
        </w:rPr>
        <w:t>معنا و استعمالات حرج</w:t>
      </w:r>
      <w:bookmarkEnd w:id="29"/>
    </w:p>
    <w:p>
      <w:pPr>
        <w:pStyle w:val="Heading3"/>
        <w:numPr>
          <w:ilvl w:val="2"/>
          <w:numId w:val="1"/>
        </w:numPr>
        <w:rPr/>
      </w:pPr>
      <w:bookmarkStart w:id="30" w:name="__RefHeading___Toc6877236_211673320"/>
      <w:bookmarkStart w:id="31" w:name="_Toc11"/>
      <w:bookmarkEnd w:id="30"/>
      <w:r>
        <w:rPr>
          <w:rtl w:val="true"/>
        </w:rPr>
        <w:t>معنای لغوی حرج</w:t>
      </w:r>
      <w:bookmarkEnd w:id="31"/>
    </w:p>
    <w:p>
      <w:pPr>
        <w:pStyle w:val="BookText"/>
        <w:rPr/>
      </w:pPr>
      <w:r>
        <w:rPr>
          <w:rFonts w:ascii="IRNazanin" w:hAnsi="IRNazanin" w:eastAsia="IRNazanin"/>
          <w:color w:val="111111"/>
          <w:sz w:val="28"/>
          <w:sz w:val="28"/>
          <w:szCs w:val="28"/>
          <w:rtl w:val="true"/>
          <w:lang w:bidi="fa-IR"/>
        </w:rPr>
        <w:t xml:space="preserve">با مراجعه به کتاب‌های لغت، معلوم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 و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اجتماع و انبوهی شیء است، به گونه‌ای که موجب حصول تصوّر ضیق و تنگی میان آن اشیا شود</w:t>
      </w:r>
      <w:r>
        <w:rPr>
          <w:rStyle w:val="FootnoteAnchor"/>
          <w:rtl w:val="true"/>
        </w:rPr>
        <w:footnoteReference w:id="13"/>
      </w:r>
      <w:r>
        <w:rPr>
          <w:rFonts w:ascii="IRNazanin" w:hAnsi="IRNazanin" w:eastAsia="IRNazanin"/>
          <w:color w:val="111111"/>
          <w:sz w:val="28"/>
          <w:sz w:val="28"/>
          <w:szCs w:val="28"/>
          <w:rtl w:val="true"/>
          <w:lang w:bidi="fa-IR"/>
        </w:rPr>
        <w:t xml:space="preserve">؛ ابن‌منظور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والحارج الآثم؛ سپس این حدیث را در ادامه می‌آورد که پیامبر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 بنی إسرائیل ولا حرج علیکم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بدی بنی‌اسرائیل هر چه می‌خواهید بگویید و بر شما گناهی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ابن‌اثیر که به نظر دقیق‌تر از ابن‌منظور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ویقع علی الإثم والحرام؛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أضیق الضیق</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اصلی حرج، ضیق و مشقّت است و در معنای گناه و حرام نیز استعمال می‌شود؛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مطلق ضیق را حرج نمی‌گویند، بلکه مراد</w:t>
      </w:r>
      <w:bookmarkStart w:id="32" w:name="pg844_7985"/>
    </w:p>
    <w:p>
      <w:pPr>
        <w:pStyle w:val="BookText"/>
        <w:rPr/>
      </w:pPr>
      <w:bookmarkEnd w:id="32"/>
      <w:r>
        <w:rPr>
          <w:rFonts w:ascii="IRNazanin" w:hAnsi="IRNazanin" w:eastAsia="IRNazanin"/>
          <w:color w:val="111111"/>
          <w:sz w:val="28"/>
          <w:sz w:val="28"/>
          <w:szCs w:val="28"/>
          <w:rtl w:val="true"/>
          <w:lang w:bidi="fa-IR"/>
        </w:rPr>
        <w:t>یک درجه بالاتر از آن است؛ به عبارت دیگر، حرج آن مشقّتی است که انسان به صورت عادی نمی‌تواند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لغوی حرج، در اصل، همان مشقّت و ضیق است؛ و اگر در موارد دیگر مانند گناه و حرام نیز استعمال شده، از باب مناسبت با معنای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برای انسان تنگی می‌آورد، با لفظ حرج نیز بیان شده است؛ و در مورد کسی که گناه می‌کند، آمده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صَدْرَهُ‌و ضَیِّقًا حَرَجًا</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3" w:name="__RefHeading___Toc6877238_211673320"/>
      <w:bookmarkStart w:id="34" w:name="_Toc12"/>
      <w:bookmarkEnd w:id="33"/>
      <w:r>
        <w:rPr>
          <w:rtl w:val="true"/>
        </w:rPr>
        <w:t>معنای حرج در عرف عام</w:t>
      </w:r>
      <w:bookmarkEnd w:id="34"/>
    </w:p>
    <w:p>
      <w:pPr>
        <w:pStyle w:val="BookText"/>
        <w:rPr/>
      </w:pPr>
      <w:r>
        <w:rPr>
          <w:rFonts w:ascii="IRNazanin" w:hAnsi="IRNazanin" w:eastAsia="IRNazanin"/>
          <w:color w:val="111111"/>
          <w:sz w:val="28"/>
          <w:sz w:val="28"/>
          <w:szCs w:val="28"/>
          <w:rtl w:val="true"/>
          <w:lang w:bidi="fa-IR"/>
        </w:rPr>
        <w:t xml:space="preserve">پیش از بیان موارد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باید دید آیا در عرف عام، معنای جدیدی برای حرج وجود دارد یا آن که در عرف عام نیز همان معنای لغوی حرج، مدّ نظر قرار می‌گیرد؟</w:t>
      </w:r>
    </w:p>
    <w:p>
      <w:pPr>
        <w:pStyle w:val="BookText"/>
        <w:rPr/>
      </w:pPr>
      <w:r>
        <w:rPr>
          <w:rFonts w:ascii="IRNazanin" w:hAnsi="IRNazanin" w:eastAsia="IRNazanin"/>
          <w:color w:val="111111"/>
          <w:sz w:val="28"/>
          <w:sz w:val="28"/>
          <w:szCs w:val="28"/>
          <w:rtl w:val="true"/>
          <w:lang w:bidi="fa-IR"/>
        </w:rPr>
        <w:t xml:space="preserve">اگر معنای لغوی حرج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ابن‌اثیر و دیگران بیان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معنا را نمی‌پذیرد؛ و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عام و اهل لسان، حرج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عام در مواردی که مشقّت زیاد و سختی شدیدی وجود دارد،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w:t>
      </w:r>
    </w:p>
    <w:p>
      <w:pPr>
        <w:pStyle w:val="Heading3"/>
        <w:numPr>
          <w:ilvl w:val="2"/>
          <w:numId w:val="1"/>
        </w:numPr>
        <w:rPr/>
      </w:pPr>
      <w:bookmarkStart w:id="35" w:name="__RefHeading___Toc6877240_211673320"/>
      <w:bookmarkStart w:id="36" w:name="_Toc13"/>
      <w:bookmarkEnd w:id="35"/>
      <w:r>
        <w:rPr>
          <w:rtl w:val="true"/>
        </w:rPr>
        <w:t>موارد کاربرد واژۀ حرج در قرآن</w:t>
      </w:r>
      <w:bookmarkEnd w:id="36"/>
    </w:p>
    <w:p>
      <w:pPr>
        <w:pStyle w:val="Heading4"/>
        <w:numPr>
          <w:ilvl w:val="3"/>
          <w:numId w:val="1"/>
        </w:numPr>
        <w:rPr/>
      </w:pPr>
      <w:bookmarkStart w:id="37" w:name="__RefHeading___Toc6877242_21167332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در قرآن کریم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ضیق، تنگی، سختی و گناه در نُه سوره و بیست و یک مورد استعمال شده است؛ و لکن موردی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 را نیافتیم، گرچه برخی چنین ادّعا نموده‌اند</w:t>
      </w:r>
      <w:r>
        <w:rPr>
          <w:rFonts w:eastAsia="IRNazanin" w:cs="IRNazanin"/>
          <w:color w:val="111111"/>
          <w:sz w:val="28"/>
          <w:szCs w:val="28"/>
          <w:rtl w:val="true"/>
          <w:lang w:bidi="fa-IR"/>
        </w:rPr>
        <w:t>.</w:t>
      </w:r>
    </w:p>
    <w:p>
      <w:pPr>
        <w:pStyle w:val="Heading4"/>
        <w:numPr>
          <w:ilvl w:val="3"/>
          <w:numId w:val="1"/>
        </w:numPr>
        <w:rPr/>
      </w:pPr>
      <w:bookmarkStart w:id="39" w:name="__RefHeading___Toc6877244_211673320"/>
      <w:bookmarkStart w:id="40" w:name="_Toc15"/>
      <w:bookmarkEnd w:id="39"/>
      <w:r>
        <w:rPr>
          <w:rtl w:val="true"/>
        </w:rPr>
        <w:t>الف</w:t>
      </w:r>
      <w:r>
        <w:rPr>
          <w:rtl w:val="true"/>
        </w:rPr>
        <w:t xml:space="preserve">) </w:t>
      </w:r>
      <w:r>
        <w:rPr>
          <w:rtl w:val="true"/>
        </w:rPr>
        <w:t xml:space="preserve">آیاتی که واژۀ </w:t>
      </w:r>
      <w:r>
        <w:rPr>
          <w:rtl w:val="true"/>
        </w:rPr>
        <w:t>«</w:t>
      </w:r>
      <w:r>
        <w:rPr>
          <w:rtl w:val="true"/>
        </w:rPr>
        <w:t>حرج</w:t>
      </w:r>
      <w:r>
        <w:rPr>
          <w:rtl w:val="true"/>
        </w:rPr>
        <w:t xml:space="preserve">» </w:t>
      </w:r>
      <w:r>
        <w:rPr>
          <w:rtl w:val="true"/>
        </w:rPr>
        <w:t xml:space="preserve">در آنها به معنای </w:t>
      </w:r>
      <w:r>
        <w:rPr>
          <w:rtl w:val="true"/>
        </w:rPr>
        <w:t>«</w:t>
      </w:r>
      <w:r>
        <w:rPr>
          <w:rtl w:val="true"/>
        </w:rPr>
        <w:t>ضیق</w:t>
      </w:r>
      <w:r>
        <w:rPr>
          <w:rtl w:val="true"/>
        </w:rPr>
        <w:t xml:space="preserve">» </w:t>
      </w:r>
      <w:r>
        <w:rPr>
          <w:rtl w:val="true"/>
        </w:rPr>
        <w:t>آمده، عبارت است از</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وَرَبِّکَ لَایُؤْمِنُونَ حَتَّی یُحَکِّمُوکَ فِیمَا شَجَرَ بَیْنَهُمْ ثُمَّ لَایَجِدُواْ فِی</w:t>
      </w:r>
    </w:p>
    <w:p>
      <w:pPr>
        <w:pStyle w:val="BookText"/>
        <w:rPr/>
      </w:pPr>
      <w:r>
        <w:rPr>
          <w:rFonts w:ascii="Amiri" w:hAnsi="Amiri" w:eastAsia="Amiri" w:cs="Amiri"/>
          <w:color w:val="111111"/>
          <w:sz w:val="28"/>
          <w:sz w:val="28"/>
          <w:szCs w:val="28"/>
          <w:rtl w:val="true"/>
          <w:lang w:bidi="ar-SA"/>
        </w:rPr>
        <w:t>أَنفُسِهِمْ حَرَجًا مِّمَّا قَضَیْتَ</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پروردگارت سوگند که ایمان نمی‌آورند، مگر آن که تو را در مورد آن چه میان آنان مایۀ اختلاف است، داور گردانند؛ سپس از حکمی که کرده‌ای در دل‌هایشان احساس حرج و ضیق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نشوند و نگویند این چه حکمی بود که پیامبر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إِذَا قُمْتُمْ إِلَی الصَّلَوةِ فَاغْسِلُواْ وُجُوهَکُمْ وَأَیْدِیَکُمْ إِلَی الْمَرَافِقِ وَامْسَحُواْ بِرُءُوسِکُمْ وَأَرْجُلَکُمْ إِلَی الْکَعْبَیْنِ وَإِن کُنتُمْ جُنُبًا فَاطَّهَّرُوا وَإِن کُنتُم مَّرْضَی أَوْ عَلَی سَفَرٍ أَوْجَآءَ أَحَدٌ مِّنکُم مِّنَ الْغَآ ل ِطِ أَوْ لَمَسْتُمُ النِّسَآءَ فَلَمْ تَجِدُوامَآءً فَتَیَمَّمُواْ صَعِیدًا طَیِّبًا فَامْسَحُواْ بِوُجُوهِکُمْ وَأَیْدِیکُم مِّنْهُ مَا یُرِیدُ اللَّهُ لِیَجْعَلَ عَلَیْکُم مِّنْ حَرَجٍ وَلَکِن یُرِیدُ لِیُطَهِّرَکُمْ وَلِیُتِمَّ نِعْمَتَهُ‌و عَلَیْکُمْ لَعَلَّکُمْ تَشْکُرُونَ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چون برای نماز برخاستید، چهره و دست‌هایتان را تا آرنج بشویید و بخشی از سرتان را مسح کنید و نیز پاهای خود را تا برآمدگی روی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 بودید، غسل کنید؛ و اگر بیمار یا در سفر بودید و یا از جای قضای حاجت آمدید، یا با زنان آمیزش کردید و آبی نیافتید، به خاکی پاک تیمّم کنید؛ با آن بخشی از چهره و دست‌های خود را مسح نمایید؛ خداوند نمی‌خواهد شما را در تنگنا افکند؛ ولی می‌خواهد شما را پاکیزه گرداند و نعمت خود را بر شما تمام کند، باشد که سپاس گزارید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یَهْدِیَهُ‌و یَشْرَحْ صَدْرَهُ‌و لِلْإِسْلَمِ وَمَن یُرِدْ أَن یُضِلَّهُ و یَجْعَلْ صَدْرَهُ‌و ضَیِّقًا حَرَجًا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کسی‌راکه بخواهد هدایت کند، دلش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می‌گشاید و هرکس را که بخواهد در گمراهی وانهد، دلش را تنگ و بسته می‌دارد</w:t>
      </w:r>
      <w:r>
        <w:rPr>
          <w:rFonts w:eastAsia="IRNazanin" w:cs="IRNazanin"/>
          <w:color w:val="111111"/>
          <w:sz w:val="28"/>
          <w:szCs w:val="28"/>
          <w:rtl w:val="true"/>
          <w:lang w:bidi="fa-IR"/>
        </w:rPr>
        <w:t>...</w:t>
      </w:r>
      <w:bookmarkStart w:id="41" w:name="pg844_7989"/>
    </w:p>
    <w:p>
      <w:pPr>
        <w:pStyle w:val="BookText"/>
        <w:rPr/>
      </w:pPr>
      <w:bookmarkEnd w:id="41"/>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چه بسا مؤیّد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أُنزِلَ إِلَیْکَ فَلَا یَکُن فِی صَدْرِکَ حَرَجٌ مِّنْهُ</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که به سوی تو فرو فرستاده شده است؛ پس نباید در سینۀ تو از ناحیه آن، تنگی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جَهِدُوا فِی اللَّهِ حَقَّ جِهَادِهِ‌ی هُوَ اجْتَبَل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وَ 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چنان که سزاوار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کنید؛ او شما را برگزیده و در دین هیچ تنگنایی برای شما ننهاد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لِکَیْلَا یَکُونَ عَلَیْکَ حَرَجٌ</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در مورد ازدواج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تو مشکلی پیش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42" w:name="__RefHeading___Toc6877246_211673320"/>
      <w:bookmarkStart w:id="43" w:name="_Toc16"/>
      <w:bookmarkEnd w:id="42"/>
      <w:r>
        <w:rPr>
          <w:rtl w:val="true"/>
        </w:rPr>
        <w:t>ب</w:t>
      </w:r>
      <w:r>
        <w:rPr>
          <w:rtl w:val="true"/>
        </w:rPr>
        <w:t xml:space="preserve">) </w:t>
      </w:r>
      <w:r>
        <w:rPr>
          <w:rtl w:val="true"/>
        </w:rPr>
        <w:t xml:space="preserve">در پاره ای از آیات شریفه نیز </w:t>
      </w:r>
      <w:r>
        <w:rPr>
          <w:rtl w:val="true"/>
        </w:rPr>
        <w:t>«</w:t>
      </w:r>
      <w:r>
        <w:rPr>
          <w:rtl w:val="true"/>
        </w:rPr>
        <w:t>حرج</w:t>
      </w:r>
      <w:r>
        <w:rPr>
          <w:rtl w:val="true"/>
        </w:rPr>
        <w:t xml:space="preserve">» </w:t>
      </w:r>
      <w:r>
        <w:rPr>
          <w:rtl w:val="true"/>
        </w:rPr>
        <w:t xml:space="preserve">به معنای </w:t>
      </w:r>
      <w:r>
        <w:rPr>
          <w:rtl w:val="true"/>
        </w:rPr>
        <w:t>«</w:t>
      </w:r>
      <w:r>
        <w:rPr>
          <w:rtl w:val="true"/>
        </w:rPr>
        <w:t>معصیت و گناه</w:t>
      </w:r>
      <w:r>
        <w:rPr>
          <w:rtl w:val="true"/>
        </w:rPr>
        <w:t xml:space="preserve">» </w:t>
      </w:r>
      <w:r>
        <w:rPr>
          <w:rtl w:val="true"/>
        </w:rPr>
        <w:t>به کار رفته است</w:t>
      </w:r>
      <w:bookmarkEnd w:id="43"/>
    </w:p>
    <w:p>
      <w:pPr>
        <w:pStyle w:val="BookText"/>
        <w:rPr/>
      </w:pPr>
      <w:r>
        <w:rPr>
          <w:rFonts w:ascii="IRNazanin" w:hAnsi="IRNazanin" w:eastAsia="IRNazanin"/>
          <w:color w:val="111111"/>
          <w:sz w:val="28"/>
          <w:sz w:val="28"/>
          <w:szCs w:val="28"/>
          <w:rtl w:val="true"/>
          <w:lang w:bidi="fa-IR"/>
        </w:rPr>
        <w:t>؛ مانند موارد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الضُّعَفَآءِ وَلَا عَلَی الْمَرْضَی وَلَا عَلَی الَّذِینَ لَایَجِدُونَ مَا یُنفِقُونَ حَرَجٌ</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ناتوانان و بیماران و آنان که چیزی برای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و راهیان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گناهی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وَلَا عَلَی الْأَعْرَجِ حَرَجٌ وَ لَاعَلَی الْمَرِیضِ حَرَجٌ</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نابینا و لنگ و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جهاد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قَضَی زَیْدٌ مِّنْهَا وَطَرًا زَوَّجْنَکَهَا لِکَیْ لَایَکُونَ عَلَی الْمُؤْمِنِینَ حَرَجٌ فِی أَزْوَ جِ أَدْعِیَآلهِمْ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بخواهند همسران پسرخواندگانشان را پس از طلاق به عقد خود درآورند، گناهی نکرده‌اند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النَّبِیِ‌ّ مِنْ حَرَجٍ فِیمَا فَرَضَ اللَّهُ لَهُ‌و</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در آن‌چه خدا برای او فرض گردانیده، گناهی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در قرآن کریم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معنا استعمال شده است؛ بنابراین، چنین نیست که با استناد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گفته شود اگر کلمه‌ای در یک آیه به کار رفته باشد، در موارد دیگر نیز در همان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در آیۀ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الْحَیَوةِ الدُّنْیَا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حال، گفته شود که زینت، در آیۀ دوّم به همان معنای آیۀ اوّل است و این دو در کنار هم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آیه‌ای آمده است که فتنه از قتل بدتر است</w:t>
      </w:r>
      <w:r>
        <w:rPr>
          <w:rStyle w:val="FootnoteAnchor"/>
          <w:rtl w:val="true"/>
        </w:rPr>
        <w:footnoteReference w:id="30"/>
      </w:r>
      <w:r>
        <w:rPr>
          <w:rFonts w:ascii="IRNazanin" w:hAnsi="IRNazanin" w:eastAsia="IRNazanin"/>
          <w:color w:val="111111"/>
          <w:sz w:val="28"/>
          <w:sz w:val="28"/>
          <w:szCs w:val="28"/>
          <w:rtl w:val="true"/>
          <w:lang w:bidi="fa-IR"/>
        </w:rPr>
        <w:t>، سپس در آیۀ دیگری،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أَنَّمَآ أَمْوَ لُکُمْ‌وَأَوْلَدُکُمْ فِتْنَةٌ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آیا می‌توان این دو آیه را در کنار هم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از</w:t>
      </w:r>
    </w:p>
    <w:p>
      <w:pPr>
        <w:pStyle w:val="BookText"/>
        <w:rPr/>
      </w:pPr>
      <w:r>
        <w:rPr>
          <w:rFonts w:ascii="IRNazanin" w:hAnsi="IRNazanin" w:eastAsia="IRNazanin"/>
          <w:color w:val="111111"/>
          <w:sz w:val="28"/>
          <w:sz w:val="28"/>
          <w:szCs w:val="28"/>
          <w:rtl w:val="true"/>
          <w:lang w:bidi="fa-IR"/>
        </w:rPr>
        <w:t>قتل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چنین نیست؛ و مواردی وجود دارد که در یک سوره از قرآن کریم لفظی در چندین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این که بعضی از آیات قرآن بعضی دیگر را تفسیر می‌کنند، معنای دیگری است که در جای خود مورد بحث و تحقیق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چنین نیست که بگوییم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موارد به یک معناست و مثلاً آیۀ شریفه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که خداوند خطاب به پیامبر صلی الله علیه و آله در مورد ازدواج با همسر پسرخوانده‌اش زید،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لَایَکُونَ عَلَی الْمُؤْمِنِینَ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بر توسعه در معنای حرج بگیریم و بگوییم حتّی در مواردی که مقدار کمی حرج وجود دارد، این قاعده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دوّمی که توجّه به آن ضروری می‌نماید، این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در آیات یاد شده، به نحو مجاز مرسل استعمال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گفته شده و از آن سبب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یعنی سبب حرجی و چیزی که به حرج منجر می‌شود،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نکته‌ای که لازم است توجه شود، آن است که اگر لفظی در قرآن کریم از نظر سعه و ضیق، مختلف استعمال شده باشد، به این معنا که در برخی موارد در معنایی استعمال شده و در برخی موارد دیگر در معنایی محدودتر به کار برده شده است، می‌توان گفت فقیه در استنباط احکام شرعیه از معنای موسّع و غیر محدود آن تبعیّت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أضیق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در هنگام استنباط، باید دائرۀ موسّع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ملاک قرار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قاعده حمل مطلق بر مقیّد جریان ندارد؛ چه آن‌که این قاعده مربوط به موردی است که بین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وجود داشته باشد، و در این بحث بین استعمال حرج در معنای موسّع و استعمال آن در معنای مضیّق تنافی وجود ندارد</w:t>
      </w:r>
      <w:r>
        <w:rPr>
          <w:rFonts w:eastAsia="IRNazanin" w:cs="IRNazanin"/>
          <w:color w:val="111111"/>
          <w:sz w:val="28"/>
          <w:szCs w:val="28"/>
          <w:rtl w:val="true"/>
          <w:lang w:bidi="fa-IR"/>
        </w:rPr>
        <w:t>.</w:t>
      </w:r>
      <w:bookmarkStart w:id="44" w:name="pg844_7995"/>
    </w:p>
    <w:p>
      <w:pPr>
        <w:pStyle w:val="Heading2"/>
        <w:numPr>
          <w:ilvl w:val="1"/>
          <w:numId w:val="1"/>
        </w:numPr>
        <w:rPr/>
      </w:pPr>
      <w:bookmarkStart w:id="45" w:name="__RefHeading___Toc6877248_211673320"/>
      <w:bookmarkStart w:id="46" w:name="_Toc17"/>
      <w:bookmarkEnd w:id="44"/>
      <w:bookmarkEnd w:id="45"/>
      <w:r>
        <w:rPr>
          <w:rtl w:val="true"/>
        </w:rPr>
        <w:t>مبانی فقهی قاعده لا حرج</w:t>
      </w:r>
      <w:bookmarkEnd w:id="46"/>
    </w:p>
    <w:p>
      <w:pPr>
        <w:pStyle w:val="Heading3"/>
        <w:numPr>
          <w:ilvl w:val="2"/>
          <w:numId w:val="1"/>
        </w:numPr>
        <w:rPr/>
      </w:pPr>
      <w:bookmarkStart w:id="47" w:name="__RefHeading___Toc6877250_211673320"/>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برای اعتبار و حجیّت قاعده لاحرج به ادلّه اربعه استدلال شده است؛ امّا پیش از طرح و بررسی آنها، لازم است که مدّعای بحث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اطلاق یا عموم ادلّۀ اوّلیه‌ای که در واجبات و محرّمات وارد شده است، دلالت می‌کند که مکلّف باید تکالیف را انجام دهد؛ اعمّ از آن که انجام و امتثال آنها حرجی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دلالت بر وجوب روزه می‌کند؛ اعمّ از این که برای انسان مشقّتی افزون بر اصل تکلیف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نکته، مدّعای این بحث آن است که اگر در مقابل ادلّه اوّلیه، دلیلی بر نفی حکم حرجی اقامه شود، نسبت بین این دلیل و ادلّه اولیّه چیست؟ آیا تقیید و تخصیص است، یا حکومت و یا تعارض؟ که در مباحث آینده مطرح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در این است که آیا در برابر ادلّۀ اولیّه دلیل دیگری که آنها را محدود کند وجود دارد یا خیر؟</w:t>
      </w:r>
      <w:bookmarkStart w:id="49" w:name="pg844_7996"/>
    </w:p>
    <w:p>
      <w:pPr>
        <w:pStyle w:val="Heading3"/>
        <w:numPr>
          <w:ilvl w:val="2"/>
          <w:numId w:val="1"/>
        </w:numPr>
        <w:rPr/>
      </w:pPr>
      <w:bookmarkStart w:id="50" w:name="__RefHeading___Toc6877252_211673320"/>
      <w:bookmarkStart w:id="51" w:name="_Toc19"/>
      <w:bookmarkEnd w:id="49"/>
      <w:bookmarkEnd w:id="50"/>
      <w:r>
        <w:rPr>
          <w:rtl w:val="true"/>
        </w:rPr>
        <w:t>دلیل اوّل</w:t>
      </w:r>
      <w:r>
        <w:rPr>
          <w:rtl w:val="true"/>
        </w:rPr>
        <w:t xml:space="preserve">: </w:t>
      </w:r>
      <w:r>
        <w:rPr>
          <w:rtl w:val="true"/>
        </w:rPr>
        <w:t xml:space="preserve">کتاب </w:t>
      </w:r>
      <w:r>
        <w:rPr>
          <w:rtl w:val="true"/>
        </w:rPr>
        <w:t>(</w:t>
      </w:r>
      <w:r>
        <w:rPr>
          <w:rtl w:val="true"/>
        </w:rPr>
        <w:t>آیات قرآن کریم</w:t>
      </w:r>
      <w:r>
        <w:rPr>
          <w:rtl w:val="true"/>
        </w:rPr>
        <w:t>)</w:t>
      </w:r>
      <w:bookmarkEnd w:id="51"/>
    </w:p>
    <w:p>
      <w:pPr>
        <w:pStyle w:val="Heading4"/>
        <w:numPr>
          <w:ilvl w:val="3"/>
          <w:numId w:val="1"/>
        </w:numPr>
        <w:rPr/>
      </w:pPr>
      <w:bookmarkStart w:id="52" w:name="__RefHeading___Toc6877254_21167332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مهم‌ترین دلیل از میان ادلّه اربعه قرآن کریم است؛ در مجموع به پنج آیه از قرآن کریم برای این مدّعا استدلال شده است</w:t>
      </w:r>
      <w:r>
        <w:rPr>
          <w:rFonts w:eastAsia="IRNazanin" w:cs="IRNazanin"/>
          <w:color w:val="111111"/>
          <w:sz w:val="28"/>
          <w:szCs w:val="28"/>
          <w:rtl w:val="true"/>
          <w:lang w:bidi="fa-IR"/>
        </w:rPr>
        <w:t>.</w:t>
      </w:r>
    </w:p>
    <w:p>
      <w:pPr>
        <w:pStyle w:val="Heading4"/>
        <w:numPr>
          <w:ilvl w:val="3"/>
          <w:numId w:val="1"/>
        </w:numPr>
        <w:rPr/>
      </w:pPr>
      <w:bookmarkStart w:id="54" w:name="__RefHeading___Toc6877256_211673320"/>
      <w:bookmarkStart w:id="55" w:name="_Toc21"/>
      <w:bookmarkEnd w:id="54"/>
      <w:r>
        <w:rPr/>
        <w:t>1</w:t>
      </w:r>
      <w:r>
        <w:rPr>
          <w:rtl w:val="true"/>
        </w:rPr>
        <w:t>)</w:t>
      </w:r>
      <w:r>
        <w:rPr>
          <w:rtl w:val="true"/>
        </w:rPr>
        <w:t xml:space="preserve">آیۀ </w:t>
      </w:r>
      <w:r>
        <w:rPr/>
        <w:t>78</w:t>
      </w:r>
      <w:r>
        <w:rPr>
          <w:rtl w:val="true"/>
        </w:rPr>
        <w:t xml:space="preserve"> </w:t>
      </w:r>
      <w:r>
        <w:rPr>
          <w:rtl w:val="true"/>
        </w:rPr>
        <w:t>سورۀ حجّ</w:t>
      </w:r>
      <w:bookmarkEnd w:id="55"/>
    </w:p>
    <w:p>
      <w:pPr>
        <w:pStyle w:val="Heading5"/>
        <w:numPr>
          <w:ilvl w:val="4"/>
          <w:numId w:val="1"/>
        </w:numPr>
        <w:rPr/>
      </w:pPr>
      <w:bookmarkStart w:id="56" w:name="__RefHeading___Toc6877258_211673320"/>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از مهم‌ترین آیاتی که به عنوان دلیل قاعده لاحرج مورد استدلال قرار می‌گیرد،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پس از آن که در آیه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مؤمنان را ملزم می‌کند که برای گشایش راه‌های رستگاری به رکوع و سجود و پرستش پروردگارشان قیام کنند و فاعل خیر شوند، در آیۀ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جَهِدُوا فِی اللَّهِ حَقَّ جِهَادِهِ ی هُوَ اجْتَبَل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وَ مَا جَعَلَ عَلَیْکُمْ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چنان که سزاوار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کنید؛ او شما را برگزیده و در دین هیچ تنگنایی برای شما ننهاد</w:t>
      </w:r>
      <w:r>
        <w:rPr>
          <w:rFonts w:eastAsia="IRNazanin" w:cs="IRNazanin"/>
          <w:color w:val="111111"/>
          <w:sz w:val="28"/>
          <w:szCs w:val="28"/>
          <w:rtl w:val="true"/>
          <w:lang w:bidi="fa-IR"/>
        </w:rPr>
        <w:t>...</w:t>
      </w:r>
    </w:p>
    <w:p>
      <w:pPr>
        <w:pStyle w:val="Heading5"/>
        <w:numPr>
          <w:ilvl w:val="4"/>
          <w:numId w:val="1"/>
        </w:numPr>
        <w:rPr/>
      </w:pPr>
      <w:bookmarkStart w:id="58" w:name="__RefHeading___Toc6877260_211673320"/>
      <w:bookmarkStart w:id="59" w:name="_Toc23"/>
      <w:bookmarkEnd w:id="58"/>
      <w:r>
        <w:rPr>
          <w:rtl w:val="true"/>
        </w:rPr>
        <w:t>نکات موجود در آیۀ شریفه</w:t>
      </w:r>
      <w:bookmarkEnd w:id="59"/>
    </w:p>
    <w:p>
      <w:pPr>
        <w:pStyle w:val="BookText"/>
        <w:rPr/>
      </w:pPr>
      <w:r>
        <w:rPr>
          <w:rFonts w:ascii="IRNazanin" w:hAnsi="IRNazanin" w:eastAsia="IRNazanin"/>
          <w:color w:val="111111"/>
          <w:sz w:val="28"/>
          <w:sz w:val="28"/>
          <w:szCs w:val="28"/>
          <w:rtl w:val="true"/>
          <w:lang w:bidi="fa-IR"/>
        </w:rPr>
        <w:t>اوّلین نکته در مورد مخاطب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عامّه و خاصّه، مخاطب این آیه شریفه را عموم مردم قرار داده‌اند</w:t>
      </w:r>
      <w:r>
        <w:rPr>
          <w:rStyle w:val="FootnoteAnchor"/>
          <w:rtl w:val="true"/>
        </w:rPr>
        <w:footnoteReference w:id="34"/>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عموم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شما از میان امّت‌ها، امّت برگزیده هستید، باید حقّ جهاد را انجام دهید؛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دین حرجی قرار نداده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 آن است که با توجّه به قرائن موجود</w:t>
      </w:r>
      <w:r>
        <w:rPr>
          <w:rStyle w:val="FootnoteAnchor"/>
          <w:rtl w:val="true"/>
        </w:rPr>
        <w:footnoteReference w:id="35"/>
      </w:r>
      <w:r>
        <w:rPr>
          <w:rFonts w:ascii="IRNazanin" w:hAnsi="IRNazanin" w:eastAsia="IRNazanin"/>
          <w:color w:val="111111"/>
          <w:sz w:val="28"/>
          <w:sz w:val="28"/>
          <w:szCs w:val="28"/>
          <w:rtl w:val="true"/>
          <w:lang w:bidi="fa-IR"/>
        </w:rPr>
        <w:t>، مخاطب این آیه، ائمّه</w:t>
      </w:r>
    </w:p>
    <w:p>
      <w:pPr>
        <w:pStyle w:val="BookText"/>
        <w:rPr/>
      </w:pPr>
      <w:r>
        <w:rPr>
          <w:rFonts w:ascii="IRNazanin" w:hAnsi="IRNazanin" w:eastAsia="IRNazanin"/>
          <w:color w:val="111111"/>
          <w:sz w:val="28"/>
          <w:sz w:val="28"/>
          <w:szCs w:val="28"/>
          <w:rtl w:val="true"/>
          <w:lang w:bidi="fa-IR"/>
        </w:rPr>
        <w:t>معصومین علیهم السلام می‌باشند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روایاتی نیز در این زمینه در ذیل آیۀ شریفه وارد شده است؛ از جمله، در روایتی از امام باقر علیه السلام در مورد معنا و مخاطب این آیه سؤال شده است، که امام علیه السلام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إیّانا عنی خاصةً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خداوند تنها به ما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جهاد در این آیه، سه احتمال وجود دارد که احتمال دوّم و سوّم نزدیک 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آن است که منظور جهاد با کفّار باشد</w:t>
      </w:r>
      <w:r>
        <w:rPr>
          <w:rStyle w:val="FootnoteAnchor"/>
          <w:rtl w:val="true"/>
        </w:rPr>
        <w:footnoteReference w:id="38"/>
      </w:r>
      <w:r>
        <w:rPr>
          <w:rFonts w:ascii="IRNazanin" w:hAnsi="IRNazanin" w:eastAsia="IRNazanin"/>
          <w:color w:val="111111"/>
          <w:sz w:val="28"/>
          <w:sz w:val="28"/>
          <w:szCs w:val="28"/>
          <w:rtl w:val="true"/>
          <w:lang w:bidi="fa-IR"/>
        </w:rPr>
        <w:t>؛ لکن این احتمال دارای دو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اشکال آن است که سورۀ مبارکه حجّ از سوره‌های مکّی قرآن است؛ در حالی که امر به جهاد و قتال بعد از هجرت پیامبر اکرم صلی الله علیه و آله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جهاد در این آیه شریفه، خصوص جهاد با کفّار نمی‌تواند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دوّم آن که در قرآن کریم مواردی که مسأله جنگ و مقاتله با کفّار مطرح می‌شود، غالباً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می‌گردد؛ بنابراین، مطابق این دو قرینه، احتمال جهاد با کفّار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اقسام سه‌گانه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جهاد با کفّار، هم جهاد با شیطان و هم جهاد با نفس را شامل می‌شود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اشکال دوّمی که در مورد احتمال اوّل آوردیم، بر این احتمال نیز وارد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خاصّه و عامّه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آیه پیشین و قرینه‌ای که در ذیل همین آیه شریفه وجود دارد، منظور از جهاد اعم از جهاد اصطلاحی</w:t>
      </w:r>
    </w:p>
    <w:p>
      <w:pPr>
        <w:pStyle w:val="BookText"/>
        <w:rPr/>
      </w:pPr>
      <w:r>
        <w:rPr>
          <w:rFonts w:ascii="IRNazanin" w:hAnsi="IRNazanin" w:eastAsia="IRNazanin"/>
          <w:color w:val="111111"/>
          <w:sz w:val="28"/>
          <w:sz w:val="28"/>
          <w:szCs w:val="28"/>
          <w:rtl w:val="true"/>
          <w:lang w:bidi="fa-IR"/>
        </w:rPr>
        <w:t>است و مدلول آن انجام دادن همه واجبات و ترک تمامی محرّمات را شامل می‌شود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که خداوند به شما فرمان داده است، امتثال کنید؛ و از همه آن‌چه که نهی فرموده،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آیه نیز ظهور در کلّ احکام و تکالیف دارد و فقط به حکم ویژۀ جهاد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روشن شد احتمالات اوّل و دوّم به دلیل ایرادهایی که بر آنها وارد است، ضعیف می‌باشند، باید به احتمال سوّم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از آنجا که خطاب موجود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اقامه نماز، دادن زکات و پناه‌بردن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مردم است، روشن می‌شود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کسانی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ائمّه معصومین علیهم السلام دانسته‌اند، آیه را به این صورت معنا کرده‌اند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دارای منصب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منصب بسیار عظیمی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می‌باشید، باید در راه خدا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اجْتَبَل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ماقبل است و علّت جهاد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ائمه علیهم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از میان مردم برگزیدم و امتیازی برای شما قرار دادم، مسؤولیت شما با تکلیف عامّه مردم تفاوت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بنابراین، معنای این قسمت از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حرجی را از مؤمنان برداشته است؛ نه آن که مرفوع، موضوعات حرجی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زائده بوده و برای قوّت تأکید آمده است؛ چرا که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یکی از افعال عامّه؟، اختلاف است؛ هم‌چنین اکثر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نیّت درست و خالص تفسیر نموده‌اند</w:t>
      </w:r>
      <w:r>
        <w:rPr>
          <w:rFonts w:eastAsia="IRNazanin" w:cs="IRNazanin"/>
          <w:color w:val="111111"/>
          <w:sz w:val="28"/>
          <w:szCs w:val="28"/>
          <w:rtl w:val="true"/>
          <w:lang w:bidi="fa-IR"/>
        </w:rPr>
        <w:t>.</w:t>
      </w:r>
      <w:bookmarkStart w:id="60" w:name="pg844_8002"/>
    </w:p>
    <w:p>
      <w:pPr>
        <w:pStyle w:val="BookText"/>
        <w:rPr/>
      </w:pPr>
      <w:bookmarkEnd w:id="60"/>
      <w:r>
        <w:rPr>
          <w:rFonts w:ascii="IRNazanin" w:hAnsi="IRNazanin" w:eastAsia="IRNazanin"/>
          <w:color w:val="111111"/>
          <w:sz w:val="28"/>
          <w:sz w:val="28"/>
          <w:szCs w:val="28"/>
          <w:rtl w:val="true"/>
          <w:lang w:bidi="fa-IR"/>
        </w:rPr>
        <w:t>با این حال، در تفاسیر قرآن کریم، در مورد این قسمت از آیه شریفه احتمالات گوناگونی مطرح شده است که باید بررسی شود کدام یک از این احتمالات به مدّعای بحث نزدیک‌تر است</w:t>
      </w:r>
      <w:r>
        <w:rPr>
          <w:rFonts w:eastAsia="IRNazanin" w:cs="IRNazanin"/>
          <w:color w:val="111111"/>
          <w:sz w:val="28"/>
          <w:szCs w:val="28"/>
          <w:rtl w:val="true"/>
          <w:lang w:bidi="fa-IR"/>
        </w:rPr>
        <w:t>.</w:t>
      </w:r>
    </w:p>
    <w:p>
      <w:pPr>
        <w:pStyle w:val="Heading5"/>
        <w:numPr>
          <w:ilvl w:val="4"/>
          <w:numId w:val="1"/>
        </w:numPr>
        <w:rPr/>
      </w:pPr>
      <w:bookmarkStart w:id="61" w:name="__RefHeading___Toc6877262_211673320"/>
      <w:bookmarkStart w:id="62" w:name="_Toc24"/>
      <w:bookmarkEnd w:id="61"/>
      <w:r>
        <w:rPr>
          <w:rtl w:val="true"/>
        </w:rPr>
        <w:t>احتمالات موجود در معنای</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کرده‌اند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دین الإسلام ما لا سبیل إلی الخلاص؛ ومن حرج،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ضیق لا مخرج له ولا مخلص من عقابه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کاری که آدمی را در تنگنا و سختی قرار دهد به صورتی که نتواند چاره‌ای برای رهایی از آن بیندیشد،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این معنا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موردی که انسان گناه می‌کند، باب توبه را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معصیت، توبه وجود دارد؛ این‌گونه نیست که در دین حرج و بن‌بست باشد؛ یا مرتکب جنایت، می‌تواند ارش، یا دیه و یا کفّاره آن را بپردازد؛ و در این صورت، شخص خطاکار از عذاب رهایی پیدا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تفسیر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آیۀ شریفه سازگاری ندارد؛ چرا که در این صورت،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 أو لیس فی الدین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معنا که خداوند در دین حرجی جعل نکرده است و این معنا که در دین بن‌بستی نیست، فرق زیادی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جعل کرده است،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 جعل نبود، امکان داشت که این معنا را قبول کنیم و بگوییم دین خداوند به گونه‌ای نیست که انسان در تنگنا قرار گیرد؛ اگر گناه کرد،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مفسّرین که آیه شریفه را چنین معنا کرده‌اند، تمام ردّ مظالم را تحت این آیه قرار می‌دهند؛ امّا همان‌گونه که بیان شد، این معنا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اجْتَبَل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من امّت مسلمان را از میان سایر امّت‌ها برگزیده‌ام و این امّت مورد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فشار، سنگینی، گناه و حبس همراه فشار معنی شده است و مراد از آن، احکام ضیق‌آور و مشقّت‌بار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در صدد آن است که اصار و حرجی که بر بنی‌اسرائیل بوده را از مسلمانان نفی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اصار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اگر توبه می‌کردند، لازم بود که خود را بکشند تا توبه‌شان قبول گردد؛ یا آن که نمازشان در مکانی معیّن قبول می‌شده است؛ و یا آن که اگر جایی از بدنشان نجس می‌شد، باید آنجا را قیچی می‌کردند و موارد دیگری که در روایات بیان شده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حال، خداوند با این آیه بیان می‌دارد که این اصار برای مسلمانان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آیه شریفه بر رخصت‌هایی که در موارد ضرورت، شارع اجازه داده است،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بیان می‌کند که اگر نمی‌توانی نماز را به صورت ایستاده بخوانی، آن را در حالت نشسته بخوان؛ و یا آن که اگر با آب نمی‌توانی وضو بگیری، تیمّم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می‌توان گفت که این تفسیر در اطلاق معنای اوّل داخل است؛ لکن در این احتمال بحثی از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معنای اوّل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احتمال دوّم بیان شد که حرج به معنای اصار بنی‌اسرائیل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اجْتَبَل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امّا در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جهادی را که در توانتان است،</w:t>
      </w:r>
    </w:p>
    <w:p>
      <w:pPr>
        <w:pStyle w:val="BookText"/>
        <w:rPr/>
      </w:pPr>
      <w:r>
        <w:rPr>
          <w:rFonts w:ascii="IRNazanin" w:hAnsi="IRNazanin" w:eastAsia="IRNazanin"/>
          <w:color w:val="111111"/>
          <w:sz w:val="28"/>
          <w:sz w:val="28"/>
          <w:szCs w:val="28"/>
          <w:rtl w:val="true"/>
          <w:lang w:bidi="fa-IR"/>
        </w:rPr>
        <w:t>بجا آورید؛ چرا که امتثال و عباداتی را که مناسب شأن خداوند است نمی‌توانید انجام دهید؛ امّا سعی کنید که هرچه بهتر و به حدّی که در توانتان می‌باشد آن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هنگامی که شارع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جَهِدُوا فِی اللَّهِ حَقَّ جِهَادِهِ‌ی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سؤال پیش می‌آید که بجاآوردن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و قدرت بندگان نیست؛ به همین جهت، خداوند در ادامه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احتمالات چهارگانه فوق به مدّعای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قاعده لاحرج برای نفی و برداشتن احکام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بود که خداوند کاری که انسان را در تنگنا و سختی قرار دهد به گونه‌ای که نتواند از آن رهایی یابد، جعل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نیز یک قضیّه خارجیّه است و فقط می‌گوید اصاری که بر بنی‌اسرائیل جعل شده، از مسلمین برداشته شده است و نمی‌توان از آن یک حکم کلّی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نیز بر ترخیص عند الضروره دلالت دارد و با مدّعا ارتباطی پیدا نمی‌کند؛ زیرا، حرج فقط در مواردی که شارع خودش اجازه داده است، نفی می‌شود و آیۀ شریفه به آن موارد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ببینیم شارع چه ترخیصی داده است؟ اعم از آن که بدلی برای آن مورد ذکر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بیان کرده باشد که اگر نمی‌توانید وضو بگیرید، تیمّم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فقط اجازه در ترک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احتمال چهارم نیز همین اشکال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بیان در مورد این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مقصود خداوند متعال آن است که احکام جعل شده در دین اسلام برای این نیست که بندگان در حرج بیفتند؛ بلکه اهداف بسیار مهمّی بر این واجبات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پزشک برای بیمار، داروهای تلخ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می‌کند، به جهت آثار آن داروهاست و نه اذیّت و گرفتاری بیمار؛ در اینجا نیز احکام جعل شده از سوی خداوند به جهت رسیدن بندگان به اهداف آن احکام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بیان آن است که باید از آیۀ شریفه، قاعده‌ای را به عنوان اماره و دلیل</w:t>
      </w:r>
    </w:p>
    <w:p>
      <w:pPr>
        <w:pStyle w:val="BookText"/>
        <w:rPr/>
      </w:pPr>
      <w:r>
        <w:rPr>
          <w:rFonts w:ascii="IRNazanin" w:hAnsi="IRNazanin" w:eastAsia="IRNazanin"/>
          <w:color w:val="111111"/>
          <w:sz w:val="28"/>
          <w:sz w:val="28"/>
          <w:szCs w:val="28"/>
          <w:rtl w:val="true"/>
          <w:lang w:bidi="fa-IR"/>
        </w:rPr>
        <w:t>استفاده کنیم تا بتوانیم حکمی را که مستلزم حرج است، برداریم؛ امّا مطابق این بیان، جعل احکام برای ایجاد حرج نیست، هرچند حرجی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مورد این بیان مطرح می‌شود، آن است که آیا آیه شریفه در این معنا ظهور دارد؟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بیان نیازمند تقدیر است و لازم است که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یعنی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خداوند در دین اسلام احکام را به هدف این که بندگان را به حرج بیندازد، جعل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آنجا که تقدیر بر خلاف اصل است، نمی‌توان این معنا را از آیه شریفه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 آن است که بگوییم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سخت 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بیان می‌کند تمامی احکام اسلام، سهل و آسان است؛ و اگر در موردی نیز حرج وجود دارد و انجام عملی برای انسان مشکل است، در ظاهر و به حسب ظاهر است و الّا در واقع چنین نبوده و آن حکم، حکمی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شریفه با این حدیث پیامبر اکرم صلی الله علیه و آله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یرسلنی اللّه بالرهبانیّة، ولکن بعثنی بالحنیفیّة السهلة السمحة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یکی می‌شود؛ و یا روایتی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یُسر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این بیان نیز به مدّعا نمی‌رسیم؛ چرا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هر چه جعل کرده، سهل و آسان بوده و حرجی نیست؛ نه آن که اگر حرجی پیش آمد، بندگان می‌توانند دست از آن حکم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سوّمی که مطرح شده، آن است که خداوند به وسیله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احکام تا زمانی اعتبار دارند که مستلزم حرج نباشند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آیه این است که هرگاه در اثر عمل به احکام و الزامات شرعی، مکلّف</w:t>
      </w:r>
      <w:bookmarkStart w:id="63" w:name="pg844_8010"/>
    </w:p>
    <w:p>
      <w:pPr>
        <w:pStyle w:val="BookText"/>
        <w:rPr/>
      </w:pPr>
      <w:bookmarkEnd w:id="63"/>
      <w:r>
        <w:rPr>
          <w:rFonts w:ascii="IRNazanin" w:hAnsi="IRNazanin" w:eastAsia="IRNazanin"/>
          <w:color w:val="111111"/>
          <w:sz w:val="28"/>
          <w:sz w:val="28"/>
          <w:szCs w:val="28"/>
          <w:rtl w:val="true"/>
          <w:lang w:bidi="fa-IR"/>
        </w:rPr>
        <w:t>در عسر و حرج واقع شود، این احکام و الزامات از عهده او برداشته می‌شود</w:t>
      </w:r>
      <w:r>
        <w:rPr>
          <w:rFonts w:eastAsia="IRNazanin" w:cs="IRNazanin"/>
          <w:color w:val="111111"/>
          <w:sz w:val="28"/>
          <w:szCs w:val="28"/>
          <w:rtl w:val="true"/>
          <w:lang w:bidi="fa-IR"/>
        </w:rPr>
        <w:t>.</w:t>
      </w:r>
    </w:p>
    <w:p>
      <w:pPr>
        <w:pStyle w:val="Heading5"/>
        <w:numPr>
          <w:ilvl w:val="4"/>
          <w:numId w:val="1"/>
        </w:numPr>
        <w:rPr/>
      </w:pPr>
      <w:bookmarkStart w:id="64" w:name="__RefHeading___Toc6877264_211673320"/>
      <w:bookmarkStart w:id="65" w:name="_Toc25"/>
      <w:bookmarkEnd w:id="64"/>
      <w:r>
        <w:rPr>
          <w:rtl w:val="true"/>
        </w:rPr>
        <w:t>انواع حکم حرجی</w:t>
      </w:r>
      <w:bookmarkEnd w:id="65"/>
    </w:p>
    <w:p>
      <w:pPr>
        <w:pStyle w:val="BookText"/>
        <w:rPr/>
      </w:pPr>
      <w:r>
        <w:rPr>
          <w:rFonts w:ascii="IRNazanin" w:hAnsi="IRNazanin" w:eastAsia="IRNazanin"/>
          <w:color w:val="111111"/>
          <w:sz w:val="28"/>
          <w:sz w:val="28"/>
          <w:szCs w:val="28"/>
          <w:rtl w:val="true"/>
          <w:lang w:bidi="fa-IR"/>
        </w:rPr>
        <w:t>حکم حرجی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اصل انشای حکم حرج است و گاه در مصداق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پاره‌ای موارد در اصل انشای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اعتباری است که شارع بر ذمّه مکلّف قرار می‌دهد و ذمّه او مشغول و یا متوجّه تکلیفی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وجود 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جنس معیوبی را خرید، آیا حق خیار دارد یا آن که چون قیمت آن را پرداخته و ایجاب و قبول منعقد شده است، معامله صحیح بوده و باید تحمّل کند؟ در چنین مواردی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وفای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وجود دارد، قاعده لاحرج این حکم حرجی را بر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نیز وجود دارد که اصل حکم حرجی نیست؛ امّا بعضی از مصداق‌های آن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برای مکلّف هیچ حرجی را در بر ندارد؛ امّا ممکن است که در بعضی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موردی که شخص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مکلّف حرجی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می‌کند شارع به طور کلّی حکم حرجی در دین را برداشته است؛ چه آن که خود حکم موجب تحقّق حرج گردد و چه آن که امتثال بعضی از مصداق‌های حکم حرجی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فقیهانی که می‌خواهند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کنند، می‌بایست این نکته را اثبات کنند که آیه شریفه در بیان سوّم از احتمال پنجم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قدس سره در تفسیر خود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عنهم کلّ حرج فی الدّین إمتناناً، سواء کان حرجاً فی أصل</w:t>
      </w:r>
    </w:p>
    <w:p>
      <w:pPr>
        <w:pStyle w:val="BookText"/>
        <w:rPr/>
      </w:pPr>
      <w:r>
        <w:rPr>
          <w:rFonts w:ascii="IRNazanin" w:hAnsi="IRNazanin" w:eastAsia="IRNazanin"/>
          <w:color w:val="111111"/>
          <w:sz w:val="28"/>
          <w:sz w:val="28"/>
          <w:szCs w:val="28"/>
          <w:rtl w:val="true"/>
          <w:lang w:bidi="fa-IR"/>
        </w:rPr>
        <w:t>الحکم أو حرجاً طارئاً علیه إتّفاقاً، فهی شریعة سهلة سمحة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این برداشت را دارند که خداوند با بیان این آیه شریفه، حکم حرجی را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 و در انتهای عبارت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دین اسلام شریعت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علّامه رحمه الله در مورد آیه شریفه، هم با این معنا سازگاری دارد که بگوییم خداوند دینش را دین آسانی قرار داده است؛ پس، هر موردی که حرج وجود داشته باشد، حکم برداشته می‌شود؛ و هم با بیان قبلی سازگار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جعل کرده‌ام، آسان است و به هیچ عنوان حکم حرجی برای بندگان جعل نکرده‌ام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میان مفسّرین عامّه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همین معنا را ذکر می‌کند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کلّفکم ما لا تطیقون وما ألزمکم بشیء یشقّ علیکم إلّاجعل اللّه لکم فرجاً ومخرجاً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بدین معنا که خداوند آن چه را که حرجی و خارج از طاقت شماست، تکلیف نکرده و شما را ملزم به آن ننموده است؛ مگر آن که چاره و گشایشی در آن برای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و در وطن باید چهار رکعتی خوانده شود؛ ولی در سفر به جهت تحقّق حرج و مشقّت دو رکعتی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جَهِدُوا فِی اللَّهِ حَقَّ جِهَادِهِ‌ی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آن که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اجْتَبَل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شریفه در معنا و بیان سوّم از احتمال پنجم ظهور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واجبات و ترک محرّمات باید نهایت تلاش و کوشش خود را انجام دهید؛ چرا که خداوند هیچ حکم حرجی برای شما جعل نکرده است و اگر حکمی به حدّ حرج رسید، آن را از شما نمی‌خواهد</w:t>
      </w:r>
      <w:r>
        <w:rPr>
          <w:rFonts w:eastAsia="IRNazanin" w:cs="IRNazanin"/>
          <w:color w:val="111111"/>
          <w:sz w:val="28"/>
          <w:szCs w:val="28"/>
          <w:rtl w:val="true"/>
          <w:lang w:bidi="fa-IR"/>
        </w:rPr>
        <w:t>.</w:t>
      </w:r>
      <w:bookmarkStart w:id="66" w:name="pg844_8014"/>
    </w:p>
    <w:p>
      <w:pPr>
        <w:pStyle w:val="BookText"/>
        <w:rPr/>
      </w:pPr>
      <w:bookmarkEnd w:id="66"/>
      <w:r>
        <w:rPr>
          <w:rFonts w:ascii="IRNazanin" w:hAnsi="IRNazanin" w:eastAsia="IRNazanin"/>
          <w:color w:val="111111"/>
          <w:sz w:val="28"/>
          <w:sz w:val="28"/>
          <w:szCs w:val="28"/>
          <w:rtl w:val="true"/>
          <w:lang w:bidi="fa-IR"/>
        </w:rPr>
        <w:t>مطابق این معنا، اشکال برخی از مفسّرین</w:t>
      </w:r>
      <w:r>
        <w:rPr>
          <w:rStyle w:val="FootnoteAnchor"/>
          <w:rtl w:val="true"/>
        </w:rPr>
        <w:footnoteReference w:id="48"/>
      </w:r>
      <w:r>
        <w:rPr>
          <w:rFonts w:ascii="IRNazanin" w:hAnsi="IRNazanin" w:eastAsia="IRNazanin"/>
          <w:color w:val="111111"/>
          <w:sz w:val="28"/>
          <w:sz w:val="28"/>
          <w:szCs w:val="28"/>
          <w:rtl w:val="true"/>
          <w:lang w:bidi="fa-IR"/>
        </w:rPr>
        <w:t>مبنی بر آن که انسان قابلیّت و قدرت ندارد که حق جهاد را انجام دهد، پس چرا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جَهِدُوا فِی اللَّهِ حَقَّ جِهَادِهِ‌ی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نخواهد بود؛ زیرا،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 و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و می‌گوید تا هنگامی که احکام به حدّ حرجی نرسیده‌اند، باید مکلّف نهایت تلاش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در این که این قسمت از آیه شریفه عنوان تعلیلی داشته باشد، خدشه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آیه شریفه باید قبل و بعد آن را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قسمت از آیه لازم نیست که قبل و بعد آن را ملاحظه کنیم و اساساً در اصول مطرح شده که اگر قرینه سیاق در مواردی، اعتبار هم داشته باشد، نمی‌توان گفت که در قرآن کریم در همه موارد اعتبار دارد؛ بلکه به اختلاف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با قطع نظر از مسأله سیاق، این قسمت از آیه شریفه در مقام بیان ضابطه کلیّه است و ائمّه معصومین علیهم السلام نیز در روایاتی که از آنان نقل شده است، به آن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تردیدی باقی نمی‌ماند که به این آیه شریفه با قطع نظر از روایاتی که در ذیل این آیه شریفه وارد شده است، می‌توان برای نفی حکم حرجی استدلال کرد</w:t>
      </w:r>
      <w:r>
        <w:rPr>
          <w:rFonts w:eastAsia="IRNazanin" w:cs="IRNazanin"/>
          <w:color w:val="111111"/>
          <w:sz w:val="28"/>
          <w:szCs w:val="28"/>
          <w:rtl w:val="true"/>
          <w:lang w:bidi="fa-IR"/>
        </w:rPr>
        <w:t>.</w:t>
      </w:r>
    </w:p>
    <w:p>
      <w:pPr>
        <w:pStyle w:val="Heading5"/>
        <w:numPr>
          <w:ilvl w:val="4"/>
          <w:numId w:val="1"/>
        </w:numPr>
        <w:rPr/>
      </w:pPr>
      <w:bookmarkStart w:id="67" w:name="__RefHeading___Toc6877266_211673320"/>
      <w:bookmarkStart w:id="68" w:name="_Toc26"/>
      <w:bookmarkEnd w:id="67"/>
      <w:r>
        <w:rPr>
          <w:rtl w:val="true"/>
        </w:rPr>
        <w:t>روایات وارد در ذیل آیه حرج</w:t>
      </w:r>
      <w:bookmarkEnd w:id="68"/>
    </w:p>
    <w:p>
      <w:pPr>
        <w:pStyle w:val="BookText"/>
        <w:rPr/>
      </w:pP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حجّ روایاتی وارد شده است که به وسیله آنها نیز می‌توانیم به مدّعا برسیم؛ البته استدلال به این روایات به عنوان تکمیل استدلال به آیه شریفه است؛ نه آن که روایاتی که ائمّه معصومین علیهم السلام در آنها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نموده‌اند، خود دلیل مستقلّی در عرض کتاب باشد و برای فقیه دلیلیّت داشته باشد؛ به عبارت دیگر، استدلال ائمّه علیهم السلام کاشف از این است که دلالت آیۀ شریفه بر مدّعای این بحث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آن که استدلال ائمّه علیهم السلام به آیات شریفه قرآن کریم بر دو نوع است؛ در بعضی موارد، امامان علیهم السلام یک تأویل و اعمال تعبّدی نیز از خودشان دارند و معنایی را برای آیۀ شریفه ذکر می‌کنند که به حسب معنای لغوی یا عرفی، بر خلاف ظاهر آیه است و با قرینه فهمیده می‌شود که اعمال تعبّد شده است؛ مانند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دَآبَّةُ الْأَرْضِ</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را بر وجود مقدّس حضرت امیرالمؤمنین علی علیه السلام منطبق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آیه ظهور در این معنا ندارد، امّا چون امام علیه السلام به عنوان مبیّن کتاب اللّه تعالی اعمال تعبّد نموده و این معنا را ذکر کرده است،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نیز آن است که ائمّه علیهم السلام همان معنای ظاهری آیه را بیان می‌کنند و هیچ اعمال تعبّدی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بیان آنان مؤیّد همان استظهاری است که از خود آیه شریفه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ذیل این آیه شریفه وارد شده‌اند نیز از این نوع‌اند؛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بدون آن که معنایی بر خلاف ظاهر آیه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این تقسیم آن است که اگر کسی احتمال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بیان حکمت است، نه این که در مقام تعلیل باشد، با بررسی روایات وارده معلوم می‌گردد که این قسمت آیه شریفه در مقام بیان علّت است و نه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روایات وارده در این زمینه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محمّد بن الحسین، عن جعفر بن بشیر، عن الهیثم بن عروة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أباعبداللّه علیه السلام عن المحرم یرید إسباغ الوضوء فسقط من لحیته الشعرة أو الشعرتان؟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 ما جعل علیکم فی الدین من حرج</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محمّد بن الحسن، شیخ طوسی رحمه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صورت مطلق ذکر گردد،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ابی‌الخطاب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شخصی عظیم القدر و کثیرالروایة است؛</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زهّاد اصحاب است و مرحوم شیخ طوسی و دیگران او را توثیق کرده‌اند</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 بن عروة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مرحوم نجاشی توثیق کرده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بنابراین، روایت از نظر سند صحیح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سؤال می‌کند که مُحرمی هنگام وضو، آب را به صورت کامل به چهره و دست‌های خود می‌رساند و این امر سبب می‌شود که یک یا دو مو از ریشش بیفتد، آیا اشکال دارد؟ امام علیه السلام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حرامی نکرده و کفّاره نیز ندارد؛ چرا که در دین حرج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محرّمات احرام کندن مو از بدن است 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امام علیه السلام برای نفی کفّاره در این فرض، به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می‌کنند؛ چرا که انسان در حال احرام، حدّاقل سه مرتبه وضو می‌گیرد و در هر بار نیز چند مو از محاسنش جدا می‌شود؛ که اگر برای هر مرتبه لازم باشد کفّاره دهد، دچار سختی و مشقّت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از نظر دلالت نیز تامّ است؛ و با این روایت،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این قسمت از آیۀ شریفه در بیان سوم از معنای پنجم ظهور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قسمت از آیه لازم نیست که قبل و بعد آن ملاحظه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أبیه، عن عبداللّه بن المغیرة، عن إبن‌مسکان،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الرجل الجنب ینتهی إلی الماء القلیل فی الطریق، ویرید أن یغتسل منه ولیس معه إناء یغرف به</w:t>
      </w:r>
    </w:p>
    <w:p>
      <w:pPr>
        <w:pStyle w:val="BookText"/>
        <w:rPr/>
      </w:pPr>
      <w:r>
        <w:rPr>
          <w:rFonts w:ascii="Amiri" w:hAnsi="Amiri" w:eastAsia="Amiri" w:cs="Amiri"/>
          <w:color w:val="111111"/>
          <w:sz w:val="28"/>
          <w:sz w:val="28"/>
          <w:szCs w:val="28"/>
          <w:rtl w:val="true"/>
          <w:lang w:bidi="ar-SA"/>
        </w:rPr>
        <w:t>ویداه قذرتان؟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یضع یده، ثمّ یتوضّأ، ثمّ یغتسل، هذا ممّا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بن ابراهیم و پدرش، ابراهیم بن هاشم است که بنابر تحقیق موثّق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رحمه الله در مورد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لا یعدل به أحد من جلالته ودینه وورعه</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میسر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نیز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 جنبی پرسیدم که در راه به آب قلیلی می‌رسد و قصد دارد با آن غسل کند، در حالی که ظرفی همراه خود ندارد و دو دستش نیز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به همین آب بزند و بعد وضو بگیرد و پس از آن نیز غسل کند؛ چرا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حکم حرجی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آب قلیل این بحث وجود دارد که آیا آب قلیل به صرف ملاقات با نجاست انفعال پیدا می‌کند و نجس می‌شود یا 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به عدم انفعال قائل‌اند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در صورت ملاقات با نجاست، تا زمانی که بو، یا رنگ یا طعمش تغییر نکند، نجس نمی‌شود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امّا در میان فقهای امامیّه اختلاف است؛ مشهور قائلند که آب قلیل به مجرّد ملاقات با نجاست، انفعال پیدا می‌کند و نجس می‌شود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مقابل مشهور، مرحوم ابن ابی‌عقیل و</w:t>
      </w:r>
    </w:p>
    <w:p>
      <w:pPr>
        <w:pStyle w:val="BookText"/>
        <w:rPr/>
      </w:pPr>
      <w:r>
        <w:rPr>
          <w:rFonts w:ascii="IRNazanin" w:hAnsi="IRNazanin" w:eastAsia="IRNazanin"/>
          <w:color w:val="111111"/>
          <w:sz w:val="28"/>
          <w:sz w:val="28"/>
          <w:szCs w:val="28"/>
          <w:rtl w:val="true"/>
          <w:lang w:bidi="fa-IR"/>
        </w:rPr>
        <w:t>فیض کاشانی رحمهما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به مجرّد ملاقات انفعال پیدا نمی‌کند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جمله روایاتی که مرحوم فیض برای ادّعای خود به آن استدلال کرده، همین روایتی است که بیان 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قلیل به مجرّد ملاقات با نجاست انفعال پیدا کند، ازالۀ خَبَث به وسیله آن در هر صورتی ممکن نبود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امّا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مقابل این روایت، روایات زیادی وجود دارد که دلالت بر انفعال آب قلیل می‌کنند</w:t>
      </w:r>
      <w:r>
        <w:rPr>
          <w:rStyle w:val="FootnoteAnchor"/>
          <w:rtl w:val="true"/>
        </w:rPr>
        <w:footnoteReference w:id="61"/>
      </w:r>
      <w:r>
        <w:rPr>
          <w:rFonts w:ascii="IRNazanin" w:hAnsi="IRNazanin" w:eastAsia="IRNazanin"/>
          <w:color w:val="111111"/>
          <w:sz w:val="28"/>
          <w:sz w:val="28"/>
          <w:szCs w:val="28"/>
          <w:rtl w:val="true"/>
          <w:lang w:bidi="fa-IR"/>
        </w:rPr>
        <w:t>، و هم‌چنین این روایت موافق با عامّه است، بنابراین، باید بر تقیّه حمل شود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مورد تقیّه بودن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در روایتی حکمی را بیان فرمودند و تعلیلی نیز برای آن ذکر نمودند، قابلیّت حمل بر تقیّه را ندارد؛ چه آن که تقیّه اقتضا دارد امام علیه السلام حکمی را به حسب ظاهر با نظر عامّه بیان کنند؛ نه این که حکم را بیان و معلّل به آیۀ شریفه‌ای کنند که دلالتش در نزد جمیع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در این مورد، حمل روایت بر تقیّه صحیح نبوده و یا حدّاقل بسیار ضعیف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اصطلاحی‌اش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قلیل در مقابل آب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بنابراین، منظور آب کمی بوده که شامل یک کرّ و یا دو کرّ می‌شود؛ در نتیجه روایت در مورد خصوص آب قلیل نمی‌باشد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به نظر می‌رسد این احتمال بر خلاف ظاهر روایت است؛ چرا که در این روایت، 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شخص جُنُب نجس است و نمی‌تواند به آب قلیل بزند و ظرفی هم ندارد که با آن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می‌داند که آب قلیل به وسیله ملاقات نجس می‌شود و اگر آب 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آب کرّ را هم شامل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نداشت که امام علیه السلام بفرمایند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 که مشمول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إذا کان قدر کرٍّ لا ینجّسه شیء</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قذارت شرعی که نجاست است، نباشد؛ بلکه منظور نجاست و قذارت عرفی باشد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احتمال نیز بر خلاف ظاهر روایت بوده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چهارمی که در خصوص این روایت بیان شده،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وضو به معنای اصطلاحی نیست؛ بلکه وضو به معنای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شستشو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روایت این می‌شود که چون مستحبّ است انسان قبل از وضو یا غسل دستان خود را بشوید، در اینجا نیز امام علیه السلام ابتدا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را بشوید و سپس غسل 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بیان نیز بیان صحیحی نیست؛ زیرا، همان‌گونه که در تنبیه هشتم از تنبیهات قاعده لاحرج بیان خواهد شد، بنا بر نظری که بعید نیست بتوان آن را به مشهور نسبت داد، قاعده لاحرج فقط با تکلیف‌های الزامی بر خورد دارد و آنها را بر می‌دارد؛ بنابراین، برخوردی با تکلیف‌های استحبابی ندارد؛ گرچه بنا بر تحقیق و به نظر ما، این قاعده در احکام غیر الزامی نیز جریان دارد؛ و این مطلب را در مباحث آینده به اثبات می‌رسانیم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احتمالات و اشکالات وارد بر آنها، روایت برای اثبات مدّعای ما که آیه شریفه به منزلۀ تعلیل است، کافی می‌باشد؛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w:t>
      </w:r>
    </w:p>
    <w:p>
      <w:pPr>
        <w:pStyle w:val="BookText"/>
        <w:rPr/>
      </w:pPr>
      <w:r>
        <w:rPr>
          <w:rFonts w:ascii="IRNazanin" w:hAnsi="IRNazanin" w:eastAsia="IRNazanin"/>
          <w:color w:val="111111"/>
          <w:sz w:val="28"/>
          <w:sz w:val="28"/>
          <w:szCs w:val="28"/>
          <w:rtl w:val="true"/>
          <w:lang w:bidi="fa-IR"/>
        </w:rPr>
        <w:t>برای نفی و رفع حکم حرجی به این آیه شریفه استدلال نموده‌اند؛ امّا این که آن حکم رفع شده کدام است؟ لازم نیست که حتماً معلوم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قسمتی از روایت حمل بر تقیّه شده و بنابراین، قابلیّت استدلال ندارد؛ امّا بر اساس مسأله تبعیض در حجیّت</w:t>
      </w:r>
      <w:r>
        <w:rPr>
          <w:rStyle w:val="FootnoteAnchor"/>
          <w:rtl w:val="true"/>
        </w:rPr>
        <w:footnoteReference w:id="67"/>
      </w:r>
      <w:r>
        <w:rPr>
          <w:rFonts w:ascii="IRNazanin" w:hAnsi="IRNazanin" w:eastAsia="IRNazanin"/>
          <w:color w:val="111111"/>
          <w:sz w:val="28"/>
          <w:sz w:val="28"/>
          <w:szCs w:val="28"/>
          <w:rtl w:val="true"/>
          <w:lang w:bidi="fa-IR"/>
        </w:rPr>
        <w:t>، اگر بر فرض، قسمت اوّل روایتی حمل بر تقیّه شده باشد، استدلال به آیه شریفه در قسمت دوّم روایت کفایت می‌کند و قابلیّت استدلال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إبن‌سنان، عن إبن‌مسکان، عن أبی‌بصیر،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یحمل الرکوة أو التور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فیدخل إصبعه فیه؟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یده قذرة فأهرقه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 کان لم یصبها قذر فلیغتسل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نیز از لحاظ سند صحیح است و مشکلی ندارد؛ امّا معنای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 جُنبی که ظرف آبی را حمل، و انگشتش را داخل آن می‌کند، سؤال کردم که برای غسل چه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نجس بوده و داخل ظرف کرده است، آب را دور بریزد؛ امّا اگر نجاست به آب اصابت نکرده، از آن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مواردی 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بر شما سختی و مشقّتی قرار نداده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دو قسمت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کانت یده قذرة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w:t>
      </w:r>
    </w:p>
    <w:p>
      <w:pPr>
        <w:pStyle w:val="BookText"/>
        <w:rPr/>
      </w:pPr>
      <w:r>
        <w:rPr>
          <w:rFonts w:ascii="IRNazanin" w:hAnsi="IRNazanin" w:eastAsia="IRNazanin"/>
          <w:color w:val="111111"/>
          <w:sz w:val="28"/>
          <w:sz w:val="28"/>
          <w:szCs w:val="28"/>
          <w:rtl w:val="true"/>
          <w:lang w:bidi="fa-IR"/>
        </w:rPr>
        <w:t>لم یصبها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دوّم قرینه می‌شود که منظور از قسمت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یده قذرة وأصابها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 که ممکن است شخصی انگشتش را داخل ظرف کرده باشد، امّا ملاقات با آب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انگشت نجس به آب برخورد کرده باشد، چون آب، قلیل است، نجس شده و نمی‌تواند با آن غسل کند؛ و باید آن را دور بریزد؛ ولی اگر نجاست با آب برخورد نکرده باشد، با آن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بهترین بیان برای وجه استدلال امام علیه السلام به آیه شریفه در این روایت،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مردّد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برخوردی صورت گرفته است یا نه؟ قسمت اوّل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برخورد دارد، آب نجس است و باید آن را دور بریزد؛ امّا قسمت دوّم، خود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آن است که می‌داند دستش به آب برخورد نکرده است؛ بنابراین، علم به عدم نجاست آب دارد و می‌تواند با آن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دوّم این است که نمی‌داند هنگامی که دستش را داخل ظرف کرده، با آب برخوردی داشته است یا نه؟ امام علیه السلام در این صورت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آب داخل ظرف غسل کند و به آیه شریفه استدلال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دیگر نیز در مورد دلالت این روایت بیان شده است؛ احتمال اوّل آن که 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جُنب توهّم می‌کند که هنگام جنابت، قذارت تمام وجودش را می‌گیرد و فکر می‌کند که حتّی اگر دستش آلوده به عین نجاست هم نباشد و با آب برخورد کند، آن آب پاک نیست و باید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و باید دید انگشت نجس به آب برخورد کرده است یا نه؟</w:t>
      </w:r>
      <w:r>
        <w:rPr>
          <w:rStyle w:val="FootnoteAnchor"/>
          <w:rtl w:val="true"/>
        </w:rPr>
        <w:footnoteReference w:id="68"/>
      </w:r>
      <w:r>
        <w:rPr>
          <w:rFonts w:ascii="IRNazanin" w:hAnsi="IRNazanin" w:eastAsia="IRNazanin"/>
          <w:color w:val="111111"/>
          <w:sz w:val="28"/>
          <w:sz w:val="28"/>
          <w:szCs w:val="28"/>
          <w:rtl w:val="true"/>
          <w:lang w:bidi="fa-IR"/>
        </w:rPr>
        <w:t>این احتمال به نظر ما بعید است؛ چرا که شخص متشرّع آگاه به احکام و مسائل دینی، هیچ‌گاه چنین توّهمی نمی‌کند و فرق بین آب قلیل و غیر قلیل را می‌داند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آن است که این روایت، بیشتر ناظر به حکم استحبابیِ اجتناب از آلودگی‌های عرفی است و نه آلودگی شرعی؛ بنابراین، استناد به آیۀ نفی حرج برای نفی</w:t>
      </w:r>
    </w:p>
    <w:p>
      <w:pPr>
        <w:pStyle w:val="BookText"/>
        <w:rPr/>
      </w:pPr>
      <w:r>
        <w:rPr>
          <w:rFonts w:ascii="IRNazanin" w:hAnsi="IRNazanin" w:eastAsia="IRNazanin"/>
          <w:color w:val="111111"/>
          <w:sz w:val="28"/>
          <w:sz w:val="28"/>
          <w:szCs w:val="28"/>
          <w:rtl w:val="true"/>
          <w:lang w:bidi="fa-IR"/>
        </w:rPr>
        <w:t>این حکم استحبابی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احتمال نیز بسیار بعید است؛ زیرا، همان‌گونه که بیان شد، قاعده لاحرج با تکلیف‌های الزامی برخورد دارد، نه تکلیف‌های استحبابی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فضالة بن أیّوب، عن الحسین بن عثمان، عن سماعة بن مهران،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نسافر، فربّما بلینا بالغدیر من المطر یکون إلی جانب القریة، فتکون فیه العذرة، ویبول فیه الصبیّ، وتبول فیه الدابّة، وتروث؟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عرض فی قلبک منه شیء فقل هکذا،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 الماء بیدک، ثمّ توضّأ، فإنّ الدّین لیس بمضیّق؛ فإنّ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شیخ طوسی رحمه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رجال متعدّد مشترک است، منتهی همه آن افراد ثقه می‌باشند؛ بنابراین، اشتراک، ضرری به او نمی‌زند و ثقه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کتاب‌های رجالی توثیق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جلالت قدر و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امام صادق علیه السلام عرض می‌کند که در سفرها چه‌بسا به برکه‌هایی بر می‌خوریم که آب باران در آنها جمع شده و در کنار آبادی است و انواع نجاسات در آن یافت می‌شود؛ فضولات انسان در آن افتاده، بچه‌ها در آن ادرار کرده و ممکن است حیوانات نیز در آن ادرار کرده و یا سرگین آنها در آب باشد، چه کنیم؟</w:t>
      </w:r>
    </w:p>
    <w:p>
      <w:pPr>
        <w:pStyle w:val="BookText"/>
        <w:rPr/>
      </w:pPr>
      <w:r>
        <w:rPr>
          <w:rFonts w:ascii="IRNazanin" w:hAnsi="IRNazanin" w:eastAsia="IRNazanin"/>
          <w:color w:val="111111"/>
          <w:sz w:val="28"/>
          <w:sz w:val="28"/>
          <w:szCs w:val="28"/>
          <w:rtl w:val="true"/>
          <w:lang w:bidi="fa-IR"/>
        </w:rPr>
        <w:t>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شبهه‌ای دارید،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آب را با دستانتان کنار زنید و سپس وضو بگیرید؛ زیرا، در دین تنگنا و سختی نیست؛ خداوند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بر شما سختی و مشقّتی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برکه‌هایی که در آن زمان در اطراف آبادی‌ها بوده، معمولاً گودال‌های بزرگی بودند و آب آنها به اندازۀ کرّ یا بیشتر بوده است؛ بدین ترتیب، این روایت حکمت عدم انفعال آب کرّ را بیان می‌کند که همان نفی عسر و حرج و وجود توسعه و گشایش و رفع تنگنا و مضیقه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مانعی ندارد که نکته‌ای حکمت برای حکمی و علّت برای حکم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إبن أبی‌عمیر، عن إبن اذینه،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علیه السلام عن الجنب یغتسل، فینتضح من الأرض فی الإناء؟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هذا ممّا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شیخ طوسی رحمه الله است و اسناد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احمد بن محمّد، عن أبیه، عن الحسین بن الحسن بن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رحمه الله است که از اجلّاء و بزرگان امامیه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حسن بن ولید است که مرحوم علّامه و شهید ثانی رحمهما الله او را توثیق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محمّد بن حسن بن ولید است که شیخ القمیّین و از ثقات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الحسن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أبوعلی حائری رحمه الله در کتابش او را توثیق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حسین بن سعید بن</w:t>
      </w:r>
    </w:p>
    <w:p>
      <w:pPr>
        <w:pStyle w:val="BookText"/>
        <w:rPr/>
      </w:pPr>
      <w:r>
        <w:rPr>
          <w:rFonts w:ascii="IRNazanin" w:hAnsi="IRNazanin" w:eastAsia="IRNazanin"/>
          <w:color w:val="111111"/>
          <w:sz w:val="28"/>
          <w:sz w:val="28"/>
          <w:szCs w:val="28"/>
          <w:rtl w:val="true"/>
          <w:lang w:bidi="fa-IR"/>
        </w:rPr>
        <w:t>حمّاد است که ثقه است</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أبی‌عمیر است که مرحوم نجاشی رحمه الله و دیگران او را توثیق کرده‌اند و جزء اصحاب اجماع است</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عمر بن اذینة است که شیخ اصحاب بصریّین و ثقه می‌باشد</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فضیل بن یسار النَهدی البصری است که مرحوم نجاشی و شیخ طوسی رحمهما الله او را توثیق کرده‌اند و از اصحاب امام باقر و امام صادق علیهما السلام می‌باشد</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مشکلی ندارد و راویان همه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پرداختن به معنای روایت، لازم است این نکته بیان شود که مرحوم صاحب وسائل رحمه الله در حدیث پنجم همین باب، روایتی را نقل می‌کند که با روایت اوّل یاد شده یکی است؛ نکته‌ای که به عنوان اشکال بر صاحب وسائل رحمه الله می‌توان مطرح کرد این است که ایشان در مواردی در یک باب، چند روایت را ذکر می‌کند که به حسب ظاهر متعددند، اما در واقع یک روایت هستند؛ چرا که راوی اوّل که روایت را از معصوم علیه السلام نقل می‌کند و هم‌چنین مرویّ عنه در آنها یکی است ولی مابقی سند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روایات، این دو روایت است که هم راوی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 عبارت است 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اسماعیل، عن الفضل بن شاذان، عن حمّاد بن عیسی، عن ربعی بن عبداللّه، عن الفضیل بن یسار، 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الجنب یغتسل فینتضح من الماء فی الإناء،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بنابراین، هرچند ظاهر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اوّل اندکی اختلاف در مضمون دارد، ولی در حقیقت، یک روایت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فقه الحدیث این روایت مشخّص گردد، با دو نقلی که در اینجا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فینتضح من الماء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فینتضح من الأرض فی الإناء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که امام علیه السلام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ینتضح من الماء فی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سائل شخص عالمی بوده و می‌دانسته است که یکی از شرائط آبی که می‌توان با آن وضو یا غسل گرفت، آن است که در رفع حدث اکبر استعمال نشده باشد؛ می‌پرسد این که قطراتی از آب غساله به درون ظرف می‌پاشد، آیا برای غسل مشکلی ایجاد می‌کند؟ امام علیه السلام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 آب قلیل موجود در ظرف صحیح است و اشکالی ایجاد نمی‌کند؛ و به آیه نفی حرج استدلال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احتمال، برخی از بزرگان و از جمله محقّق عالیقدر والد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امام علیه السلام به آیه شریفه نفی حرج روشن نیست و نمی‌توان فهمید که تعلیل امام علیه السلام با این معنا چگونه ارتباط پیدا می‌کند؟ چه آن که با داخل شدن قطرات آب در ظرف، آن قطره‌ها در آب موجود در ظرف، معدوم می‌گردند و در این صورت، دیگر استعمال آب مستعمل در رفع حدث اکبر صادق نخواهد بود و در نتیجه، غسل با آن نیز صحیح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البته ممکن است گفته شود این که با داخل شدن قطرات در ظرف آب قلیل، آنها واقعاً مستهلک می‌شوند،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فرض استهلاک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شارع مقدّس آب مستهلک را نادیده می‌گیرد، به دلیل آن است که در دین تنگنا و مضیقه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چندان قوی نبوده و نیاز به دقّت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بنا بر آن که عبارت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فینتضح من الماء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آنجا که بدن شخص جُنب در غالب اوقات آلوده به نجاست است، مقصود سائل این</w:t>
      </w:r>
    </w:p>
    <w:p>
      <w:pPr>
        <w:pStyle w:val="BookText"/>
        <w:rPr/>
      </w:pPr>
      <w:r>
        <w:rPr>
          <w:rFonts w:ascii="IRNazanin" w:hAnsi="IRNazanin" w:eastAsia="IRNazanin"/>
          <w:color w:val="111111"/>
          <w:sz w:val="28"/>
          <w:sz w:val="28"/>
          <w:szCs w:val="28"/>
          <w:rtl w:val="true"/>
          <w:lang w:bidi="fa-IR"/>
        </w:rPr>
        <w:t>است که آب به بدن شخص جنب که نجس است برخورد می‌کند و سپس در ظرف آب می‌افتد؟ امام علیه السلام نیز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به آیۀ شریفه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قطرات، آبِ داخل ظرف را نجس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به نظر می‌رسد که وجه استدلال امام علیه السلام به آیۀ نفی حرج روشن است؛ به خصوص مطابق نظر کسانی که متنجِّس را منجِّس می‌دانند؛ چرا که با افتادن متنجِّس در ظرف آب قلیل، آن را نجس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با استناد به لاحرج می‌گویند در این مورد، چون حرج پیش می‌آید، متنجِّس منجِّس نخواهد بود و غسل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کسی اشکال کند در روایت به نجس بودن بدن شخص جنب تصریح نشده است؛ لذا، این احتمال نیز بعید به نظر می‌رسد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عبارت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فینتضح من الأرض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احتمال، آب غسل شخص بر روی زمین می‌ریزد و از زمین، به داخل ظرف می‌افتد؛ در این فرض، سائل در نجاست و پاکی زمین شک دارد که زمین، بر اثر برخورد آبی که از بدن جنب می‌ریزد، نجس شده و پس از آن به داخل ظرف ریخته است و آن را نیز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روایت به قاعده طهارت اشاره دارد که به طهارت هر چیز مشکوک‌الطهارة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قاعده طهارت قرار می‌گیرد؛ چرا که اگر شارع در باب طهارت و نجاست،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مشکوک الطهارة، محکوم به نجاست است، حرج لازم می‌آمد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ممکن است در اینجا مطرح شود، آن است که لسان قاعده لاحرج، لسان نفی است، نه لسان اثبات؛ و به عبارت دیگر، قاعده لاحرج، مثبِت حکم نیست و بلکه نافی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اینجا به عنوان مثبِت قرار گرفته است؛ چرا که با اصالة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اثبات می‌شود و شیء مشکوک، محکوم به طهارت می‌گردد و این اثبات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مباحث و ادلّه‌ای که در دنباله بحث</w:t>
      </w:r>
    </w:p>
    <w:p>
      <w:pPr>
        <w:pStyle w:val="BookText"/>
        <w:rPr/>
      </w:pPr>
      <w:r>
        <w:rPr>
          <w:rFonts w:ascii="IRNazanin" w:hAnsi="IRNazanin" w:eastAsia="IRNazanin"/>
          <w:color w:val="111111"/>
          <w:sz w:val="28"/>
          <w:sz w:val="28"/>
          <w:szCs w:val="28"/>
          <w:rtl w:val="true"/>
          <w:lang w:bidi="fa-IR"/>
        </w:rPr>
        <w:t>خواهد آمد، می‌توانیم چنین مطلبی که قاعده لاحرج بتواند اثبات حکم کند را استفاده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بإسناده عن أحمد بن محمّد، عن ابن‌محبوب، عن علی‌بن الحسن بن رباط، عن عبدالأعلی مولی آل‌سام،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ظفری، فجعلت علی إصبعی مرارة، فکیف أصنع بالوضوء؟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وأشباهه من کتاب اللّه عزّ وجلّ؛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إمسح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است؛ در رجال نیز ثابت شده که طریق شیخ طوسی رحمه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هیچ اشکالی ندارد؛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 ووجههم وفقیههم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ثقه می‌باشد</w:t>
      </w:r>
      <w:r>
        <w:rPr>
          <w:rStyle w:val="FootnoteAnchor"/>
          <w:rtl w:val="true"/>
        </w:rPr>
        <w:footnoteReference w:id="77"/>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شخصی ثقه است</w:t>
      </w:r>
      <w:r>
        <w:rPr>
          <w:rStyle w:val="FootnoteAnchor"/>
          <w:rtl w:val="true"/>
        </w:rPr>
        <w:footnoteReference w:id="78"/>
      </w:r>
      <w:r>
        <w:rPr>
          <w:rFonts w:ascii="IRNazanin" w:hAnsi="IRNazanin" w:eastAsia="IRNazanin"/>
          <w:color w:val="111111"/>
          <w:sz w:val="28"/>
          <w:sz w:val="28"/>
          <w:szCs w:val="28"/>
          <w:rtl w:val="true"/>
          <w:lang w:bidi="fa-IR"/>
        </w:rPr>
        <w:t>؛ بنابراین، طریق شیخ طوسی رحمه الله به هر دو نفر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اصحاب اجماع است</w:t>
      </w:r>
      <w:r>
        <w:rPr>
          <w:rStyle w:val="FootnoteAnchor"/>
          <w:rtl w:val="true"/>
        </w:rPr>
        <w:footnoteReference w:id="79"/>
      </w:r>
      <w:r>
        <w:rPr>
          <w:rFonts w:ascii="IRNazanin" w:hAnsi="IRNazanin" w:eastAsia="IRNazanin"/>
          <w:color w:val="111111"/>
          <w:sz w:val="28"/>
          <w:sz w:val="28"/>
          <w:szCs w:val="28"/>
          <w:rtl w:val="true"/>
          <w:lang w:bidi="fa-IR"/>
        </w:rPr>
        <w:t>؛ البته در مورد اصحاب اجماع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 است که هرگاه در سند روایتی، یکی از اصحاب اجماع وجود داشت، لازم نیست مابقی روات تا مرویّ عنه بررسی شود و همین مقدار که سند روایت تا اصحاب اجماع صحیح باشد برای حجیّت روایت کافی است؛ امّا نظر دوّم آن است که فقط وثاقت خود اصحاب اجماع مورد اتفاق علماست و وثاقت بقیّه روات نیاز</w:t>
      </w:r>
    </w:p>
    <w:p>
      <w:pPr>
        <w:pStyle w:val="BookText"/>
        <w:rPr/>
      </w:pPr>
      <w:r>
        <w:rPr>
          <w:rFonts w:ascii="IRNazanin" w:hAnsi="IRNazanin" w:eastAsia="IRNazanin"/>
          <w:color w:val="111111"/>
          <w:sz w:val="28"/>
          <w:sz w:val="28"/>
          <w:szCs w:val="28"/>
          <w:rtl w:val="true"/>
          <w:lang w:bidi="fa-IR"/>
        </w:rPr>
        <w:t>به بررسی دارد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از اصحاب امام رضا علیه السلام و از روات مورد اعتماد و ثقه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مرحوم کشّی او را توثیق، و روایتی را در مدح او نقل می‌کند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حمدویه، عن محمّد بن عیسی بن عبید، عن علی بن أسباط، عن سیف بن عمیرة، عن عبدالأعلی،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یعیبون علیّ بالکلام وأنا اکلّم الناس،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مثلک من یقع ثمّ یطیر فنعم، وأمّا من یقع ثمّ لا یطیر فلا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عبدالأعلی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نسبت به علم کلام عیب‌جویی می‌کنند در حالی که با آنان صحبت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که می‌افتد و بعد پرواز می‌کند، عیبی ندارد که راجع به موضوع کلام بحث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آن 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علمی تو خوب است و اگر اشکالی به تو وارد شود، بلافاصله می‌توانی جواب 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کسی به او اشکال شود و در جواب بماند، حق ندارد در علم کلام وارد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بر مدح عبدالأعلی دلالت دارد؛ منتهی از آنجا که راوی آن خود عبدالأعلی است، قابلیّت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نکته‌ای که لازم است به آن توجّه شود، این است که در کتب رجال فرد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بن أعین مولی آل‌سام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فردی موثّق و از اصحاب امام صادق علیه السلام است؛ و مرحوم شیخ مفید رحمه الله نیز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به وثاقت او شهادت داده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مرحوم شیخ کلینی رحمه الله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نکاح 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می‌کند که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راوی، دو فرد نیستند</w:t>
      </w:r>
      <w:r>
        <w:rPr>
          <w:rStyle w:val="FootnoteAnchor"/>
          <w:rtl w:val="true"/>
        </w:rPr>
        <w:footnoteReference w:id="84"/>
      </w:r>
      <w:r>
        <w:rPr>
          <w:rFonts w:ascii="IRNazanin" w:hAnsi="IRNazanin" w:eastAsia="IRNazanin"/>
          <w:color w:val="111111"/>
          <w:sz w:val="28"/>
          <w:sz w:val="28"/>
          <w:szCs w:val="28"/>
          <w:rtl w:val="true"/>
          <w:lang w:bidi="fa-IR"/>
        </w:rPr>
        <w:t>؛ لکن مرحوم شیخ طوسی رحمه الله معتقد است که اینها دو نفر هستند و لذا، اسم هر دو را به طور مستقلّ و جداگانه ضمن یاران و اصحاب امام صادق علیه السلام ذکر می‌کند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نیز به همین دلیل به روایت اشکال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اعتباری ندارد؛ چرا که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مولی آل‌سام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امّا به نظر می‌رسد، ظاهراً هر دو راوی یکی هستند و قراینی نیز بر ترجیح سخن مرحوم کلینی رحمه الله وجود دارد که در جای خود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روایت از نظر سند اشکالی ندارد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راوی به امام صادق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زمین افتادم و ناخنم قطع شد، پارچه‌ای را بر انگشتم بستم، هنگام وضو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پرسش و امثال آن از کتاب خدا بدست می‌آید؛ زیرا، خداوند فرموده که در دین بر شما حرجی قرار داده نشده است؛ پس، بر آن مسح کن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روشن‌ترین روایات برای اثبات قاعده است؛ چراکه امام علیه السلام به صراحت حکم مسأله را به کتاب خدا ارجاع داده و فرموده‌اند که امثال و نظایر این موضوعات را از قرآن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دیگر این احتمال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 از قبیل حکمت حکم است و نه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روایت چنین شائبه‌ای وجود ندارد و صریحاً نفی حرج، علّت حکم بیان شده است</w:t>
      </w:r>
      <w:r>
        <w:rPr>
          <w:rFonts w:eastAsia="IRNazanin" w:cs="IRNazanin"/>
          <w:color w:val="111111"/>
          <w:sz w:val="28"/>
          <w:szCs w:val="28"/>
          <w:rtl w:val="true"/>
          <w:lang w:bidi="fa-IR"/>
        </w:rPr>
        <w:t>.</w:t>
      </w:r>
      <w:bookmarkStart w:id="69" w:name="pg844_8047"/>
    </w:p>
    <w:p>
      <w:pPr>
        <w:pStyle w:val="BookText"/>
        <w:rPr/>
      </w:pPr>
      <w:bookmarkEnd w:id="69"/>
      <w:r>
        <w:rPr>
          <w:rFonts w:ascii="IRNazanin" w:hAnsi="IRNazanin" w:eastAsia="IRNazanin"/>
          <w:color w:val="111111"/>
          <w:sz w:val="28"/>
          <w:sz w:val="28"/>
          <w:szCs w:val="28"/>
          <w:rtl w:val="true"/>
          <w:lang w:bidi="fa-IR"/>
        </w:rPr>
        <w:t xml:space="preserve">نکته دیگر، در مورد حکم مرفوع در این روایت می‌باشد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المسح علی 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ناخن انگشت جدا شده و پارچه‌ای بر روی آن بسته شده است، دیگر لازم نیست که بر پوست مسح شود، بلکه بر همان جبیره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مطالب آینده، در بحث تنبیهات قاعده اشاره می‌نمائیم که از این روایت می‌توانیم استفاده کنیم قاعده لاحرج همان‌طور که در احکام تکلیفی جریان دارد، در احکام وضعی نیز جریان دارد و شرط صحّت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دست بر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حرج، که از احکام وضعی است، برداشته می‌شود</w:t>
      </w:r>
      <w:r>
        <w:rPr>
          <w:rFonts w:eastAsia="IRNazanin" w:cs="IRNazanin"/>
          <w:color w:val="111111"/>
          <w:sz w:val="28"/>
          <w:szCs w:val="28"/>
          <w:rtl w:val="true"/>
          <w:lang w:bidi="fa-IR"/>
        </w:rPr>
        <w:t>.</w:t>
      </w:r>
    </w:p>
    <w:p>
      <w:pPr>
        <w:pStyle w:val="Heading5"/>
        <w:numPr>
          <w:ilvl w:val="4"/>
          <w:numId w:val="1"/>
        </w:numPr>
        <w:rPr/>
      </w:pPr>
      <w:bookmarkStart w:id="70" w:name="__RefHeading___Toc6877268_211673320"/>
      <w:bookmarkStart w:id="71" w:name="_Toc27"/>
      <w:bookmarkEnd w:id="70"/>
      <w:r>
        <w:rPr>
          <w:rtl w:val="true"/>
        </w:rPr>
        <w:t>اشکالات وارد شده بر روایت</w:t>
      </w:r>
      <w:bookmarkEnd w:id="71"/>
    </w:p>
    <w:p>
      <w:pPr>
        <w:pStyle w:val="BookText"/>
        <w:rPr/>
      </w:pPr>
      <w:r>
        <w:rPr>
          <w:rFonts w:ascii="IRNazanin" w:hAnsi="IRNazanin" w:eastAsia="IRNazanin"/>
          <w:color w:val="111111"/>
          <w:sz w:val="28"/>
          <w:sz w:val="28"/>
          <w:szCs w:val="28"/>
          <w:rtl w:val="true"/>
          <w:lang w:bidi="fa-IR"/>
        </w:rPr>
        <w:t>علاوه بر اشکال سندی روایت که از آن پاسخ دادیم، دو اشکال دیگر بر این روایت مطرح شده و در کلمات فقها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اوّل</w:t>
      </w:r>
    </w:p>
    <w:p>
      <w:pPr>
        <w:pStyle w:val="BookText"/>
        <w:rPr/>
      </w:pPr>
      <w:r>
        <w:rPr>
          <w:rFonts w:ascii="IRNazanin" w:hAnsi="IRNazanin" w:eastAsia="IRNazanin"/>
          <w:color w:val="111111"/>
          <w:sz w:val="28"/>
          <w:sz w:val="28"/>
          <w:szCs w:val="28"/>
          <w:rtl w:val="true"/>
          <w:lang w:bidi="fa-IR"/>
        </w:rPr>
        <w:t>در اشکال اوّل بیان شده که نفی حرج، وجوب وضو به شکل وضوی شخص مختار را نفی می‌کند، و در نتیجه آشکار می‌شود که مسح بر پوست واجب نیست؛ امّا وجوب مسح بر جبیره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اشکال در کیفیّت استفاده وجوب مسح بر جبیره است که چگونه از آیه شریفه این حکم استفاده می‌شود که امام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بیان من نیست و اگر خود به قرآن مراجعه می‌کردید، می‌توانستید تکلیف را بدانید؟</w:t>
      </w:r>
    </w:p>
    <w:p>
      <w:pPr>
        <w:pStyle w:val="BookText"/>
        <w:rPr/>
      </w:pPr>
      <w:r>
        <w:rPr>
          <w:rFonts w:ascii="IRNazanin" w:hAnsi="IRNazanin" w:eastAsia="IRNazanin"/>
          <w:color w:val="111111"/>
          <w:sz w:val="28"/>
          <w:sz w:val="28"/>
          <w:szCs w:val="28"/>
          <w:rtl w:val="true"/>
          <w:lang w:bidi="fa-IR"/>
        </w:rPr>
        <w:t>پاسخ شیخ انصاری قدس سره</w:t>
      </w:r>
    </w:p>
    <w:p>
      <w:pPr>
        <w:pStyle w:val="BookText"/>
        <w:rPr/>
      </w:pPr>
      <w:r>
        <w:rPr>
          <w:rFonts w:ascii="IRNazanin" w:hAnsi="IRNazanin" w:eastAsia="IRNazanin"/>
          <w:color w:val="111111"/>
          <w:sz w:val="28"/>
          <w:sz w:val="28"/>
          <w:szCs w:val="28"/>
          <w:rtl w:val="true"/>
          <w:lang w:bidi="fa-IR"/>
        </w:rPr>
        <w:t>شیخ اعظم در بیان حجیّت ظواهر کتاب، به این حدیث استناد کرده و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واجب در وضو مشتمل بر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کشیدن و امرار دست بر محل مسح؛ و دیگر آن که دست باید بر پوست پا کشیده شود؛ و آن‌چه در مورد سؤال، حرجی و دشوار می‌باشد، فقط عمل اخیر است، نه مابقی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از این وظیفه صرف‌نظر کرده و به جای آن مسح بر روی پارچه را پذیرفته است؛ امّا سقوط این حکم به سبب</w:t>
      </w:r>
    </w:p>
    <w:p>
      <w:pPr>
        <w:pStyle w:val="BookText"/>
        <w:rPr/>
      </w:pPr>
      <w:r>
        <w:rPr>
          <w:rFonts w:ascii="IRNazanin" w:hAnsi="IRNazanin" w:eastAsia="IRNazanin"/>
          <w:color w:val="111111"/>
          <w:sz w:val="28"/>
          <w:sz w:val="28"/>
          <w:szCs w:val="28"/>
          <w:rtl w:val="true"/>
          <w:lang w:bidi="fa-IR"/>
        </w:rPr>
        <w:t xml:space="preserve">حرج، موجب سقوط وظیفه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 الید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نمی‌شود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اشکال پاسخ شیخ انصاری رحمه الله</w:t>
      </w:r>
    </w:p>
    <w:p>
      <w:pPr>
        <w:pStyle w:val="BookText"/>
        <w:rPr/>
      </w:pPr>
      <w:r>
        <w:rPr>
          <w:rFonts w:ascii="IRNazanin" w:hAnsi="IRNazanin" w:eastAsia="IRNazanin"/>
          <w:color w:val="111111"/>
          <w:sz w:val="28"/>
          <w:sz w:val="28"/>
          <w:szCs w:val="28"/>
          <w:rtl w:val="true"/>
          <w:lang w:bidi="fa-IR"/>
        </w:rPr>
        <w:t>از پاسخ مرحوم شیخ انصاری رحمه الله دو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سخن بر خلاف ظاهر است؛ چرا که اگر ما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المسح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به دو حکم مطرح نیست؛ همان‌گونه که در شستن صورت و دو دست به انحلال دو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دست بر صورت و رساندن آب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در مورد مسح نیز به همین صورت است؛ آیۀ وضوء</w:t>
      </w:r>
      <w:r>
        <w:rPr>
          <w:rStyle w:val="FootnoteAnchor"/>
          <w:rtl w:val="true"/>
        </w:rPr>
        <w:footnoteReference w:id="88"/>
      </w:r>
      <w:r>
        <w:rPr>
          <w:rFonts w:ascii="IRNazanin" w:hAnsi="IRNazanin" w:eastAsia="IRNazanin"/>
          <w:color w:val="111111"/>
          <w:sz w:val="28"/>
          <w:sz w:val="28"/>
          <w:szCs w:val="28"/>
          <w:rtl w:val="true"/>
          <w:lang w:bidi="fa-IR"/>
        </w:rPr>
        <w:t>نیز بر وجود دو امر دلالت نداشته و فقط بر مسح پا دلالت دارد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دیگر آن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حکم، عنوان مقدّمه و ذی‌المقدّمه دارند؛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 الید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المسح علی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 که خودش فی‌نفسه امر مطلوبی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وجوب ذی‌المقدّمه به وسیلۀ آیۀ نفی حرج برداشته شد، وجوب مقدّمه نیز از بین می‌رود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به نظر می‌رسد اشکال دوّم بر سخن مرحوم شیخ انصاری رحمه الله وارد نیست؛ زیرا، اوّلاً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مقدّمه و ذی‌المقدّمه در موردی مطرح می‌شود که ذی‌المقدّمه یک وجوب نفسی داشته باشد؛ امّا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المسح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اجزای وضوء، واجب ضمنی وغیری است وعنوان وجوب نفسی ندارد واین رأی‌مشهور قدمای اصولیین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قائلند که وجوب اجزای مرکب، وجوب نفسی ضمنی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لسان ادلّه، 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شارع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و دارای دو ماهیّت جدای</w:t>
      </w:r>
    </w:p>
    <w:p>
      <w:pPr>
        <w:pStyle w:val="BookText"/>
        <w:rPr/>
      </w:pPr>
      <w:r>
        <w:rPr>
          <w:rFonts w:ascii="IRNazanin" w:hAnsi="IRNazanin" w:eastAsia="IRNazanin"/>
          <w:color w:val="111111"/>
          <w:sz w:val="28"/>
          <w:sz w:val="28"/>
          <w:szCs w:val="28"/>
          <w:rtl w:val="true"/>
          <w:lang w:bidi="fa-IR"/>
        </w:rPr>
        <w:t xml:space="preserve">از یکدیگر هستند؛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باید به صورت و دست‌ها برسد؛ به همین جهت، می‌توان صورت و دست‌ها را زیر شیر آب گرفت و وضو را به صورت ارتماسی انجام داد؛ و یا به وسیله ظرفی آب را به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رساندن رطوبت به پوست موضوعیّت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موضوعیّت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 که کشیدن دست، مقدّمه حصول مسح و رسیدن رطوبت به پوست است؛ بلکه خودِ کشیدن دست، حقیقت مسح را تشکیل می‌دهد و دارای موضوعیّت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ایراد کلام شیخ انصاری رحمه الله خلاف ظاهر بودن آن است و اشکال دوّم با بیان فوق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به دو بیان نقل شده است؛</w:t>
      </w:r>
    </w:p>
    <w:p>
      <w:pPr>
        <w:pStyle w:val="BookText"/>
        <w:rPr/>
      </w:pPr>
      <w:r>
        <w:rPr>
          <w:rFonts w:ascii="IRNazanin" w:hAnsi="IRNazanin" w:eastAsia="IRNazanin"/>
          <w:color w:val="111111"/>
          <w:sz w:val="28"/>
          <w:sz w:val="28"/>
          <w:szCs w:val="28"/>
          <w:rtl w:val="true"/>
          <w:lang w:bidi="fa-IR"/>
        </w:rPr>
        <w:t xml:space="preserve">بیان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چرا که قاعده لاحرج فقط بر نفی وجوب مسح بر پوست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مسح بر جبیره که بدل مسح بر بشره است را از قاعده میسور استفاده می‌کنیم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اشکال این جواب آن است که مورد قاعده میسور جایی می‌باشد که اگر امتثال جزء یا شرطی ممتنع شد، لازم است که مابقی اجزاء آورده شود و ترک بقیه اجزاء جایز نیست؛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قدرت ندارد که سجده نماز را بجاآورد، قاعده میسور می‌گوید باید بقیّه اجزای نماز را انجام دهد، امّا هیچ‌گاه دلالت ندارد که آن را با اشاره انجام دهد و نمی‌تواند فعلی را بدل از فعل دیگری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میسور فقط بر انجام بقیّه اجزاء دلالت دارد و وجوب مسح بر جبیره را که بدل مسح بر پوست است، نمی‌تواند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قاعدۀ میسور با قاعدۀ لاحرج در عدم اثبات بدلیّت مشترک 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این که قاعده لاحرج یکی از ادلّه قاعده میسور است؛ و این، در صورتی</w:t>
      </w:r>
    </w:p>
    <w:p>
      <w:pPr>
        <w:pStyle w:val="BookText"/>
        <w:rPr/>
      </w:pPr>
      <w:r>
        <w:rPr>
          <w:rFonts w:ascii="IRNazanin" w:hAnsi="IRNazanin" w:eastAsia="IRNazanin"/>
          <w:color w:val="111111"/>
          <w:sz w:val="28"/>
          <w:sz w:val="28"/>
          <w:szCs w:val="28"/>
          <w:rtl w:val="true"/>
          <w:lang w:bidi="fa-IR"/>
        </w:rPr>
        <w:t>خواهد بود که قاعده میسور بتواند علاوه بر اثبات انجام بقیه اجزاء، مسأله بدلیّت را نیز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اثبات بدلیّت بعید و مشکل است؛ اما اگر کسی بگوید قاعده میسور می‌تواند اثبات بدلیّت کند،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لاحرج دلیل بر قاعده میسور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میسور 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دوّم</w:t>
      </w:r>
    </w:p>
    <w:p>
      <w:pPr>
        <w:pStyle w:val="BookText"/>
        <w:rPr/>
      </w:pPr>
      <w:r>
        <w:rPr>
          <w:rFonts w:ascii="IRNazanin" w:hAnsi="IRNazanin" w:eastAsia="IRNazanin"/>
          <w:color w:val="111111"/>
          <w:sz w:val="28"/>
          <w:sz w:val="28"/>
          <w:szCs w:val="28"/>
          <w:rtl w:val="true"/>
          <w:lang w:bidi="fa-IR"/>
        </w:rPr>
        <w:t>در این اشکال بیان شده است که در وضو بین مسح بر سر و مسح بر قدمین تفاوت است؛ چرا که در مورد مسح بر سر در آیۀ شریفه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بِرُءُوسِکُمْ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بدین معنا که در مسح بر سر استیعاب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طولی و نه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بر قسمتی از آن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مسح بر قدمین، استیعاب طولی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باید دست خود را تا برآمدگی روی پاها به عنوان مسح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استیعاب عرضی برداشته شده است؛ بدین صورت که لازم نیست بر روی تمام پا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شخصی که زمین می‌خورد، در یک لحظه که هر پنج ناخن پای او کنده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چهار ناخن آن نیز کنده شود، می‌تواند بر یک ناخن مسح کند و دیگر مسح بر جبیره لازم نخواهد بود؛ پس، چرا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إمسح علی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94"/>
      </w:r>
      <w:r>
        <w:rPr>
          <w:rFonts w:ascii="IRNazanin" w:hAnsi="IRNazanin" w:eastAsia="IRNazanin"/>
          <w:color w:val="111111"/>
          <w:sz w:val="28"/>
          <w:sz w:val="28"/>
          <w:szCs w:val="28"/>
          <w:rtl w:val="true"/>
          <w:lang w:bidi="fa-IR"/>
        </w:rPr>
        <w:t>در مقام جواب از این اشکال، ضمن پذیرفتن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بر ناخن‌های دست حمل می‌کنیم؛ چرا که دست بر خلاف پا می‌باشد و لازم است که هر یک از انگشتان دست به صورت کامل شسته شود؛ بنابراین، حتّی اگر یک ناخن انگشت دست کنده شده باشد، می‌توان روی آن پارچه‌ای گذاشت و وضوی جبیره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شستن ناخنِ پانسمان شده، موجب حرج خواهد بود</w:t>
      </w:r>
      <w:r>
        <w:rPr>
          <w:rFonts w:eastAsia="IRNazanin" w:cs="IRNazanin"/>
          <w:color w:val="111111"/>
          <w:sz w:val="28"/>
          <w:szCs w:val="28"/>
          <w:rtl w:val="true"/>
          <w:lang w:bidi="fa-IR"/>
        </w:rPr>
        <w:t>.</w:t>
      </w:r>
      <w:bookmarkStart w:id="72" w:name="pg844_8055"/>
    </w:p>
    <w:p>
      <w:pPr>
        <w:pStyle w:val="BookText"/>
        <w:rPr/>
      </w:pPr>
      <w:bookmarkEnd w:id="72"/>
      <w:r>
        <w:rPr>
          <w:rFonts w:ascii="IRNazanin" w:hAnsi="IRNazanin" w:eastAsia="IRNazanin"/>
          <w:color w:val="111111"/>
          <w:sz w:val="28"/>
          <w:sz w:val="28"/>
          <w:szCs w:val="28"/>
          <w:rtl w:val="true"/>
          <w:lang w:bidi="fa-IR"/>
        </w:rPr>
        <w:t>اشکال‌های پاسخ فوق</w:t>
      </w:r>
    </w:p>
    <w:p>
      <w:pPr>
        <w:pStyle w:val="BookText"/>
        <w:rPr/>
      </w:pPr>
      <w:r>
        <w:rPr>
          <w:rFonts w:ascii="IRNazanin" w:hAnsi="IRNazanin" w:eastAsia="IRNazanin"/>
          <w:color w:val="111111"/>
          <w:sz w:val="28"/>
          <w:sz w:val="28"/>
          <w:szCs w:val="28"/>
          <w:rtl w:val="true"/>
          <w:lang w:bidi="fa-IR"/>
        </w:rPr>
        <w:t xml:space="preserve">اگر گفته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ناخن دست است، با چند اشکال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امام علیه السلام در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إمسح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در مورد دست مسأله مسح مطرح نیست، و بلکه شستن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منظور ناخن‌های دست بود، حضرت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پاسخ فوق این است که اگر بگوییم لاحرج دلالت بر استبدال در محل غسل مانند دست دارد، در مورد بیماری که قادر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خود آب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آب برای صورت او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گفته شود که پارچه‌ای بر روی صورت گذارد و روی آن مسح کند؛ چرا که مسح بدل از غسل است و نباید از این جهت تفاوتی میان دست و صورت باشد؛ در حالی که هیچ‌یک از فقیهان چنین فتوایی نداده و مسح را از مراتب غَسل و به جای آن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وجود این قرائن به این نتیجه می‌رسیم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ناخن‌های پا می‌باشد نه ناخن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دفع اشکال دوّم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زمین خوردن راوی به گونه‌ای بوده که امکان مسح بر هیچ یک از ناخن‌های پای او ممکن نبوده است، به این معنا که یا همه ناخن‌های پا شکسته است و یا اگر برخی شکسته شده به نحوی که عملاً امکان مسح بر مابقی ناخن‌ها نیست؛ به همین جهت، امام علیه السلام به او فرمودند که بر جبیره مسح نماید</w:t>
      </w:r>
      <w:r>
        <w:rPr>
          <w:rFonts w:eastAsia="IRNazanin" w:cs="IRNazanin"/>
          <w:color w:val="111111"/>
          <w:sz w:val="28"/>
          <w:szCs w:val="28"/>
          <w:rtl w:val="true"/>
          <w:lang w:bidi="fa-IR"/>
        </w:rPr>
        <w:t>.</w:t>
      </w:r>
    </w:p>
    <w:p>
      <w:pPr>
        <w:pStyle w:val="Heading5"/>
        <w:numPr>
          <w:ilvl w:val="4"/>
          <w:numId w:val="1"/>
        </w:numPr>
        <w:rPr/>
      </w:pPr>
      <w:bookmarkStart w:id="73" w:name="__RefHeading___Toc6877270_211673320"/>
      <w:bookmarkStart w:id="74" w:name="_Toc28"/>
      <w:bookmarkEnd w:id="73"/>
      <w:r>
        <w:rPr>
          <w:rtl w:val="true"/>
        </w:rPr>
        <w:t xml:space="preserve">اشکال صاحب </w:t>
      </w:r>
      <w:r>
        <w:rPr>
          <w:rtl w:val="true"/>
        </w:rPr>
        <w:t>«</w:t>
      </w:r>
      <w:r>
        <w:rPr>
          <w:rtl w:val="true"/>
        </w:rPr>
        <w:t>منتقی</w:t>
      </w:r>
      <w:r>
        <w:rPr>
          <w:rtl w:val="true"/>
        </w:rPr>
        <w:t xml:space="preserve">» </w:t>
      </w:r>
      <w:r>
        <w:rPr>
          <w:rtl w:val="true"/>
        </w:rPr>
        <w:t>بر قاعدۀ لا حرج</w:t>
      </w:r>
      <w:bookmarkEnd w:id="7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الأصول</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دلالت تمامی روایات به جز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مولی آل‌سام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مورد مناقشه قرار گرفته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ظهوری در مدّعای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حکم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بلکه عهده‌دار اثبات حکم آسان می‌باشند؛ یعنی</w:t>
      </w:r>
      <w:bookmarkStart w:id="75" w:name="pg844_8058"/>
    </w:p>
    <w:p>
      <w:pPr>
        <w:pStyle w:val="BookText"/>
        <w:rPr/>
      </w:pPr>
      <w:bookmarkEnd w:id="75"/>
      <w:r>
        <w:rPr>
          <w:rFonts w:ascii="IRNazanin" w:hAnsi="IRNazanin" w:eastAsia="IRNazanin"/>
          <w:color w:val="111111"/>
          <w:sz w:val="28"/>
          <w:sz w:val="28"/>
          <w:szCs w:val="28"/>
          <w:rtl w:val="true"/>
          <w:lang w:bidi="fa-IR"/>
        </w:rPr>
        <w:t>حکم موجود در شریعت، عنوان حرجی ندارد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ابوبصیر بیان می‌کند که با آب برکه‌ای که آلوده به ادرار کودکان و سرگین حیوانات است، می‌توان وضو گرفت؛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وضوگرفتن تا این حدّ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این روایت بر نفی حکم حرجی دلالت ندارد</w:t>
      </w:r>
      <w:r>
        <w:rPr>
          <w:rFonts w:eastAsia="IRNazanin" w:cs="IRNazanin"/>
          <w:color w:val="111111"/>
          <w:sz w:val="28"/>
          <w:szCs w:val="28"/>
          <w:rtl w:val="true"/>
          <w:lang w:bidi="fa-IR"/>
        </w:rPr>
        <w:t>.</w:t>
      </w:r>
    </w:p>
    <w:p>
      <w:pPr>
        <w:pStyle w:val="Heading5"/>
        <w:numPr>
          <w:ilvl w:val="4"/>
          <w:numId w:val="1"/>
        </w:numPr>
        <w:rPr/>
      </w:pPr>
      <w:bookmarkStart w:id="76" w:name="__RefHeading___Toc6877272_211673320"/>
      <w:bookmarkStart w:id="77" w:name="_Toc29"/>
      <w:bookmarkEnd w:id="76"/>
      <w:r>
        <w:rPr>
          <w:rtl w:val="true"/>
        </w:rPr>
        <w:t xml:space="preserve">پاسخ اشکال صاحب </w:t>
      </w:r>
      <w:r>
        <w:rPr>
          <w:rtl w:val="true"/>
        </w:rPr>
        <w:t>«</w:t>
      </w:r>
      <w:r>
        <w:rPr>
          <w:rtl w:val="true"/>
        </w:rPr>
        <w:t>منتقی الأصول</w:t>
      </w:r>
      <w:r>
        <w:rPr>
          <w:rtl w:val="true"/>
        </w:rPr>
        <w:t>»</w:t>
      </w:r>
      <w:bookmarkEnd w:id="77"/>
    </w:p>
    <w:p>
      <w:pPr>
        <w:pStyle w:val="BookText"/>
        <w:rPr/>
      </w:pPr>
      <w:r>
        <w:rPr>
          <w:rFonts w:ascii="IRNazanin" w:hAnsi="IRNazanin" w:eastAsia="IRNazanin"/>
          <w:color w:val="111111"/>
          <w:sz w:val="28"/>
          <w:sz w:val="28"/>
          <w:szCs w:val="28"/>
          <w:rtl w:val="true"/>
          <w:lang w:bidi="fa-IR"/>
        </w:rPr>
        <w:t>چند جواب از این بیان و اشکال وجود دارد؛</w:t>
      </w:r>
    </w:p>
    <w:p>
      <w:pPr>
        <w:pStyle w:val="BookText"/>
        <w:rPr/>
      </w:pPr>
      <w:r>
        <w:rPr>
          <w:rFonts w:ascii="IRNazanin" w:hAnsi="IRNazanin" w:eastAsia="IRNazanin"/>
          <w:color w:val="111111"/>
          <w:sz w:val="28"/>
          <w:sz w:val="28"/>
          <w:szCs w:val="28"/>
          <w:rtl w:val="true"/>
          <w:lang w:bidi="fa-IR"/>
        </w:rPr>
        <w:t xml:space="preserve">پاسخ اوّل این است که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عروة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سند و دلالت تامّ و صحیح می‌باشد را متعرّض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امام صادق علیه السلام در مورد مردی که در حال احرام وضو می‌گیرد و در صدد اسباغ وضو است و چند مو از ریش او کنده می‌شود، سؤال شده است که حضرت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بحث دلالی این روایت بیان نمودیم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در روز چند مرتبه وضو می‌گیرد اگر قرار باشد به ازای هر بار کنده شدن مو از بدنش کفّاره دهد، این حکم موجب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 حکم وجوب کفّاره در این مورد حرجی است که امام علیه السلام آن را با استدلال به آیه شریفه نفی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یادشده به خوبی بر نفی حکم حرجی دلالت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ادلّه وارده در قاعده لاحرج چنین استفاده می‌شود که در برخی از موارد این قاعده نسبت به احکام اولیّه حکومت دارد و در برخی از موارد دیگر دلالت بر عدم جعل حکم حرجی از سوی شارع دارد، بدون این که هیچ‌گونه حکومتی وجود داشته باشد؛ بنابراین، لازم نیست که این قاعده همیشه دلالت بر رفع یک حکم</w:t>
      </w:r>
      <w:bookmarkStart w:id="78" w:name="pg844_8060"/>
    </w:p>
    <w:p>
      <w:pPr>
        <w:pStyle w:val="BookText"/>
        <w:rPr/>
      </w:pPr>
      <w:bookmarkEnd w:id="78"/>
      <w:r>
        <w:rPr>
          <w:rFonts w:ascii="IRNazanin" w:hAnsi="IRNazanin" w:eastAsia="IRNazanin"/>
          <w:color w:val="111111"/>
          <w:sz w:val="28"/>
          <w:sz w:val="28"/>
          <w:szCs w:val="28"/>
          <w:rtl w:val="true"/>
          <w:lang w:bidi="fa-IR"/>
        </w:rPr>
        <w:t>ثابت و نفی یک حکم حرجی که به دلیل دیگر ثابت بوده،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حرجی را استظهار نموده‌اند، امّا نسبت به بقیّه روایات چنین ادّعا و استظهاری نمی‌کند؛ در حالی که لسان و سیاق روایات از این جهت واحد است؛ بنابراین، استظهار ایشان صحیح نمی‌نماید</w:t>
      </w:r>
      <w:r>
        <w:rPr>
          <w:rFonts w:eastAsia="IRNazanin" w:cs="IRNazanin"/>
          <w:color w:val="111111"/>
          <w:sz w:val="28"/>
          <w:szCs w:val="28"/>
          <w:rtl w:val="true"/>
          <w:lang w:bidi="fa-IR"/>
        </w:rPr>
        <w:t>.</w:t>
      </w:r>
    </w:p>
    <w:p>
      <w:pPr>
        <w:pStyle w:val="Heading5"/>
        <w:numPr>
          <w:ilvl w:val="4"/>
          <w:numId w:val="1"/>
        </w:numPr>
        <w:rPr/>
      </w:pPr>
      <w:bookmarkStart w:id="79" w:name="__RefHeading___Toc6877274_211673320"/>
      <w:bookmarkStart w:id="80" w:name="_Toc30"/>
      <w:bookmarkEnd w:id="79"/>
      <w:r>
        <w:rPr>
          <w:rtl w:val="true"/>
        </w:rPr>
        <w:t>جمع‌بندی مطالب و نکات آیۀ شریفه</w:t>
      </w:r>
      <w:bookmarkEnd w:id="80"/>
    </w:p>
    <w:p>
      <w:pPr>
        <w:pStyle w:val="BookText"/>
        <w:rPr/>
      </w:pPr>
      <w:r>
        <w:rPr>
          <w:rFonts w:ascii="IRNazanin" w:hAnsi="IRNazanin" w:eastAsia="IRNazanin"/>
          <w:color w:val="111111"/>
          <w:sz w:val="28"/>
          <w:sz w:val="28"/>
          <w:szCs w:val="28"/>
          <w:rtl w:val="true"/>
          <w:lang w:bidi="fa-IR"/>
        </w:rPr>
        <w:t>از مجموع مباحثی که در ذیل آیۀ شریفه و روایات بیان شد، شش مطلب بدست می‌آید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ادّعای مشهور مبنی بر دلالت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حکم حرجی در شریعت، و این که چنان‌چه یکی از احکام الزامی امتثال آن منجر به حرج شود، دیگر آن الزام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این آیه شریفه بر مدّعا تامّ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مجموع روایات و به خصوص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تعلیلی دارد و صرف حکمت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روایاتی که در ذیل آیۀ شریفه بیان گردید، به قرینه مورد و سؤال مطرح شده در آنها استفاده می‌شود که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از خود آیه شریفه به تنهایی نمی‌توان چنین مطلبی را استفاده نمود، بلکه با قرینیّت روایات به این معنا می‌توان رسید؛ و در مباحث آینده نیز روشن خواهیم ساخت که ملاک صحیح و دقیق عبارت از تسهیل است؛ و بین این تعبیر و عنوان امتنان فرق روشنی وجود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بحث‌هایی که در قاعده 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تنبیهات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این است که منظور از حرج چیست؟ آیا حرج شخصی مراد است یا حرج نوعی؟ گستره بحث را در قسمت تنبیهات ذکر می‌کنیم؛ امّا به طور اجمال، اگر بگوییم حرج شخصی</w:t>
      </w:r>
    </w:p>
    <w:p>
      <w:pPr>
        <w:pStyle w:val="BookText"/>
        <w:rPr/>
      </w:pPr>
      <w:r>
        <w:rPr>
          <w:rFonts w:ascii="IRNazanin" w:hAnsi="IRNazanin" w:eastAsia="IRNazanin"/>
          <w:color w:val="111111"/>
          <w:sz w:val="28"/>
          <w:sz w:val="28"/>
          <w:szCs w:val="28"/>
          <w:rtl w:val="true"/>
          <w:lang w:bidi="fa-IR"/>
        </w:rPr>
        <w:t>مراد است، در این صورت، حرج درباره هر شخصی به حسب خودش مورد توجّه قرار می‌گیرد؛ اگر گرفتن وضو،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مکلّف معیّنی حرجی بود، تنها حکم وجوب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بگوییم حرج نوعی ملاک است، در این صورت، امتثال حکم باید برای نوع مکلّفین حرجی باشد؛ مثلاً از میان صد نفر، حدود نود نفر بگویند که انجام این حکم برای آنها سخت و حرجی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روایات وارده ذیل آیۀ شریفه نیز این سؤال مطرح می‌شود که دلالت آنها بر حرج شخصی است یا حرج نوعی؟</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برای حرج شخصی و نیز حرج نوعی قرینه وجود دارد؛ به این صورت که در آیۀ شریفه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ظهور در حرج شخصی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 کلّ واحد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منظور از حرج، حرج شخصی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قرینۀ حرج نوعی آن است که شارع مقدّس با بیان این آیۀ شریفه در مقام قانونگذاری و جعل این قانون است که حکم حرجی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مقام قانونگذاری مورد توجّه قرار می‌گیرد، این است که قانون به فراخور حال نوع و عموم مردم جعل می‌شود؛ بنابراین، اگر حکمی برای بیشتر مکلّفین حرجی باشد، برداشته می‌شود نه آن که برای شخصی خاص مشقّت و سختی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روایات نیز،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عروة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شعرة و شعرتین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حرج شخصی دلالت دارد و هم بر حرج نوعی؛ و هر دو نوع، از این روایت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حرج شخصی،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حرج نوعی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فعلاً در این قسمت بدست می‌آید آن است که یک اطلاق و عمومیّتی را می‌توانیم استفاده‌کنیم مبنی بر آن که فرقی میان حرج شخصی و حرج نوعی وجود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نکتۀ پنجم در مورد معنای حرج است که آیۀ شریفه و روایات ذیل آن در کدام‌یک از معانی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الضیق یا أضیق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w:t>
      </w:r>
      <w:bookmarkStart w:id="81" w:name="pg844_8064"/>
    </w:p>
    <w:p>
      <w:pPr>
        <w:pStyle w:val="BookText"/>
        <w:rPr/>
      </w:pPr>
      <w:bookmarkEnd w:id="81"/>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آغاز بحث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و روایات وارده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مشقّتی که به صورت عادی نمی‌توان آن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 که در این روایات، قرینه‌ای که بیان کند منظور از حرج، حرج شدید است، نداریم؛ هرچند ممکن است دلیل دیگری یافت شود که بیان کند منظور از حرج، مشقّتی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لایتحمّله الإنسان عادتاً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نکتۀ دیگری که بر خلاف نظر و رأی دیگران از مجموع مطالب این آیه و روایات استفاده می‌شود، آن است که قاعده لاحرج، هم می‌تواند دلیل برای اصالة الطهارة باشد و هم دلیل برای قاعده میسور، که توضیح آن گذشت</w:t>
      </w:r>
      <w:r>
        <w:rPr>
          <w:rFonts w:eastAsia="IRNazanin" w:cs="IRNazanin"/>
          <w:color w:val="111111"/>
          <w:sz w:val="28"/>
          <w:szCs w:val="28"/>
          <w:rtl w:val="true"/>
          <w:lang w:bidi="fa-IR"/>
        </w:rPr>
        <w:t>.</w:t>
      </w:r>
    </w:p>
    <w:p>
      <w:pPr>
        <w:pStyle w:val="Heading4"/>
        <w:numPr>
          <w:ilvl w:val="3"/>
          <w:numId w:val="1"/>
        </w:numPr>
        <w:rPr/>
      </w:pPr>
      <w:bookmarkStart w:id="82" w:name="__RefHeading___Toc6877276_211673320"/>
      <w:bookmarkStart w:id="83" w:name="_Toc31"/>
      <w:bookmarkEnd w:id="82"/>
      <w:r>
        <w:rPr/>
        <w:t>2</w:t>
      </w:r>
      <w:r>
        <w:rPr>
          <w:rtl w:val="true"/>
        </w:rPr>
        <w:t>)</w:t>
      </w:r>
      <w:r>
        <w:rPr>
          <w:rtl w:val="true"/>
        </w:rPr>
        <w:t xml:space="preserve">آیۀ </w:t>
      </w:r>
      <w:r>
        <w:rPr/>
        <w:t>6</w:t>
      </w:r>
      <w:r>
        <w:rPr>
          <w:rtl w:val="true"/>
        </w:rPr>
        <w:t xml:space="preserve"> </w:t>
      </w:r>
      <w:r>
        <w:rPr>
          <w:rtl w:val="true"/>
        </w:rPr>
        <w:t>سوره مائده</w:t>
      </w:r>
      <w:bookmarkEnd w:id="83"/>
    </w:p>
    <w:p>
      <w:pPr>
        <w:pStyle w:val="Heading5"/>
        <w:numPr>
          <w:ilvl w:val="4"/>
          <w:numId w:val="1"/>
        </w:numPr>
        <w:rPr/>
      </w:pPr>
      <w:bookmarkStart w:id="84" w:name="__RefHeading___Toc6877278_21167332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دوّمین آیۀ شریفه‌ای که به آن بر قاعده لاحرج استدلال شده، آیه ششم سوره مبارکه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إِذَا قُمْتُمْ إِلَی الصَّلَوةِ فَاغْسِلُواْ وُجُوهَکُمْ وَأَیْدِیَکُمْ إِلَی الْمَرَافِقِ وَامْسَحُوا بِرُءُوسِکُمْ وَأَرْجُلَکُمْ إِلَی الْکَعْبَیْنِ وَإِن کُنتُمْ جُنُبًا فَاطَّهَّرُوا وَإِن کُنتُم مَّرْضَی أَوْ عَلَی سَفَرٍ أَوْجَآءَ أَحَدٌ مِنکُم مِّنَ الْغَآ ل ِطِ أَوْ لَمَسْتُمُ النِّسَآءَ فَلَمْ تَجِدُوا مَآءً فَتَیَمَّمُوا صَعِیدًا طَیِّبًا فَامْسَحُوا بِوُجُوهِکُمْ وَأَیْدِیکُم مِّنْهُ مَا یُرِیدُ اللَّهُ لِیَجْعَلَ عَلَیْکُم مِّنْ حَرَجٍ وَلَکِن یُرِیدُ لِیُطَهِّرَکُمْ وَلِیُتِمَّ نِعْمَتَهُ و عَلَیْکُمْ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چون برای نماز برخاستید، چهره و دست‌هایتان را تا آرنج بشویید و بخشی از سرتان را مسح کنید و نیز پاهای خود را تا برآمدگی روی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 بودید، غسل کنید؛ و اگر بیمار یا در سفر بودید و یا از جای قضای حاجت آمدید، یا با زنان آمیزش کردید و آبی نیافتید، به خاکی پاک تیمّم کنید؛ با آن بخشی از چهره و دست‌های خود را مسح نمایید؛ خداوند نمی‌خواهد شما را در تنگنا افکند؛ ولی می‌خواهد شما</w:t>
      </w:r>
      <w:bookmarkStart w:id="86" w:name="pg844_8066"/>
    </w:p>
    <w:p>
      <w:pPr>
        <w:pStyle w:val="BookText"/>
        <w:rPr/>
      </w:pPr>
      <w:bookmarkEnd w:id="86"/>
      <w:r>
        <w:rPr>
          <w:rFonts w:ascii="IRNazanin" w:hAnsi="IRNazanin" w:eastAsia="IRNazanin"/>
          <w:color w:val="111111"/>
          <w:sz w:val="28"/>
          <w:sz w:val="28"/>
          <w:szCs w:val="28"/>
          <w:rtl w:val="true"/>
          <w:lang w:bidi="fa-IR"/>
        </w:rPr>
        <w:t>را پاکیزه گرداند و نعمت خود را بر شما تمام کند، باشد که سپاس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دلالت این آیۀ شریفه بر قاعده لاحرج، غالب فقها فرموده‌اند که دلالت این آیۀ شریفه، بر عکس آیه قبل، مخدوش است؛ برخی دیگر نیز مانند محقّق اردبیلی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زبدة‌البیان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عکس این مطلب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این آیه و آیه قبل از چند جهت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شریفه بر عکس آیه قبل،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آیۀ قبل، خداوند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در این آیه شریفه، علاوه بر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دیگر آن‌که در مورد این آیه سؤال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مربوط به تمام آیۀ شریفه است و یا آن که فقط مربوط به تیمّم است؟</w:t>
      </w:r>
    </w:p>
    <w:p>
      <w:pPr>
        <w:pStyle w:val="BookText"/>
        <w:rPr/>
      </w:pPr>
      <w:r>
        <w:rPr>
          <w:rFonts w:ascii="IRNazanin" w:hAnsi="IRNazanin" w:eastAsia="IRNazanin"/>
          <w:color w:val="111111"/>
          <w:sz w:val="28"/>
          <w:sz w:val="28"/>
          <w:szCs w:val="28"/>
          <w:rtl w:val="true"/>
          <w:lang w:bidi="fa-IR"/>
        </w:rPr>
        <w:t>در این زمینه، دو نظریه بین مفسّرین و فقها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اوّل این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تمام آیۀ شریفه مربوط است</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این قسمت از آیۀ شریفه می‌خواهد بیان کند که هدف ما از جعل این احکام، به مشقّت و سختی انداختن شما نیست؛ بلکه غایت و هدف اصلی از تشریع وضو، غسل و تیمّم تطهیر شماست و این که خداوند می‌خواهد نعمتش را برای شما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باطنی پیدا کنید</w:t>
      </w:r>
      <w:r>
        <w:rPr>
          <w:rFonts w:eastAsia="IRNazanin" w:cs="IRNazanin"/>
          <w:color w:val="111111"/>
          <w:sz w:val="28"/>
          <w:szCs w:val="28"/>
          <w:rtl w:val="true"/>
          <w:lang w:bidi="fa-IR"/>
        </w:rPr>
        <w:t>).</w:t>
      </w:r>
    </w:p>
    <w:p>
      <w:pPr>
        <w:pStyle w:val="Heading5"/>
        <w:numPr>
          <w:ilvl w:val="4"/>
          <w:numId w:val="1"/>
        </w:numPr>
        <w:rPr/>
      </w:pPr>
      <w:bookmarkStart w:id="87" w:name="__RefHeading___Toc6877280_211673320"/>
      <w:bookmarkStart w:id="88" w:name="_Toc33"/>
      <w:bookmarkEnd w:id="87"/>
      <w:r>
        <w:rPr>
          <w:rtl w:val="true"/>
        </w:rPr>
        <w:t>بیان مرحوم طبرسی</w:t>
      </w:r>
      <w:bookmarkEnd w:id="88"/>
    </w:p>
    <w:p>
      <w:pPr>
        <w:pStyle w:val="BookText"/>
        <w:rPr/>
      </w:pPr>
      <w:r>
        <w:rPr>
          <w:rFonts w:ascii="Amiri" w:hAnsi="Amiri" w:eastAsia="Amiri" w:cs="Amiri"/>
          <w:color w:val="111111"/>
          <w:sz w:val="28"/>
          <w:sz w:val="28"/>
          <w:szCs w:val="28"/>
          <w:rtl w:val="true"/>
          <w:lang w:bidi="ar-SA"/>
        </w:rPr>
        <w:t xml:space="preserve">مرحوم طبرسی در مورد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یرید اللّه بما فرض علیکم من الوضوء إذا قمتم إلی الصّلاة</w:t>
      </w:r>
      <w:bookmarkStart w:id="89" w:name="pg844_8068"/>
    </w:p>
    <w:p>
      <w:pPr>
        <w:pStyle w:val="BookText"/>
        <w:rPr/>
      </w:pPr>
      <w:bookmarkEnd w:id="89"/>
      <w:r>
        <w:rPr>
          <w:rFonts w:ascii="IRNazanin" w:hAnsi="IRNazanin" w:eastAsia="IRNazanin"/>
          <w:color w:val="111111"/>
          <w:sz w:val="28"/>
          <w:sz w:val="28"/>
          <w:szCs w:val="28"/>
          <w:rtl w:val="true"/>
          <w:lang w:bidi="fa-IR"/>
        </w:rPr>
        <w:t>والغسل من الجنابة، والتیمّم عند عدم الماء أو تعذّر استعماله لیلزمکم فی دینکم من ضیق، ولا لیعنتکم فیه، عن مجاهد وجمیع المفسّرین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خداوند از فرائضی که برای شما جعل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برای نماز، غسل برای جنابت و تیمّم در صورت فقدان آب یا تعذّر استعمال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بخواهد شما را در دین به حرج و مشقّت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معنایی را که از آیۀ شریفه بیان می‌کند، به جمیع مفسّرین نیز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و احتمالی که مرحوم طبرسی ذکر می‌کند با بعضی از مثال‌ها و موارد عرفی نیز سازگاری دارد؛ مانند موردی که پزشک برای بیمار دارویی تلخ تجویز می‌کند و هدفش نجات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نیز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جعل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مشکل نیست، بلکه هدف تطهیر مکلّفین و بندگان است</w:t>
      </w:r>
      <w:r>
        <w:rPr>
          <w:rFonts w:eastAsia="IRNazanin" w:cs="IRNazanin"/>
          <w:color w:val="111111"/>
          <w:sz w:val="28"/>
          <w:szCs w:val="28"/>
          <w:rtl w:val="true"/>
          <w:lang w:bidi="fa-IR"/>
        </w:rPr>
        <w:t>.</w:t>
      </w:r>
    </w:p>
    <w:p>
      <w:pPr>
        <w:pStyle w:val="Heading5"/>
        <w:numPr>
          <w:ilvl w:val="4"/>
          <w:numId w:val="1"/>
        </w:numPr>
        <w:rPr/>
      </w:pPr>
      <w:bookmarkStart w:id="90" w:name="__RefHeading___Toc6877282_211673320"/>
      <w:bookmarkStart w:id="91" w:name="_Toc34"/>
      <w:bookmarkEnd w:id="90"/>
      <w:r>
        <w:rPr>
          <w:rtl w:val="true"/>
        </w:rPr>
        <w:t xml:space="preserve">کلام صاحب </w:t>
      </w:r>
      <w:r>
        <w:rPr>
          <w:rtl w:val="true"/>
        </w:rPr>
        <w:t>«</w:t>
      </w:r>
      <w:r>
        <w:rPr>
          <w:rtl w:val="true"/>
        </w:rPr>
        <w:t>روح المعانی</w:t>
      </w:r>
      <w:r>
        <w:rPr>
          <w:rtl w:val="true"/>
        </w:rPr>
        <w:t>»</w:t>
      </w:r>
      <w:bookmarkEnd w:id="91"/>
    </w:p>
    <w:p>
      <w:pPr>
        <w:pStyle w:val="BookText"/>
        <w:rPr/>
      </w:pPr>
      <w:r>
        <w:rPr>
          <w:rFonts w:ascii="IRNazanin" w:hAnsi="IRNazanin" w:eastAsia="IRNazanin"/>
          <w:color w:val="111111"/>
          <w:sz w:val="28"/>
          <w:sz w:val="28"/>
          <w:szCs w:val="28"/>
          <w:rtl w:val="true"/>
          <w:lang w:bidi="fa-IR"/>
        </w:rPr>
        <w:t xml:space="preserve">از میان مفسّرین اهل سنّت نیز آلوسی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فرض علیکم من الوضوء إذا قمتم إلی الصلاة والغسل من الجنابة، أو بالأمر بالتیمّم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 فی الإمتثال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کلّ آیه مربوط دانسته است و همان معنایی که مرحوم طبرسی رحمه الله از این قسمت از آیۀ شریفه بیان نمودند، وی نیز مطرح می‌کند</w:t>
      </w:r>
      <w:r>
        <w:rPr>
          <w:rFonts w:eastAsia="Amiri" w:cs="Amiri" w:ascii="Amiri" w:hAnsi="Amiri"/>
          <w:color w:val="111111"/>
          <w:sz w:val="28"/>
          <w:szCs w:val="28"/>
          <w:rtl w:val="true"/>
          <w:lang w:bidi="ar-SA"/>
        </w:rPr>
        <w:t>.</w:t>
      </w:r>
      <w:bookmarkStart w:id="92" w:name="pg844_8070"/>
    </w:p>
    <w:p>
      <w:pPr>
        <w:pStyle w:val="Heading5"/>
        <w:numPr>
          <w:ilvl w:val="4"/>
          <w:numId w:val="1"/>
        </w:numPr>
        <w:rPr/>
      </w:pPr>
      <w:bookmarkStart w:id="93" w:name="__RefHeading___Toc6877284_211673320"/>
      <w:bookmarkStart w:id="94" w:name="_Toc35"/>
      <w:bookmarkEnd w:id="92"/>
      <w:bookmarkEnd w:id="93"/>
      <w:r>
        <w:rPr>
          <w:rtl w:val="true"/>
        </w:rPr>
        <w:t>بیان علّامه طباطبایی رحمه الله</w:t>
      </w:r>
      <w:bookmarkEnd w:id="94"/>
    </w:p>
    <w:p>
      <w:pPr>
        <w:pStyle w:val="BookText"/>
        <w:rPr/>
      </w:pPr>
      <w:r>
        <w:rPr>
          <w:rFonts w:ascii="IRNazanin" w:hAnsi="IRNazanin" w:eastAsia="IRNazanin"/>
          <w:color w:val="111111"/>
          <w:sz w:val="28"/>
          <w:sz w:val="28"/>
          <w:szCs w:val="28"/>
          <w:rtl w:val="true"/>
          <w:lang w:bidi="fa-IR"/>
        </w:rPr>
        <w:t xml:space="preserve">مرحوم علّامه طباطبایی 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قسمت از آیۀ شریفه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لتأکید النفی، فلا حکم یراد به الحرج بین الأحکام الدینیّة أصلاً، ولذلک علّق النفی علی إرادة الجعل دون نفس الحرج</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بیان می‌کند که در میان احکام دین، حکمی که هدف خداوند از جعلش به سختی و مشقّت انداختن مکلّفین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تأیید کلام خود و بیانی که در مورد معنای این قسمت از آیۀ شریفه مطرح می‌کنند، دو قرینه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علّق النفی علی إرادة الجعل دون نفس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والحرج حرجان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یعرض ملاک الحکم ومصلحته المطلوبة، ویصدر الحکم حینئذٍ حرجیاً بذاته لتبعیّة ملاکه، کما لو حرم الإلتذاذ من الغذاء لغرض حصول ملکة الزهد، فالحکم حرجیّ من رأسه وحرج یعرض الحکم من خارج عن أسباب إتّفاقیّة فیکون بعض أفراده حرجیاً ویسقط الحکم حینئذٍ فی تلک الأفراد الحرجیّة لا فی غیرها ممّا لاحرج فیه، کمن یتحرّج عن القیام فی الصلاة لمرض یضرّه معه ذلک، ویسقط حینئذٍ وجوب القیام عنه لا عن غیره ممّن یستطیعه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اوّل بر استفاده این معنا از آیۀ شریفه این است که خداوند متعال در آیۀ شریفه نفی را بر ارادۀ جعل معلّق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نمی‌کند و هدفش جعل حکم</w:t>
      </w:r>
    </w:p>
    <w:p>
      <w:pPr>
        <w:pStyle w:val="BookText"/>
        <w:rPr/>
      </w:pPr>
      <w:r>
        <w:rPr>
          <w:rFonts w:ascii="IRNazanin" w:hAnsi="IRNazanin" w:eastAsia="IRNazanin"/>
          <w:color w:val="111111"/>
          <w:sz w:val="28"/>
          <w:sz w:val="28"/>
          <w:szCs w:val="28"/>
          <w:rtl w:val="true"/>
          <w:lang w:bidi="fa-IR"/>
        </w:rPr>
        <w:t xml:space="preserve">حرجی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بگوید اصلاً حرج و حکم حرجی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انواع و اقسام حرج را بیان می‌کنند که حرج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موارد حرج مربوط به ملاک حکم است؛ بدین معنا که ماهیّت حکم به گونه‌ای است که حرج را همراه خود دارد؛ مثال می‌زنند به موردی که به خاطر ملکه زهد، لذّت غذا خوردن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جعل حکمِ حرمت، حرجی خواهد بود؛ چه آن که ممکن نیست انسان غذا بخورد و لذّتی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حرجی که بر حکم عارض می‌شود به دلیل وجود اسباب خارجی است که به طور تصادفی اتّفاق می‌افتد؛ بنابراین، در ملاکِ حکم،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این نوع حرج را مسقط حکم می‌داند و بیان می‌کند در مواردی که سبب حرج یک امر خارجی است، حکم در آن فرد حرجی ساقط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ایستادن در نماز برای بیمار ضرر دارد؛ در این صورت، وجوب قیام از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قرینه دوّمی که در کلام مرحوم علّامه ذکر شده، عبارت است از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إضرابه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یُرِیدُ لِیُطَهِّرَکُمْ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بالآیة نفی الحرج الّذی فی الملاک؛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الأحکام الّتی یجعلها علیکم لیست بحرجیّة شرعت لغرض الحرج</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ادامۀ آیۀ شریفه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اضراب و استدراکی که در آیۀ شریفه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دلالت می‌کند که آیۀ شریفه می‌خواهد نفی حرج در ملاک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حرج نوع اوّل را اراده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احکامی که برای مکلّفین جعل می‌شوند، حرجی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 آیۀ شریفه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دلالتی بر مدّعای این بحث ندارد و قابلیّت استدلال برای اثبات قاعده لاحرج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مدّعای بحث در قاعده لاحرج آن است که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بر حکم به واسطۀ اسباب خارجی و اتّفاقی، حرج عارض می‌شود، حکم برداشته می‌شود و دیگر انجام آن واجب نخواهد بود؛ در حالی که مطابق این احتمال، آیۀ شریفه، حرج نوع اوّل را بیان می‌کند که نفی حرج در ملاک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قرائن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هر دو قرینه‌ای که برای این احتمال از معنای آیۀ شریفه بیان گردید، ضعیف است؛ در مورد قرینه اوّل،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استدلال ایشان ندارد، و از این جهت، هر دو معنا یکسان می‌باشند؛ به عبارت دیگر، نسبت به مدّعا نیز تعبیر به اراده و عدم اراده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احکام جعل شده چنان‌چه منجر به حرج شود، دیگر مطلوب و متعلّق اراده خداوند نیست؛ بنابراین، به نظر می‌رسد بین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از این جهت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قرینیّت ندارد؛ زیرا، بر شارع لازم است که در باب رفع حرج دو کار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اگر حکمی حرجی است، آن را بردارد و انجام آن دیگر بر مکلّفین لازم نباشد؛ و دیگر آن که به جای احکامی که برداشته می‌شود، در برخی موارد چیزی جایگزین می‌گردد و به عنوان بدل آن قرار می‌گیرد؛ مانند همین آیۀ شریفه که به جای وضو و غسل، تیمّم واجب شده است؛ و به عبارت دیگر، اضراب و استدراک همان‌طور که با نوع اوّل حرج سازگار است، با نوع دوّم نیز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هیچ یک از این دو قرینه نمی‌توان برای اثبات و ترجیح احتمال اوّل از معنای آیۀ شریفه تمسّک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 اوّل، قائلین به نظر دوّم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تیمّم است و به وضو و غسل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شریفه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تمکّن از آب ندارید، شما را به سختی و مشقّت</w:t>
      </w:r>
      <w:bookmarkStart w:id="95" w:name="pg844_8076"/>
    </w:p>
    <w:p>
      <w:pPr>
        <w:pStyle w:val="BookText"/>
        <w:rPr/>
      </w:pPr>
      <w:bookmarkEnd w:id="95"/>
      <w:r>
        <w:rPr>
          <w:rFonts w:ascii="IRNazanin" w:hAnsi="IRNazanin" w:eastAsia="IRNazanin"/>
          <w:color w:val="111111"/>
          <w:sz w:val="28"/>
          <w:sz w:val="28"/>
          <w:szCs w:val="28"/>
          <w:rtl w:val="true"/>
          <w:lang w:bidi="fa-IR"/>
        </w:rPr>
        <w:t>نمی‌اندازیم که مثلاً چاهی حفر کنید تا آب پیدا شود؛ بلکه تیمّم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احتمال، آیۀ شریفه به این بحث ارتباط پیدا می‌کند؛ چه آن که در مورد تیمّم دو جهت نفی و اثبات وجود دارد؛ جهت نفی آن عبارت است از نفی الوضوء و الغسل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جهت اثباتی آن خود تیمّم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به این معنا که خداوند خاک را نیز به عنوان یکی از مصادیق طهور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طهارت برای نماز لازم است؛ و این طهارت اوّلاً و بالذات باید وضو یا غسل باشد، اما در صورتی که طهارت با آب، حرجی و مشکل باشد، اتمام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طهارت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با خاکی پاک، عمل تطهیر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اوّل این نظر، موضوع اقربیّت است؛ به این معنا که در قضایا لازم است قید به اقرب باز گردانده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اقربیّت اقتضا می‌کند که قید حرجی بودن به تیمّم برگردانده شود نه به تمام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دوّم نیز این است که در آیۀ شریفه زمانی که مسأله غسل مطرح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کُنتُمْ جُنُبًا فَاطَّهَّرُواْ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امر به طهارت می‌کند؛ حال، اگر گفته شود که ذیل آیۀ شریفه به مجموع مربوط می‌باشد، لازمه‌اش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شده باشد و تکرار نیز مخلّ به فصاحت بوده و با فصاحت قرآن سازگاری ندارد</w:t>
      </w:r>
      <w:r>
        <w:rPr>
          <w:rFonts w:eastAsia="IRNazanin" w:cs="IRNazanin"/>
          <w:color w:val="111111"/>
          <w:sz w:val="28"/>
          <w:szCs w:val="28"/>
          <w:rtl w:val="true"/>
          <w:lang w:bidi="fa-IR"/>
        </w:rPr>
        <w:t>.</w:t>
      </w:r>
    </w:p>
    <w:p>
      <w:pPr>
        <w:pStyle w:val="Heading5"/>
        <w:numPr>
          <w:ilvl w:val="4"/>
          <w:numId w:val="1"/>
        </w:numPr>
        <w:rPr/>
      </w:pPr>
      <w:bookmarkStart w:id="96" w:name="__RefHeading___Toc6877286_211673320"/>
      <w:bookmarkStart w:id="97" w:name="_Toc36"/>
      <w:bookmarkEnd w:id="96"/>
      <w:r>
        <w:rPr>
          <w:rtl w:val="true"/>
        </w:rPr>
        <w:t>بیان امام خمینی قدس سره</w:t>
      </w:r>
      <w:bookmarkEnd w:id="97"/>
    </w:p>
    <w:p>
      <w:pPr>
        <w:pStyle w:val="BookText"/>
        <w:rPr/>
      </w:pPr>
      <w:r>
        <w:rPr>
          <w:rFonts w:ascii="Amiri" w:hAnsi="Amiri" w:eastAsia="Amiri" w:cs="Amiri"/>
          <w:color w:val="111111"/>
          <w:sz w:val="28"/>
          <w:sz w:val="28"/>
          <w:szCs w:val="28"/>
          <w:rtl w:val="true"/>
          <w:lang w:bidi="ar-SA"/>
        </w:rPr>
        <w:t xml:space="preserve">مرحوم امام خمینی قدس سره نیز در عباراتشان تصریح می‌کنند آیۀ شریفه در معنای دوّم ظهور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مَّرْضَی 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 آیۀ شریفه ظهور عرفی دارد که به تیمّم مربوط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بیان می‌کنند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التذییل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عرفاً فی کونه مربوطاً بالتیمّم فی حال المرض والسفر، وأنّ الأمر</w:t>
      </w:r>
      <w:bookmarkStart w:id="98" w:name="pg844_8078"/>
    </w:p>
    <w:p>
      <w:pPr>
        <w:pStyle w:val="BookText"/>
        <w:rPr/>
      </w:pPr>
      <w:bookmarkEnd w:id="98"/>
      <w:r>
        <w:rPr>
          <w:rFonts w:ascii="IRNazanin" w:hAnsi="IRNazanin" w:eastAsia="IRNazanin"/>
          <w:color w:val="111111"/>
          <w:sz w:val="28"/>
          <w:sz w:val="28"/>
          <w:szCs w:val="28"/>
          <w:rtl w:val="true"/>
          <w:lang w:bidi="fa-IR"/>
        </w:rPr>
        <w:t xml:space="preserve">بالتیمّم لأجل التسهیل ورفع الحرج؛ فإنّ الأمر للمرضی بالطهارة المائیّة وللمسافر بتحصیل الماء کیفما اتّفق حرجیٌّ، وما یرید اللّه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التیمّم سوّغ لأجل التسهیل، ورفع الوضوء والغسل للحرج،</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مربوط به تیمّم در صورت بیماری و سفر می‌باشد؛ و شارع به دلیل تسهیل و رفع حرج، به تیمّم امر کرده است؛ چرا که اگر به مریض امر کند طهارت مائیّه داشته باشد و یا بر مسافر لازم است که به هر طریق ممکن آب پیدا کند، حرجی می‌شود و خداوند چنین چیزی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جایی دیگر، از ذیل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قاعده کلّی استفاده می‌کنند مبنی بر آن که هر زمان وضو یا غسل حرجی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حرج هرچه می‌خواهد باشد؛ چه خودشان حرجی باشند و چه این که مقدّمات آنها حرجی باشد مثل آن که برای به دست آوردن آب لازم است که به شهری دیگر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تیمّم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ما تقدّم من کونه مربوطاً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مَّرْضَی 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بیاناً لنکتة تشریع التیمّم، یدلّ علی أنّه کلّما کان الوضوء والغسل حرجیّاً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 الحرج فی نفسهما، أو مقدّماتهما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یتبدّلان بالتّیمّم،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6877288_211673320"/>
      <w:bookmarkStart w:id="100" w:name="_Toc37"/>
      <w:bookmarkEnd w:id="99"/>
      <w:r>
        <w:rPr>
          <w:rtl w:val="true"/>
        </w:rPr>
        <w:t>کلام محقّق خوئی رحمه الله</w:t>
      </w:r>
      <w:bookmarkEnd w:id="1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بزرگ مرحوم آقای خوئی قدس سره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مسأله تیمّم برگردانده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ضرر و حرج دلالت می‌کنند که مشروعیّت</w:t>
      </w:r>
      <w:bookmarkStart w:id="101" w:name="pg844_8080"/>
    </w:p>
    <w:p>
      <w:pPr>
        <w:pStyle w:val="BookText"/>
        <w:rPr/>
      </w:pPr>
      <w:bookmarkEnd w:id="101"/>
      <w:r>
        <w:rPr>
          <w:rFonts w:ascii="IRNazanin" w:hAnsi="IRNazanin" w:eastAsia="IRNazanin"/>
          <w:color w:val="111111"/>
          <w:sz w:val="28"/>
          <w:sz w:val="28"/>
          <w:szCs w:val="28"/>
          <w:rtl w:val="true"/>
          <w:lang w:bidi="fa-IR"/>
        </w:rPr>
        <w:t>تیمّم عام بوده و در هر موردی که استعمال آب برای مکلّف حرجی است، وضو و غسل تبدیل به تیمّم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لو کنّا نحن وهذه الآیة المبارکة، لخصّصنا مشروعیّة التیمّم بموارد عدم التمکّن من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شرعاً کما مرّ، إلّا أنّ أدلّة نفی الضرر والحرج دلتنا علی أنّ مشروعیّة التیمّم عامّة لما إذا تمکّن المکلّف من استعمال الماء عقلاً وشرعاً بأن کان الماء مباحاً له، إلّاأنّ استعماله حرجیّ وعسریّ فی حقّه، فلابدّ من التیمّم حینئذٍ</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6877290_211673320"/>
      <w:bookmarkStart w:id="103" w:name="_Toc38"/>
      <w:bookmarkEnd w:id="102"/>
      <w:r>
        <w:rPr>
          <w:rtl w:val="true"/>
        </w:rPr>
        <w:t>بیان مرحوم اردبیلی</w:t>
      </w:r>
      <w:bookmarkEnd w:id="103"/>
    </w:p>
    <w:p>
      <w:pPr>
        <w:pStyle w:val="BookText"/>
        <w:rPr/>
      </w:pPr>
      <w:r>
        <w:rPr>
          <w:rFonts w:ascii="IRNazanin" w:hAnsi="IRNazanin" w:eastAsia="IRNazanin"/>
          <w:color w:val="111111"/>
          <w:sz w:val="28"/>
          <w:sz w:val="28"/>
          <w:szCs w:val="28"/>
          <w:rtl w:val="true"/>
          <w:lang w:bidi="fa-IR"/>
        </w:rPr>
        <w:t xml:space="preserve">مرحوم اردبیلی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سخن مرحوم طبرسی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آیۀ شریفه مربوط باشد؛ امّا بعد از آن، احتمال دوّم را بیان می‌کنند که این قسمت از آیۀ شریفه مربوط به تیمّم است و خداوند تکالیف شاقّ مثل بدست آوردن آب به هر صورت ممکن را جعل ننموده، و برای مکلّفین جعل حرج را اراده نکرده است؛ بلکه اگر تحصیل آب ممکن نشد، تیمّم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یرید اللّه الأمر بالوضوء للصلاة أو بالتیمّم تضییقاً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أن یکون المراد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یرید اللّه جعل الحرج علیکم بالتکالیف الشّاقّة مثل تحصیل الماء علی کلّ وجه ممکن مع عدم کون الماء حاضراً وإن کان ممکناً فی</w:t>
      </w:r>
    </w:p>
    <w:p>
      <w:pPr>
        <w:pStyle w:val="BookText"/>
        <w:rPr/>
      </w:pPr>
      <w:r>
        <w:rPr>
          <w:rFonts w:ascii="IRNazanin" w:hAnsi="IRNazanin" w:eastAsia="IRNazanin"/>
          <w:color w:val="111111"/>
          <w:sz w:val="28"/>
          <w:sz w:val="28"/>
          <w:szCs w:val="28"/>
          <w:rtl w:val="true"/>
          <w:lang w:bidi="fa-IR"/>
        </w:rPr>
        <w:t>نفس الأمر، ولا بالطلب الشاقّ کالحفر وغیره، بل بنی علی الظاهر فقبل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مقتضی الشریعة السمحة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فقها و محقّقین معاصر نیز والد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دوّم را اختیار کرده و در بیانی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آیۀ شریفه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و متعلّق به تیمّم است و در نتیجه، صلاحیّت آن را دارد که به عنوان دلیل قاعده لاحرج قرار گیرد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مقابل، برخی دیگر از بزرگان نظر اوّل را اختیار نموده و معنای دوّم را مخدوش می‌دانند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از میان مفسّرین و علمای عامّه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را در مورد آیۀ شریفه بیان می‌کند که اگر وضو و غسل حرجی شد، وجوب آنها از بین می‌رود و تیمّم جایگزین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سهّل علیکم ویسّر ولم‌یعسّر، بل أباح التیمّم عند المرض وعند فقد الماء توسعة علیکم ورحمة بکم وجعله فی حقّ من شرع له یقوم مقام الماء</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بعد از ابطال قرائن نظریه اوّل و ذکر دو شاهد برای نظریه دوّم، می‌توانیم این نظریه را ترجیح دهیم</w:t>
      </w:r>
      <w:r>
        <w:rPr>
          <w:rFonts w:eastAsia="IRNazanin" w:cs="IRNazanin"/>
          <w:color w:val="111111"/>
          <w:sz w:val="28"/>
          <w:szCs w:val="28"/>
          <w:rtl w:val="true"/>
          <w:lang w:bidi="fa-IR"/>
        </w:rPr>
        <w:t>.</w:t>
      </w:r>
      <w:bookmarkStart w:id="104" w:name="pg844_8084"/>
    </w:p>
    <w:p>
      <w:pPr>
        <w:pStyle w:val="Heading5"/>
        <w:numPr>
          <w:ilvl w:val="4"/>
          <w:numId w:val="1"/>
        </w:numPr>
        <w:rPr/>
      </w:pPr>
      <w:bookmarkStart w:id="105" w:name="__RefHeading___Toc6877292_211673320"/>
      <w:bookmarkStart w:id="106" w:name="_Toc39"/>
      <w:bookmarkEnd w:id="104"/>
      <w:bookmarkEnd w:id="105"/>
      <w:r>
        <w:rPr>
          <w:rtl w:val="true"/>
        </w:rPr>
        <w:t>نکاتی در مورد آیۀ شریفه</w:t>
      </w:r>
      <w:bookmarkEnd w:id="106"/>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از آیۀ شریفه گرفتیم، این شد که احتمال دوّم بر احتمال اوّل ترجیح دارد و این معنا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تیمّم است،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سؤالی که مطرح می‌شود این است که آیا از این آیۀ شریفه، قاعده لاحرج به نحو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 عمل و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یا آن که آیۀ شریفه فقط مربوط به مسأله وضو و غسل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پاسخ، اگر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علّت در این آیۀ شریفه بیان شده است و عنوان تعلیل دارد، نتیجه این می‌شود که هر تکلیفی به حدّ حرج برسد، خداوند آن را نخواسته است؛ 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عمومیّت دارد و منحصر به مورد خودش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کلام بسیاری از فقها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تعلیل دارد؛ به همین جهت، آن را به سایر موارد و احکام تسرّی می‌دهند و از این آیۀ شریفه به عنوان یکی از ادلّه لاحرج نام می‌برند</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xml:space="preserve">به نظر ما، علی رغم تمام استدلالات موجود در کلمات علما و فقها مبنی بر آن که از آیۀ شریفه ضابطه کلّی استفاده می‌شود، این اشکال وجود دارد که در مورد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روایات متعدّدی ذکر گردید که ائمّه معصومین علیهم السلام در آنها به این آیه در مورد قاعده لاحرج استدلال کرده بودند؛ امّا در مورد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وجود ندارد که ائمّه اطهار علیهم السلام به این آیه برای لاحرج استدلال نموده باشند؛ هر چند در برخی از روایات،</w:t>
      </w:r>
    </w:p>
    <w:p>
      <w:pPr>
        <w:pStyle w:val="BookText"/>
        <w:rPr/>
      </w:pPr>
      <w:r>
        <w:rPr>
          <w:rFonts w:ascii="IRNazanin" w:hAnsi="IRNazanin" w:eastAsia="IRNazanin"/>
          <w:color w:val="111111"/>
          <w:sz w:val="28"/>
          <w:sz w:val="28"/>
          <w:szCs w:val="28"/>
          <w:rtl w:val="true"/>
          <w:lang w:bidi="fa-IR"/>
        </w:rPr>
        <w:t>توضیح این آیۀ شریفه ذکر شده است، لکن استدلالی به این آیه شریفه برای قاعده لاحرج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باعث می‌گردد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از آن ضابطه و قاعده‌ای کلّی استنباط گردد، بکله فقط به محدودۀ وضو و غسل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عدم استدلال ائمّه معصومین علیهم السلام به این قسمت از آیۀ شریفه در روایات، سبب می‌گردد که عنوان تعلیلی بودن آیۀ شریفه موهون و مخدوش گردد و در نتیجه، نمی‌توان گفت که این قسمت از آیۀ شریفه یک تعلیل کلّی است و در موارد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وضو 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ما از میان احتمالات موجود در آیۀ شریفه ترجیح دادیم،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تیمّم است و شامل وضو و غسل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 که در تیمّم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نفی وجوب وضو یا غسل و دیگری طهارت ترابیّه؛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قسمت اوّل که نفی وجوب وضو یا غسل است را اثبات می‌کند و طهارت ترابیّه از ادامه آیۀ شریفه که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لاحرج فقط نافی حکم است و به لسان خودش، مثبت تکلیف حکم شرعی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می‌رسد این بیان تمام نیست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متکفّل بیان هر دو جهت می‌باشد؛ چه آن که اگر خداوند در ادامه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بیان نمی‌فرمود، جمله ناقص نمی‌شد و مقصود کامل را می‌رساند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که چرا در تیمّم مسأله مسح سر و پا بیان نشد و فقط مسح دست و صورت لازم شد؟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تیمّم را آسان قرار دادم، این است که نمی‌خواهم برای شما حرج باشد؛ وگرنه شارع می‌توانست بفرماید که اگر آب نبود و یا استفاده از آن برای شما ضرر داشت، لازم است طهارت ترابیه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و باید تمام بدن را با زمین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w:t>
      </w:r>
      <w:bookmarkStart w:id="107" w:name="pg844_8088"/>
    </w:p>
    <w:p>
      <w:pPr>
        <w:pStyle w:val="BookText"/>
        <w:rPr/>
      </w:pPr>
      <w:bookmarkEnd w:id="107"/>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نتیجه می‌گیریم شارع در بعضی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قاعده لاحرج حکم را نیز اثبات کرده است؛ البته این موارد به نحو موجبه جزئیه است و نه موجبه کلّیه، که فقیه بتواند در هر موردی حکم قضیّه را به وسیله لاحرج اثبات و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است که منظور ازحرج در این آیۀ شریفه حرج نوعی است یا حرج شخصی؟ پاسخ این است که مقصود از حرج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نوعی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باید به گونه‌ای باشد که برای نوع مردم مشقت و سختی وجود داشته باشد؛ نه آن که حرج نسبت به هر شخصی سنجیده می‌شود و هر کس با توجه به شرائطی که دارد، مورد لحاظ قرار می‌گیرد</w:t>
      </w:r>
      <w:r>
        <w:rPr>
          <w:rFonts w:eastAsia="IRNazanin" w:cs="IRNazanin"/>
          <w:color w:val="111111"/>
          <w:sz w:val="28"/>
          <w:szCs w:val="28"/>
          <w:rtl w:val="true"/>
          <w:lang w:bidi="fa-IR"/>
        </w:rPr>
        <w:t>.</w:t>
      </w:r>
    </w:p>
    <w:p>
      <w:pPr>
        <w:pStyle w:val="Heading4"/>
        <w:numPr>
          <w:ilvl w:val="3"/>
          <w:numId w:val="1"/>
        </w:numPr>
        <w:rPr/>
      </w:pPr>
      <w:bookmarkStart w:id="108" w:name="__RefHeading___Toc6877294_211673320"/>
      <w:bookmarkStart w:id="109" w:name="_Toc40"/>
      <w:bookmarkEnd w:id="108"/>
      <w:r>
        <w:rPr/>
        <w:t>3</w:t>
      </w:r>
      <w:r>
        <w:rPr>
          <w:rtl w:val="true"/>
        </w:rPr>
        <w:t>)</w:t>
      </w:r>
      <w:r>
        <w:rPr>
          <w:rtl w:val="true"/>
        </w:rPr>
        <w:t xml:space="preserve">آیۀ </w:t>
      </w:r>
      <w:r>
        <w:rPr/>
        <w:t>185</w:t>
      </w:r>
      <w:r>
        <w:rPr>
          <w:rtl w:val="true"/>
        </w:rPr>
        <w:t xml:space="preserve"> </w:t>
      </w:r>
      <w:r>
        <w:rPr>
          <w:rtl w:val="true"/>
        </w:rPr>
        <w:t>سورۀ بقره</w:t>
      </w:r>
      <w:bookmarkEnd w:id="109"/>
    </w:p>
    <w:p>
      <w:pPr>
        <w:pStyle w:val="Heading5"/>
        <w:numPr>
          <w:ilvl w:val="4"/>
          <w:numId w:val="1"/>
        </w:numPr>
        <w:rPr/>
      </w:pPr>
      <w:bookmarkStart w:id="110" w:name="__RefHeading___Toc6877296_211673320"/>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در سوّمین آیه‌ای که برای قاعده لاحرج بدان استدلال شده است،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مَرِیضًا أَوْ عَلَی سَفَرٍ فَعِدَّةٌ مِّنْ أَیَّامٍ أُخَرَ یُرِیدُ اللَّهُ بِکُمُ الْیُسْرَ وَلَا یُرِیدُ 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که بیمار یا مسافر باشد، روزهای دیگری را به جای آن روز روزه گیرد، خداوند آسانی را برای شما خواسته است نه سختی و دشواری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نیز بیان کننده اراده شارع مقدّس در تسهیل و گشایش امور مردم می‌باشد؛ چه آن که وجوب روزه در ایّام ماه رمضان را که از احکام مسلّم اسلامی است، در روزهایی که شخص بیمار یا مسافر می‌باشد، نفی کرده و اجازه داده است که پس از پایان این دوران، در موعد دیگری به این تکلیف عمل شود؛ و این بدان جهت است که خداوند برای بندگان خود آسانی می‌خواهد نه مشقّت و دشواری 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استفادۀ قاعده لاحرج از آیۀ شریفه و این که از لحاظ اثباتی همه احکام را</w:t>
      </w:r>
    </w:p>
    <w:p>
      <w:pPr>
        <w:pStyle w:val="BookText"/>
        <w:rPr/>
      </w:pPr>
      <w:r>
        <w:rPr>
          <w:rFonts w:ascii="IRNazanin" w:hAnsi="IRNazanin" w:eastAsia="IRNazanin"/>
          <w:color w:val="111111"/>
          <w:sz w:val="28"/>
          <w:sz w:val="28"/>
          <w:szCs w:val="28"/>
          <w:rtl w:val="true"/>
          <w:lang w:bidi="fa-IR"/>
        </w:rPr>
        <w:t xml:space="preserve">شامل می‌شود، باید گفت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تعلیلی دارد و به صورت علّت کلّی یک حکم جزئی بیان شده است؛ و در نتیجه، اختصاصی به بحث صوم ندارد و کلّیه احکام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 که، بر خلاف آیه ششم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إِذَا قُمْتُمْ إِلَی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اهل‌بیت علیهم السلام به این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مَرِیضًا أَوْ عَلَی سَفَرٍ فَعِدَّةٌ مِّنْ أَیَّامٍ أُخَرَ یُرِیدُ اللَّهُ بِکُمُ الْیُسْرَ وَلَا یُرِیدُ بِکُمُ الْعُسْرَ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متعدّدی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 صحیح و مفصّلی است که فضل بن شاذان از امام هشتم حضرت علی بن موسی الرضا علیه السلام نقل می‌کند؛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الآتیة عن الفضل بن شاذان،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الصلوات فی هذه الأوقات ولم تقدّم ولم تؤخّر، لأنّ الأوقات المشهورة المعلومة الّتی تعمّ أهل الأرض فیعرفها الجاهل والعالم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یقدر الخلق کلّهم علی قیام اللیل ولایشعرون به ولاینتبهون لوقته لو کان واجباً ولایمکنهم ذلک، فخفّف اللّه عنهم ولم‌یکلّفهم ولم یجعلها فی أشدّ الأوقات علیهم، ولکن جعلها فی أخفّ الأوقات علیهم،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که خداوند متعال نماز را در اوّل هر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شفق، اوّل فجر، اوّل ظهر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این است که اوّلین کاری را که انسان در اوّل این زمان‌ها انجام می‌دهد، ذکر و عبادت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در مورد عدم وجوب نماز شب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خداوند نماز شب را برای مردم واجب نکرده، آن است که آنان نمی‌توانند وقت نماز شب را بفهمند که چه زمانی است و این کار برای آنان مشکل است؛ به همین جهت، این تکلیف را واجب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شبانه روز آسان‌ترین اوقات را برای نماز قرار داده است؛ همان‌گونه که در قرآن کریم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بندگانش آسانی خواسته است نه سختی و مشقّت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که ملاحظه می‌شود، امام رضا علیه السلام از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علّت عدم جعل وجوب برای نماز شب استفاده می‌کنند با آن که موضوع آیۀ شریفه در قرآن کریم مربوط به روزه است؛ بنابراین، معلوم می‌شود که آیۀ شریفه اختصاصی به بحث صوم ندارد و در مقام تعلیل است و کلّیت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فقهای بزرگوار نیز در موارد متعدّدی به این آیۀ شریفه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 مرحوم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سیّد ابن زهره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غنیة‌النزوع</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مرحوم علّامه حلّی در همه کتابهایش</w:t>
      </w:r>
      <w:r>
        <w:rPr>
          <w:rStyle w:val="FootnoteAnchor"/>
          <w:rtl w:val="true"/>
        </w:rPr>
        <w:footnoteReference w:id="119"/>
      </w:r>
      <w:r>
        <w:rPr>
          <w:rFonts w:ascii="IRNazanin" w:hAnsi="IRNazanin" w:eastAsia="IRNazanin"/>
          <w:color w:val="111111"/>
          <w:sz w:val="28"/>
          <w:sz w:val="28"/>
          <w:szCs w:val="28"/>
          <w:rtl w:val="true"/>
          <w:lang w:bidi="fa-IR"/>
        </w:rPr>
        <w:t xml:space="preserve">، شهید اوّل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 ابن‌فهد حلّی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مرحوم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 مرحوم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 فاضل هندی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12" w:name="pg844_8094"/>
    </w:p>
    <w:p>
      <w:pPr>
        <w:pStyle w:val="Heading5"/>
        <w:numPr>
          <w:ilvl w:val="4"/>
          <w:numId w:val="1"/>
        </w:numPr>
        <w:rPr/>
      </w:pPr>
      <w:bookmarkStart w:id="113" w:name="__RefHeading___Toc6877298_211673320"/>
      <w:bookmarkStart w:id="114" w:name="_Toc42"/>
      <w:bookmarkEnd w:id="112"/>
      <w:bookmarkEnd w:id="113"/>
      <w:r>
        <w:rPr>
          <w:rtl w:val="true"/>
        </w:rPr>
        <w:t>نکات آیۀ شریفه</w:t>
      </w:r>
      <w:bookmarkEnd w:id="114"/>
    </w:p>
    <w:p>
      <w:pPr>
        <w:pStyle w:val="BookText"/>
        <w:rPr/>
      </w:pPr>
      <w:r>
        <w:rPr>
          <w:rFonts w:ascii="IRNazanin" w:hAnsi="IRNazanin" w:eastAsia="IRNazanin"/>
          <w:color w:val="111111"/>
          <w:sz w:val="28"/>
          <w:sz w:val="28"/>
          <w:szCs w:val="28"/>
          <w:rtl w:val="true"/>
          <w:lang w:bidi="fa-IR"/>
        </w:rPr>
        <w:t>از این آیۀ شریفه و روایتی که از حضرت رضا علیه السلام در ذیل آن بیان شد، چند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عُسر و یسر شخصی نمی‌باشد؛ بلکه مراد عُسر و یُسر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شب، برای نوع مردم، قیام در شب مشکل بوده و یا بدست آوردن هنگام و وقت نماز شب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دیگری که از این آیۀ شریفه استفاده می‌شود، آن است که لاحرج فقط جنبۀ نفی ندارد، بلکه جنبۀ اثباتی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استدلال به این آیۀ شریفه فقط مربوط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همانند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دارای لسان نفی می‌شد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سبب، بیان اکثر افرادی که قائلند لاحرج فقط توانایی رفع و نفی حکم حرجی دارد، این است که لسان دلیل لاحرج، لسان نفی است و ذهنشان بیشتر معطوف به این آیۀ شریفه است؛ لکن در مورد آیۀ 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ذکر شد که قاعده لاحرج صلاحیّت اثبات حکم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ملاک لاحرج، کیفیّت آسانی را نیز مورد توجّه قرار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کسی ادّعا کند که در قواعد شریعت، دو قاعده داریم؛ یکی قاعده لاحرج و دیگری قاعده یُسر؛ به عبارت دیگر، یک قاعده بیان می‌کند که اگر حکمی در شریعت به حدّ حرج رسید، برداشته می‌شود؛ و قاعده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یسر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 احکام بر ملاک یسر جعل می‌شود و اگر در موردی، دو نوع عمل وجود داشت که یکی آسان و</w:t>
      </w:r>
      <w:bookmarkStart w:id="115" w:name="pg844_8096"/>
    </w:p>
    <w:p>
      <w:pPr>
        <w:pStyle w:val="BookText"/>
        <w:rPr/>
      </w:pPr>
      <w:bookmarkEnd w:id="115"/>
      <w:r>
        <w:rPr>
          <w:rFonts w:ascii="IRNazanin" w:hAnsi="IRNazanin" w:eastAsia="IRNazanin"/>
          <w:color w:val="111111"/>
          <w:sz w:val="28"/>
          <w:sz w:val="28"/>
          <w:szCs w:val="28"/>
          <w:rtl w:val="true"/>
          <w:lang w:bidi="fa-IR"/>
        </w:rPr>
        <w:t>دیگری مشکل بود، با استناد به قاعده یسر، فقیه می‌تواند حکم آسان را به عنوان حکم شرعی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با تتبّع در کلمات و کتاب‌ها معلوم می‌گردد که دو قاعده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آن چه موجود است، قاعده لاحرج می‌باشد؛ بزرگانی هم که برای قاعده لاحرج به این آیه استدلال کرده‌اند، به قسمت دوّم آیۀ شریفه استدلال ننموده، بلکه به مجموع آن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چه مسلّم می‌باشد، این است که اگر حکمی به حدّ و مرز حرج رسید، برداشته می‌شود، امّا نسبت به حکمی که به جای آن قرار داده می‌شود، باید از دلیل دیگر استفاده کرد و چنین نیست که اگر در موردی چند احتمال وجود داشت و احکام از نظر سختی و آسانی در درجات متفاوتی بودند، فقیه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آن حکمی را که از همه آسان‌تر است،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ما مقتضای ادلّه این است که لاحرج فقط جنبه نفی ندارد، بلکه به‌وسیله آن علاوه بر نفی، حکم آسان نیز ثابت می‌شود؛ امّا این که آن حکم آسان به چه صورتی ثابت می‌شود، نمی‌توان آن را به نحو ضابطه کلّی ارائه داد</w:t>
      </w:r>
      <w:r>
        <w:rPr>
          <w:rFonts w:eastAsia="IRNazanin" w:cs="IRNazanin"/>
          <w:color w:val="111111"/>
          <w:sz w:val="28"/>
          <w:szCs w:val="28"/>
          <w:rtl w:val="true"/>
          <w:lang w:bidi="fa-IR"/>
        </w:rPr>
        <w:t>.</w:t>
      </w:r>
    </w:p>
    <w:p>
      <w:pPr>
        <w:pStyle w:val="Heading4"/>
        <w:numPr>
          <w:ilvl w:val="3"/>
          <w:numId w:val="1"/>
        </w:numPr>
        <w:rPr/>
      </w:pPr>
      <w:bookmarkStart w:id="116" w:name="__RefHeading___Toc6877300_211673320"/>
      <w:bookmarkStart w:id="117" w:name="_Toc43"/>
      <w:bookmarkEnd w:id="116"/>
      <w:r>
        <w:rPr/>
        <w:t>4</w:t>
      </w:r>
      <w:r>
        <w:rPr>
          <w:rtl w:val="true"/>
        </w:rPr>
        <w:t>)</w:t>
      </w:r>
      <w:r>
        <w:rPr>
          <w:rtl w:val="true"/>
        </w:rPr>
        <w:t xml:space="preserve">آیۀ </w:t>
      </w:r>
      <w:r>
        <w:rPr/>
        <w:t>286</w:t>
      </w:r>
      <w:r>
        <w:rPr>
          <w:rtl w:val="true"/>
        </w:rPr>
        <w:t xml:space="preserve"> </w:t>
      </w:r>
      <w:r>
        <w:rPr>
          <w:rtl w:val="true"/>
        </w:rPr>
        <w:t>سورۀ بقره</w:t>
      </w:r>
      <w:bookmarkEnd w:id="117"/>
    </w:p>
    <w:p>
      <w:pPr>
        <w:pStyle w:val="Heading5"/>
        <w:numPr>
          <w:ilvl w:val="4"/>
          <w:numId w:val="1"/>
        </w:numPr>
        <w:rPr/>
      </w:pPr>
      <w:bookmarkStart w:id="118" w:name="__RefHeading___Toc6877302_211673320"/>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آخرین آیه‌ای که به آن برای لاحرج استدلال شده،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خداوند متعال در این آیۀ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 عَلَیْنَآ إِصْرًا کَمَا حَمَلْتَهُ و عَلَی الَّذِینَ مِن قَبْلِنَا رَبَّنَا وَلَا تُحَمِّلْنَا مَا لَاطَاقَةَ لَنَا بِهِ ی وَاعْفُ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هیچ بار 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شاقّ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قرار مده؛ هم‌چنان که بر کسانی که پیش از ما بودند، تحمیل فرمودی؛ و از ما در گذر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فشار، سنگینی، گناه و حبس همراه با فشار معنا شده است و مراد از</w:t>
      </w:r>
    </w:p>
    <w:p>
      <w:pPr>
        <w:pStyle w:val="BookText"/>
        <w:rPr/>
      </w:pPr>
      <w:r>
        <w:rPr>
          <w:rFonts w:ascii="IRNazanin" w:hAnsi="IRNazanin" w:eastAsia="IRNazanin"/>
          <w:color w:val="111111"/>
          <w:sz w:val="28"/>
          <w:sz w:val="28"/>
          <w:szCs w:val="28"/>
          <w:rtl w:val="true"/>
          <w:lang w:bidi="fa-IR"/>
        </w:rPr>
        <w:t>آن، احکام سنگین و مشقّت‌بار است</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در این آیۀ شریفه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بیان شده است که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 عَلَیْنَآ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تُحَمِّلْنَا مَا لَاطَاقَةَ لَنَا بِهِ 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بزرگان مانند مرحوم نراقی</w:t>
      </w:r>
      <w:r>
        <w:rPr>
          <w:rStyle w:val="FootnoteAnchor"/>
          <w:rtl w:val="true"/>
        </w:rPr>
        <w:footnoteReference w:id="128"/>
      </w:r>
      <w:r>
        <w:rPr>
          <w:rFonts w:ascii="IRNazanin" w:hAnsi="IRNazanin" w:eastAsia="IRNazanin"/>
          <w:color w:val="111111"/>
          <w:sz w:val="28"/>
          <w:sz w:val="28"/>
          <w:szCs w:val="28"/>
          <w:rtl w:val="true"/>
          <w:lang w:bidi="fa-IR"/>
        </w:rPr>
        <w:t>و مرحوم بجنوردی</w:t>
      </w:r>
      <w:r>
        <w:rPr>
          <w:rStyle w:val="FootnoteAnchor"/>
          <w:rtl w:val="true"/>
        </w:rPr>
        <w:footnoteReference w:id="129"/>
      </w:r>
      <w:r>
        <w:rPr>
          <w:rFonts w:ascii="IRNazanin" w:hAnsi="IRNazanin" w:eastAsia="IRNazanin"/>
          <w:color w:val="111111"/>
          <w:sz w:val="28"/>
          <w:sz w:val="28"/>
          <w:szCs w:val="28"/>
          <w:rtl w:val="true"/>
          <w:lang w:bidi="fa-IR"/>
        </w:rPr>
        <w:t>که از مرحوم نراقی تبعیّت کرده است، برای لاحرج به هر سه قسمت آیۀ شریفه استدلال کرده‌اند؛ و در مقابل، برخی دیگر از بزرگان</w:t>
      </w:r>
      <w:r>
        <w:rPr>
          <w:rStyle w:val="FootnoteAnchor"/>
          <w:rtl w:val="true"/>
        </w:rPr>
        <w:footnoteReference w:id="130"/>
      </w:r>
      <w:r>
        <w:rPr>
          <w:rFonts w:ascii="IRNazanin" w:hAnsi="IRNazanin" w:eastAsia="IRNazanin"/>
          <w:color w:val="111111"/>
          <w:sz w:val="28"/>
          <w:sz w:val="28"/>
          <w:szCs w:val="28"/>
          <w:rtl w:val="true"/>
          <w:lang w:bidi="fa-IR"/>
        </w:rPr>
        <w:t>فقط قسمت دوّم آیۀ شریفه را به عنوان دلیل قاعده لاحرج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ابتدای آیۀ شریفه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معنا که خداوند هیچ کس را جز به اندازه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می‌کنند؛ در علم اصول نیز هنگامی که از شرائط تکلیف بحث می‌شود، یکی از شروط تکلیف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و متعرّض این آیۀ شریفه می‌شوند؛ بدین صورت همان‌طور که عقل قطعی حکم می‌کند تکلیف به مالایطاق قبیح و ممتنع است، خود شارع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إِلَّا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با توجّه به معنای ذکر شده از قسمت اوّل آیۀ شریفه، این قسمت از محلّ بحث خارج می‌شود و ارتباطی به لاحرج پیدا نمی‌کند؛ چه آن که در لاحرج برآنیم تا اثبات کنیم انجام فعل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مکلّف حرجی باشد، توسط شارع برداشته شده است و لازم نیست مکلّف آن عمل را انجام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مرحوم میرفتّاح رحمه الله در کتاب خود به مرحوم نراقی رحمه الله اشکال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آیۀ شریفه را در ادلّه لاحرج</w:t>
      </w:r>
    </w:p>
    <w:p>
      <w:pPr>
        <w:pStyle w:val="BookText"/>
        <w:rPr/>
      </w:pPr>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محلّ کلام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مرحوم طبرسی رحمه الله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روایت مفصّلی را نقل می‌کند که خداوند متعال در ذیل این آیۀ شریفه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حکمی فی جمیع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أکلّف خلقاً فوق طاقتهم</w:t>
      </w:r>
      <w:r>
        <w:rPr>
          <w:rStyle w:val="FootnoteAnchor"/>
          <w:rtl w:val="true"/>
        </w:rPr>
        <w:footnoteReference w:id="133"/>
      </w:r>
      <w:r>
        <w:rPr>
          <w:rFonts w:ascii="IRNazanin" w:hAnsi="IRNazanin" w:eastAsia="IRNazanin"/>
          <w:color w:val="111111"/>
          <w:sz w:val="28"/>
          <w:sz w:val="28"/>
          <w:szCs w:val="28"/>
          <w:rtl w:val="true"/>
          <w:lang w:bidi="fa-IR"/>
        </w:rPr>
        <w:t>بر مردم بیشتر از توانشان تکلیف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صحیحه هشام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أکرمُ مِن أنْ یُکلّف الناس مَا لا یُطیقون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خداوند بزرگوارتر از آن است که مردم را بیشتر از توانشان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طبرسی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آیۀ شریفه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إلّایسرها دون عسرها</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نقل شده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قول مردود است؛ چرا که اکثر 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قدرت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به نظر می‌رسد در بحث ما، نمی‌توان به این قسمت از آیۀ شریفه برای لاحرج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آیۀ شریفه که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وَلَا تَحْمِلْ عَلَیْنَآ إِصْرًا کَمَا حَمَلْتَهُ و عَلَی الَّذِینَ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است و بر حسب آن چه در شأن نزول این آیۀ شریفه وارد شده، پیامبر اسلام صلی الله علیه و آله و سلم در شب معراج تقاضا و دعا می‌کردند، خداوند متعال نیز درخواست‌های آن حضرت را اجابت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ذیل آیۀ شریفه آمده است، پیامبر اکرم صلی الله علیه و آله و سلم می‌فرمایند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انتهیت إلی محلّ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لَاتُؤَاخِذْنَآ إِن نَّسِینَآ أَوْ أَخْطَأْنَا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أوآخذک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w:t>
      </w:r>
      <w:bookmarkStart w:id="120" w:name="pg844_8102"/>
    </w:p>
    <w:p>
      <w:pPr>
        <w:pStyle w:val="BookText"/>
        <w:rPr/>
      </w:pPr>
      <w:bookmarkEnd w:id="120"/>
      <w:r>
        <w:rPr>
          <w:rFonts w:ascii="Amiri" w:hAnsi="Amiri" w:eastAsia="Amiri" w:cs="Amiri"/>
          <w:color w:val="111111"/>
          <w:sz w:val="28"/>
          <w:sz w:val="28"/>
          <w:szCs w:val="28"/>
          <w:rtl w:val="true"/>
          <w:lang w:bidi="ar-SA"/>
        </w:rPr>
        <w:t>عَلَیْنَآ إِصْرًا کَمَا حَمَلْتَهُ و عَلَی الَّذِینَ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وَلَا تُحَمِّلْنَا مَا لَاطَاقَةَ لَنَا بِهِ ی وَاعْفُ عَنَّا وَاغْفِرْ لَنَا وَارْحَمْنَآ أَنتَ مَوْلَل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فَانصُرْنَا عَلَی الْقَوْمِ الْکَفِرِینَ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أعطیتک ذلک لک ولاُمّتک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توسعه دارد و فقط شامل آصار امّت‌های گذشته نمی‌شود، بلکه اعمّ از آن است و هر حکم شاقّی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قسمت از آیۀ شریفه کاملاً مفید برای مدّعای بحث لاحرج است و بیان می‌کند در دین اسلام حکم شاقّ و سخت وجود ندارد؛ از این رو، اگر در موردی حکمی شاقّ وجود داشت، برحسب این آیۀ شریفه نباید به عنوان دین باشد</w:t>
      </w:r>
      <w:r>
        <w:rPr>
          <w:rFonts w:eastAsia="IRNazanin" w:cs="IRNazanin"/>
          <w:color w:val="111111"/>
          <w:sz w:val="28"/>
          <w:szCs w:val="28"/>
          <w:rtl w:val="true"/>
          <w:lang w:bidi="fa-IR"/>
        </w:rPr>
        <w:t>.</w:t>
      </w:r>
    </w:p>
    <w:p>
      <w:pPr>
        <w:pStyle w:val="Heading5"/>
        <w:numPr>
          <w:ilvl w:val="4"/>
          <w:numId w:val="1"/>
        </w:numPr>
        <w:rPr/>
      </w:pPr>
      <w:bookmarkStart w:id="121" w:name="__RefHeading___Toc6877304_211673320"/>
      <w:bookmarkStart w:id="122" w:name="_Toc45"/>
      <w:bookmarkEnd w:id="121"/>
      <w:r>
        <w:rPr>
          <w:rtl w:val="true"/>
        </w:rPr>
        <w:t>نظر مرحوم طبرسی</w:t>
      </w:r>
      <w:bookmarkEnd w:id="122"/>
    </w:p>
    <w:p>
      <w:pPr>
        <w:pStyle w:val="BookText"/>
        <w:rPr/>
      </w:pPr>
      <w:r>
        <w:rPr>
          <w:rFonts w:ascii="IRNazanin" w:hAnsi="IRNazanin" w:eastAsia="IRNazanin"/>
          <w:color w:val="111111"/>
          <w:sz w:val="28"/>
          <w:sz w:val="28"/>
          <w:szCs w:val="28"/>
          <w:rtl w:val="true"/>
          <w:lang w:bidi="fa-IR"/>
        </w:rPr>
        <w:t>مرحوم طبرسی احتمالات گوناگونی را در مورد معنای این قسمت از آیۀ شریفه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وَلَا تَحْمِلْ عَلَیْنَآ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وَلَا تُحَمِّلْنَا مَا لَاطَاقَةَ لَنَا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برخی از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 عَلَیْنَآ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لاتحمل علینا عملاً نعجز عن القیام به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عملی را که عاجز از انجام آن هستیم، بر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بحث قدرت وعدم قدرت پیش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احتمالاتی که در مورد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تُحَمِّلْنَا مَا لَاطَاقَةَ لَنَا بِهِ‌ی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عبارتنداز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لاتحمّل علینا ما یثقل علینا تحمّله من أنواع التکالیف</w:t>
      </w:r>
      <w:bookmarkStart w:id="123" w:name="pg844_8104"/>
    </w:p>
    <w:p>
      <w:pPr>
        <w:pStyle w:val="BookText"/>
        <w:rPr/>
      </w:pPr>
      <w:bookmarkEnd w:id="123"/>
      <w:r>
        <w:rPr>
          <w:rFonts w:ascii="IRNazanin" w:hAnsi="IRNazanin" w:eastAsia="IRNazanin"/>
          <w:color w:val="111111"/>
          <w:sz w:val="28"/>
          <w:sz w:val="28"/>
          <w:szCs w:val="28"/>
          <w:rtl w:val="true"/>
          <w:lang w:bidi="fa-IR"/>
        </w:rPr>
        <w:t>والإمتحان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آن چه را که تحمّلش برای ما سنگین و سخت است، بر ما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این قسمت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 عَلَیْنَآ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می‌شود و این قسمت تکرار قبل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کیفر اخروی معنا کنیم؛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تحمّلنا ما لاطاقة لنا به من العذاب عاجلاً وآجلاً</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 عَلَیْنَآ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سختی‌های دنیایی مربوط می‌شود که از خداوند می‌خواهیم در دنیا تکلیف‌های سخت و مشکل بر ما ندهد؛ و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تُحَمِّلْنَا مَا لَاطَاقَةَ لَنَا بِهِ‌ی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می‌خواهیم ما را مستحقّ عذاب اخروی که طاقتی بر آن نداریم، نکند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می‌رسد، از میان دو احتمال فوق، احتمال دوّم صحیح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عذاب اخروی است و قسمت وسط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 عَلَیْنَآ إِصْرًا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گرفتاری‌های دنیوی را بیان می‌کند، از ادلّه بسیار خوب قاعده لاحرج است</w:t>
      </w:r>
      <w:r>
        <w:rPr>
          <w:rFonts w:eastAsia="IRNazanin" w:cs="IRNazanin"/>
          <w:color w:val="111111"/>
          <w:sz w:val="28"/>
          <w:szCs w:val="28"/>
          <w:rtl w:val="true"/>
          <w:lang w:bidi="fa-IR"/>
        </w:rPr>
        <w:t>.</w:t>
      </w:r>
    </w:p>
    <w:p>
      <w:pPr>
        <w:pStyle w:val="Heading3"/>
        <w:numPr>
          <w:ilvl w:val="2"/>
          <w:numId w:val="1"/>
        </w:numPr>
        <w:rPr/>
      </w:pPr>
      <w:bookmarkStart w:id="124" w:name="__RefHeading___Toc6877306_211673320"/>
      <w:bookmarkStart w:id="125" w:name="_Toc46"/>
      <w:bookmarkEnd w:id="124"/>
      <w:r>
        <w:rPr>
          <w:rtl w:val="true"/>
        </w:rPr>
        <w:t>دلیل دوّم</w:t>
      </w:r>
      <w:r>
        <w:rPr>
          <w:rtl w:val="true"/>
        </w:rPr>
        <w:t xml:space="preserve">: </w:t>
      </w:r>
      <w:r>
        <w:rPr>
          <w:rtl w:val="true"/>
        </w:rPr>
        <w:t xml:space="preserve">سنّت </w:t>
      </w:r>
      <w:r>
        <w:rPr>
          <w:rtl w:val="true"/>
        </w:rPr>
        <w:t>(</w:t>
      </w:r>
      <w:r>
        <w:rPr>
          <w:rtl w:val="true"/>
        </w:rPr>
        <w:t>روایات</w:t>
      </w:r>
      <w:r>
        <w:rPr>
          <w:rtl w:val="true"/>
        </w:rPr>
        <w:t>)</w:t>
      </w:r>
      <w:bookmarkEnd w:id="125"/>
    </w:p>
    <w:p>
      <w:pPr>
        <w:pStyle w:val="Heading4"/>
        <w:numPr>
          <w:ilvl w:val="3"/>
          <w:numId w:val="1"/>
        </w:numPr>
        <w:rPr/>
      </w:pPr>
      <w:bookmarkStart w:id="126" w:name="__RefHeading___Toc6877308_211673320"/>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اکثر روایاتی که به آنها برای قاعده لاحرج استدلال شده است، در ضمن بحث از آیات شریفه مورد بررسی قرار دادیم؛ دو روایت دیگر وجود دارد که آنها را نیز در اینجا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عن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أحمد بن محمّد بن أبی‌نصر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فرا، لایدری أذکیّة هی أم غیر ذکیّة، أیصلّی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لیس علیکم المسألة، إنّ أباجعفر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إنّ الدّین أوسع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رجال بیان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ثقات و جلیل‌القدر است، دو کتاب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40"/>
      </w:r>
      <w:r>
        <w:rPr>
          <w:rFonts w:ascii="IRNazanin" w:hAnsi="IRNazanin" w:eastAsia="IRNazanin"/>
          <w:color w:val="111111"/>
          <w:sz w:val="28"/>
          <w:sz w:val="28"/>
          <w:szCs w:val="28"/>
          <w:rtl w:val="true"/>
          <w:lang w:bidi="fa-IR"/>
        </w:rPr>
        <w:t xml:space="preserve">؛ سند شیخ طوسی رحمه الله به او نسبت به روایاتی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صحیح است ولی نسبت به 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موثّق است؛ بنابراین، در هر دو صورت، روایات او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 که روایت مرفوعه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امامی که از او پرسش شده در روایت نیامده است؛ لکن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کسانی است که لاینقل إلّاعن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غیر از امام علیه السلام روایت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مرفوعه بودن ضرری به روایت نمی‌رساند و روایت،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احمد بن محمّد بن ابی‌نصر بزنطی در مورد مردی که یک قطعه پوستی از بازار خریده و نمی‌داند که از حیوان تذکیه شده است یا غیر تذکیه شده، سؤال می‌کند آیا می‌تواند در آن نماز بخواند یا نه؟ امام علیه السلام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می‌تواند نماز بخواند و بر شما واجب نیست که از تذکیه حیوان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 که خوارج به سبب جهالتی که در مورد دین داشتند، بر خودشان خیلی تنگ می‌گرفتند، در حالی که دین خیلی وسیع‌تر از آن دیدگاه‌های تنگ و تاریک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بیان شد که قاعده لاحرج می‌تواند دلیل برای اصالة الطهارة و قاعده میسور باشد، بر اساس این روایت نیز می‌توان گفت قاعده لاحرج دلیل بر سوق مسلمین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سوق مسلمین اعتبار دارد، این است که در غیر این صورت، حرج پیش می‌آید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این ادّعا را اثبات نمود که قاعده لاحرج فقط مخصوص نفی حکم حرجی نیست و برای اثبات حکم نیز قابل استناد است؛</w:t>
      </w:r>
    </w:p>
    <w:p>
      <w:pPr>
        <w:pStyle w:val="BookText"/>
        <w:rPr/>
      </w:pPr>
      <w:r>
        <w:rPr>
          <w:rFonts w:ascii="IRNazanin" w:hAnsi="IRNazanin" w:eastAsia="IRNazanin"/>
          <w:color w:val="111111"/>
          <w:sz w:val="28"/>
          <w:sz w:val="28"/>
          <w:szCs w:val="28"/>
          <w:rtl w:val="true"/>
          <w:lang w:bidi="fa-IR"/>
        </w:rPr>
        <w:t>هم‌چنان که امام علیه السلام برای جواز استعمال پوست در هنگام نماز به لاحرج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عبارت استفاده می‌شود که حکم حلّیت خرید از سوق مسلمین اختصاصی به مورد پوست ندارد و دین اسلام در تمامی جنبه‌هایش توسعه دارد و در آن حکم حرجی و تضییقی که از جهالت ناشی می‌شود،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علی علیه السلام التوضّأ من فضل وضوء جماعة المسلمین أحبّ إلیک أو یتوضّأ من رکو أبیض مخمر؟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فضل وضوء جماعة المسلمین، فإنّ أحبّ دینکم إلی اللّه الحنیفیّة السمحة السهلة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مرسلات مرحوم شیخ صدوق رحمه الله می‌باشد، لکن قابل اعتماد است؛ چه آن که مرسلات صدوق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آنها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نوع دوّم روایاتی است که آنها را به طور مسلّم اسناد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این نوع از مرسلات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می‌باشد؛ بنابراین، روایت فوق معتبر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و 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 علیه السلام سؤال شد وضو گرفتن با آب اضافه و باقیمانده از وضوی گروهی مسلمان، نزد شما محبوب‌تر است یا وضو از آب ظرف دربسته و دست نخورده؟ حضرت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باقیمانده آب وضوی جماعت مسلمین بهتر است؛ همانا محبوب‌ترین دین در نزد خداوند متعال، دینی است که آسان و سهل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پاسخی که حضرت می‌دهند و این که حکمشان را به آسانیِ شریعت استناد داده‌اند، دانسته می‌شود که احکام حرجی و مشقّت‌بار از شریعت نمی‌باشد و در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دلالت این روایت بر قاعده لاحرج را قبول نکند، حداقل</w:t>
      </w:r>
      <w:bookmarkStart w:id="128" w:name="pg844_8110"/>
    </w:p>
    <w:p>
      <w:pPr>
        <w:pStyle w:val="BookText"/>
        <w:rPr/>
      </w:pPr>
      <w:bookmarkEnd w:id="128"/>
      <w:r>
        <w:rPr>
          <w:rFonts w:ascii="IRNazanin" w:hAnsi="IRNazanin" w:eastAsia="IRNazanin"/>
          <w:color w:val="111111"/>
          <w:sz w:val="28"/>
          <w:sz w:val="28"/>
          <w:szCs w:val="28"/>
          <w:rtl w:val="true"/>
          <w:lang w:bidi="fa-IR"/>
        </w:rPr>
        <w:t>می‌توان گفت که مؤیّد دیگر اخباری که دلیل قاعده لاحرج بودند، می‌باشد</w:t>
      </w:r>
      <w:r>
        <w:rPr>
          <w:rFonts w:eastAsia="IRNazanin" w:cs="IRNazanin"/>
          <w:color w:val="111111"/>
          <w:sz w:val="28"/>
          <w:szCs w:val="28"/>
          <w:rtl w:val="true"/>
          <w:lang w:bidi="fa-IR"/>
        </w:rPr>
        <w:t>.</w:t>
      </w:r>
    </w:p>
    <w:p>
      <w:pPr>
        <w:pStyle w:val="Heading4"/>
        <w:numPr>
          <w:ilvl w:val="3"/>
          <w:numId w:val="1"/>
        </w:numPr>
        <w:rPr/>
      </w:pPr>
      <w:bookmarkStart w:id="129" w:name="__RefHeading___Toc6877310_211673320"/>
      <w:bookmarkStart w:id="130" w:name="_Toc48"/>
      <w:bookmarkEnd w:id="129"/>
      <w:r>
        <w:rPr>
          <w:rtl w:val="true"/>
        </w:rPr>
        <w:t>نکتۀ تکمیلی بحث آیات و روایات</w:t>
      </w:r>
      <w:bookmarkEnd w:id="130"/>
    </w:p>
    <w:p>
      <w:pPr>
        <w:pStyle w:val="BookText"/>
        <w:rPr/>
      </w:pPr>
      <w:r>
        <w:rPr>
          <w:rFonts w:ascii="IRNazanin" w:hAnsi="IRNazanin" w:eastAsia="IRNazanin"/>
          <w:color w:val="111111"/>
          <w:sz w:val="28"/>
          <w:sz w:val="28"/>
          <w:szCs w:val="28"/>
          <w:rtl w:val="true"/>
          <w:lang w:bidi="fa-IR"/>
        </w:rPr>
        <w:t xml:space="preserve">مطلبی را که در اینجا لازم است به عنوان تکمیل بحث استدلال به آیات و روایات دالّ بر قاعده لاحرج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بحث معنای لغوی حرج نیز اشاره مختصری به آن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حرج مقصود در آیات شریفه و روایات، مطلق ضیق است و یا آن که مرتبه خاصّ و شدیدتری مقصود است؟</w:t>
      </w:r>
    </w:p>
    <w:p>
      <w:pPr>
        <w:pStyle w:val="BookText"/>
        <w:rPr/>
      </w:pPr>
      <w:r>
        <w:rPr>
          <w:rFonts w:ascii="IRNazanin" w:hAnsi="IRNazanin" w:eastAsia="IRNazanin"/>
          <w:color w:val="111111"/>
          <w:sz w:val="28"/>
          <w:sz w:val="28"/>
          <w:szCs w:val="28"/>
          <w:rtl w:val="true"/>
          <w:lang w:bidi="fa-IR"/>
        </w:rPr>
        <w:t xml:space="preserve">عناوینی که در روایات ذکر شده گوناگون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مالایطاق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باید دید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واژه‌ها فرق است و یا آن که همه بر یک معنا دلالت دارند؟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بیان‌کننده یک معنا هستند؟</w:t>
      </w:r>
    </w:p>
    <w:p>
      <w:pPr>
        <w:pStyle w:val="Heading4"/>
        <w:numPr>
          <w:ilvl w:val="3"/>
          <w:numId w:val="1"/>
        </w:numPr>
        <w:rPr/>
      </w:pPr>
      <w:bookmarkStart w:id="131" w:name="__RefHeading___Toc6877312_211673320"/>
      <w:bookmarkStart w:id="132" w:name="_Toc49"/>
      <w:bookmarkEnd w:id="131"/>
      <w:r>
        <w:rPr>
          <w:rtl w:val="true"/>
        </w:rPr>
        <w:t>کلام محقّق نراقی رحمه الله</w:t>
      </w:r>
      <w:bookmarkEnd w:id="132"/>
    </w:p>
    <w:p>
      <w:pPr>
        <w:pStyle w:val="BookText"/>
        <w:rPr/>
      </w:pPr>
      <w:r>
        <w:rPr>
          <w:rFonts w:ascii="IRNazanin" w:hAnsi="IRNazanin" w:eastAsia="IRNazanin"/>
          <w:color w:val="111111"/>
          <w:sz w:val="28"/>
          <w:sz w:val="28"/>
          <w:szCs w:val="28"/>
          <w:rtl w:val="true"/>
          <w:lang w:bidi="fa-IR"/>
        </w:rPr>
        <w:t xml:space="preserve">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عموم و خصوص مطلق برقرار است؛ بدین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سختی و شدّتی صدق می‌کند،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مواردی که در نهایت سختی و شدّت قرار دارد، صدق می‌کند؛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مرتبه‌ای خفیف‌تر و ضعیف‌تر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عرف نیز این نسبت برقرار است و بین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مراتب تکلیف چهار مرحله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مرتبۀ تکلیف مالایطاق؛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تکلیف 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سختی که به حدّ مالایطاق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مرتبۀ تکلیف عسری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تکلیف یُسری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و آخر هیچ بحثی وجود ندارد که تکلیف به مالایطاق از نظر عقل و</w:t>
      </w:r>
      <w:bookmarkStart w:id="133" w:name="pg844_8112"/>
    </w:p>
    <w:p>
      <w:pPr>
        <w:pStyle w:val="BookText"/>
        <w:rPr/>
      </w:pPr>
      <w:bookmarkEnd w:id="133"/>
      <w:r>
        <w:rPr>
          <w:rFonts w:ascii="IRNazanin" w:hAnsi="IRNazanin" w:eastAsia="IRNazanin"/>
          <w:color w:val="111111"/>
          <w:sz w:val="28"/>
          <w:sz w:val="28"/>
          <w:szCs w:val="28"/>
          <w:rtl w:val="true"/>
          <w:lang w:bidi="fa-IR"/>
        </w:rPr>
        <w:t xml:space="preserve">شرع منتفی است و تکلیف یُسری نیز هیچ شک و شبهه‌ای در جواز تکلیف به آن و تحقّقش وجود ندارد؛ امّا مرحلۀ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عُسری و تکلیف حرجی و ضیقی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ادّعای مرحوم نراقی این است که هرچند از نظر لغت،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قائل نشویم، لکن در نظر عرف بین اینها فرق است و بنابراین، ادلّه وارده در لاحرج به هر دو مرتبه اشاره دارد و انتفای تکلیف در آنها را بیان می‌کند</w:t>
      </w:r>
      <w:r>
        <w:rPr>
          <w:rFonts w:eastAsia="IRNazanin" w:cs="IRNazanin"/>
          <w:color w:val="111111"/>
          <w:sz w:val="28"/>
          <w:szCs w:val="28"/>
          <w:rtl w:val="true"/>
          <w:lang w:bidi="fa-IR"/>
        </w:rPr>
        <w:t>.</w:t>
      </w:r>
    </w:p>
    <w:p>
      <w:pPr>
        <w:pStyle w:val="Heading4"/>
        <w:numPr>
          <w:ilvl w:val="3"/>
          <w:numId w:val="1"/>
        </w:numPr>
        <w:rPr/>
      </w:pPr>
      <w:bookmarkStart w:id="134" w:name="__RefHeading___Toc6877314_211673320"/>
      <w:bookmarkStart w:id="135" w:name="_Toc50"/>
      <w:bookmarkEnd w:id="134"/>
      <w:r>
        <w:rPr>
          <w:rtl w:val="true"/>
        </w:rPr>
        <w:t>بررسی نظر محقّق نراقی رحمه الله</w:t>
      </w:r>
      <w:bookmarkEnd w:id="135"/>
    </w:p>
    <w:p>
      <w:pPr>
        <w:pStyle w:val="BookText"/>
        <w:rPr/>
      </w:pPr>
      <w:r>
        <w:rPr>
          <w:rFonts w:ascii="IRNazanin" w:hAnsi="IRNazanin" w:eastAsia="IRNazanin"/>
          <w:color w:val="111111"/>
          <w:sz w:val="28"/>
          <w:sz w:val="28"/>
          <w:szCs w:val="28"/>
          <w:rtl w:val="true"/>
          <w:lang w:bidi="fa-IR"/>
        </w:rPr>
        <w:t xml:space="preserve">هنگامی که به کتب فقهی مراجعه می‌کنیم، می‌بینیم برخی از فقهای متأخّر، در مواردی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لایتحمّله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مرحوم سیّد در بحث مسوّغات تیمّم، در مسوّغ سوّم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استعماله علی نفسه، أو عضو من أعضائه بتلف أو عیب أو حدوث مرض أو شدّته أو طول مدّته أو بطوء برئه أو صعوبة علاجه أو نحو ذلک ممّا یعسر تحمّله عادة، بل لو خاف من الشین الّذی یکون تحمّله شاقّاً تیمّم،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بترسد در صورت استفاده از آب برای وضو، نقصی برای او پیدا می‌شود، یا بیمار می‌شود، یا بیماری‌اش شدّت پیدا می‌کند، یا طولانی می‌شود، یا زمان درمانش به طول می‌انجامد، یا علاجش مشکل می‌شود و مانند این موارد از چیزهایی که تحمّل آن به صورت عادی ممکن نیست؛ بلکه اگر بخواهد از آب استفاده کند، مردم او را مذمّت می‌کنند به صورتی که تحمّلش سخت است؛ در تمامی این موارد، می‌تواند تیمّم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بروجردی و آقای خوانساری رحمهما الله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عروة</w:t>
      </w:r>
    </w:p>
    <w:p>
      <w:pPr>
        <w:pStyle w:val="BookText"/>
        <w:rPr/>
      </w:pPr>
      <w:r>
        <w:rPr>
          <w:rFonts w:ascii="IRNazanin" w:hAnsi="IRNazanin" w:eastAsia="IRNazanin"/>
          <w:color w:val="111111"/>
          <w:sz w:val="28"/>
          <w:sz w:val="28"/>
          <w:szCs w:val="28"/>
          <w:rtl w:val="true"/>
          <w:lang w:bidi="fa-IR"/>
        </w:rPr>
        <w:t>الوثقی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بحیث لاتتحمّل عادة؛ منظور از شاقّ، عمل سختی است که در حالت عادّی، تحمّل آن امکان ندارد و از طاقت شخص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حکیم نیز 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مشقّة لایقدم علیها العقلاء؛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آن به اندازه‌ای است که عقلا برای انجام آن اقدامی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مسوّغ چهارم، مرحوم سیّد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 فی تحصیل الماء أو فی استعماله وإن لم‌یکن ضرر أو خوفه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بروجردی در حاشیه،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اضافه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ممّا لایتحمّل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حرج پیداکردن آب و یا استعمال آن به حدّی برسد که در حالت عادی تحمّلش ممکن نیست، تیمّم جائز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فقها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موارد،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می‌کنند؛ حال، سؤال این است که با قطع نظر از لغت و عرف، آیا می‌توانیم این قید را از آیات شریفه و روایات وارده استفاده کنیم؟ و بگوییم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منظور از حرج، حرجی است که لایتحمّل عادة؟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در ذیل این آیۀ شریفه بیان کردیم، هیچ‌کدام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بلکه در بعضی از روایات، امام علیه السلام موارد عادی را نیز مشمول حکم قاعده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چنین قیدی از ادلّه استفاده نمی‌شود؛ بلکه همان‌طور که ذکر شد،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شارع نمی‌خواهد در اینجا حدّ وسطی هم وجود داشته باشد و آنچه اراده او بدان تعلّق پیدا کرده، یُسر و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وجود این قید بر خلاف امتنان است؛ زیرا، هم‌چنان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امتنانی دارد و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حرج</w:t>
      </w:r>
    </w:p>
    <w:p>
      <w:pPr>
        <w:pStyle w:val="BookText"/>
        <w:rPr/>
      </w:pPr>
      <w:r>
        <w:rPr>
          <w:rFonts w:ascii="IRNazanin" w:hAnsi="IRNazanin" w:eastAsia="IRNazanin"/>
          <w:color w:val="111111"/>
          <w:sz w:val="28"/>
          <w:sz w:val="28"/>
          <w:szCs w:val="28"/>
          <w:rtl w:val="true"/>
          <w:lang w:bidi="fa-IR"/>
        </w:rPr>
        <w:t xml:space="preserve">اضافه شود، این تکلیف به تکالیف 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ما لایطاق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 که از نظر عقل قبیح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وجوهی که برای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اوّلی که در مورد منشأ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است که معتقدین به این قید، آن را به عنوان قرینۀ عقلیّه و مقامیّه مطرح می‌کنند؛ بدین صورت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در هر تکلیفی مشقّت و سختی وجود دارد و این که شارع بیان می‌کند تکلیف حرجی جعل نکرده، منظور این است که حرجی زائد بر اصل مشقّت و سختی‌ایی که خود تکلیف آن را اقتضا دارد، جعل نکرده است و از این تعبیر می‌کنیم به حرجی که لایتحمّل عادة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اشکال این وجه آن است که فقط مرتبه‌ای از حرج زائد بر اصل تکلیف را اثبات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نمی‌خواهیم بگوئیم که در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مرتبه بسیار ضعیف آن، موجب رفع تکالیف است؛ چرا که در این صورت، تمام تکالیف مرفوع می‌شود و حال آن که چنین چیزی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دلیل نیز نمی‌تواند مثبت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که برای این قید دلیلی وجود ندارد و بلکه روایات نیز خلاف آن را می‌رساند، ملاحظه می‌کنیم که یک فقیه در فرعی از فروع فقهی این قید را ذکر می‌کند و در مورد دیگر آن را حذف می‌کند؛ و اگر وجود این قید مسلّم بود، می‌بایست آن را در تمامی فقه ذکر 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شک کنیم و ندانیم حرج مرفوع، آیا حرجی است که لایتحمّل عادة، یا حرج شدید و یا مطلق حرج؟ مفهوم حرج مجمل می‌شود و دوران بین مفهوم 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شدید و حرجی که لایتحمّل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همان‌گونه که در مباحث اوّلیه عنوان کردیم، حکم به جهت اطلاق این مفهوم تابع مفهوم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حرج بر آن صدق کند، به وسیله قاعده لاحرج حکم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دوّمی که در مورد اثبات این قید وجود دارد، مسأله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قاعده لاحرج حاکم بر ادلّه اوّلیه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کتب علیکم الصیام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را تخصیص می‌زند؛ و در نتیجه، شارع مقدّس تکالیف حرجیه را از دایره احکام و تکالیف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مخصِّص در اینجا مجمل است و نمی‌دانیم حرج شدید منظور است یا مطلق الحرج؟ در اجمال مفهوم و دوران بین اقلّ و اکثر، قاعده این است که بر قدر متیقّن که اقلّ است،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حرج شدیدی که لایتحمّل عادة، از ادلّه اوّلیه خارج می‌شود و مابقی تکالیف حرجیه تحت عموم ادلّه اوّلیه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عظیم الشأن، والد محقّق و مدقّق</w:t>
      </w:r>
      <w:r>
        <w:rPr>
          <w:rStyle w:val="FootnoteAnchor"/>
          <w:rtl w:val="true"/>
        </w:rPr>
        <w:footnoteReference w:id="148"/>
      </w:r>
      <w:r>
        <w:rPr>
          <w:rFonts w:ascii="Amiri" w:hAnsi="Amiri" w:eastAsia="Amiri" w:cs="Amiri"/>
          <w:color w:val="111111"/>
          <w:sz w:val="28"/>
          <w:sz w:val="28"/>
          <w:szCs w:val="28"/>
          <w:rtl w:val="true"/>
          <w:lang w:bidi="ar-SA"/>
        </w:rPr>
        <w:t>از راه مطلق و مقیّد وارد شده و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قاعده حمل مطلق بر مقیّد جریان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بیان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یُرِیدُ بِکُمُ الْعُسْرَ</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مطلق حرج و سختی است؛ ولی در آیۀ دیگر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حرج، معنای مقیّدی دارد که همان حرج شدید است؛ بنابراین، در اینجا مطلق را بر مقیّد حمل نموده و می‌گوئیم مراد از حرج، مطلق الضیق نمی‌باشد بلکه منظور ضیق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بر بیان فوق</w:t>
      </w:r>
    </w:p>
    <w:p>
      <w:pPr>
        <w:pStyle w:val="BookText"/>
        <w:rPr/>
      </w:pPr>
      <w:r>
        <w:rPr>
          <w:rFonts w:ascii="IRNazanin" w:hAnsi="IRNazanin" w:eastAsia="IRNazanin"/>
          <w:color w:val="111111"/>
          <w:sz w:val="28"/>
          <w:sz w:val="28"/>
          <w:szCs w:val="28"/>
          <w:rtl w:val="true"/>
          <w:lang w:bidi="fa-IR"/>
        </w:rPr>
        <w:t xml:space="preserve">اشکال اوّل این بیان آن است که مشکل ما در استعمال لفظ حرج می‌باشد که یک لفظ واحدی است؛ بدین صورت که اگر در مواردی حرج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 نمی‌توان مطلق را حمل بر مقیّد نمود؛ چرا که مسأله حمل مطلق بر مقیّد در لفظ واحد جاری نمی‌شود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آن که حمل مطلق بر مقیّد در این دو دلیل، متفرّع بر تمام بودن فرمایش مرحوم نراقی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حالی که توضیح داده شد</w:t>
      </w:r>
      <w:bookmarkStart w:id="136" w:name="pg844_8121"/>
    </w:p>
    <w:p>
      <w:pPr>
        <w:pStyle w:val="BookText"/>
        <w:rPr/>
      </w:pPr>
      <w:bookmarkEnd w:id="136"/>
      <w:r>
        <w:rPr>
          <w:rFonts w:ascii="IRNazanin" w:hAnsi="IRNazanin" w:eastAsia="IRNazanin"/>
          <w:color w:val="111111"/>
          <w:sz w:val="28"/>
          <w:sz w:val="28"/>
          <w:szCs w:val="28"/>
          <w:rtl w:val="true"/>
          <w:lang w:bidi="fa-IR"/>
        </w:rPr>
        <w:t xml:space="preserve">در لغت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و هر دو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فرمایش مرحوم نراقی صحیح باشد و منظور ایشان عرف عام باشد که در آن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باز مجالی برای حمل مطلق بر مقیّد وجود ندارد؛ چه آن که مطلق و مقیّد، دو دلیلی هستند که بین آنها تعارض و تنافی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غیرمستقرّ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حال آن که در بحث ما حتّی تعارض بدوی وجود ندارد؛ و عرف، بین این دو دلیل به هیچ وجه تعارض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مسأله حمل مطلق بر مقیّد نیز قابل مناقشه بوده و صحیح نمی‌باشد؛ و در نتیجه، مجالی برای اثبات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تصریح امام خمینی قدس سره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کلمات بسیاری از اهل لغت استفاده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آن که چنین قیدی را بیان کرده باشند؛ 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ندارد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ایشان در موردی که استفاده آب در وضو موجب خشکی پوست شود، هر چند که منجر به ترکیدگی آن نگردد، قاعده لاحرج را جاری می‌دانند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37" w:name="__RefHeading___Toc6877316_211673320"/>
      <w:bookmarkStart w:id="138" w:name="_Toc51"/>
      <w:bookmarkEnd w:id="137"/>
      <w:r>
        <w:rPr>
          <w:rtl w:val="true"/>
        </w:rPr>
        <w:t>دلیل سوّم</w:t>
      </w:r>
      <w:r>
        <w:rPr>
          <w:rtl w:val="true"/>
        </w:rPr>
        <w:t xml:space="preserve">: </w:t>
      </w:r>
      <w:r>
        <w:rPr>
          <w:rtl w:val="true"/>
        </w:rPr>
        <w:t>اجماع</w:t>
      </w:r>
      <w:bookmarkEnd w:id="138"/>
    </w:p>
    <w:p>
      <w:pPr>
        <w:pStyle w:val="Heading4"/>
        <w:numPr>
          <w:ilvl w:val="3"/>
          <w:numId w:val="1"/>
        </w:numPr>
        <w:rPr/>
      </w:pPr>
      <w:bookmarkStart w:id="139" w:name="__RefHeading___Toc6877318_211673320"/>
      <w:bookmarkStart w:id="140" w:name="_Toc52"/>
      <w:bookmarkEnd w:id="139"/>
      <w:r>
        <w:rPr>
          <w:rtl w:val="true"/>
        </w:rPr>
        <w:t>اشاره</w:t>
      </w:r>
      <w:bookmarkEnd w:id="14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سومی که برای قاعده لاحرج به آن استدلال شده است، اجماع می‌باشد؛ در این دلیل بیان شده که اجماع مسلمین بر نفی حکم حرجی در شریعت اسلام است</w:t>
      </w:r>
      <w:r>
        <w:rPr>
          <w:rFonts w:eastAsia="IRNazanin" w:cs="IRNazanin"/>
          <w:color w:val="111111"/>
          <w:sz w:val="28"/>
          <w:szCs w:val="28"/>
          <w:rtl w:val="true"/>
          <w:lang w:bidi="fa-IR"/>
        </w:rPr>
        <w:t>.</w:t>
      </w:r>
      <w:r>
        <w:rPr>
          <w:rStyle w:val="FootnoteAnchor"/>
          <w:rtl w:val="true"/>
        </w:rPr>
        <w:footnoteReference w:id="153"/>
      </w:r>
      <w:bookmarkStart w:id="141" w:name="pg844_8123"/>
    </w:p>
    <w:p>
      <w:pPr>
        <w:pStyle w:val="Heading4"/>
        <w:numPr>
          <w:ilvl w:val="3"/>
          <w:numId w:val="1"/>
        </w:numPr>
        <w:rPr/>
      </w:pPr>
      <w:bookmarkStart w:id="142" w:name="__RefHeading___Toc6877320_211673320"/>
      <w:bookmarkStart w:id="143" w:name="_Toc53"/>
      <w:bookmarkEnd w:id="141"/>
      <w:bookmarkEnd w:id="142"/>
      <w:r>
        <w:rPr>
          <w:rtl w:val="true"/>
        </w:rPr>
        <w:t>بر این دلیل سه اشکال وارد است</w:t>
      </w:r>
      <w:r>
        <w:rPr>
          <w:rtl w:val="true"/>
        </w:rPr>
        <w:t>:</w:t>
      </w:r>
      <w:bookmarkEnd w:id="143"/>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اجماع فقط در صورتی حجّت است که کاشف از رأی معصوم علیه السلام باشد؛ بنابراین، اگر مبنای اجماع فقها دلیل عقلی و یا نقلی باشد، و بر اساس آن حکم را استنباط کرده باشند، آن اجماع از حجّیت برخوردار نیست و به اصطلاح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در اثبات قاعده لاحرج نیز به اجماع بر نفی حکم حرجی استدلال شود، اعتباری ندارد؛ زیرا، دلیل اجماع کنندگان در حقیقت همان آیات و روایاتی است که در مباحث گذشته مورد بررسی قرار گرفت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چون اکثر علمای متقدّمین به این مسأله اشاره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بعضی موارد به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قاعده لاحرج مورد قبول همه علماست؛ حتّی کسانی چون مرحوم صاحب وسائل وجود چنین قاعده‌ای را منکرند</w:t>
      </w:r>
      <w:r>
        <w:rPr>
          <w:rStyle w:val="FootnoteAnchor"/>
          <w:rtl w:val="true"/>
        </w:rPr>
        <w:footnoteReference w:id="155"/>
      </w:r>
      <w:r>
        <w:rPr>
          <w:rFonts w:ascii="IRNazanin" w:hAnsi="IRNazanin" w:eastAsia="IRNazanin"/>
          <w:color w:val="111111"/>
          <w:sz w:val="28"/>
          <w:sz w:val="28"/>
          <w:szCs w:val="28"/>
          <w:rtl w:val="true"/>
          <w:lang w:bidi="fa-IR"/>
        </w:rPr>
        <w:t>؛ و یا مرحوم نراقی این قاعده را به عنوان یک اصل قبول دارد، نه به عنوان دلیل</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بنابراین، ادّعای استقرار چنین اجماعی مشکل و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سوّمی که بر این دلیل وارد است، منقول بودن آن می‌باشد؛ به عنوان مثال مرحوم علامّه طباطبایی آن را از قول استاد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Style w:val="FootnoteAnchor"/>
          <w:rtl w:val="true"/>
        </w:rPr>
        <w:footnoteReference w:id="157"/>
      </w:r>
      <w:r>
        <w:rPr>
          <w:rFonts w:ascii="IRNazanin" w:hAnsi="IRNazanin" w:eastAsia="IRNazanin"/>
          <w:color w:val="111111"/>
          <w:sz w:val="28"/>
          <w:sz w:val="28"/>
          <w:szCs w:val="28"/>
          <w:rtl w:val="true"/>
          <w:lang w:bidi="fa-IR"/>
        </w:rPr>
        <w:t>؛ و اجماع منقول نیز حجیّتی ندارد</w:t>
      </w:r>
      <w:r>
        <w:rPr>
          <w:rFonts w:eastAsia="IRNazanin" w:cs="IRNazanin"/>
          <w:color w:val="111111"/>
          <w:sz w:val="28"/>
          <w:szCs w:val="28"/>
          <w:rtl w:val="true"/>
          <w:lang w:bidi="fa-IR"/>
        </w:rPr>
        <w:t>.</w:t>
      </w:r>
    </w:p>
    <w:p>
      <w:pPr>
        <w:pStyle w:val="Heading3"/>
        <w:numPr>
          <w:ilvl w:val="2"/>
          <w:numId w:val="1"/>
        </w:numPr>
        <w:rPr/>
      </w:pPr>
      <w:bookmarkStart w:id="144" w:name="__RefHeading___Toc6877322_211673320"/>
      <w:bookmarkStart w:id="145" w:name="_Toc54"/>
      <w:bookmarkEnd w:id="144"/>
      <w:r>
        <w:rPr>
          <w:rtl w:val="true"/>
        </w:rPr>
        <w:t>دلیل چهارم</w:t>
      </w:r>
      <w:r>
        <w:rPr>
          <w:rtl w:val="true"/>
        </w:rPr>
        <w:t xml:space="preserve">: </w:t>
      </w:r>
      <w:r>
        <w:rPr>
          <w:rtl w:val="true"/>
        </w:rPr>
        <w:t>عقل</w:t>
      </w:r>
      <w:bookmarkEnd w:id="145"/>
    </w:p>
    <w:p>
      <w:pPr>
        <w:pStyle w:val="Heading4"/>
        <w:numPr>
          <w:ilvl w:val="3"/>
          <w:numId w:val="1"/>
        </w:numPr>
        <w:rPr/>
      </w:pPr>
      <w:bookmarkStart w:id="146" w:name="__RefHeading___Toc6877324_211673320"/>
      <w:bookmarkStart w:id="147" w:name="_Toc55"/>
      <w:bookmarkEnd w:id="146"/>
      <w:r>
        <w:rPr>
          <w:rtl w:val="true"/>
        </w:rPr>
        <w:t>اشاره</w:t>
      </w:r>
      <w:bookmarkEnd w:id="1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در اثبات قاعده لاحرج، بحث از مبنای عقلی قاعده است؛ چهار بیان و</w:t>
      </w:r>
      <w:bookmarkStart w:id="148" w:name="pg844_8125"/>
    </w:p>
    <w:p>
      <w:pPr>
        <w:pStyle w:val="BookText"/>
        <w:rPr/>
      </w:pPr>
      <w:bookmarkEnd w:id="148"/>
      <w:r>
        <w:rPr>
          <w:rFonts w:ascii="IRNazanin" w:hAnsi="IRNazanin" w:eastAsia="IRNazanin"/>
          <w:color w:val="111111"/>
          <w:sz w:val="28"/>
          <w:sz w:val="28"/>
          <w:szCs w:val="28"/>
          <w:rtl w:val="true"/>
          <w:lang w:bidi="fa-IR"/>
        </w:rPr>
        <w:t>تقریر مختلف برای این دلیل ذکر شده است که آنها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49" w:name="__RefHeading___Toc6877326_211673320"/>
      <w:bookmarkStart w:id="150" w:name="_Toc56"/>
      <w:bookmarkEnd w:id="149"/>
      <w:r>
        <w:rPr>
          <w:rtl w:val="true"/>
        </w:rPr>
        <w:t>بیان اوّل</w:t>
      </w:r>
      <w:r>
        <w:rPr>
          <w:rtl w:val="true"/>
        </w:rPr>
        <w:t xml:space="preserve">: </w:t>
      </w:r>
      <w:r>
        <w:rPr>
          <w:rtl w:val="true"/>
        </w:rPr>
        <w:t>تکلیف حرجی از مصادیق تکلیف به مالایطاق است</w:t>
      </w:r>
      <w:r>
        <w:rPr>
          <w:rtl w:val="true"/>
        </w:rPr>
        <w:t>.</w:t>
      </w:r>
      <w:bookmarkEnd w:id="150"/>
    </w:p>
    <w:p>
      <w:pPr>
        <w:pStyle w:val="Heading5"/>
        <w:numPr>
          <w:ilvl w:val="4"/>
          <w:numId w:val="1"/>
        </w:numPr>
        <w:rPr/>
      </w:pPr>
      <w:bookmarkStart w:id="151" w:name="__RefHeading___Toc6877328_211673320"/>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در این بیان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حرجی نیز از مصادیق تکلیف به مالایطاق است و عقل به صورت مستقلّ حکم به امتناع چنین تکلیفی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الأدلّة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تحمیل ما فیه هذه الأمور؛ ولکنّه مختصّ ببعض أفرادها، وهو ما کان متضمّناً لتحمیل ما هو خارج عن الوسع والطاقة،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تکلیفاً بما لایطاق، ولایمکنه الإتیان به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بر قاعده لاحرج، این است که تحمیل اموری که در آنها عسر و حرج و مشقّت وجود دارد، قبیح است؛ لکن این قبح در بعضی از افراد حرج که خارج از وسع و طاقت باشند، وجود دارد در این صورت، تکلیف به مالایطاق است که امکان انجامش نیست و عقلاً قبیح است</w:t>
      </w:r>
      <w:r>
        <w:rPr>
          <w:rFonts w:eastAsia="IRNazanin" w:cs="IRNazanin"/>
          <w:color w:val="111111"/>
          <w:sz w:val="28"/>
          <w:szCs w:val="28"/>
          <w:rtl w:val="true"/>
          <w:lang w:bidi="fa-IR"/>
        </w:rPr>
        <w:t>.</w:t>
      </w:r>
    </w:p>
    <w:p>
      <w:pPr>
        <w:pStyle w:val="Heading5"/>
        <w:numPr>
          <w:ilvl w:val="4"/>
          <w:numId w:val="1"/>
        </w:numPr>
        <w:rPr/>
      </w:pPr>
      <w:bookmarkStart w:id="153" w:name="__RefHeading___Toc6877330_211673320"/>
      <w:bookmarkStart w:id="154" w:name="_Toc58"/>
      <w:bookmarkEnd w:id="153"/>
      <w:r>
        <w:rPr>
          <w:rtl w:val="true"/>
        </w:rPr>
        <w:t>اشکالات بیان اوّل</w:t>
      </w:r>
      <w:bookmarkEnd w:id="154"/>
    </w:p>
    <w:p>
      <w:pPr>
        <w:pStyle w:val="BookText"/>
        <w:rPr/>
      </w:pPr>
      <w:r>
        <w:rPr>
          <w:rFonts w:ascii="IRNazanin" w:hAnsi="IRNazanin" w:eastAsia="IRNazanin"/>
          <w:color w:val="111111"/>
          <w:sz w:val="28"/>
          <w:sz w:val="28"/>
          <w:szCs w:val="28"/>
          <w:rtl w:val="true"/>
          <w:lang w:bidi="fa-IR"/>
        </w:rPr>
        <w:t>اوّل این بیان آن است که قائلین به قاعده لاحرج، در مورد عمل حرجی می‌گویند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ذاتی چنین عملی در عالم خارج وجود دارد ولی به سختی و مشقّت؛ حال، اگر قاعده لاحرج از مصادیق تکلیف به مالایطاق باشد، معنایش این است که امکان ذاتی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منظور از عسر و حرج در این قاعده، عسر و حرجی است که در محدودۀ طاقت بشر است، امّا تحمّل آن سخت بوده و موجب قرار گرفتن مکلّف در تنگنا و سختی می‌شود؛ نه آن که از طاقت بشر بیرون باشد و باعث اختلال نظام زندگی شود</w:t>
      </w:r>
      <w:r>
        <w:rPr>
          <w:rFonts w:eastAsia="IRNazanin" w:cs="IRNazanin"/>
          <w:color w:val="111111"/>
          <w:sz w:val="28"/>
          <w:szCs w:val="28"/>
          <w:rtl w:val="true"/>
          <w:lang w:bidi="fa-IR"/>
        </w:rPr>
        <w:t>.</w:t>
      </w:r>
      <w:bookmarkStart w:id="155" w:name="pg844_8127"/>
    </w:p>
    <w:p>
      <w:pPr>
        <w:pStyle w:val="BookText"/>
        <w:rPr/>
      </w:pPr>
      <w:bookmarkEnd w:id="15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قاعده لاحرج عنوان امتنان دارد و منّتی از خداوند بر بندگان است؛ حال، اگر تکلیف حرجی خارج از طاقت انسان باشد، امتنان در آن معنا ندارد؛ چه آن که امتنان در موردی است که وضع و جعلش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بجنوردی در این زمینه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خبیر بأنّ تکلیف ما لایطاق بمعنی عدم القدرة علی إمتثاله وإن کان قبیحاً عقلاً بل یکون ممتنعاً عقلاً، فالتکلیف بما لایطاق بهذا المعنی لایمکن، لا أنّه ممکن وقبیح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المعنی لیس مفاد قاعدة لاحرج؛ لأنّ ظاهر أدلّة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تبارک وتعالی فی مقام الإمتنان علی هذه الأمّة، ولا امتنان فی رفع ما لایمکن جعله ووضعه، أو یکون وضعه قبیحاً، مع أنّه حکیم لایمکن أن یصدر منه فعل السّفهاء</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6877332_211673320"/>
      <w:bookmarkStart w:id="157" w:name="_Toc59"/>
      <w:bookmarkEnd w:id="156"/>
      <w:r>
        <w:rPr>
          <w:rtl w:val="true"/>
        </w:rPr>
        <w:t>بیان دوّم</w:t>
      </w:r>
      <w:r>
        <w:rPr>
          <w:rtl w:val="true"/>
        </w:rPr>
        <w:t xml:space="preserve">: </w:t>
      </w:r>
      <w:r>
        <w:rPr>
          <w:rtl w:val="true"/>
        </w:rPr>
        <w:t>امتناع عرفی</w:t>
      </w:r>
      <w:bookmarkEnd w:id="157"/>
    </w:p>
    <w:p>
      <w:pPr>
        <w:pStyle w:val="Heading5"/>
        <w:numPr>
          <w:ilvl w:val="4"/>
          <w:numId w:val="1"/>
        </w:numPr>
        <w:rPr/>
      </w:pPr>
      <w:bookmarkStart w:id="158" w:name="__RefHeading___Toc6877334_211673320"/>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طبق این بیان، منظور از قاعده لاحرج، مرتبه‌ای پایین‌تر از تکلیف به ما لایطاق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شدیدی که عادتاً تحمّل آن ممکن نیست و از نظر عرف چنین تکلیفی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بحث از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إِلَّا وُسْعَهَا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بیان کردیم خداوند متعال بر امّت اسلام و حتّی امّت‌های گذشته اموری را که عرفاً خارج از تحمّل انسان می‌باشد، جعل نفرموده است</w:t>
      </w:r>
      <w:r>
        <w:rPr>
          <w:rFonts w:eastAsia="IRNazanin" w:cs="IRNazanin"/>
          <w:color w:val="111111"/>
          <w:sz w:val="28"/>
          <w:szCs w:val="28"/>
          <w:rtl w:val="true"/>
          <w:lang w:bidi="fa-IR"/>
        </w:rPr>
        <w:t>.</w:t>
      </w:r>
    </w:p>
    <w:p>
      <w:pPr>
        <w:pStyle w:val="Heading5"/>
        <w:numPr>
          <w:ilvl w:val="4"/>
          <w:numId w:val="1"/>
        </w:numPr>
        <w:rPr/>
      </w:pPr>
      <w:bookmarkStart w:id="160" w:name="__RefHeading___Toc6877336_211673320"/>
      <w:bookmarkStart w:id="161" w:name="_Toc61"/>
      <w:bookmarkEnd w:id="160"/>
      <w:r>
        <w:rPr>
          <w:rtl w:val="true"/>
        </w:rPr>
        <w:t>اشکال بیان دوّم</w:t>
      </w:r>
      <w:bookmarkEnd w:id="16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که وجود چنین معنایی نادر است، این بیان نیز با امتنان سازگاری ندارد؛</w:t>
      </w:r>
      <w:bookmarkStart w:id="162" w:name="pg844_8129"/>
    </w:p>
    <w:p>
      <w:pPr>
        <w:pStyle w:val="BookText"/>
        <w:rPr/>
      </w:pPr>
      <w:bookmarkEnd w:id="162"/>
      <w:r>
        <w:rPr>
          <w:rFonts w:ascii="IRNazanin" w:hAnsi="IRNazanin" w:eastAsia="IRNazanin"/>
          <w:color w:val="111111"/>
          <w:sz w:val="28"/>
          <w:sz w:val="28"/>
          <w:szCs w:val="28"/>
          <w:rtl w:val="true"/>
          <w:lang w:bidi="fa-IR"/>
        </w:rPr>
        <w:t>زیرا، آن چه را که عرف در صورت عادّی تحمل نمی‌کند، امکان وقوعی ندارد و توالی فاسد زیادی دارد؛ و به نظر ما، همان‌طور که رفع تکلیف به ما لایطاق نمی‌تواند امتنانی باشد، هم‌چنین رفع تکلیف حرجی که لایتحمّله العرف عادتاً، از موارد امتنان نیست</w:t>
      </w:r>
      <w:r>
        <w:rPr>
          <w:rFonts w:eastAsia="IRNazanin" w:cs="IRNazanin"/>
          <w:color w:val="111111"/>
          <w:sz w:val="28"/>
          <w:szCs w:val="28"/>
          <w:rtl w:val="true"/>
          <w:lang w:bidi="fa-IR"/>
        </w:rPr>
        <w:t>.</w:t>
      </w:r>
    </w:p>
    <w:p>
      <w:pPr>
        <w:pStyle w:val="Heading4"/>
        <w:numPr>
          <w:ilvl w:val="3"/>
          <w:numId w:val="1"/>
        </w:numPr>
        <w:rPr/>
      </w:pPr>
      <w:bookmarkStart w:id="163" w:name="__RefHeading___Toc6877338_211673320"/>
      <w:bookmarkStart w:id="164" w:name="_Toc62"/>
      <w:bookmarkEnd w:id="163"/>
      <w:r>
        <w:rPr>
          <w:rtl w:val="true"/>
        </w:rPr>
        <w:t>بیان سوّم</w:t>
      </w:r>
      <w:r>
        <w:rPr>
          <w:rtl w:val="true"/>
        </w:rPr>
        <w:t xml:space="preserve">: </w:t>
      </w:r>
      <w:r>
        <w:rPr>
          <w:rtl w:val="true"/>
        </w:rPr>
        <w:t>تکلیف حرجی موجب اختلال نظام است</w:t>
      </w:r>
      <w:r>
        <w:rPr>
          <w:rtl w:val="true"/>
        </w:rPr>
        <w:t>.</w:t>
      </w:r>
      <w:bookmarkEnd w:id="164"/>
    </w:p>
    <w:p>
      <w:pPr>
        <w:pStyle w:val="Heading5"/>
        <w:numPr>
          <w:ilvl w:val="4"/>
          <w:numId w:val="1"/>
        </w:numPr>
        <w:rPr/>
      </w:pPr>
      <w:bookmarkStart w:id="165" w:name="__RefHeading___Toc6877340_211673320"/>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بیان سوّم از دلیل عقلی بر نفی تکلیف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قائل به قاعده لاحرج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تکلیف حرجی چون موجب اختلال نظام زندگی فرد و جامعه می‌شود، به حکم عقل چنین حکمی از انسان برداشته می‌شود؛ و امکان ندارد که خداوند متعال چیزی را که موجب اختلال نظام می‌شود و عقلاً قبیح است، متوجّه مردم کند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167" w:name="__RefHeading___Toc6877342_211673320"/>
      <w:bookmarkStart w:id="168" w:name="_Toc64"/>
      <w:bookmarkEnd w:id="167"/>
      <w:r>
        <w:rPr>
          <w:rtl w:val="true"/>
        </w:rPr>
        <w:t>اشکال بیان سوّم</w:t>
      </w:r>
      <w:bookmarkEnd w:id="168"/>
    </w:p>
    <w:p>
      <w:pPr>
        <w:pStyle w:val="BookText"/>
        <w:rPr/>
      </w:pPr>
      <w:r>
        <w:rPr>
          <w:rFonts w:ascii="IRNazanin" w:hAnsi="IRNazanin" w:eastAsia="IRNazanin"/>
          <w:color w:val="111111"/>
          <w:sz w:val="28"/>
          <w:sz w:val="28"/>
          <w:szCs w:val="28"/>
          <w:rtl w:val="true"/>
          <w:lang w:bidi="fa-IR"/>
        </w:rPr>
        <w:t>در مقام ردّ این استدلال، سؤال می‌کنیم منظور از اختلال نظام چیست؟ آیا امّت‌های گذشته که بخشی از تکالیفشان حرجی بوده، در حالی که قاعده لاحرج در مورد آنان جریان نداشته است، اختلال نظام نداشتند؟ اگر اختلال نظام به حکم عقل قبیح است، فرقی بین امّت اسلام و دیگر امّت‌های گذشته نیست؛ و از همین‌جا کشف می‌کنیم تکلیف حرجی موجب اختلال نظام نیست که گفته شود به سبب آن، عقل تکلیف حرجی را ممتنع می‌داند</w:t>
      </w:r>
      <w:r>
        <w:rPr>
          <w:rFonts w:eastAsia="IRNazanin" w:cs="IRNazanin"/>
          <w:color w:val="111111"/>
          <w:sz w:val="28"/>
          <w:szCs w:val="28"/>
          <w:rtl w:val="true"/>
          <w:lang w:bidi="fa-IR"/>
        </w:rPr>
        <w:t>.</w:t>
      </w:r>
    </w:p>
    <w:p>
      <w:pPr>
        <w:pStyle w:val="Heading4"/>
        <w:numPr>
          <w:ilvl w:val="3"/>
          <w:numId w:val="1"/>
        </w:numPr>
        <w:rPr/>
      </w:pPr>
      <w:bookmarkStart w:id="169" w:name="__RefHeading___Toc6877344_211673320"/>
      <w:bookmarkStart w:id="170" w:name="_Toc65"/>
      <w:bookmarkEnd w:id="169"/>
      <w:r>
        <w:rPr>
          <w:rtl w:val="true"/>
        </w:rPr>
        <w:t>بیان چهارم</w:t>
      </w:r>
      <w:r>
        <w:rPr>
          <w:rtl w:val="true"/>
        </w:rPr>
        <w:t xml:space="preserve">: </w:t>
      </w:r>
      <w:r>
        <w:rPr>
          <w:rtl w:val="true"/>
        </w:rPr>
        <w:t>قاعده لطف</w:t>
      </w:r>
      <w:bookmarkEnd w:id="170"/>
    </w:p>
    <w:p>
      <w:pPr>
        <w:pStyle w:val="Heading5"/>
        <w:numPr>
          <w:ilvl w:val="4"/>
          <w:numId w:val="1"/>
        </w:numPr>
        <w:rPr/>
      </w:pPr>
      <w:bookmarkStart w:id="171" w:name="__RefHeading___Toc6877346_211673320"/>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162"/>
      </w:r>
      <w:r>
        <w:rPr>
          <w:rFonts w:ascii="IRNazanin" w:hAnsi="IRNazanin" w:eastAsia="IRNazanin"/>
          <w:color w:val="111111"/>
          <w:sz w:val="28"/>
          <w:sz w:val="28"/>
          <w:szCs w:val="28"/>
          <w:rtl w:val="true"/>
          <w:lang w:bidi="fa-IR"/>
        </w:rPr>
        <w:t>در اثبات عقلی بودن قاعده لاحرج، به قاعده لطف استناد کرده‌اند و با ذکر دو مقدّمه نتیجه می‌گیرند که تکلیف حرجی بر خلاف مقتضای لطف و ممتنع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مقدّمه‌ای که ذکر می‌کنند، این است که اصحاب فقها اتّفاق دارند که لطف بر</w:t>
      </w:r>
      <w:bookmarkStart w:id="173" w:name="pg844_8131"/>
    </w:p>
    <w:p>
      <w:pPr>
        <w:pStyle w:val="BookText"/>
        <w:rPr/>
      </w:pPr>
      <w:bookmarkEnd w:id="173"/>
      <w:r>
        <w:rPr>
          <w:rFonts w:ascii="IRNazanin" w:hAnsi="IRNazanin" w:eastAsia="IRNazanin"/>
          <w:color w:val="111111"/>
          <w:sz w:val="28"/>
          <w:sz w:val="28"/>
          <w:szCs w:val="28"/>
          <w:rtl w:val="true"/>
          <w:lang w:bidi="fa-IR"/>
        </w:rPr>
        <w:t>خداوند تبارک و تعالی نسبت به بندگانش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آن که لطف اقتضا دارد خداوند متعال راهی را طی نماید و به گونه‌ای با بندگان برخورد کند که موجب نزدیکی آنان به طاعت و بندگی، و دوری‌شان از گناه و معصیت شود؛ پس از این دو مقدّمه، تردیدی نیست که تکلیف به آن چه موجب مشقّت و تحمّل‌ناپذیر است، در واقع نزدیک کننده به معصیت و دور کننده از طاعت است؛ زیرا، تکلیف به امر سخت سبب می‌شود که بندگان از انجام آن امتناع کرده و در نتیجه مرتکب معصیت شده، مستحقّ غضب خداوند گردند؛ بنابراین، تشریع چنین احکامی با لطف خداوند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همان‌گونه که تکلیف به ما لایطاق محال و بر خداوند ممتنع است، تکلیف حرجی نیز به خاطر مخالفت با لطف و رحمت خداوند، امتناع وقوعی دارد</w:t>
      </w:r>
      <w:r>
        <w:rPr>
          <w:rFonts w:eastAsia="IRNazanin" w:cs="IRNazanin"/>
          <w:color w:val="111111"/>
          <w:sz w:val="28"/>
          <w:szCs w:val="28"/>
          <w:rtl w:val="true"/>
          <w:lang w:bidi="fa-IR"/>
        </w:rPr>
        <w:t>.</w:t>
      </w:r>
    </w:p>
    <w:p>
      <w:pPr>
        <w:pStyle w:val="Heading5"/>
        <w:numPr>
          <w:ilvl w:val="4"/>
          <w:numId w:val="1"/>
        </w:numPr>
        <w:rPr/>
      </w:pPr>
      <w:bookmarkStart w:id="174" w:name="__RefHeading___Toc6877348_211673320"/>
      <w:bookmarkStart w:id="175" w:name="_Toc67"/>
      <w:bookmarkEnd w:id="174"/>
      <w:r>
        <w:rPr>
          <w:rtl w:val="true"/>
        </w:rPr>
        <w:t>اشکالات بیان چهارم</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اشکال این است که ارتباط قاعده لطف با طاعت و معصیت چیست؟ چنین نیست که لفظ لطف مترادف با لفظ طاعت و معصیت باشد؛ و بنابراین، قاعده لطف در اینجا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آن است که بحث ما در لفظ نیست که چنین گفته شود، بلکه سخن در چگونگی عمل خداوند با بندگانش است؛ چه لفظ لطف آورده شود و چه این لفظ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متکلّمین در عمومیّت قاعده لطف خدشه نموده و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عقل لطف را در همه موارد لازم بداند و بگوید لطف بر خداوند متعال به صورت قاعده‌ای کلّی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کلام و فلسفه در مقام پاسخ از این اشکال بیان شده است که چون دلیل عقلی، و ملاک عقل است، عقل می‌گوید لطف بر خداوند تبارک و تعالی واجب و ضروری است و قابلیّت تخصیص ندارد؛ و بلکه عمومیّت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سوّمی که بر این دلیل می‌گیرند، آن است که کدام لطف بر خداوند واجب</w:t>
      </w:r>
    </w:p>
    <w:p>
      <w:pPr>
        <w:pStyle w:val="BookText"/>
        <w:rPr/>
      </w:pPr>
      <w:r>
        <w:rPr>
          <w:rFonts w:ascii="IRNazanin" w:hAnsi="IRNazanin" w:eastAsia="IRNazanin"/>
          <w:color w:val="111111"/>
          <w:sz w:val="28"/>
          <w:sz w:val="28"/>
          <w:szCs w:val="28"/>
          <w:rtl w:val="true"/>
          <w:lang w:bidi="fa-IR"/>
        </w:rPr>
        <w:t>می‌باشد؟ اصل این مطلب که لطف عقلاً بر خداوند واجب می‌باشد، مورد قبول است؛ امّا ممکن است تکلیفی را که بندگان فکر می‌کنند لطف است، در واقع لطف نباشد؛ از این رو، امکان دارد تکلیفی حرجی بوده و به حسب واقع لطف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بعد از ذکر اشکال فوق، پاسخی دارند که به نظر می‌رسد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مستلزم انسداد باب عقل است و در هیچ موردی نمی‌توان حکم عقلی داشت؛ چرا که ممکن است در واقع مطلب به صورت دیگری باشد؛ در ادامه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ما این است که تکلیف حرجی در عالم خارج و ظرف امتثال موجب کثرت مخالفت می‌شود، و عقل نیز به همین ملاک می‌گوید تکلیف حرجی ممتنع الوقوع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جواب ایشان، نمی‌تواند پاسخ از اشکال سوّم باشد؛ زیرا، فرض این است که تکلیف حرجی موجب کثرت مخالفت است، امّا به چه دلیل می‌فرمائید کثرت مخالفت با لطف منافات دارد؟، در حالی که اگر کثرت مخالفت بندگان بر خلاف لطف باشد، لازم است که تعداد مطیعین بیشتر از افراد عاصی باشد؛ امّا در عالم خارج درصد گناهکاران بیشتر از مطیعین و افراد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حسب واقع کثرت مخالفت منافاتی با لطف ندارد و ملاک لطف واقعی است؛ لطف واقعی نیز آن است که خداوند ارسال رسل و انزال کتب داشته باشد و اگر همه بندگان نیز با تکالیف الهی مخالفت کنند، منافاتی با لطف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اشکال سوّم، اشکال واردی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چهارم، اشکالی است که در کلمات مرحوم نراقی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که تکلیف حرجی است و در آن مشقّت و سختی وجود دارد، بر آن مشقّت و سختی، سهولت و گشایشی مترتّب است که از جهت ملاک بالاتر از سختی است؛ در این صورت، مقتضای لطف آن است که مولا برای رسیدن مکلّف به سهولت اعلا، تکلیف حرجی را متوجّه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اگر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لطف و رأفت را نسبت به فرزندش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خوردن غذایی مطلوب و لذیذ به</w:t>
      </w:r>
    </w:p>
    <w:p>
      <w:pPr>
        <w:pStyle w:val="BookText"/>
        <w:rPr/>
      </w:pPr>
      <w:r>
        <w:rPr>
          <w:rFonts w:ascii="IRNazanin" w:hAnsi="IRNazanin" w:eastAsia="IRNazanin"/>
          <w:color w:val="111111"/>
          <w:sz w:val="28"/>
          <w:sz w:val="28"/>
          <w:szCs w:val="28"/>
          <w:rtl w:val="true"/>
          <w:lang w:bidi="fa-IR"/>
        </w:rPr>
        <w:t xml:space="preserve">خاطر سلامتی‌اش منع کند، از نظر عقلا اشکالی ندارد؛ چه آن که بر این تکلیف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تندرستی دائمی مترتّب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بنابراین، قاعده لطف به طور کلّ مانع از تکلیف حرجی نمی‌شود و چه بسا در بعضی موارد، مقتضای لطف، تکلیف حرجی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میرفتّاح در اشکال به کلام مرحوم نراقی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الکلام من ذلک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لبعض من 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محلّ البحث، وقیاس مع الفارق</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چنین اشکال می‌کند که مرحوم نراقی بین امور قهریّه و امور اختیاریّه خلط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قهریّه مطلب ایشان صحیح بوده و ممکن است یک فعل حرجی مقدّمه‌ای برای سهولت اعلا و غرض بالاتر باشد؛ همانند آن که خداوند در بعضی اوقات انسان را به بلایای شدیدی هم‌چون بیماری و شکسته شدن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می‌کند، امّا این ابتلا، یا کفّاره گناهان است و یا موجب ارتقای درجه شخص در عالم آخرت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معصومین علیهم السلام از این نوع دوّم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امور غیرقهریّه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 که مولا عبدش را به امور شاقّی که تحمّل آن برای انسان بسیار دشوار است، فرمان دهد و از طرف دیگر او را تهدید کند که اگر این فعل انجام نشود، گرفتار عذاب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فرمایش مرحوم نراقی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مولای حکیم و عاقل می‌داند که انجام این عمل در عالم خارج امکان ندارد، چنین تکلیفی نمی‌کند و تنها کسانی که از هوای نفس خود فرمان می‌برند، همانند سلاطین و امرا، به خدّام و افراد زیر دستشان چنین امر می‌کنند و از آنان کارهای طاقت‌فرسا می‌طلبد؛ امّا خداوند سبحان بزرگتر از آن است که چنین فرمان دهد و بلکه به دنبال آن است که بندگانش را برای طاعت و بندگی تمرین دهد تا انگیزه‌ای برای مخالفت نداشته باشند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نظر می‌رسد که اشکال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بر مرحوم نراقی، اشکال واردی نیست؛ چه آن که مرحوم نراقی درصدد این نیست که بگوید شارع در تمام تکالیفش این روش را دارد که تکلیف حرجی مقدّمه رسیدن به غرض بالاتر و سهولت اعلاست؛ بلکه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اقتضا دارد شارع تکالیف حرجی نداشته باشد، لکن مواردی نیز وجود دارد که قاعده، خلاف آن را می‌طلبد؛ بدین صورت که تکلیف حرجی چون مقدّمه غرض بالاتری واقع می‌شود، لذا جعل آن اشکالی ندارد و عقلا نیز آن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مرحوم نراقی به صورت موجبه جزئیّه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موجبه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را ادّعا می‌کنند و صحیح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چهارم بر دلیل لطف نیز اشکال واردی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دیگری که مرحوم نراقی به عنوان ایراد به قاعده لطف گرفته‌اند، این است که منشأ کثرت مخالفت چیست؟ آیا علّت آن مکلّف است و یا امر شارع؟ روشن است که منشأ کثرت مخالفت، خود مکلّف است که به جهت هواهای نفسانی با دستور شارع مخالفت می‌نماید؛ بنابراین، کثرت مخالفت ارتباطی به شارع و امر او ندارد؛ بلکه مربوط به خود مکلّف است که منافاتی با لطف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ادامه اشکال آمده است که اگر چنین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نباید تکلیف حرجی جعل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باشد، در همه تکالیف جریان پیدا می‌کند و هر تکلیفی را که مکلّف با آن مخالفت کند، نباید جعل شود؛ و در این صورت، بین قلّت و کثرت مخالفین فرقی نخواهد بود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مرحوم میرفتّاح در مقام جواب برآمده،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موردی که مکلّف به علّت نقص و ضعف خود و از روی هواهای نفسانی از تکلیف سرپیچی می‌کند با موردی که سختی امر و تکلیف، او را به این کار وادار می‌کند، تفاوت است؛ و این اشکال ناشی از عدم تأمّل در طریقه عقلاست</w:t>
      </w:r>
      <w:r>
        <w:rPr>
          <w:rFonts w:eastAsia="IRNazanin" w:cs="IRNazanin"/>
          <w:color w:val="111111"/>
          <w:sz w:val="28"/>
          <w:szCs w:val="28"/>
          <w:rtl w:val="true"/>
          <w:lang w:bidi="fa-IR"/>
        </w:rPr>
        <w:t>.</w:t>
      </w:r>
      <w:bookmarkStart w:id="176" w:name="pg844_8140"/>
    </w:p>
    <w:p>
      <w:pPr>
        <w:pStyle w:val="BookText"/>
        <w:rPr/>
      </w:pPr>
      <w:bookmarkEnd w:id="176"/>
      <w:r>
        <w:rPr>
          <w:rFonts w:ascii="IRNazanin" w:hAnsi="IRNazanin" w:eastAsia="IRNazanin"/>
          <w:color w:val="111111"/>
          <w:sz w:val="28"/>
          <w:sz w:val="28"/>
          <w:szCs w:val="28"/>
          <w:rtl w:val="true"/>
          <w:lang w:bidi="fa-IR"/>
        </w:rPr>
        <w:t>توضیح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و نقص مکلّف منشأ مخالفتش باشد، اشکال فوق به قاعده لطف صحیح خواهد بود و فرقی بین قلّت و کثرت نیست؛ اما اگر حکم و تکلیف شرع موجب انجام ندادن تکلیف، و در نتیجه، عصیان مکلّف گردد، برخلاف لطف است و تکالیف حرجی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چنین عذری در میان عقلا پذیرفتنی است و عقلا چنین آمری را که تکالیف شاقّ جعل می‌کند، مذمّت می‌کنند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به نظر می‌رسد، پاسخ مرحوم میرفتّاح قابل مناقشه است؛ برای روشن شدن مطلب، می‌توان اشکالی مهمّ‌تر از همه اشکالات پنج‌گانه گذشته بیان کرد تا پاسخ این قسمت از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نیز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اشکال این است که عدلیه و معتزله قائلند احکام تابع مصالح و مفاسد است؛ بنابراین، اگر در فعلی ملاک لزومی وجود داشته باشد و شارع آن را بیان نکند، بندگان نیز متوجه آن ملاک لزومی نمی‌شوند؛ زیرا، عقل مردم در حدّی نیست که بتواند ملاکات لزومی احکام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اصولیین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الطاف خداوند در احکام عقلیّه می‌باشد و تأکید حکم عقل به وسیله شرع لطف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بنابراین، عقل می‌گوید شارع به مقتضای لطفی که بر بندگان خویش دارد، در صورتی که در فعلی ملاک لزوم وجود دارد، باید آن رابیان کند؛ حتّی اگر انجام آن با مشقّت همراه باشد و کسی آن را انجام ندهد؛ و این کار با روش عقلا نیز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با اشکالاتی که مرحوم نراقی بیان داشتند و اشکال اخیر که به آن افزودیم،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نمی‌تواند دلیل لاحرج باشد و از این راه نمی‌توان دلیل عقلی بر این بحث اقامه کرد</w:t>
      </w:r>
      <w:r>
        <w:rPr>
          <w:rFonts w:eastAsia="IRNazanin" w:cs="IRNazanin"/>
          <w:color w:val="111111"/>
          <w:sz w:val="28"/>
          <w:szCs w:val="28"/>
          <w:rtl w:val="true"/>
          <w:lang w:bidi="fa-IR"/>
        </w:rPr>
        <w:t>.</w:t>
      </w:r>
    </w:p>
    <w:p>
      <w:pPr>
        <w:pStyle w:val="Heading4"/>
        <w:numPr>
          <w:ilvl w:val="3"/>
          <w:numId w:val="1"/>
        </w:numPr>
        <w:rPr/>
      </w:pPr>
      <w:bookmarkStart w:id="177" w:name="__RefHeading___Toc6877350_211673320"/>
      <w:bookmarkStart w:id="178" w:name="_Toc68"/>
      <w:bookmarkEnd w:id="177"/>
      <w:r>
        <w:rPr>
          <w:rtl w:val="true"/>
        </w:rPr>
        <w:t>شاهد و مؤیّدی بر قاعدۀ لطف و اشکال آن</w:t>
      </w:r>
      <w:bookmarkEnd w:id="1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میرفتّاح شاهد و مؤیّدی را بر جریان قاعده لطف بیان می‌کند، مبنی بر آن که</w:t>
      </w:r>
    </w:p>
    <w:p>
      <w:pPr>
        <w:pStyle w:val="BookText"/>
        <w:rPr/>
      </w:pPr>
      <w:r>
        <w:rPr>
          <w:rFonts w:ascii="IRNazanin" w:hAnsi="IRNazanin" w:eastAsia="IRNazanin"/>
          <w:color w:val="111111"/>
          <w:sz w:val="28"/>
          <w:sz w:val="28"/>
          <w:szCs w:val="28"/>
          <w:rtl w:val="true"/>
          <w:lang w:bidi="fa-IR"/>
        </w:rPr>
        <w:t>همه فقها و علما هنگامی که بحث قاعده لاحرج را مطرح می‌کنند، آن را به صورت یک قاعده کلّی بیان نموده و به جواز تخصیص آن اشاره‌ای نمی‌کنند، و این کاشف از آن است که لاحرج دارای دلیل عقلی بوده و در این صورت است که قابلّیت تخصیص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احکام عقلیّه تخصیص بردار نمی‌باشند؛ و اگر در میان متأخّرین، بعضی قائل به جواز تخصیص قاعده لاحرج شده‌اند، از آن جهت است که برخی از اشکالات مطرح شده مانند مسأله جهاد و خمس را نتوانسته‌اند حلّ کنند، در حالی که این موارد تخصّصاً از بحث قاعده لاحرج خارج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شاهد و مؤیّد مرحوم میرفتاح دارای دو اشکال است؛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را که ایشان در ابتدای دلیل خود ذکر می‌کند، صحیح نیست؛ چرا که عدّه‌ای از فقها قائل به جواز تخصیص می‌باشند و این موارد را تخصیصاً از قاعده لاحرج خارج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که اگر دلیلی آبی از تخصیص باشد، حتماً دارای پشتوانه عقلی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آیات و روایات، موارد متعدّدی مشاهده می‌شود که فقها بیان می‌دارند، دلیل ابای از تخصیص دارد با آن که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متعدّدی را مرحوم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از جمله، این مورد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فروع زیادی استدلال می‌شود؛ و تصریح می‌نمایند که این حدیث آبی از تخصیص است؛ در حالی که این حدیث دارای پشتوانه شرعی بوده و دلیل عقلی بر آن اقامه نشده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وجود تمامی اشکالات مطرح شده، در مورد دلیل عقلی قاعده لاحرج، به این نتیجه می‌رسیم که هیچ دلیل عقلی قابل اعتماد بر این مسأله وجود ندارد؛ و تنها دلائل قابل اعتماد برای استدلال به قاعده لاحرج، آیات شریفه و روایات وارده در این مقام می‌باشد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179" w:name="pg844_8146"/>
    </w:p>
    <w:p>
      <w:pPr>
        <w:pStyle w:val="Heading2"/>
        <w:numPr>
          <w:ilvl w:val="1"/>
          <w:numId w:val="1"/>
        </w:numPr>
        <w:rPr/>
      </w:pPr>
      <w:bookmarkStart w:id="180" w:name="__RefHeading___Toc6877352_211673320"/>
      <w:bookmarkStart w:id="181" w:name="_Toc69"/>
      <w:bookmarkEnd w:id="179"/>
      <w:bookmarkEnd w:id="180"/>
      <w:r>
        <w:rPr>
          <w:rtl w:val="true"/>
        </w:rPr>
        <w:t>تنبیهات قاعدۀ لا حرج</w:t>
      </w:r>
      <w:bookmarkEnd w:id="1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6877354_211673320"/>
      <w:bookmarkStart w:id="183" w:name="_Toc70"/>
      <w:bookmarkEnd w:id="182"/>
      <w:r>
        <w:rPr>
          <w:rtl w:val="true"/>
        </w:rPr>
        <w:t>اشاره</w:t>
      </w:r>
      <w:bookmarkStart w:id="184" w:name="pg844_8149"/>
      <w:bookmarkEnd w:id="183"/>
    </w:p>
    <w:p>
      <w:pPr>
        <w:pStyle w:val="Heading3"/>
        <w:numPr>
          <w:ilvl w:val="2"/>
          <w:numId w:val="1"/>
        </w:numPr>
        <w:rPr/>
      </w:pPr>
      <w:bookmarkStart w:id="185" w:name="__RefHeading___Toc6877356_211673320"/>
      <w:bookmarkStart w:id="186" w:name="_Toc71"/>
      <w:bookmarkEnd w:id="184"/>
      <w:bookmarkEnd w:id="185"/>
      <w:r>
        <w:rPr>
          <w:rtl w:val="true"/>
        </w:rPr>
        <w:t>تنبیه اوّل</w:t>
      </w:r>
      <w:r>
        <w:rPr>
          <w:rtl w:val="true"/>
        </w:rPr>
        <w:t xml:space="preserve">: </w:t>
      </w:r>
      <w:r>
        <w:rPr>
          <w:rtl w:val="true"/>
        </w:rPr>
        <w:t>تخصیص قاعده لاحرج</w:t>
      </w:r>
      <w:bookmarkEnd w:id="186"/>
    </w:p>
    <w:p>
      <w:pPr>
        <w:pStyle w:val="Heading4"/>
        <w:numPr>
          <w:ilvl w:val="3"/>
          <w:numId w:val="1"/>
        </w:numPr>
        <w:rPr/>
      </w:pPr>
      <w:bookmarkStart w:id="187" w:name="__RefHeading___Toc6877358_211673320"/>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تنبیه اوّل‌تخصیص قاعده لاحرج</w:t>
      </w:r>
    </w:p>
    <w:p>
      <w:pPr>
        <w:pStyle w:val="BookText"/>
        <w:rPr/>
      </w:pPr>
      <w:r>
        <w:rPr>
          <w:rFonts w:ascii="IRNazanin" w:hAnsi="IRNazanin" w:eastAsia="IRNazanin"/>
          <w:color w:val="111111"/>
          <w:sz w:val="28"/>
          <w:sz w:val="28"/>
          <w:szCs w:val="28"/>
          <w:rtl w:val="true"/>
          <w:lang w:bidi="fa-IR"/>
        </w:rPr>
        <w:t>اوّلین تنبیهی که مطرح می‌شود این است که اوّلاً آیا عمومیّت قاعده لاحرج همانند سایر عمومات است، و بنابراین، تخصیص آن به وسیله مخصّصات جائز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تخصیص، آیا کثرت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وهن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یا خیر؟</w:t>
      </w:r>
    </w:p>
    <w:p>
      <w:pPr>
        <w:pStyle w:val="BookText"/>
        <w:rPr/>
      </w:pPr>
      <w:r>
        <w:rPr>
          <w:rFonts w:ascii="IRNazanin" w:hAnsi="IRNazanin" w:eastAsia="IRNazanin"/>
          <w:color w:val="111111"/>
          <w:sz w:val="28"/>
          <w:sz w:val="28"/>
          <w:szCs w:val="28"/>
          <w:rtl w:val="true"/>
          <w:lang w:bidi="fa-IR"/>
        </w:rPr>
        <w:t>آن چه سبب پیدایش این بحث گردیده، دو اشکال مهم در بحث قاعده لاحرج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چگونه حکم کنیم به عمومیّت قاعده لاحرج و مدّعی شویم حتّی یک مورد تکلیف حرجی وجود ندارد؛ و حال آن که در واقع و عمل می‌دانیم در بسیاری از تکالیف و دستورات وارده در شریعت، زحمت و مشقّت است؛ مانند، جهاد با جان و مال و فرارنکردن از میدان جنگ، پرداخت زکات و خمس، وضو گرفتن با آب سرد در زمستان، روزه گرفتن در روزهای طولانی و گرم تابستان، تسلیم نفس برای اجرای حدود الهی و امثال این موارد که در شریعت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بگوییم قاعده لاحرج عام است، باید همه این موارد را تخصیص بزنیم و در نتیجه، تخصیص اکثر لازم می‌آید که درست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بحث عدم تناسب در تکالیف شرعی است؛ از یک طرف، مطابق روایات وارده در بحث لاحرج،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مراره و روایت غُسل، شارع در موارد یسیره بیان می‌کند که حکم، حرجی است و تکلیف در این موارد برداشته می‌شود؛ ولی</w:t>
      </w:r>
      <w:bookmarkStart w:id="189" w:name="pg844_8151"/>
    </w:p>
    <w:p>
      <w:pPr>
        <w:pStyle w:val="BookText"/>
        <w:rPr/>
      </w:pPr>
      <w:bookmarkEnd w:id="189"/>
      <w:r>
        <w:rPr>
          <w:rFonts w:ascii="IRNazanin" w:hAnsi="IRNazanin" w:eastAsia="IRNazanin"/>
          <w:color w:val="111111"/>
          <w:sz w:val="28"/>
          <w:sz w:val="28"/>
          <w:szCs w:val="28"/>
          <w:rtl w:val="true"/>
          <w:lang w:bidi="fa-IR"/>
        </w:rPr>
        <w:t>از سوی دیگر، مواردی وجود دارد که شدّت و سختی آنها به مراتب بیشتر از موارد قبل است ولی شارع، رضایت به رفع تکلیف در آنها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بین این دو نوع تکلیف در شریعت سازگاری ایجاد کرد؟</w:t>
      </w:r>
    </w:p>
    <w:p>
      <w:pPr>
        <w:pStyle w:val="Heading4"/>
        <w:numPr>
          <w:ilvl w:val="3"/>
          <w:numId w:val="1"/>
        </w:numPr>
        <w:rPr/>
      </w:pPr>
      <w:bookmarkStart w:id="190" w:name="__RefHeading___Toc6877360_211673320"/>
      <w:bookmarkStart w:id="191" w:name="_Toc73"/>
      <w:bookmarkEnd w:id="190"/>
      <w:r>
        <w:rPr>
          <w:rtl w:val="true"/>
        </w:rPr>
        <w:t>جواب اشکالات</w:t>
      </w:r>
      <w:bookmarkEnd w:id="191"/>
    </w:p>
    <w:p>
      <w:pPr>
        <w:pStyle w:val="BookText"/>
        <w:rPr/>
      </w:pPr>
      <w:r>
        <w:rPr>
          <w:rFonts w:ascii="IRNazanin" w:hAnsi="IRNazanin" w:eastAsia="IRNazanin"/>
          <w:color w:val="111111"/>
          <w:sz w:val="28"/>
          <w:sz w:val="28"/>
          <w:szCs w:val="28"/>
          <w:rtl w:val="true"/>
          <w:lang w:bidi="fa-IR"/>
        </w:rPr>
        <w:t>در پاسخ به اشکالات فوق، هفت پاسخ و بیان در کلمات بزرگان مطرح شده است که گرچه برخی از آنها به برخی دیگر برمی‌گردد و در واقع نکته واحدی را دلالت دارند، امّا به جهت اختلاف در تعابیر، ما آنها را به صورت جداگانه ذکر و بررسی می‌نمائیم</w:t>
      </w:r>
      <w:r>
        <w:rPr>
          <w:rFonts w:eastAsia="IRNazanin" w:cs="IRNazanin"/>
          <w:color w:val="111111"/>
          <w:sz w:val="28"/>
          <w:szCs w:val="28"/>
          <w:rtl w:val="true"/>
          <w:lang w:bidi="fa-IR"/>
        </w:rPr>
        <w:t>.</w:t>
      </w:r>
    </w:p>
    <w:p>
      <w:pPr>
        <w:pStyle w:val="Heading4"/>
        <w:numPr>
          <w:ilvl w:val="3"/>
          <w:numId w:val="1"/>
        </w:numPr>
        <w:rPr/>
      </w:pPr>
      <w:bookmarkStart w:id="192" w:name="__RefHeading___Toc6877362_211673320"/>
      <w:bookmarkStart w:id="193" w:name="_Toc74"/>
      <w:bookmarkEnd w:id="192"/>
      <w:r>
        <w:rPr/>
        <w:t>1</w:t>
      </w:r>
      <w:r>
        <w:rPr>
          <w:rtl w:val="true"/>
        </w:rPr>
        <w:t xml:space="preserve"> - </w:t>
      </w:r>
      <w:r>
        <w:rPr>
          <w:rtl w:val="true"/>
        </w:rPr>
        <w:t>جواب سیّد بحرالعلوم رحمه الله</w:t>
      </w:r>
      <w:bookmarkEnd w:id="193"/>
    </w:p>
    <w:p>
      <w:pPr>
        <w:pStyle w:val="Heading5"/>
        <w:numPr>
          <w:ilvl w:val="4"/>
          <w:numId w:val="1"/>
        </w:numPr>
        <w:rPr/>
      </w:pPr>
      <w:bookmarkStart w:id="194" w:name="__RefHeading___Toc6877364_211673320"/>
      <w:bookmarkStart w:id="195" w:name="_Toc7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پاسخ ایشان بنابر نقل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ورد فی هذه الشریعة من التکالیف الشدیدة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کالحجّ والجهاد والزکوة بالنسبة إلی بعض النّاس، والدیة علی العاقلة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شیء منها من الحرج، فإنّ العادة قاضیة بوقوع مثلها، والنّاس یرتکبون مثل ذلک من دون تکلیف ومن دون عوض کالمحارب للحمیّة أو للعوض الیسیر کما اعطی علی ذلک اجرة، فإنّا نری أنّ کثیراً یفعلون ذلک بشیء یسیر</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تکالیفی که در شریعت وارد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زکات، دیه بر عاقله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عنوان حرج ندارد و جزء احکام حرجی نمی‌باشند؛ چرا که مردم در</w:t>
      </w:r>
      <w:bookmarkStart w:id="196" w:name="pg844_8153"/>
    </w:p>
    <w:p>
      <w:pPr>
        <w:pStyle w:val="BookText"/>
        <w:rPr/>
      </w:pPr>
      <w:bookmarkEnd w:id="196"/>
      <w:r>
        <w:rPr>
          <w:rFonts w:ascii="IRNazanin" w:hAnsi="IRNazanin" w:eastAsia="IRNazanin"/>
          <w:color w:val="111111"/>
          <w:sz w:val="28"/>
          <w:sz w:val="28"/>
          <w:szCs w:val="28"/>
          <w:rtl w:val="true"/>
          <w:lang w:bidi="fa-IR"/>
        </w:rPr>
        <w:t>حالت عادی نیز این امور را انجام می‌دهند حتّی اگر تکلیف و عوضی برای آنها قرار داده نشده باشد؛ مانند آن که مردم جهاد را با تمام سختی و مشقّتی که دارد برای به دست آوردن حمیّت و آزادی برمی‌گزینند؛ و یا آن که اگر اجرت کمی نیز بر این امور قرار داده شود، آنها را به 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مطابق نظر ایشان، انجام این تکالیف به طور معمول در میان مردم رایج است و آنها مباشرت به این افعال دارند؛ لذا، تکلیف به این امور حرجی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غیر این صورت، مردم از انجام آن امتناع می‌کردند و رویّه‌ای معمول در میان آنها نبود</w:t>
      </w:r>
      <w:r>
        <w:rPr>
          <w:rFonts w:eastAsia="IRNazanin" w:cs="IRNazanin"/>
          <w:color w:val="111111"/>
          <w:sz w:val="28"/>
          <w:szCs w:val="28"/>
          <w:rtl w:val="true"/>
          <w:lang w:bidi="fa-IR"/>
        </w:rPr>
        <w:t>.</w:t>
      </w:r>
    </w:p>
    <w:p>
      <w:pPr>
        <w:pStyle w:val="Heading5"/>
        <w:numPr>
          <w:ilvl w:val="4"/>
          <w:numId w:val="1"/>
        </w:numPr>
        <w:rPr/>
      </w:pPr>
      <w:bookmarkStart w:id="197" w:name="__RefHeading___Toc6877366_211673320"/>
      <w:bookmarkStart w:id="198" w:name="_Toc76"/>
      <w:bookmarkEnd w:id="197"/>
      <w:r>
        <w:rPr>
          <w:rtl w:val="true"/>
        </w:rPr>
        <w:t>اشکالات محقّق نراقی رحمه الله بر جواب علّامه بحرالعلوم رحمه الله</w:t>
      </w:r>
      <w:bookmarkEnd w:id="198"/>
    </w:p>
    <w:p>
      <w:pPr>
        <w:pStyle w:val="BookText"/>
        <w:rPr/>
      </w:pPr>
      <w:r>
        <w:rPr>
          <w:rFonts w:ascii="IRNazanin" w:hAnsi="IRNazanin" w:eastAsia="IRNazanin"/>
          <w:color w:val="111111"/>
          <w:sz w:val="28"/>
          <w:sz w:val="28"/>
          <w:szCs w:val="28"/>
          <w:rtl w:val="true"/>
          <w:lang w:bidi="fa-IR"/>
        </w:rPr>
        <w:t>محقّق نراقی رحمه الله سه اشکال بر پاسخ علّامه بحرالعلوم رحمه الله وارد می‌کنند؛</w:t>
      </w:r>
    </w:p>
    <w:p>
      <w:pPr>
        <w:pStyle w:val="BookText"/>
        <w:rPr/>
      </w:pPr>
      <w:r>
        <w:rPr>
          <w:rFonts w:ascii="IRNazanin" w:hAnsi="IRNazanin" w:eastAsia="IRNazanin"/>
          <w:color w:val="111111"/>
          <w:sz w:val="28"/>
          <w:sz w:val="28"/>
          <w:szCs w:val="28"/>
          <w:rtl w:val="true"/>
          <w:lang w:bidi="fa-IR"/>
        </w:rPr>
        <w:t>اوّلین اشکال این است که جواب ایشان برعکس گفتار مرحوم شیخ حرّ عاملی</w:t>
      </w:r>
      <w:r>
        <w:rPr>
          <w:rStyle w:val="FootnoteAnchor"/>
          <w:rtl w:val="true"/>
        </w:rPr>
        <w:footnoteReference w:id="172"/>
      </w:r>
      <w:r>
        <w:rPr>
          <w:rFonts w:ascii="IRNazanin" w:hAnsi="IRNazanin" w:eastAsia="IRNazanin"/>
          <w:color w:val="111111"/>
          <w:sz w:val="28"/>
          <w:sz w:val="28"/>
          <w:szCs w:val="28"/>
          <w:rtl w:val="true"/>
          <w:lang w:bidi="fa-IR"/>
        </w:rPr>
        <w:t>که افراطی است، در طرف تفریط قرار گرفته است و همانند آن از حدّ تعادل خارج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عاملی رحمه الله به اندازه‌ای دائره حرج را توسعه داده که معتقد است تکلیف غیر حرجی نداریم؛ در حالی که بحرالعلوم رحمه الله می‌گوید اصلاً تکلیف حرجی نداریم و این تفریط در مقابل آن افراط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آن که بر فرض، حرجی نبودن برخی از احکام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خمس، زکات را بپذیریم، امّا به طور قطع پاره‌ای از احکام دیگر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با نفس و رفع اخلاق مذمومه و رذیله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نسبت به بعضی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در نزد عرف حرجی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نیست که به طور کلّ تکالیف حرجی در شریعت نداشته باشیم</w:t>
      </w:r>
      <w:r>
        <w:rPr>
          <w:rFonts w:eastAsia="IRNazanin" w:cs="IRNazanin"/>
          <w:color w:val="111111"/>
          <w:sz w:val="28"/>
          <w:szCs w:val="28"/>
          <w:rtl w:val="true"/>
          <w:lang w:bidi="fa-IR"/>
        </w:rPr>
        <w:t>.</w:t>
      </w:r>
      <w:bookmarkStart w:id="199" w:name="pg844_8155"/>
    </w:p>
    <w:p>
      <w:pPr>
        <w:pStyle w:val="BookText"/>
        <w:rPr/>
      </w:pPr>
      <w:bookmarkEnd w:id="199"/>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علّامه بحرالعلوم رحمه الله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همانند این تکالیف را در عالم خارج حتّی بدون عوض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حرجی نیست، در تکالیفی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 جهاد، روزه در روزهای طولانی و بسیار 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 و قابل قبول نیست و اگر شارع بگوید اینها را بدون عوض انجام دهید، به‌طور قطع حرجی خواهد بود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00" w:name="__RefHeading___Toc6877368_211673320"/>
      <w:bookmarkStart w:id="201" w:name="_Toc77"/>
      <w:bookmarkEnd w:id="200"/>
      <w:r>
        <w:rPr/>
        <w:t>2</w:t>
      </w:r>
      <w:r>
        <w:rPr>
          <w:rtl w:val="true"/>
        </w:rPr>
        <w:t xml:space="preserve">- </w:t>
      </w:r>
      <w:r>
        <w:rPr>
          <w:rtl w:val="true"/>
        </w:rPr>
        <w:t>پاسخ صاحب فصول رحمه الله و اشکالات آن</w:t>
      </w:r>
      <w:bookmarkEnd w:id="201"/>
    </w:p>
    <w:p>
      <w:pPr>
        <w:pStyle w:val="BookText"/>
        <w:rPr/>
      </w:pPr>
      <w:r>
        <w:rPr>
          <w:rFonts w:ascii="IRNazanin" w:hAnsi="IRNazanin" w:eastAsia="IRNazanin"/>
          <w:color w:val="111111"/>
          <w:sz w:val="28"/>
          <w:sz w:val="28"/>
          <w:szCs w:val="28"/>
          <w:rtl w:val="true"/>
          <w:lang w:bidi="fa-IR"/>
        </w:rPr>
        <w:t>صاحب فصول رحمه الله به چند مورد از احکام شاقّ و سختی که در شریعت وجود دارد، اشاره نموده و با دفع اشکال در این موارد، نتیجه می‌گیرند که در شریعت حکم حرجی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سه بیان حرجی بودن جهاد را نفی می‌کنند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این است که ملاک در حرجی بودن تکالیف حال اغلب مردم است؛ بدین صورت که اگر انجام فعلی بر اغلب مردم سخت باشد و آن را انجام ندهند، حرجی است؛ و به عبارت دیگر، حرج امری نادرالوقوع است؛ و حال آن که جنگ و جهاد از اموری است که در میان قبائل زیاد واقع می‌شده است، یا به خاطر دفع دشمنان، یا حمایت از مال و ناموس و یا به جهت رسیدن به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بین، به جهاد رنگ دین داد و گفت اگر می‌خواهید مقاتله کنید، برای خدا و رضایت او جنگ کنید نه برای گرفتن اسیر، یا بدست آوردن غنیمت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پاداش عظیم اخروی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به این صورت ساده‌تر از جهاد مرسوم در بیان قبائل است و دیگر تکلیفی حرجی نیست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اشکال این بیان مرحوم صاحب فصول آن است که اگر عمل و موردی در میان مردم متعارف و عادی باشد، می‌پذیریم که عنوان حرجی ندارد؛ و لیکن اگر انجام فعلی از باب ضرورت و اضطرار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اقتضا کند که انسان برای بهبودی و مقابله با یک بیماری چند روز غذا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حرجی بودن آن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 این که عملی در میان مردم متعارف باشد، آن را از حرجی بودن خارج نمی‌کند و این تکالیف موجود نیز به جهت ضرورت در میان مردم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ایشان آن است که در مورد حرجی بودن یک تکلیف، نباید به ظاهر آن توجّه شود؛ بلکه ملاک در حرجی بودن احکام مقدار مصلحتی است که بر آن تکلیف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مولایی به عبدش بگوید که برای بدست آوردن مالی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چند روز راه بروی و مسافت زیادی را طی کنی، عرف خواهد گفت این تکلیف حرجی است؛ و یا اگر به کسی بگویند برای تحصیل مالی اندک باید از شب تا صبح بیدار باشی، چنین تکلیفی حرجی است؛ امّا اگر گفته شود در مقابل بیداری شب تا صبح، مقامات عظیم اخروی وجود دارد، شخص با رضایت خاطر و بدون احساس سختی آن را انجام خواهد داد و هیچ مشقّت و حرجی هم برای او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ملاک در حرجی بودن صورت العمل نیست؛ بلکه ملاک غایة العمل است و اگر تکلیفی متناسب با غایت و هدفش باشد، حرجی نخواهد بود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اشکال بیان دوّم مرحوم صاحب فصول این است که ترتّب غایت و هدفی بزرگ، فعل را از حرجی بودن خارج نمی‌کند؛ هدفدار بودن عمل، فقط این اثر را دارد که انسان به جهت لطف و عنایتی که از طرف خداوند متعال به او خواهد شد و در آخرت از مقامات والایی برخوردار می‌گردد، فعل حرجی را تحمّل نموده و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بیان صاحب فصول رحمه الله که ملاک غایة العمل است نیز صحیح نمی‌باشد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جواب سوّمی که مرحوم صاحب فصول برای دفع حرجی بودن جهاد بیان می‌کند، این است که جهاد برای کسانی که از حالت نفسانی ترس برخوردارند، حرجی است؛ و لیکن این امر برای کسی که دارای چنین حالت نفسانی نیست، حرجی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منشأ حرجی بودن جهاد، وجود حالت نفسانی خوف و ترس است و حال آن که در باب تکالیف، حالت نفسانی مکلّفین نباید مدّنظر قرار گیرد</w:t>
      </w:r>
      <w:r>
        <w:rPr>
          <w:rFonts w:eastAsia="IRNazanin" w:cs="IRNazanin"/>
          <w:color w:val="111111"/>
          <w:sz w:val="28"/>
          <w:szCs w:val="28"/>
          <w:rtl w:val="true"/>
          <w:lang w:bidi="fa-IR"/>
        </w:rPr>
        <w:t>.</w:t>
      </w:r>
      <w:r>
        <w:rPr>
          <w:rStyle w:val="FootnoteAnchor"/>
          <w:rtl w:val="true"/>
        </w:rPr>
        <w:footnoteReference w:id="176"/>
      </w:r>
      <w:bookmarkStart w:id="202" w:name="pg844_8159"/>
    </w:p>
    <w:p>
      <w:pPr>
        <w:pStyle w:val="BookText"/>
        <w:rPr/>
      </w:pPr>
      <w:bookmarkEnd w:id="202"/>
      <w:r>
        <w:rPr>
          <w:rFonts w:ascii="IRNazanin" w:hAnsi="IRNazanin" w:eastAsia="IRNazanin"/>
          <w:color w:val="111111"/>
          <w:sz w:val="28"/>
          <w:sz w:val="28"/>
          <w:szCs w:val="28"/>
          <w:rtl w:val="true"/>
          <w:lang w:bidi="fa-IR"/>
        </w:rPr>
        <w:t>صاحب فصول رحمه الله پس از دفع اشکال حرجی بودن جهاد، به این مطلب می‌پردازد که چگونه اسلام آوردن و ایمان به خدا برای گروهی مشقّت دارد و حرجی است؛ و کفّار نیز به پیامبر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قَالُوا اللَّهُمَّ إِن کَانَ هَذَا هُوَ الْحَقَّ مِنْ عِندِکَ فَأَمْطِرْ عَلَیْنَا حِجَارَةً مِّنَ السَّمَآءِ أَوِ ائْتِنَا بِعَذَابٍ أَلِیمٍ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ایشان در مقام دفع این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گفتار آنها به خاطر این نیست که اصل تکلیف و تدیّن به دین اسلام حرجی است؛ بلکه بدان جهت است که چنین افرادی دارای سوء سریره و خباثت نفسانی می‌باشند؛ و حتّی حاضر بودند بمیرند امّا اسلام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مشقّت و سختی در این مورد ناشی از خود مکلّف است و از ناحیه تکلیف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حرجی نبودن حکم قصاص نفس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حرج در اینجا تکلیف شرع نیست؛ بلکه خود شخص مکلّف حرج را به وجود آورده و چون مرتکب قتل عمد شده، باید خود را در اختیار ولی دم مقتول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سوءاختیار مکلّف است که چنین تکلیفی را باعث می‌شود و چنین چیزی ملاک تحقّق عسر و حرج نمی‌باشد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نتیجه کلام مرحوم صاحب فصول رحمه الله این می‌شود که تکلیف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که مسبوق به عمل مکلّف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و با قطع نظر از حالات نفسانی مکلّف در شریعت نداریم؛ و بنابراین، قاعده لاحرج به هیچ عنوان تخصیص نخورده است</w:t>
      </w:r>
      <w:r>
        <w:rPr>
          <w:rFonts w:eastAsia="IRNazanin" w:cs="IRNazanin"/>
          <w:color w:val="111111"/>
          <w:sz w:val="28"/>
          <w:szCs w:val="28"/>
          <w:rtl w:val="true"/>
          <w:lang w:bidi="fa-IR"/>
        </w:rPr>
        <w:t>.</w:t>
      </w:r>
    </w:p>
    <w:p>
      <w:pPr>
        <w:pStyle w:val="Heading4"/>
        <w:numPr>
          <w:ilvl w:val="3"/>
          <w:numId w:val="1"/>
        </w:numPr>
        <w:rPr/>
      </w:pPr>
      <w:bookmarkStart w:id="203" w:name="__RefHeading___Toc6877370_211673320"/>
      <w:bookmarkStart w:id="204" w:name="_Toc78"/>
      <w:bookmarkEnd w:id="203"/>
      <w:r>
        <w:rPr/>
        <w:t>3</w:t>
      </w:r>
      <w:r>
        <w:rPr>
          <w:rtl w:val="true"/>
        </w:rPr>
        <w:t xml:space="preserve"> - </w:t>
      </w:r>
      <w:r>
        <w:rPr>
          <w:rtl w:val="true"/>
        </w:rPr>
        <w:t>پاسخ مرحوم میرفتّاح</w:t>
      </w:r>
      <w:bookmarkEnd w:id="204"/>
    </w:p>
    <w:p>
      <w:pPr>
        <w:pStyle w:val="Heading5"/>
        <w:numPr>
          <w:ilvl w:val="4"/>
          <w:numId w:val="1"/>
        </w:numPr>
        <w:rPr/>
      </w:pPr>
      <w:bookmarkStart w:id="205" w:name="__RefHeading___Toc6877372_211673320"/>
      <w:bookmarkStart w:id="206" w:name="_Toc79"/>
      <w:bookmarkEnd w:id="205"/>
      <w:r>
        <w:rPr>
          <w:rtl w:val="true"/>
        </w:rPr>
        <w:t>اشاره</w:t>
      </w:r>
      <w:bookmarkEnd w:id="2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بعد از بیان و پذیرش جواب سیّد بحرالعلوم قدس سره، به عنوان توضیح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مشاهده می‌کنیم اگر مولایی به عبدش چنین تکلیف کند که در روز چند مرتبه نزد او برود و از حقوقی که به او می‌دهد و یا از درآمد کاری خود، یک دهم و یا یک پنجم آن را به فقرا بدهد؛ هم‌چنین لازم است که در طول</w:t>
      </w:r>
    </w:p>
    <w:p>
      <w:pPr>
        <w:pStyle w:val="BookText"/>
        <w:rPr/>
      </w:pPr>
      <w:r>
        <w:rPr>
          <w:rFonts w:ascii="IRNazanin" w:hAnsi="IRNazanin" w:eastAsia="IRNazanin"/>
          <w:color w:val="111111"/>
          <w:sz w:val="28"/>
          <w:sz w:val="28"/>
          <w:szCs w:val="28"/>
          <w:rtl w:val="true"/>
          <w:lang w:bidi="fa-IR"/>
        </w:rPr>
        <w:t>یکسال مدّتی را امساک کند و غذا نخورد؛ در عمر خود یک سفر طولانی دارد که عبد باید به آن سفر برود؛ اگر دشمنی قصد تعرّض به جان و یا مال او را داشت لازم است که در مقابل آنها به دفاع برخیزد و تکالیفی دیگر شبیه به این موارد؛ در این صورت، خردمندان چنین مولایی را مورد سرزنش قرار نمی‌دهند که تکالیفی حرجی بر عبدش جعل کرده است؛ بلکه این روش را عقلایی و بهترین رفتار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است که در مورد تکلیف‌های الهی اشکال می‌شود؟ شارع مقدس و حکیم علی الاطلاق نیز همانند این تکالیف را در شریعت بیان کرده است؛ به عنوان مثال،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در طول عمرش مستطیع شد، واجب است که به سفر حجّ برود؛ در صورت مستطیع نشدن نیز حجّ بر او واجب نخواهد بود و یا در طول سال یک ماه رمضان را روزه بدارد و</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میرفتّاح در ادامه پاسخ خود مؤیّدی را نیز ذکر می‌کند مبنی بر آن که دیده می‌شود افراد متدیّن و متعبّد به دین اسلام، تمامی تکالیف الهی را بجا می‌آورند و حتّی علاوه بر انجام تکالیف واجب و ترک محرّمات، مستحبّات را نیز انجام می‌دهند؛ با این وجود، در زندگی متعارفشان هیچ خلل و نقصانی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فرامین الهی، تکالیفی حرجی نمی‌باشند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سپس ایشان حدود چهل مورد از مواردی که در شریعت مبتنی بر قاعده لاحرج است را ذکر می‌کند؛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نجاست کرّ با ملاقات نجس، عفو از خون جراحت و زخم، عفو از مادون بقلی، عدم لزوم احتیاط در شبهات غیر محصوره، طهارت مخالفین و حلیّت ذبائح آنان، صحّت معاطات، جواز تیمّم للمتضرّر بالماء، عدم لزوم خمس در هبه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پایان این قسمت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فروعات را از طریق استنباط می‌گوئیم مبتنی بر لاحرج است و پاره‌ای دیگر با اجماع، یا ضرورت و یا نصّ، لاحرجی بودن آن درست می‌شود</w:t>
      </w:r>
      <w:r>
        <w:rPr>
          <w:rFonts w:eastAsia="IRNazanin" w:cs="IRNazanin"/>
          <w:color w:val="111111"/>
          <w:sz w:val="28"/>
          <w:szCs w:val="28"/>
          <w:rtl w:val="true"/>
          <w:lang w:bidi="fa-IR"/>
        </w:rPr>
        <w:t>.</w:t>
      </w:r>
      <w:bookmarkStart w:id="207" w:name="pg844_8163"/>
    </w:p>
    <w:p>
      <w:pPr>
        <w:pStyle w:val="Heading5"/>
        <w:numPr>
          <w:ilvl w:val="4"/>
          <w:numId w:val="1"/>
        </w:numPr>
        <w:rPr/>
      </w:pPr>
      <w:bookmarkStart w:id="208" w:name="__RefHeading___Toc6877374_211673320"/>
      <w:bookmarkStart w:id="209" w:name="_Toc80"/>
      <w:bookmarkEnd w:id="207"/>
      <w:bookmarkEnd w:id="208"/>
      <w:r>
        <w:rPr>
          <w:rtl w:val="true"/>
        </w:rPr>
        <w:t>ملاک حرجی بودن تکالیف از نظر میرفتّاح رحمه الله</w:t>
      </w:r>
      <w:bookmarkEnd w:id="209"/>
    </w:p>
    <w:p>
      <w:pPr>
        <w:pStyle w:val="BookText"/>
        <w:rPr/>
      </w:pPr>
      <w:r>
        <w:rPr>
          <w:rFonts w:ascii="IRNazanin" w:hAnsi="IRNazanin" w:eastAsia="IRNazanin"/>
          <w:color w:val="111111"/>
          <w:sz w:val="28"/>
          <w:sz w:val="28"/>
          <w:szCs w:val="28"/>
          <w:rtl w:val="true"/>
          <w:lang w:bidi="fa-IR"/>
        </w:rPr>
        <w:t xml:space="preserve">میرفتّاح رحمه الله در پایان پاسخی که برای 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تکالیف حرجی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به ملاک حرجی بودن احکام و تکالیف می‌پردازد و نکته‌ای را بیان می‌دارد که در کلمات دیگران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ملاک حرجی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صورت که اگر کمّیت و مقدار تکلیفی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آن تکلیف، تکلیفی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فرمان دهند سه روز متوالی باید قرآن بخواند، حرجی است؛ و یا اگر شارع مقدّس سفر حجّ را همه ساله واجب می‌نمود، حرجی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در طول عمر آن را فقط یکبار واجب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صورتی که فرد مستطیع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ملاک قراردادن عرف در باب حرج، به این نکته می‌رسند که تکالیف وارده در شریعت، هیچکدام تکلیف حرجی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 ما ورد فی الشرع من التکالیف لیس ممّا یُعدّ عسراً وحرجاً عرفاً؛ وکفاک فی هذا المعنی ملاحظة الآیات فی هذا الباب</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6877376_211673320"/>
      <w:bookmarkStart w:id="211" w:name="_Toc81"/>
      <w:bookmarkEnd w:id="210"/>
      <w:r>
        <w:rPr>
          <w:rtl w:val="true"/>
        </w:rPr>
        <w:t>اشکال این ملاک</w:t>
      </w:r>
      <w:bookmarkEnd w:id="21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 کلام مرحوم میرفتّاح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ملاک حرجی بودن تکالیف شرعی قرار گیرد؛ چه آن که با دقّت در روایات وارده در باب قاعده 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آنها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در برخی روایات، مواردی ذکر شده که ممکن است فقط یکبار اتّفاق افتند و حال آن که امام علیه السلام آن را از مصادیق قاعده لاحرج قرار داده و تکلیف حرجی موجود را در آن مورد نفی می‌نمایند؛ همانند روایت‌هایی که در مورد غُسل و گذاشتن مراره بر پوست، وارد شده‌اند؛ و یا روایتی که در</w:t>
      </w:r>
      <w:bookmarkStart w:id="212" w:name="pg844_8165"/>
    </w:p>
    <w:p>
      <w:pPr>
        <w:pStyle w:val="BookText"/>
        <w:rPr/>
      </w:pPr>
      <w:bookmarkEnd w:id="212"/>
      <w:r>
        <w:rPr>
          <w:rFonts w:ascii="IRNazanin" w:hAnsi="IRNazanin" w:eastAsia="IRNazanin"/>
          <w:color w:val="111111"/>
          <w:sz w:val="28"/>
          <w:sz w:val="28"/>
          <w:szCs w:val="28"/>
          <w:rtl w:val="true"/>
          <w:lang w:bidi="fa-IR"/>
        </w:rPr>
        <w:t>مورد تذکیه پوست حیوان خریداری شده از امام علیه السلام سؤال می‌شود که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سؤالی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المسألة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تکرار و کمّیت در مفهوم حرج دخالتی ندارد و نمی‌تواند به عنوان ملاک حرجی بودن تکالیف شرعی شناخته شود</w:t>
      </w:r>
      <w:r>
        <w:rPr>
          <w:rFonts w:eastAsia="IRNazanin" w:cs="IRNazanin"/>
          <w:color w:val="111111"/>
          <w:sz w:val="28"/>
          <w:szCs w:val="28"/>
          <w:rtl w:val="true"/>
          <w:lang w:bidi="fa-IR"/>
        </w:rPr>
        <w:t>.</w:t>
      </w:r>
    </w:p>
    <w:p>
      <w:pPr>
        <w:pStyle w:val="Heading4"/>
        <w:numPr>
          <w:ilvl w:val="3"/>
          <w:numId w:val="1"/>
        </w:numPr>
        <w:rPr/>
      </w:pPr>
      <w:bookmarkStart w:id="213" w:name="__RefHeading___Toc6877378_211673320"/>
      <w:bookmarkStart w:id="214" w:name="_Toc82"/>
      <w:bookmarkEnd w:id="213"/>
      <w:r>
        <w:rPr/>
        <w:t>4</w:t>
      </w:r>
      <w:r>
        <w:rPr>
          <w:rtl w:val="true"/>
        </w:rPr>
        <w:t xml:space="preserve"> - </w:t>
      </w:r>
      <w:r>
        <w:rPr>
          <w:rtl w:val="true"/>
        </w:rPr>
        <w:t>پاسخ میرزای قمی رحمه الله</w:t>
      </w:r>
      <w:bookmarkEnd w:id="214"/>
    </w:p>
    <w:p>
      <w:pPr>
        <w:pStyle w:val="Heading5"/>
        <w:numPr>
          <w:ilvl w:val="4"/>
          <w:numId w:val="1"/>
        </w:numPr>
        <w:rPr/>
      </w:pPr>
      <w:bookmarkStart w:id="215" w:name="__RefHeading___Toc6877380_211673320"/>
      <w:bookmarkStart w:id="216" w:name="_Toc83"/>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مرحوم میرزای قمی رحمه الله بر خلاف بزرگانی چون مرحوم علّامه طباطبایی و مرحوم صاحب فصول رحمهما الله اصل وجود تکلیف‌های حرجی در شریعت را می‌پذیرد و سپس به پاسخ اشکال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النظر فی مجامع الکلام وأطرافها بعد حصول القطع بأنّ التکالیف الشاقّة واردة فی الشریعة، إنّ العسر والحرج والضرر المنفیّات هی الّتی تزید علی ما هی لازمة لطبایع التکالیف الثابتة، من حیث هی الّتی معیارها طاقة متعارف الأوساط من النّاس الّذین هم الأصحّاء الخالون عن المرض والعجز والعذر، بل هی منتفیة من الأصل إلّافیما ثبت وبقدر ما ثبت وهو ما لاینفکّ عنه عامّة النّاس سالمین عن الأمراض والأعراض؛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لایرید بعباده العسر والحرج والضرر، إلّاما حصل منه من جهة التکالیف الثابتة بحسب أحوال متعارف أوساط النّاس وهم الأغلبون، فالباقی منفی سواء لم‌یثبت أصله أصلاً أو ثبت ولکن علی نهج لایستلزم هذه الزیادة؛ ثمّ انّ ذلک النفی إمّا من جهة تنصیص الشارع کالقصر والإتمام والإفطار والقعود والاضطجاع فی الصلاة والتیمّم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من جهة التعمیم کجواز الإجتهاد فی الجزئیّات کالقبلة والوقت، أو الکلّیات کالأحکام الشرعیّة للعلماء، هذه المذکورات من باب الدلیل وإلّا فلا</w:t>
      </w:r>
    </w:p>
    <w:p>
      <w:pPr>
        <w:pStyle w:val="BookText"/>
        <w:rPr/>
      </w:pPr>
      <w:r>
        <w:rPr>
          <w:rFonts w:ascii="IRNazanin" w:hAnsi="IRNazanin" w:eastAsia="IRNazanin"/>
          <w:color w:val="111111"/>
          <w:sz w:val="28"/>
          <w:sz w:val="28"/>
          <w:szCs w:val="28"/>
          <w:rtl w:val="true"/>
          <w:lang w:bidi="fa-IR"/>
        </w:rPr>
        <w:t>فائدة فی الإستدلال بها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قطع داریم تکلیف‌های شاقّ و پرضرر در شریعت وارد است، باید این‌گونه جواب دهیم که مراد از نفی عسر و حرج، نفی حرج افزون بر مقتضای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نفس تکالیف موجود در شریعت متضمّن سختی و مشقّت است؛ به عنوان مثال، همین که انسان برای خواندن نماز صبح، باید از خواب راحت برخیزد و وضو بگیرد، سخت و حرجی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لاحرج، حرج اوّلیه‌ای را که در ذات تکالیف شریعت وجود دارد، نمی‌تواند بردارد؛ امّا اگر حرج مضاعفی بر تکلیف عارض شود، آن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حرجی که در تکالیف وجود دارد نیز طاقت عموم مردم است که در حال صحّت و سلامتی باشند و مریض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اگر انجام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طاقت عموم مردم سالم خارج باشد، قاعده لاحرج آن را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عسر و حرج و ضرر را برای بندگانش اراده نمی‌کند؛ مگر آن مقداری را که در ذات تکالیف و به اندازه طاقت عموم مردم وجود دارد و زیادتر از این مقدار را اراده نکرده و منتفی است؛ چه اصل تکلیف در شریعت جعل نشده باشد و چه آن که اصل تکلیف جعل شده، امّا مستلزم مقدار زیاده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بخش سوّم کلامشان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حرج زائد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به وسیله شارع تصریح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شارع نماز را به صورت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نموده و یا مواردی که دستور به تیمّم داده است و موارد دیگر؛ و یا آن که نفی حرج به جهت تعمیم در حکم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اجتهاد در جزئیات و یا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اجتهاد در موضوعات خارجی؛ مثل این که شخص نمی‌داند وقت نماز داخل شده است یا نه؟ و به اجتهاد و تشخیص خود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در</w:t>
      </w:r>
      <w:bookmarkStart w:id="217" w:name="pg844_8169"/>
    </w:p>
    <w:p>
      <w:pPr>
        <w:pStyle w:val="BookText"/>
        <w:rPr/>
      </w:pPr>
      <w:bookmarkEnd w:id="217"/>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اجتهاد مرسوم بین علما در مورد احکام شرعیه، که لاحرج می‌گوید مقداری که مجتهد زحمت کشیده و اجتهاد کرده است، کافی می‌باشد و زائد بر آن چیزی لازم نیست</w:t>
      </w:r>
      <w:r>
        <w:rPr>
          <w:rFonts w:eastAsia="IRNazanin" w:cs="IRNazanin"/>
          <w:color w:val="111111"/>
          <w:sz w:val="28"/>
          <w:szCs w:val="28"/>
          <w:rtl w:val="true"/>
          <w:lang w:bidi="fa-IR"/>
        </w:rPr>
        <w:t>.</w:t>
      </w:r>
    </w:p>
    <w:p>
      <w:pPr>
        <w:pStyle w:val="Heading5"/>
        <w:numPr>
          <w:ilvl w:val="4"/>
          <w:numId w:val="1"/>
        </w:numPr>
        <w:rPr/>
      </w:pPr>
      <w:bookmarkStart w:id="218" w:name="__RefHeading___Toc6877382_211673320"/>
      <w:bookmarkStart w:id="219" w:name="_Toc84"/>
      <w:bookmarkEnd w:id="218"/>
      <w:r>
        <w:rPr>
          <w:rtl w:val="true"/>
        </w:rPr>
        <w:t>احتمالات موجود در عبارت میرزای قمی رحمه الله</w:t>
      </w:r>
      <w:bookmarkEnd w:id="219"/>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میرزا این است که دلیل لاحرج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ادلّه‌ای که احکام را ثابت می‌کند، قرار می‌گیرد و با آنها تعارض می‌کند؛ و از راه جمع عرفی بین این دو دسته دلیل، گفته می‌شود که لاحرج، حرج زائد بر اصل تکالیف را نفی می‌کند و در این موارد، بر ادلّه احکام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احتمال، لاحرج به عنوان یک دلیل و اماره می‌باشد؛ و در نتیجه، قاعده لاحرج تخصیص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فوق با روایات باب قاعده لاحرج سازگاری ندارد؛ چه آن که با دقت در آنها مشخص می‌شود که حتّی حرج مقتضای ذات تکالیف نیز به وسیله این روایات نفی شده است و حرجی به عنوان حرج زائد بر اصل تکلیف در آنها مطرح نگردیده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توضیح کلام میرزای قمی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از این عبارت آن است که قاعده لاحرج از باب اصالة البرائة می‌باشد؛ همان‌گونه که اصالة البرائة می‌گوید اصل بر آزادی عمل است مگر آن که دلیلی بر تکلیف وجوبی یا تکلیف تحریمی وجود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أمر أو نهی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لاحرج نیز بیان می‌دارد اصل اوّلی در شریعت این است که حرجی وجود ندارد مگر جایی که دلیل بر خلاف آن اقامه شود؛ مانند دلیلی که خمس، جهاد،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تکلیفی که بر آن دلیل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خاصّ و یا دلیل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خارج می‌شود</w:t>
      </w:r>
      <w:r>
        <w:rPr>
          <w:rFonts w:eastAsia="IRNazanin" w:cs="IRNazanin"/>
          <w:color w:val="111111"/>
          <w:sz w:val="28"/>
          <w:szCs w:val="28"/>
          <w:rtl w:val="true"/>
          <w:lang w:bidi="fa-IR"/>
        </w:rPr>
        <w:t>.</w:t>
      </w:r>
      <w:r>
        <w:rPr>
          <w:rStyle w:val="FootnoteAnchor"/>
          <w:rtl w:val="true"/>
        </w:rPr>
        <w:footnoteReference w:id="182"/>
      </w:r>
      <w:bookmarkStart w:id="220" w:name="pg844_8171"/>
    </w:p>
    <w:p>
      <w:pPr>
        <w:pStyle w:val="BookText"/>
        <w:rPr/>
      </w:pPr>
      <w:bookmarkEnd w:id="220"/>
      <w:r>
        <w:rPr>
          <w:rFonts w:ascii="IRNazanin" w:hAnsi="IRNazanin" w:eastAsia="IRNazanin"/>
          <w:color w:val="111111"/>
          <w:sz w:val="28"/>
          <w:sz w:val="28"/>
          <w:szCs w:val="28"/>
          <w:rtl w:val="true"/>
          <w:lang w:bidi="fa-IR"/>
        </w:rPr>
        <w:t>طبق این احتمال، قاعده لاحرج به عنوان یک اصل عملی مطرح است و نه دلیل و اماره؛ بنابراین، در مقابل دیگر ادلّه توان مقابله ندارد و بسیار تخصیص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ادلّه 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شریفه قرآن کریم،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زیرا، از این ادلّه استفاده می‌شود که لاحرج اماره است و نه اصل؛ علاوه آن که بر سایر امارات و ادلّه نیز مقدّم می‌باشد؛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فقها ناسازگار است؛ و با مراجعه به کلمات فقها معلوم می‌گردد که آنان در استدلال‌های خود لاحرج را به عنوان اماره مطرح می‌کنند و نه اصل عملی؛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اصالة البرائة شکّ است؛ و حال آن که در لاحرج به هیچ عنوان مسأله شکّ مطرح نیست و امکان ندارد چیزی به عنوان اصل عملی مطرح باشد امّا مجرا و مورد عملی‌اش شکّ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دوّم نیز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که مرحوم میرفتّاح رحمه الله آن را بیان می‌کند، این است که مراد میرزای قمی رحمه الله عبارت است از این که آن چه در تکالیف وجود دارد عُسر و حرج نیست و اصلاً تکالیف حرجی نداریم</w:t>
      </w:r>
      <w:r>
        <w:rPr>
          <w:rStyle w:val="FootnoteAnchor"/>
          <w:rtl w:val="true"/>
        </w:rPr>
        <w:footnoteReference w:id="183"/>
      </w:r>
      <w:r>
        <w:rPr>
          <w:rFonts w:ascii="IRNazanin" w:hAnsi="IRNazanin" w:eastAsia="IRNazanin"/>
          <w:color w:val="111111"/>
          <w:sz w:val="28"/>
          <w:sz w:val="28"/>
          <w:szCs w:val="28"/>
          <w:rtl w:val="true"/>
          <w:lang w:bidi="fa-IR"/>
        </w:rPr>
        <w:t>؛ به عبارت دیگر، ایشان کلام مرحوم میرزا را به کلام مرحوم سیّد بحرالعلوم و صاحب فصول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طور قطع برخلاف ظاهر، بلکه صریح عبارت مرحوم میرزای قمی است که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داریم در شریعت تکلیف‌های حرجی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احتمالات فوق، بهترین احتمال، آن است که گفته شود منظور مرحوم میرزای قمی این است که می‌خواهند جمع عرفی را مطرح کند و نه مسأله تخصیص، یا تقیید و یا اصل عملی را؛ لیکن همان‌گونه که بیان شد این جمع، با روایات وارده در باب قاعده لاحرج سازگاری ندارد</w:t>
      </w:r>
      <w:r>
        <w:rPr>
          <w:rFonts w:eastAsia="IRNazanin" w:cs="IRNazanin"/>
          <w:color w:val="111111"/>
          <w:sz w:val="28"/>
          <w:szCs w:val="28"/>
          <w:rtl w:val="true"/>
          <w:lang w:bidi="fa-IR"/>
        </w:rPr>
        <w:t>.</w:t>
      </w:r>
    </w:p>
    <w:p>
      <w:pPr>
        <w:pStyle w:val="Heading4"/>
        <w:numPr>
          <w:ilvl w:val="3"/>
          <w:numId w:val="1"/>
        </w:numPr>
        <w:rPr/>
      </w:pPr>
      <w:bookmarkStart w:id="221" w:name="__RefHeading___Toc6877384_211673320"/>
      <w:bookmarkStart w:id="222" w:name="_Toc85"/>
      <w:bookmarkEnd w:id="221"/>
      <w:r>
        <w:rPr/>
        <w:t>5</w:t>
      </w:r>
      <w:r>
        <w:rPr>
          <w:rtl w:val="true"/>
        </w:rPr>
        <w:t xml:space="preserve"> - </w:t>
      </w:r>
      <w:r>
        <w:rPr>
          <w:rtl w:val="true"/>
        </w:rPr>
        <w:t>جواب محقّق نراقی رحمه الله</w:t>
      </w:r>
      <w:bookmarkEnd w:id="222"/>
    </w:p>
    <w:p>
      <w:pPr>
        <w:pStyle w:val="Heading5"/>
        <w:numPr>
          <w:ilvl w:val="4"/>
          <w:numId w:val="1"/>
        </w:numPr>
        <w:rPr/>
      </w:pPr>
      <w:bookmarkStart w:id="223" w:name="__RefHeading___Toc6877386_211673320"/>
      <w:bookmarkStart w:id="224" w:name="_Toc86"/>
      <w:bookmarkEnd w:id="223"/>
      <w:r>
        <w:rPr>
          <w:rtl w:val="true"/>
        </w:rPr>
        <w:t>اشاره</w:t>
      </w:r>
      <w:bookmarkEnd w:id="2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از اشکال قاعده بیان می‌کند که لاحرج همانند سایر عمومات به</w:t>
      </w:r>
    </w:p>
    <w:p>
      <w:pPr>
        <w:pStyle w:val="BookText"/>
        <w:rPr/>
      </w:pPr>
      <w:r>
        <w:rPr>
          <w:rFonts w:ascii="IRNazanin" w:hAnsi="IRNazanin" w:eastAsia="IRNazanin"/>
          <w:color w:val="111111"/>
          <w:sz w:val="28"/>
          <w:sz w:val="28"/>
          <w:szCs w:val="28"/>
          <w:rtl w:val="true"/>
          <w:lang w:bidi="fa-IR"/>
        </w:rPr>
        <w:t>عنوان یک بیان عام است و همان‌طور که سایر عمومات در شریعت به وسیله ادلّه دیگر تخصیص می‌خورند، عموم در لاحرج نیز تخصیص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قاعدة نفی العسر والحرج کما فی سائر العمومات المخصّصة الواردة فی الکتاب الکریم، والاخبار الواردة فی الشرع القویم، فإنّ أدلّة نفی العسر والحرج تدلاّن علی انتفائهما کلّیة، لأنّهما لفظان مطلقان واقعان موقع النفی، فیفیدان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الشرع، التکلیف ببعض الأمور الشاقّة والتکالیف الصعبة أیضاً، ولایلزم من وروده إشکال فی المقام، کما لایرد بعد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لَکُم مَّا وَرَآءَ ذَ لِکُمْ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إشکال فی تحریم کثیر مما وراءه، ولا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لَّآأَجِدُ فِی مَآ أُوحِیَ إِلَیَّ مُحَرَّمًا</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إلی آخره؛ تحریم أشیاء کثیرة، بل یخصّص بأدلّة تحریم غیره عموم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هاهنا، فإنّ تخصیص العمومات بمخصّصات کثیرة لیس بعزیز، بل هو أمر فی أدلّة الأحکام شائع، وعلیه استمرّت طریقة الفقهاء</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قاعده لاحرج همانند بحث سایر عمومات تخصیص خورده در شریعت می‌باشد؛ زیرا، ادلّه نفی عسر و حرج دلالت بر رفع احکام حرجی به طور کل در شریعت دارد؛ 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لفظ مطلقی هستند که در جایگاه نفی واقع شده‌اند و افاده عموم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در شریعت شاهدیم که تکالیف سخت و دشوار نیز وجود دارد؛ مانند این که خداوند بعد از آن که در قرآن کریم مواردی چون ازدواج با محارم را به عنوان محرّم ذکر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لَکُم مَّا وَرَآءَ ذَ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غیر از</w:t>
      </w:r>
    </w:p>
    <w:p>
      <w:pPr>
        <w:pStyle w:val="BookText"/>
        <w:rPr/>
      </w:pPr>
      <w:r>
        <w:rPr>
          <w:rFonts w:ascii="IRNazanin" w:hAnsi="IRNazanin" w:eastAsia="IRNazanin"/>
          <w:color w:val="111111"/>
          <w:sz w:val="28"/>
          <w:sz w:val="28"/>
          <w:szCs w:val="28"/>
          <w:rtl w:val="true"/>
          <w:lang w:bidi="fa-IR"/>
        </w:rPr>
        <w:t>اینها بقیه موارد حلال است؛ شمول این آیه به صورت کلی و عام است و حال آن که از خارج می‌دانیم موارد بسیار دیگری از تحت عموم این آیه خارج شده و آیۀ شریفه به مخصّصات فراوانی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مورد این آیۀ شریفه که 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لَّآأَجِدُ فِی مَآ أُوحِیَ إِلَیَّ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می‌دانیم که به محرّمات زیادی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دو آیۀ شریفه به مخصصات زیادی تخصیص خورده‌اند، در این بحث نیز چنین بوده و عموم قاعده لاحرج به وسیله تکلیف‌های سخت و دشوار موجود در شریعت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ایشان اشکال کند که تخصیص اکثر و یا تخصیص کثیر قبیح است، پاسخ می‌دهند که چنین نبوده و تخصیص عمومات به وسیله مخصّصات فراوان نه تنها قبیح نیست بلکه امری شایع نیز می‌باشد؛ و سیره و روش فقها نیز بر این نکته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لذلک لم یتعرّض الأکثر لذکر إشکال فی ذلک؛ إذ لا إشکال فی تخصیص العمومات بالمخصّصات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هناک تخصیص الأکثر أیضاً؛ فإنّ الأمور العسرة الصعبة غیرمتناهیة، والتکالیف الواردة فی الشریعة محصورة متناهیة، ومع ذلک أکثرها ممّا لیس فیه صعوبة ولا مشقّة کما بیّناه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مرحوم نراقی رحمه الله، در واقع جواب از یک سؤال مقدّر است مبنی بر آن که چرا در کلمات قدمای اصحاب، این اشکال متأخرین در مورد قاعده لاحرج بیان نشده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این عبارت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اشکال ندارد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هیچ عنوان تخصیص اکثر لازم نمی‌آید؛ چه آن که امور</w:t>
      </w:r>
    </w:p>
    <w:p>
      <w:pPr>
        <w:pStyle w:val="BookText"/>
        <w:rPr/>
      </w:pPr>
      <w:r>
        <w:rPr>
          <w:rFonts w:ascii="IRNazanin" w:hAnsi="IRNazanin" w:eastAsia="IRNazanin"/>
          <w:color w:val="111111"/>
          <w:sz w:val="28"/>
          <w:sz w:val="28"/>
          <w:szCs w:val="28"/>
          <w:rtl w:val="true"/>
          <w:lang w:bidi="fa-IR"/>
        </w:rPr>
        <w:t>سخت و دشوار نامتناهی هستند؛ در حالی که تکالیف شریعت مشخص و متناهی است و در اکثر آنها نیز دشواری و سختی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تکالیف محصوره در برابر تکالیف حرجیه محدود است و تخصیص اکثر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سخن نراقی رحمه الله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شارع مقدّس بر این بود که تکالیف حرجی جعل کند، بیش از اینها می‌توانست بیان کند؛ به عنوان مثال، بگوید به جای پنج نوبت نماز، تعداد بیشتری خوانده شود و یا آن که روزانه پنج ساعت مشغول عبادت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چنین مواردی را جعل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نظر مرحوم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ایشان تخصیص کثیر را پذیرفته است و این که از عموم قاعده لاحرج موارد بسیاری تخصیص می‌خورد؛ امّا این مخصّصات به اندازه‌ای نیست که تخصیص اکثر لازم آید؛ و از نظر ایشان آن چه قبیح می‌باشد، تخصیص اکثر است و نه تخصیص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مرحوم نراقی بیان می‌کند، در مورد اشکالی است که در بعضی از روایات وجود دارد که ائمّه علیهم السلام در آنها حکم حرجی رانفی نموده و به آیه نفی حرج استدلال می‌کنند؛ در حالی که تکلیف‌هایی سخت‌تر از آن نیز در احکام وجود دارد و در شریعت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یرتفع الإشکال من بعض الأحادیث الّذی نفی الإمام علیه السلام فیه الحکم محتجّاً بکونه حرجاً، مع وجود ما هو أشقّ منه فی الأحکام؛ فإنّ غرضه علیه السلام لیس أنّه منفی لکونه حرجاً، ولایمکن تحقّق الحرج فی الحکم؛ بل المراد أنّه حرج، فیکون داخلاً تحت عموم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فلایحکم بخلافه، إلّاأن توجد له مخصّص، ولا مخصّص لهذا الحکم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رحمه الله برای دفع اشکال چنین بیان می‌کند که استدلال ائمّه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p>
    <w:p>
      <w:pPr>
        <w:pStyle w:val="BookText"/>
        <w:rPr/>
      </w:pPr>
      <w:r>
        <w:rPr>
          <w:rFonts w:ascii="IRNazanin" w:hAnsi="IRNazanin" w:eastAsia="IRNazanin"/>
          <w:color w:val="111111"/>
          <w:sz w:val="28"/>
          <w:sz w:val="28"/>
          <w:szCs w:val="28"/>
          <w:rtl w:val="true"/>
          <w:lang w:bidi="fa-IR"/>
        </w:rPr>
        <w:t>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نیست که بفرمایند علّت نفی حکم، حرجی بودن آن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گویا از امام علیه السلام سؤال می‌کنند آیا در این مورد خارجی حکم و تکلیفی داریم؟ امام علیه السلام نیز در پاسخ آیۀ شریفه را مطرح نموده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در عموم نفی حکم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شاهدی نیز برای پاسخ فوق بیان می‌کند، بدین صورت که این روایات همانند روایاتی است که در آنها از ائمّه علیهم السلام در مورد حلّیت چیزی سؤال می‌شود و امام علیه السلام در پاسخ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لَّآأَجِدُ فِی مَآ أُوحِیَ إِلَیَّ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می‌فرمودند و به عموم آن برای حلّیت مورد سؤال استناد می‌نمودند؛ در این روایات نیز امام علیه السلام با بیان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آن، عدم وجود تکلیف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نکته‌ای که در این زمینه، در کلام مرحوم نراقی وجود دارد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می‌کند، این است که جستجوی از مخصّص و معارض در قاعده لاحرج همانند سایر عمومات واجب است؛ و قبل از عمل به قاعده لاحرج باید از عدم وجود معارض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مخصّصی برای قاعده لاحرج یافت شود، اگر اخصّ مطلق از قاعده باشد، در این صورت قاعده لاحرج به وسیله این مخصّص تخصیص می‌خورد؛ اما اگر نسبت آن با ادلّه لاحرج عموم و خصوص من وجه و یا تساوی بود، در این صورت به قواعد تعارض رجوع می‌شود که اگر مرجّحی وجود داشت، به همان عمل می‌شود و إلّانوبت به تساقط یا تخییر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چنین می‌گوید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عرفت ما ذکرنا لک فی المقام،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وظیفتک فی الأحکام بالنسبة إلی أدلّة نفی العسر والحرج، مثل وظیفتک فی سائر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أوّلاً معنی العسر والحرج، وتحکم بانتفائهما فی الأحکام عموماً إلّاما ظهر له مخصّص، وتتفحص عن</w:t>
      </w:r>
      <w:bookmarkStart w:id="225" w:name="pg844_8182"/>
    </w:p>
    <w:p>
      <w:pPr>
        <w:pStyle w:val="BookText"/>
        <w:rPr/>
      </w:pPr>
      <w:bookmarkEnd w:id="225"/>
      <w:r>
        <w:rPr>
          <w:rFonts w:ascii="IRNazanin" w:hAnsi="IRNazanin" w:eastAsia="IRNazanin"/>
          <w:color w:val="111111"/>
          <w:sz w:val="28"/>
          <w:sz w:val="28"/>
          <w:szCs w:val="28"/>
          <w:rtl w:val="true"/>
          <w:lang w:bidi="fa-IR"/>
        </w:rPr>
        <w:t>مخصّصات أدلّة نفی الحرج والعسر، فان ظهر لها معارض أخصّ منها مطلقاً، تخصّصها به؛ وإن کان أخصّ من وجه أو مساویاً لها، فتعمل فیهما بالقواعد الترجیحیّة، ومع انتفاء الترجیح، ترجع إلی ما هو المرجع عند الیأس عن التراجیح</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6877388_211673320"/>
      <w:bookmarkStart w:id="227" w:name="_Toc87"/>
      <w:bookmarkEnd w:id="226"/>
      <w:r>
        <w:rPr>
          <w:rtl w:val="true"/>
        </w:rPr>
        <w:t>اشکال‌های پاسخ محقّق نراقی رحمه الله</w:t>
      </w:r>
      <w:bookmarkEnd w:id="227"/>
    </w:p>
    <w:p>
      <w:pPr>
        <w:pStyle w:val="BookText"/>
        <w:rPr/>
      </w:pPr>
      <w:r>
        <w:rPr>
          <w:rFonts w:ascii="IRNazanin" w:hAnsi="IRNazanin" w:eastAsia="IRNazanin"/>
          <w:color w:val="111111"/>
          <w:sz w:val="28"/>
          <w:sz w:val="28"/>
          <w:szCs w:val="28"/>
          <w:rtl w:val="true"/>
          <w:lang w:bidi="fa-IR"/>
        </w:rPr>
        <w:t>به کلام نراقی رحمه الله اشکالات متعدّدی وارد شده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میرفتّاح رحمه الله در کتاب خود نسبت به کلام مرحوم نراقی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گفته شود قاعده لاحرج از باب اصل می‌باشد و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أمر 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ادلّه‌ای که بر تکلیف حرجی دلالت می‌کند این اصل را تخصیص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این سخن برخلاف ظاهر ادلّه لاحرج می‌باشد که مفادش، مفاد اماره است و نه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استدلال‌های ائمّه علیهم السلام در روایات ذکر شده در باب قاعده لاحرج بدین صورت است که امام علیه السلام همان مورد خاص را به دلیل حرجی بودن نفی کرده‌اند، نه این که آن موارد در تحت عموم نفی حکم داخل هستند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تهافت و تعارض در کلام نراقی رحمه الله است؛ به این صورت که از یک طرف قاعده لاحرج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می‌داند و از سوی دیگر، مطرح می‌کند که اگر نسبت بین مخصّص و ادلّه قاعده، عموم و خصوص من وجه باشد، قواعد تعارض و ترجیح جاری می‌شود؛ و حال آن که در بحث تعادل و تراجیح، نسبت بین دو اماره و دلیل بررسی می‌شود و قواعد ترجیح مربوط به تعارض بین الأمارتین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اشکال بسیار مهمّی که بر کلام مرحوم نراقی وارد است و</w:t>
      </w:r>
      <w:bookmarkStart w:id="228" w:name="pg844_8184"/>
    </w:p>
    <w:p>
      <w:pPr>
        <w:pStyle w:val="BookText"/>
        <w:rPr/>
      </w:pPr>
      <w:bookmarkEnd w:id="228"/>
      <w:r>
        <w:rPr>
          <w:rFonts w:ascii="IRNazanin" w:hAnsi="IRNazanin" w:eastAsia="IRNazanin"/>
          <w:color w:val="111111"/>
          <w:sz w:val="28"/>
          <w:sz w:val="28"/>
          <w:szCs w:val="28"/>
          <w:rtl w:val="true"/>
          <w:lang w:bidi="fa-IR"/>
        </w:rPr>
        <w:t xml:space="preserve">اساس نظریه ایشان را از بین می‌برد، این است که ادلّه لاحرج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الوصف مشعر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ظاهر آیات شریفه قرآن کریم نیز علّیت استفاده می‌شود؛ بدین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 که اگر تکلیفی حرجی باشد، به خاطر حرجی بودنش، شارع مقدّس آن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همین باب نیز استدلال به آیات شریفه به عنوان تعلیل است، نه آن که این مورد داخل در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اصرار مرحوم نراقی بر این که شارع مقدّس ادلّه لاحرج را به عنوان یک قضیه کلّی و عام ذکر کرده و در نتیجه، مخصّصات بسیاری بر آن وارد شده است،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آیا در لاحرج امکان تخصیص وجود دارد یا نه؟ به همان نکته‌ای که در دلیل عقلی گفتیم، باز می‌گردد؛ بدین معنا که اگر قائل شدیم نفی عسر و حرج در شریعت عنوان عقلی و پشتوانه عقلی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صاحب فصول و گروهی از بزرگان دیگر این نظریه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تخصیص قاعده لاحرج ممکن نخواهد بود؛ اما اگر در دلیل عقلی مناقشه کردیم و به این نتیجه رسیدیم که لاحرج عنوان شرعی دارد و نه عقلی، امکان و قابلیّت تخصیص آن وجود دارد</w:t>
      </w:r>
      <w:r>
        <w:rPr>
          <w:rFonts w:eastAsia="IRNazanin" w:cs="IRNazanin"/>
          <w:color w:val="111111"/>
          <w:sz w:val="28"/>
          <w:szCs w:val="28"/>
          <w:rtl w:val="true"/>
          <w:lang w:bidi="fa-IR"/>
        </w:rPr>
        <w:t>.</w:t>
      </w:r>
    </w:p>
    <w:p>
      <w:pPr>
        <w:pStyle w:val="Heading4"/>
        <w:numPr>
          <w:ilvl w:val="3"/>
          <w:numId w:val="1"/>
        </w:numPr>
        <w:rPr/>
      </w:pPr>
      <w:bookmarkStart w:id="229" w:name="__RefHeading___Toc6877390_211673320"/>
      <w:bookmarkStart w:id="230" w:name="_Toc88"/>
      <w:bookmarkEnd w:id="229"/>
      <w:r>
        <w:rPr/>
        <w:t>6</w:t>
      </w:r>
      <w:r>
        <w:rPr>
          <w:rtl w:val="true"/>
        </w:rPr>
        <w:t xml:space="preserve"> - </w:t>
      </w:r>
      <w:r>
        <w:rPr>
          <w:rtl w:val="true"/>
        </w:rPr>
        <w:t>بیان میرزای آشتیانی رحمه الله</w:t>
      </w:r>
      <w:bookmarkEnd w:id="230"/>
    </w:p>
    <w:p>
      <w:pPr>
        <w:pStyle w:val="BookText"/>
        <w:rPr/>
      </w:pPr>
      <w:r>
        <w:rPr>
          <w:rFonts w:ascii="IRNazanin" w:hAnsi="IRNazanin" w:eastAsia="IRNazanin"/>
          <w:color w:val="111111"/>
          <w:sz w:val="28"/>
          <w:sz w:val="28"/>
          <w:szCs w:val="28"/>
          <w:rtl w:val="true"/>
          <w:lang w:bidi="fa-IR"/>
        </w:rPr>
        <w:t xml:space="preserve">مرحوم آشتیانی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قاعدة نفی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وقوع تخصیص و عدم وقوع تخصیص قاعده لاحرج دو نظریه بیان می‌کند؛ نظریه اوّل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صریح غیرواحد، بل ظاهر الأکثرین،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التکلیف بالامر الحرجی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شرعنا فی الجملة، کما فی التکلیف بالجهاد، الحجّ فی حقّ البعید، سیّما فی الأهویة الغیر المعتدلة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وقوع تخصیص، به مشهور علما نسبت می‌دهند که تخصیص نه تنها</w:t>
      </w:r>
    </w:p>
    <w:p>
      <w:pPr>
        <w:pStyle w:val="BookText"/>
        <w:rPr/>
      </w:pPr>
      <w:r>
        <w:rPr>
          <w:rFonts w:ascii="IRNazanin" w:hAnsi="IRNazanin" w:eastAsia="IRNazanin"/>
          <w:color w:val="111111"/>
          <w:sz w:val="28"/>
          <w:sz w:val="28"/>
          <w:szCs w:val="28"/>
          <w:rtl w:val="true"/>
          <w:lang w:bidi="fa-IR"/>
        </w:rPr>
        <w:t>امکان دارد، بلکه در شریعت اسلام نیز وارد شده است؛ و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حجّ، خمس، زکات، قصاص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مخصّصات قاعده لاحرج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دوّمی که مطرح می‌کنند،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وصریح جماعة عدم وقوعه فی شرعنا أصلاً، نظراً إلی ظواهر الآیات والأخبار المتقدّمة الحاکیة عن إختصاص رفع الحرج بالأمّة المرحومة، وأنّه من فضل اللّه تبارک وتعالی علی نبیّنا صلوات اللّه علیه وعلی آله الطاهرین، من بین سائر الأنبیاء علی نبیّنا وآله علیهم السّلام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عدم وقوع تخصیص نیز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قائلند قاعده لاحرج به هیچ عنوان در شریعت اسلام تخصیص نخورده است؛ به این دلیل که شارع مقدّس در مورد قاعده لاحرج در مقام امتنان بر امّت اسلام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بحث از آیات شریفه مطرح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امتنان نیز اقتضای تعمیم و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هرچند که امکان تخصیص قاعده وجود دارد، امّا خارج کردن مواردی از تحت عموم قاعده لاحرج بر خلاف امتنان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آشتیانی رحمه الله نظریه دوّم را نمی‌پذیرد و قائل است که در شریعت تکالیف حرجی وجود دارد؛ امّا تخصیص اکثر را نمی‌پذیرد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خارج شده از لاحرج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نیست که موجب وهن قاعده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عدم‌تحقّق کثرة‌الخارج منها، بحیث‌یوجب الوهن فیها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بر این کلام باقی می‌ماند، آن است که چنان‌چه بپذیریم این قاعده به عنوان امتنان می‌باشد، لازمه آن عدم صحّت تخصیص است؛ و به عبارت دیگر، وقوع تخصیص هر چند به مقدار نادر، با امتنان سازگاری ندارد</w:t>
      </w:r>
      <w:r>
        <w:rPr>
          <w:rFonts w:eastAsia="IRNazanin" w:cs="IRNazanin"/>
          <w:color w:val="111111"/>
          <w:sz w:val="28"/>
          <w:szCs w:val="28"/>
          <w:rtl w:val="true"/>
          <w:lang w:bidi="fa-IR"/>
        </w:rPr>
        <w:t>.</w:t>
      </w:r>
      <w:bookmarkStart w:id="231" w:name="pg844_8188"/>
    </w:p>
    <w:p>
      <w:pPr>
        <w:pStyle w:val="Heading4"/>
        <w:numPr>
          <w:ilvl w:val="3"/>
          <w:numId w:val="1"/>
        </w:numPr>
        <w:rPr/>
      </w:pPr>
      <w:bookmarkStart w:id="232" w:name="__RefHeading___Toc6877392_211673320"/>
      <w:bookmarkStart w:id="233" w:name="_Toc89"/>
      <w:bookmarkEnd w:id="231"/>
      <w:bookmarkEnd w:id="232"/>
      <w:r>
        <w:rPr/>
        <w:t>7</w:t>
      </w:r>
      <w:r>
        <w:rPr>
          <w:rtl w:val="true"/>
        </w:rPr>
        <w:t xml:space="preserve">- </w:t>
      </w:r>
      <w:r>
        <w:rPr>
          <w:rtl w:val="true"/>
        </w:rPr>
        <w:t>پاسخ محقّق بجنوردی رحمه الله</w:t>
      </w:r>
      <w:bookmarkEnd w:id="233"/>
    </w:p>
    <w:p>
      <w:pPr>
        <w:pStyle w:val="Heading5"/>
        <w:numPr>
          <w:ilvl w:val="4"/>
          <w:numId w:val="1"/>
        </w:numPr>
        <w:rPr/>
      </w:pPr>
      <w:bookmarkStart w:id="234" w:name="__RefHeading___Toc6877394_211673320"/>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مرحوم محقّق بجنوردی رحمه الله نیز تخصیص قاعده لاحرج به وسیله تکلیف‌های دشوار موجود در شریعت،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اندازه‌ای می‌پذیرد و جواب از اشکال را در دو مقام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مقام ثبوت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عسر و حرج و رفع تکالیف حرجی یا عدم جعل چنین تکالیفی از باب امتنان خداوند است؛ اما همواره چنین نیست که امتنان اقتضای رفع حکمی را داشته باشد؛ بلکه در مواردی نیز مصلحت مکلّفین به گونه‌ای است که امتنان اقتضای اثبات و جعل تکلیف را دارد، هرچند که در آن تکلیف، سختی و دشواری وجود داشته باشد؛ و اگر خداوند سبحان آن تکلیف را جعل نکند برخلاف لطف و امتنان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مقام اثبات است که در عالم خارج باید حکم حرجی موجود مورد بررسی قرار گیرد که آیا برای تمامی مکلّفین و عموم مردم حرجی است و یا آن که برای بعضی اشخاص، یا در بعضی زمان‌ها و حالات حرجی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حکمی برای تمامی مکلّفین حرجی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روزه، معلوم می‌گردد که مصلحت انجام آن فعل در نزد شارع مقدّس از اهمّیت خاصی برخوردار بوده و مصالح دنیایی و منافع آخرتی بسیاری بر آن مترتّب است؛ در نتیجه، لاحرج نمی‌تواند این حکم را بردارد و از تحت قاعده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حرجی بودن حکم فقط برای برخی اشخاص و یا در برخی زمان‌ها و حالت‌ها باشد، در این صورت قاعده لاحرج، آن حکم حرجی را برمی‌دارد؛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بر پوست جبیره گذاشته شده و مسح بر پوست امکان ندارد، در اینجا ادلّه نفی حرج می‌گوید مسح بر پوست واجب نیست و مسح بر جبیره کفایت می‌کند</w:t>
      </w:r>
      <w:r>
        <w:rPr>
          <w:rFonts w:eastAsia="IRNazanin" w:cs="IRNazanin"/>
          <w:color w:val="111111"/>
          <w:sz w:val="28"/>
          <w:szCs w:val="28"/>
          <w:rtl w:val="true"/>
          <w:lang w:bidi="fa-IR"/>
        </w:rPr>
        <w:t>.</w:t>
      </w:r>
      <w:r>
        <w:rPr>
          <w:rStyle w:val="FootnoteAnchor"/>
          <w:rtl w:val="true"/>
        </w:rPr>
        <w:footnoteReference w:id="194"/>
      </w:r>
      <w:bookmarkStart w:id="236" w:name="pg844_8190"/>
    </w:p>
    <w:p>
      <w:pPr>
        <w:pStyle w:val="Heading5"/>
        <w:numPr>
          <w:ilvl w:val="4"/>
          <w:numId w:val="1"/>
        </w:numPr>
        <w:rPr/>
      </w:pPr>
      <w:bookmarkStart w:id="237" w:name="__RefHeading___Toc6877396_211673320"/>
      <w:bookmarkStart w:id="238" w:name="_Toc91"/>
      <w:bookmarkEnd w:id="236"/>
      <w:bookmarkEnd w:id="237"/>
      <w:r>
        <w:rPr>
          <w:rtl w:val="true"/>
        </w:rPr>
        <w:t>اشکالات پاسخ محقّق بجنوردی رحمه الله</w:t>
      </w:r>
      <w:bookmarkEnd w:id="238"/>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قاعده لاحرج از باب امتنان بوده و هدف شارع از نفی حکم حرجی امتنان بر مردم است، لکن امتنان نمی‌تواند در ملاک احکام دخالتی داشته باشد؛ چه آن که در باب ملاک احکام که مسأله حسن و قبح مطرح است، اگر فعلی ملاک لزومی داشته باشد، بر شارع مقدّس لازم است که آن را جعل کند و اگر فعلی دارای چنین ملاکی نباشد، شارع نمی‌تواند نسبت به آن الزامی برای مردم داشته باشد؛ و چنان که در مباحث پیشین نیز یادآور شدیم، مسأله ضرر و نفی آن از دائره ملاکات احکام خارج است؛ زیرا، ممکن است فعلی به حسب ظاهر ضرری باشد، امّا به واسطه ملاکی که در آن جود دارد، لازم الاستیفاء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سخن مرحوم بجنوردی این است که برای لزوم تکلیف، امتنان کفایت نمی‌کند و فقط اصل مشروعیت عمل حرجی به وسیله امتنان ثابت می‌شود؛ امّا این‌که انجام فعل لازم است، احتیاج به دلیلی دیگری غیر از امتنان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بیان و پاسخ مرحوم محقّق بجنوردی تمام نبوده و قابل قبول نمی‌باشد</w:t>
      </w:r>
      <w:r>
        <w:rPr>
          <w:rFonts w:eastAsia="IRNazanin" w:cs="IRNazanin"/>
          <w:color w:val="111111"/>
          <w:sz w:val="28"/>
          <w:szCs w:val="28"/>
          <w:rtl w:val="true"/>
          <w:lang w:bidi="fa-IR"/>
        </w:rPr>
        <w:t>.</w:t>
      </w:r>
    </w:p>
    <w:p>
      <w:pPr>
        <w:pStyle w:val="Heading5"/>
        <w:numPr>
          <w:ilvl w:val="4"/>
          <w:numId w:val="1"/>
        </w:numPr>
        <w:rPr/>
      </w:pPr>
      <w:bookmarkStart w:id="239" w:name="__RefHeading___Toc6877398_211673320"/>
      <w:bookmarkStart w:id="240" w:name="_Toc92"/>
      <w:bookmarkEnd w:id="239"/>
      <w:r>
        <w:rPr>
          <w:rtl w:val="true"/>
        </w:rPr>
        <w:t>نظر و پاسخ برگزیده</w:t>
      </w:r>
      <w:bookmarkEnd w:id="2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از میان هفت پاسخ ذکر شده، بهترین و دقیق‌ترین جواب، پاسخ مرحوم 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با این تقریر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تکلیف یعرض علیه عنوان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ذات تکالیف، مقداری حرج و سختی وجود دارد و قاعده لاحرج این مقدار را برنمی‌دارد؛ از سوی دیگر، سختی موجود در هر تکلیفی متناسب با همان خواهد بود و بر این اساس، مقداری سختی که در جهاد وجود دارد با مقدار مشقّتی که در روزه است،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لاحرج، حرج اضافه‌ای که بر تکالیف عارض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حرج متعارف موجود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در شرائطی جهاد، حجّ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حرجی شوند، تکلیف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همان‌طور که لاحرج بر ادلّه وجوب نماز و حجّ مقدّم است، باید دید نسبت لاحرج با دلیل وجوب جهاد چیست؟ اگر در موردی جهاد حرجی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سختی که در ذاتش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جهاد لازم است که ده هزار کیلومتر راه طی شود تا به منطقه مورد نظر رسید، در این مورد، قاعده لاحرج این مقدار حرج را نفی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قاعده 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تکالیف حرجی که در ذات آنها این مقدار حرج وجود دارد، تخصیص نخورده است؛ و اگر امتنانی بودنش را نیز بپذیریم، منافاتی با تکالیف موجود نخواهد داشت؛ و امتنانی بودن قاعده در جای خود باقی است</w:t>
      </w:r>
      <w:r>
        <w:rPr>
          <w:rFonts w:eastAsia="IRNazanin" w:cs="IRNazanin"/>
          <w:color w:val="111111"/>
          <w:sz w:val="28"/>
          <w:szCs w:val="28"/>
          <w:rtl w:val="true"/>
          <w:lang w:bidi="fa-IR"/>
        </w:rPr>
        <w:t>.</w:t>
      </w:r>
      <w:bookmarkStart w:id="241" w:name="pg844_8194"/>
    </w:p>
    <w:p>
      <w:pPr>
        <w:pStyle w:val="Heading3"/>
        <w:numPr>
          <w:ilvl w:val="2"/>
          <w:numId w:val="1"/>
        </w:numPr>
        <w:rPr/>
      </w:pPr>
      <w:bookmarkStart w:id="242" w:name="__RefHeading___Toc6877400_211673320"/>
      <w:bookmarkStart w:id="243" w:name="_Toc93"/>
      <w:bookmarkEnd w:id="241"/>
      <w:bookmarkEnd w:id="242"/>
      <w:r>
        <w:rPr>
          <w:rtl w:val="true"/>
        </w:rPr>
        <w:t>تنبیه دوّم</w:t>
      </w:r>
      <w:r>
        <w:rPr>
          <w:rtl w:val="true"/>
        </w:rPr>
        <w:t xml:space="preserve">: </w:t>
      </w:r>
      <w:r>
        <w:rPr>
          <w:rtl w:val="true"/>
        </w:rPr>
        <w:t>مقصود از حرج، شخصی است یا نوعی ؟</w:t>
      </w:r>
      <w:bookmarkEnd w:id="243"/>
    </w:p>
    <w:p>
      <w:pPr>
        <w:pStyle w:val="Heading4"/>
        <w:numPr>
          <w:ilvl w:val="3"/>
          <w:numId w:val="1"/>
        </w:numPr>
        <w:rPr/>
      </w:pPr>
      <w:bookmarkStart w:id="244" w:name="__RefHeading___Toc6877402_211673320"/>
      <w:bookmarkStart w:id="245" w:name="_Toc94"/>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تنبیه دوّم</w:t>
      </w:r>
    </w:p>
    <w:p>
      <w:pPr>
        <w:pStyle w:val="BookText"/>
        <w:rPr/>
      </w:pPr>
      <w:r>
        <w:rPr>
          <w:rFonts w:ascii="IRNazanin" w:hAnsi="IRNazanin" w:eastAsia="IRNazanin"/>
          <w:color w:val="111111"/>
          <w:sz w:val="28"/>
          <w:sz w:val="28"/>
          <w:szCs w:val="28"/>
          <w:rtl w:val="true"/>
          <w:lang w:bidi="fa-IR"/>
        </w:rPr>
        <w:t>مقصود از حرج، شخصی است یا نوعی؟</w:t>
      </w:r>
    </w:p>
    <w:p>
      <w:pPr>
        <w:pStyle w:val="BookText"/>
        <w:rPr/>
      </w:pPr>
      <w:r>
        <w:rPr>
          <w:rFonts w:ascii="IRNazanin" w:hAnsi="IRNazanin" w:eastAsia="IRNazanin"/>
          <w:color w:val="111111"/>
          <w:sz w:val="28"/>
          <w:sz w:val="28"/>
          <w:szCs w:val="28"/>
          <w:rtl w:val="true"/>
          <w:lang w:bidi="fa-IR"/>
        </w:rPr>
        <w:t xml:space="preserve">نکته دیگری که درمورد قاعده لاحرج باید مورد توجّه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بحث‌های گذشته نیز بدان اشاره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منظور از حرجی که به موجب ادله قاعده لاحرج نفی شده، حرج شخصی است یا نوعی؟</w:t>
      </w:r>
    </w:p>
    <w:p>
      <w:pPr>
        <w:pStyle w:val="BookText"/>
        <w:rPr/>
      </w:pPr>
      <w:r>
        <w:rPr>
          <w:rFonts w:ascii="IRNazanin" w:hAnsi="IRNazanin" w:eastAsia="IRNazanin"/>
          <w:color w:val="111111"/>
          <w:sz w:val="28"/>
          <w:sz w:val="28"/>
          <w:szCs w:val="28"/>
          <w:rtl w:val="true"/>
          <w:lang w:bidi="fa-IR"/>
        </w:rPr>
        <w:t>در حرج شخصی، لازم است تکلیف موجود نسبت به هر شخصی و با قطع نظر از دیگر افراد، حرجی باشد؛ در این نوع از حرج، ممکن است تکلیفی برای فردی و در شرایطی حرجی باشد، امّا برای شخصی دیگر در همان شرائط حرجی نباشد؛ و یا امکان دارد تکلیفی در زمانی خاصّ برای فردی حرجی باشد، اما برای او در زمان دیگری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حرج شخصی، لازم است که برای تحقّق حرج، خصوصیّات زمانی، مکانی و دیگر شرایط ممکن را برای شخص معیّن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حرج نوعی، ملاک این است که تکلیف موجود برای غالب و نوع مکلّفین حرجی باشد؛ هرچند که برای فرد معیّنی آن تکلیف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پس از اتمام بحث از آیات و روایات بیان نمودیم که برخی آیات ظهور در حرج شخصی و برخی دیگر در حرج نوعی ظهور دارد؛ در مورد روایات نیز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هر یک از اینها می‌تواند موضوع باشد و فرقی بین این دو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مشهور فقها نسبت داده شده که مقصود فقط حرج نوعی است و عدّه‌ای از</w:t>
      </w:r>
      <w:bookmarkStart w:id="246" w:name="pg844_8196"/>
    </w:p>
    <w:p>
      <w:pPr>
        <w:pStyle w:val="BookText"/>
        <w:rPr/>
      </w:pPr>
      <w:bookmarkEnd w:id="246"/>
      <w:r>
        <w:rPr>
          <w:rFonts w:ascii="IRNazanin" w:hAnsi="IRNazanin" w:eastAsia="IRNazanin"/>
          <w:color w:val="111111"/>
          <w:sz w:val="28"/>
          <w:sz w:val="28"/>
          <w:szCs w:val="28"/>
          <w:rtl w:val="true"/>
          <w:lang w:bidi="fa-IR"/>
        </w:rPr>
        <w:t>بزرگان</w:t>
      </w:r>
      <w:r>
        <w:rPr>
          <w:rStyle w:val="FootnoteAnchor"/>
          <w:rtl w:val="true"/>
        </w:rPr>
        <w:footnoteReference w:id="195"/>
      </w:r>
      <w:r>
        <w:rPr>
          <w:rFonts w:ascii="IRNazanin" w:hAnsi="IRNazanin" w:eastAsia="IRNazanin"/>
          <w:color w:val="111111"/>
          <w:sz w:val="28"/>
          <w:sz w:val="28"/>
          <w:szCs w:val="28"/>
          <w:rtl w:val="true"/>
          <w:lang w:bidi="fa-IR"/>
        </w:rPr>
        <w:t>فرموده‌اند که منظور فقط حرج شخصی است و استدلال نموده‌اند که از ظاهر آیات و روایات باب استفاده می‌شود که حرج نفی شده، حرج شخصی است و نه حرج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خطابی که در آن وجود دارد، بر حرج شخصی دلالت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نیز در پاسخ به استدلال فوق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خطاب در آیۀ شریفه چنین ظهوری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می‌رسد،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موجود در آیۀ شریفه را همان‌طور که با حرج شخصی می‌توان تفسیر کرد، یعنی مقصود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المکلّف إذا کان علیک حرج فما جعل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با حرج نوعی نیز می‌توان آن را تفسیر نمود؛ بدین صورت که آیۀ شریفه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 إذا کان العمل حرجیاً لنوع المکلّفین فما جعل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نکته نیز آن است که فقها از آیه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مَرِیضًا أَوْ عَلَی سَفَرٍ فَعِدَّةٌ مِّنْ أَیَّامٍ أُخَرَ یُرِیدُ اللَّهُ بِکُمُ الْیُسْرَ وَلَا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مسأله سفر، حرج نوعی را استفاده کرده‌اند؛ در حالی که ممکن است گرفتن روزه در سفر برای اشخاصی به هیچ عنوان حرجی نباشد؛ بنابراین، نمی‌توان گفت که مقصود از حرج،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حرج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که مولا در مقام جعل قاعده و قانون، هیچ‌گاه تک تک افراد را در نظر نمی‌گیرد، بلکه همیشه نوع مکلّفین را منظور نظر قرار می‌دهد؛ بنابراین، قاعده لاحرج به طور قطع موارد حرج شخصی را در برمی‌گیرد و برای حرج نوعی که احتیاج به دلیل و قرینه است، آیات و روایات وارد در بحث لاحرج، دلالت می‌کنند که حرج نوعی نیز به وسیله لاحرج برداشته شده است</w:t>
      </w:r>
      <w:r>
        <w:rPr>
          <w:rFonts w:eastAsia="IRNazanin" w:cs="IRNazanin"/>
          <w:color w:val="111111"/>
          <w:sz w:val="28"/>
          <w:szCs w:val="28"/>
          <w:rtl w:val="true"/>
          <w:lang w:bidi="fa-IR"/>
        </w:rPr>
        <w:t>.</w:t>
      </w:r>
    </w:p>
    <w:p>
      <w:pPr>
        <w:pStyle w:val="Heading4"/>
        <w:numPr>
          <w:ilvl w:val="3"/>
          <w:numId w:val="1"/>
        </w:numPr>
        <w:rPr/>
      </w:pPr>
      <w:bookmarkStart w:id="247" w:name="__RefHeading___Toc6877404_211673320"/>
      <w:bookmarkStart w:id="248" w:name="_Toc95"/>
      <w:bookmarkEnd w:id="247"/>
      <w:r>
        <w:rPr>
          <w:rtl w:val="true"/>
        </w:rPr>
        <w:t>اشکال اوّل</w:t>
      </w:r>
      <w:r>
        <w:rPr>
          <w:rtl w:val="true"/>
        </w:rPr>
        <w:t xml:space="preserve">: </w:t>
      </w:r>
      <w:r>
        <w:rPr>
          <w:rtl w:val="true"/>
        </w:rPr>
        <w:t>امتنانی بودن لاحرج مستلزم حرج شخصی است</w:t>
      </w:r>
      <w:bookmarkEnd w:id="2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مقام استدلال به حرج شخصی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قاعده لاحرج</w:t>
      </w:r>
      <w:bookmarkStart w:id="249" w:name="pg844_8199"/>
    </w:p>
    <w:p>
      <w:pPr>
        <w:pStyle w:val="BookText"/>
        <w:rPr/>
      </w:pPr>
      <w:bookmarkEnd w:id="249"/>
      <w:r>
        <w:rPr>
          <w:rFonts w:ascii="IRNazanin" w:hAnsi="IRNazanin" w:eastAsia="IRNazanin"/>
          <w:color w:val="111111"/>
          <w:sz w:val="28"/>
          <w:sz w:val="28"/>
          <w:szCs w:val="28"/>
          <w:rtl w:val="true"/>
          <w:lang w:bidi="fa-IR"/>
        </w:rPr>
        <w:t>جنبه امتنانی دارد، امتنان اقتضا می‌کند که اگر در خصوص مکلّفی تکلیف حرجی باشد، شارع مقدّس آن را از عهده مکلّف بردارد؛ اما اگر در موردی تکلیف برای نوع مردم حرجی باشد، برداشتن تکلیف از شخصی که برای خصوص او حرجی نمی‌باشد، تناسبی با امتنان ندارد و بلکه بر خلاف آن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حرج در قاعده حرج شخصی است و نه نوعی</w:t>
      </w:r>
      <w:r>
        <w:rPr>
          <w:rFonts w:eastAsia="IRNazanin" w:cs="IRNazanin"/>
          <w:color w:val="111111"/>
          <w:sz w:val="28"/>
          <w:szCs w:val="28"/>
          <w:rtl w:val="true"/>
          <w:lang w:bidi="fa-IR"/>
        </w:rPr>
        <w:t>.</w:t>
      </w:r>
    </w:p>
    <w:p>
      <w:pPr>
        <w:pStyle w:val="Heading4"/>
        <w:numPr>
          <w:ilvl w:val="3"/>
          <w:numId w:val="1"/>
        </w:numPr>
        <w:rPr/>
      </w:pPr>
      <w:bookmarkStart w:id="250" w:name="__RefHeading___Toc6877406_211673320"/>
      <w:bookmarkStart w:id="251" w:name="_Toc96"/>
      <w:bookmarkEnd w:id="250"/>
      <w:r>
        <w:rPr>
          <w:rtl w:val="true"/>
        </w:rPr>
        <w:t>پاسخ اشکال اوّل</w:t>
      </w:r>
      <w:bookmarkEnd w:id="251"/>
    </w:p>
    <w:p>
      <w:pPr>
        <w:pStyle w:val="BookText"/>
        <w:rPr/>
      </w:pPr>
      <w:r>
        <w:rPr>
          <w:rFonts w:ascii="IRNazanin" w:hAnsi="IRNazanin" w:eastAsia="IRNazanin"/>
          <w:color w:val="111111"/>
          <w:sz w:val="28"/>
          <w:sz w:val="28"/>
          <w:szCs w:val="28"/>
          <w:rtl w:val="true"/>
          <w:lang w:bidi="fa-IR"/>
        </w:rPr>
        <w:t>این بیان قابل مناقشه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شد، اگر امتنان به عنوان غایت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رفع چنین نکته‌ای را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ملاک احکام نمی‌تواند دخالتی داشته باشد؛ از این رو، نمی‌توان حکم نفی الحرج را دائر مدار وجود و عدم امتنان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امتنان می‌تواند به عنوان ملاک قاعده قرار گیرد، اشکال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تکلیف برای نوع مردم حرجی است، شارع آن را برمی‌دارد، چیست؟ بلکه بر عکس، اگر در این موارد شارع بخواهد تکلیف را برای برخی افراد قرار دهد، خلاف امتنان است و از نظر عقلایی نیز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امتنان، هم با حرج شخصی سازگاری دارد و هم با حرج نوعی</w:t>
      </w:r>
      <w:r>
        <w:rPr>
          <w:rFonts w:eastAsia="IRNazanin" w:cs="IRNazanin"/>
          <w:color w:val="111111"/>
          <w:sz w:val="28"/>
          <w:szCs w:val="28"/>
          <w:rtl w:val="true"/>
          <w:lang w:bidi="fa-IR"/>
        </w:rPr>
        <w:t>.</w:t>
      </w:r>
    </w:p>
    <w:p>
      <w:pPr>
        <w:pStyle w:val="Heading4"/>
        <w:numPr>
          <w:ilvl w:val="3"/>
          <w:numId w:val="1"/>
        </w:numPr>
        <w:rPr/>
      </w:pPr>
      <w:bookmarkStart w:id="252" w:name="__RefHeading___Toc6877408_211673320"/>
      <w:bookmarkStart w:id="253" w:name="_Toc97"/>
      <w:bookmarkEnd w:id="252"/>
      <w:r>
        <w:rPr>
          <w:rtl w:val="true"/>
        </w:rPr>
        <w:t>اشکال دوّم</w:t>
      </w:r>
      <w:r>
        <w:rPr>
          <w:rtl w:val="true"/>
        </w:rPr>
        <w:t xml:space="preserve">: </w:t>
      </w:r>
      <w:r>
        <w:rPr>
          <w:rtl w:val="true"/>
        </w:rPr>
        <w:t>حرج علّت نفی حکم است و با حرج شخصی سازگاری دارد</w:t>
      </w:r>
      <w:bookmarkEnd w:id="25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کلمات فقها استفاده می‌شود که حرج علّت تامّه برای رفع حکم است و در نتیجه، باید به حرج شخصی منتهی شد؛ چه آن که حکم از نظر وجود و عدم، دائر مدار علّت است؛ در هر موردی که حرج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معلول آن که نفی حکم است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حرج را از مقوله حکمت حکم قرار دهیم، امکان دارد که در مورد شخصی حرج نباشد، لکن معلول که رفع حکم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از حرج، حرج نوعی می‌شود؛ و مواردی هم‌چون آیه صوم از این قبیل است که حرج در</w:t>
      </w:r>
      <w:bookmarkStart w:id="254" w:name="pg844_8201"/>
    </w:p>
    <w:p>
      <w:pPr>
        <w:pStyle w:val="BookText"/>
        <w:rPr/>
      </w:pPr>
      <w:bookmarkEnd w:id="254"/>
      <w:r>
        <w:rPr>
          <w:rFonts w:ascii="IRNazanin" w:hAnsi="IRNazanin" w:eastAsia="IRNazanin"/>
          <w:color w:val="111111"/>
          <w:sz w:val="28"/>
          <w:sz w:val="28"/>
          <w:szCs w:val="28"/>
          <w:rtl w:val="true"/>
          <w:lang w:bidi="fa-IR"/>
        </w:rPr>
        <w:t>آن، از مقوله حکمت حکم به حساب می‌آید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55" w:name="__RefHeading___Toc6877410_211673320"/>
      <w:bookmarkStart w:id="256" w:name="_Toc98"/>
      <w:bookmarkEnd w:id="255"/>
      <w:r>
        <w:rPr>
          <w:rtl w:val="true"/>
        </w:rPr>
        <w:t>پاسخ اشکال دوّم</w:t>
      </w:r>
      <w:bookmarkEnd w:id="256"/>
    </w:p>
    <w:p>
      <w:pPr>
        <w:pStyle w:val="BookText"/>
        <w:rPr/>
      </w:pPr>
      <w:r>
        <w:rPr>
          <w:rFonts w:ascii="IRNazanin" w:hAnsi="IRNazanin" w:eastAsia="IRNazanin"/>
          <w:color w:val="111111"/>
          <w:sz w:val="28"/>
          <w:sz w:val="28"/>
          <w:szCs w:val="28"/>
          <w:rtl w:val="true"/>
          <w:lang w:bidi="fa-IR"/>
        </w:rPr>
        <w:t>به نظر می‌رسد این بیان صحیح نیست؛ زیرا، فرقی ندارد که حرج را علّت قرار دهیم یا حکمت؛ اعمّ است و هم با حرج شخصی سازگار است و هم با حرج نوعی سازگاری دارد؛ و خلطی که در کلمات بزرگان واقع شده این است که از نظر آنان، اگر حرج حکمت حکم باشد، در این صورت، بر شخص اگر حرجی هم نباشد، با این وجود نفی حکم صورت می‌گیرد، هرچند حرجی نیز وجود ندارد؛ و از اینجا نتیجه گرفته‌اند که منظور از حرج، حرجی نوعی است؛ در حالی که بین حکمت واقع شدن حرج و حرج نوعی هیچ ملازمه‌ای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حکمت آن است که دخیل در حکم است امّا دخالت تامّ ندارد؛ بنابراین، ممکن است که حرج، حرج شخصی باشد، اما حکمت باشد و نه علّت؛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اسکار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اسکار شخصی است، لکن علّت تامه برای حکم نبوده و بلکه به عنوان حکمت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بحث ما که گفته می‌شود حرج از مقوله حکمت حکم می‌باشد، منظور این است که دخالت تامه در نفی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این، هم با حرج شخصی سازگاری دارد و هم با حرج نوعی</w:t>
      </w:r>
      <w:r>
        <w:rPr>
          <w:rFonts w:eastAsia="IRNazanin" w:cs="IRNazanin"/>
          <w:color w:val="111111"/>
          <w:sz w:val="28"/>
          <w:szCs w:val="28"/>
          <w:rtl w:val="true"/>
          <w:lang w:bidi="fa-IR"/>
        </w:rPr>
        <w:t>.</w:t>
      </w:r>
    </w:p>
    <w:p>
      <w:pPr>
        <w:pStyle w:val="Heading4"/>
        <w:numPr>
          <w:ilvl w:val="3"/>
          <w:numId w:val="1"/>
        </w:numPr>
        <w:rPr/>
      </w:pPr>
      <w:bookmarkStart w:id="257" w:name="__RefHeading___Toc6877412_211673320"/>
      <w:bookmarkStart w:id="258" w:name="_Toc99"/>
      <w:bookmarkEnd w:id="257"/>
      <w:r>
        <w:rPr>
          <w:rtl w:val="true"/>
        </w:rPr>
        <w:t>اشکال سوم و پاسخ آن</w:t>
      </w:r>
      <w:bookmarkEnd w:id="2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ممکن است برای اثبات شخصی بودن حرج بیان شود، این است که عناوین وارده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ضرر، استطاعت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در عنوان‌های 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ذیل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w:t>
      </w:r>
    </w:p>
    <w:p>
      <w:pPr>
        <w:pStyle w:val="BookText"/>
        <w:rPr/>
      </w:pPr>
      <w:r>
        <w:rPr>
          <w:rFonts w:ascii="Amiri" w:hAnsi="Amiri" w:eastAsia="Amiri" w:cs="Amiri"/>
          <w:color w:val="111111"/>
          <w:sz w:val="28"/>
          <w:sz w:val="28"/>
          <w:szCs w:val="28"/>
          <w:rtl w:val="true"/>
          <w:lang w:bidi="ar-SA"/>
        </w:rPr>
        <w:t>إِلَیْهِ سَبِیلاً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استطاعت، استطاعت شخصی است، در مورد قاعده لاحرج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مراد از حرج، حرجی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استدلال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قضیه که هر عنوانی از عناوین شریعت در مصداق شخصی ظهور دارد، مورد قبول نمی‌باشد؛ و کبرای تامّی نیست؛ چرا که با مراجعه به عناوین ادلّه، خلاف این مطلب بدست می‌آید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اشکال را به همراه پاسخ آنها به عنوان مطلب جانبی یادآور شدیم، و گرنه از آیات و روایات، هم حرج شخصی و هم حرج نوعی را استفاده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تکلیفی همانند جهاد برای نوع مردم حرجی شد، شارع متعال آن را بر می‌دارد</w:t>
      </w:r>
      <w:r>
        <w:rPr>
          <w:rFonts w:eastAsia="IRNazanin" w:cs="IRNazanin"/>
          <w:color w:val="111111"/>
          <w:sz w:val="28"/>
          <w:szCs w:val="28"/>
          <w:rtl w:val="true"/>
          <w:lang w:bidi="fa-IR"/>
        </w:rPr>
        <w:t>.</w:t>
      </w:r>
      <w:bookmarkStart w:id="259" w:name="pg844_8210"/>
    </w:p>
    <w:p>
      <w:pPr>
        <w:pStyle w:val="Heading3"/>
        <w:numPr>
          <w:ilvl w:val="2"/>
          <w:numId w:val="1"/>
        </w:numPr>
        <w:rPr/>
      </w:pPr>
      <w:bookmarkStart w:id="260" w:name="__RefHeading___Toc6877414_211673320"/>
      <w:bookmarkStart w:id="261" w:name="_Toc100"/>
      <w:bookmarkEnd w:id="259"/>
      <w:bookmarkEnd w:id="260"/>
      <w:r>
        <w:rPr>
          <w:rtl w:val="true"/>
        </w:rPr>
        <w:t>تنبیه سوّم</w:t>
      </w:r>
      <w:r>
        <w:rPr>
          <w:rtl w:val="true"/>
        </w:rPr>
        <w:t xml:space="preserve">: </w:t>
      </w:r>
      <w:r>
        <w:rPr>
          <w:rtl w:val="true"/>
        </w:rPr>
        <w:t>مفاد قاعده لاحرج، رخصت است یا عزیمت ؟</w:t>
      </w:r>
      <w:bookmarkEnd w:id="261"/>
    </w:p>
    <w:p>
      <w:pPr>
        <w:pStyle w:val="Heading4"/>
        <w:numPr>
          <w:ilvl w:val="3"/>
          <w:numId w:val="1"/>
        </w:numPr>
        <w:rPr/>
      </w:pPr>
      <w:bookmarkStart w:id="262" w:name="__RefHeading___Toc6877416_211673320"/>
      <w:bookmarkStart w:id="263" w:name="_Toc101"/>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تنبیه سوّم‌مفاد قاعده لاحرج، رخصت است یا عزیمت؟</w:t>
      </w:r>
    </w:p>
    <w:p>
      <w:pPr>
        <w:pStyle w:val="BookText"/>
        <w:rPr/>
      </w:pPr>
      <w:r>
        <w:rPr>
          <w:rFonts w:ascii="IRNazanin" w:hAnsi="IRNazanin" w:eastAsia="IRNazanin"/>
          <w:color w:val="111111"/>
          <w:sz w:val="28"/>
          <w:sz w:val="28"/>
          <w:szCs w:val="28"/>
          <w:rtl w:val="true"/>
          <w:lang w:bidi="fa-IR"/>
        </w:rPr>
        <w:t>پیش از بیان پاسخ پرسش فوق، لازم است گفته شود احکام و قوانین شریعت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قوانینی است که در قلمرو اختیار انسان قرار دارد و انسان اختیار دارد از حقوقی که این قوانین برای او ایجاد می‌کند، بهره‌مند شود و یا به اختیار از آن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شارع مقدّس در این امور الزام نمی‌باشد که مکلّف در همه حال ملزم به رعایت آن باشد؛ با این وجود، اصل مشروعیّت و مطلوبیّت عمل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گروه از احکام و قوانین، در اصطلاح احکام ترخیصی و 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احکام و تکالیفی هستند که اراده خداوند با توجّه به مصالحی، به آنها تعلّق گرفته است و جنبه الزامی دارند که حریم آنها باید در همه حال رعایت شود و تحت هیچ شرایطی و به هیچ دلیلی نمی‌توان از زیر بار آن تکلیف شانه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تکالیف، قوانین الزامی نام دارند که در اصطلاح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که این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رخصت و یا عزیمت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در باب عبادات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این قاعده از باب رخصت است، در این صورت، عبادت حرجی چنان‌چه انجام شود، صحیح خواهد بود؛ امّا اگر گفته شود قاعده لاحرج از مقوله عزیمت است، حرج مانعیّت دارد و عبادات حرجی و ضرری در صورت انجام گرفتن، باطل خواهند بود</w:t>
      </w:r>
      <w:r>
        <w:rPr>
          <w:rFonts w:eastAsia="IRNazanin" w:cs="IRNazanin"/>
          <w:color w:val="111111"/>
          <w:sz w:val="28"/>
          <w:szCs w:val="28"/>
          <w:rtl w:val="true"/>
          <w:lang w:bidi="fa-IR"/>
        </w:rPr>
        <w:t>.</w:t>
      </w:r>
      <w:bookmarkStart w:id="264" w:name="pg844_8212"/>
    </w:p>
    <w:p>
      <w:pPr>
        <w:pStyle w:val="BookText"/>
        <w:rPr/>
      </w:pPr>
      <w:bookmarkEnd w:id="264"/>
      <w:r>
        <w:rPr>
          <w:rFonts w:ascii="IRNazanin" w:hAnsi="IRNazanin" w:eastAsia="IRNazanin"/>
          <w:color w:val="111111"/>
          <w:sz w:val="28"/>
          <w:sz w:val="28"/>
          <w:szCs w:val="28"/>
          <w:rtl w:val="true"/>
          <w:lang w:bidi="fa-IR"/>
        </w:rPr>
        <w:t>این بحث به طور عمده از زمان مرحوم کاشف الغطاء مطرح شده است؛ ایشان در موارد گوناگونی به این مطلب می‌پردازند و قائل به عزیمت هستند؛ از جمله آن موارد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وضوی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استعمال آب برای انسان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وضوی حرجی نیز باطل می‌باشد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مرحوم صاحب جواهر رحمه الله نیز در بحث صوم بیان می‌کند که وجوب روزه از پیرمرد و پیرزن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 و اگر روزه بگیرند، روزه آنان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تصریح می‌کند که این حکم از باب عزیمت است و نه رخصت؛ و این مطلب را به همه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مرحوم محدّث 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مرحوم نائینی رحمه الله نیز قائل به عزیمت بوده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حرجی، غسل حرجی و روزه حرجی، همه باطل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مقابل، بزرگانی چون مرحوم محقّق همدانی، سیّد طباطبایی و محقّق بجنوردی رحمهم الله قائل‌اند که مفاد قاعده لاحرج رخصت است و نه عزیمت</w:t>
      </w:r>
      <w:r>
        <w:rPr>
          <w:rFonts w:eastAsia="IRNazanin" w:cs="IRNazanin"/>
          <w:color w:val="111111"/>
          <w:sz w:val="28"/>
          <w:szCs w:val="28"/>
          <w:rtl w:val="true"/>
          <w:lang w:bidi="fa-IR"/>
        </w:rPr>
        <w:t>.</w:t>
      </w:r>
    </w:p>
    <w:p>
      <w:pPr>
        <w:pStyle w:val="Heading4"/>
        <w:numPr>
          <w:ilvl w:val="3"/>
          <w:numId w:val="1"/>
        </w:numPr>
        <w:rPr/>
      </w:pPr>
      <w:bookmarkStart w:id="265" w:name="__RefHeading___Toc6877418_211673320"/>
      <w:bookmarkStart w:id="266" w:name="_Toc102"/>
      <w:bookmarkEnd w:id="265"/>
      <w:r>
        <w:rPr>
          <w:rtl w:val="true"/>
        </w:rPr>
        <w:t>مرحوم محقّق همدانی رحمه الله بیان می کند</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التیمّم فی الموارد الّتی ثبت جوازه بدلیل نفی الحرج رخصة لا عزیمة، فلو تحمّل المکلّف المشقّة الشدیدة الرافعة للتکلیف وأتی بالطهارة المائیة، صحّت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أدلّة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ورودها فی مقام الإمتنان وبیان توسعة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لاتصلح دلیلاً إلّالنفی الوجوب لا لرفع الجواز</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تیمّم در مواردی که به سبب قاعده لاحرج ثابت می‌شود، از باب رخصت است و نه عزیمت؛ بنابراین، اگر مکلّف سختی و مشقّتی راکه سبب</w:t>
      </w:r>
    </w:p>
    <w:p>
      <w:pPr>
        <w:pStyle w:val="BookText"/>
        <w:rPr/>
      </w:pPr>
      <w:r>
        <w:rPr>
          <w:rFonts w:ascii="IRNazanin" w:hAnsi="IRNazanin" w:eastAsia="IRNazanin"/>
          <w:color w:val="111111"/>
          <w:sz w:val="28"/>
          <w:sz w:val="28"/>
          <w:szCs w:val="28"/>
          <w:rtl w:val="true"/>
          <w:lang w:bidi="fa-IR"/>
        </w:rPr>
        <w:t>رفع تکلیف می‌شود، تحمّل نماید و وضو بگیرد و یا غسل کند، عملش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نفی حرج بخاطر آن که در مقام امتنان و توسعۀ دین است، فقط صلاحیت نفی وجوب وضو و یا غسل را دارد و نه رفع جواز آنهارا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یزدی رحمه الله نیز در 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مسوّغات تیمّم به این مطلب پرداخته و نظیر مرحوم همدانی رحمه الله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تحمّل الضرر وتوضّأ أو اغتسل فإن کان الضرر فی المقدّمات من تحصیل الماء ونحوه وجب الوضوء أو الغسل وصحّ، وإن کان فی استعمال الماء فی أحدهما بطل؛ وأمّا إذا لم یکن إستعمال الماء مضرّاً بل کان موجباً للحرج والمشقّة کتحمّل ألم البرد أو الشین مثلاً، فلایبعد الصّحة وإن کان یجوز معه التیمّم؛ لأنّ نفی الحرج من باب الرخصة لا العزیمة ولکنّ الأحوط ترک الإستعمال وعدم الإکتفاء به علی فرضه، فیتیمّم أیضاً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به جهت مقدّمات وضو و یا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ضرر شود و با این حال، وضو بگیرد و یا غسل کند، عملش صحیح خواهد بود؛ امّا اگر خود استعمال آب در وضو یا غسل برای او ضرر داشته باشد، وضو و غسلش باطل خواهد بود؛ لکن اگر استعمال آب برای او ضرری نداشته باشد ولی حرجی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باید سختی و درد سرما را متحمّل شود و یا آن که برای او عیبی را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بعید نیست که وضو یا غسل او صحیح باشد؛ هرچند که تیمّم نیز در این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نفی حرج از باب رخصت است و نه عزیمت؛ امّا احتیاط در مسأله آن است که اوّلاً، استعمال آب را در فرض حرجی بودن ترک 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استعمال، عمل تیمّم را نیز بجا آورد</w:t>
      </w:r>
      <w:r>
        <w:rPr>
          <w:rFonts w:eastAsia="IRNazanin" w:cs="IRNazanin"/>
          <w:color w:val="111111"/>
          <w:sz w:val="28"/>
          <w:szCs w:val="28"/>
          <w:rtl w:val="true"/>
          <w:lang w:bidi="fa-IR"/>
        </w:rPr>
        <w:t>.</w:t>
      </w:r>
      <w:bookmarkStart w:id="267" w:name="pg844_8218"/>
    </w:p>
    <w:p>
      <w:pPr>
        <w:pStyle w:val="BookText"/>
        <w:rPr/>
      </w:pPr>
      <w:bookmarkEnd w:id="267"/>
      <w:r>
        <w:rPr>
          <w:rFonts w:ascii="IRNazanin" w:hAnsi="IRNazanin" w:eastAsia="IRNazanin"/>
          <w:color w:val="111111"/>
          <w:sz w:val="28"/>
          <w:sz w:val="28"/>
          <w:szCs w:val="28"/>
          <w:rtl w:val="true"/>
          <w:lang w:bidi="fa-IR"/>
        </w:rPr>
        <w:t xml:space="preserve">مرحوم امام خمینی قدس سره در حاشیه عروه، به مطلب مرحوم سیّد یزدی ایراد می‌کند و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نفی الحرج من باب الرخصة لا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عروه رحمه الله محل اشکال بوده و قول صحیح آن است که لاحرج از باب عزیمت می‌باشد؛ بنابراین، اگر کسی وضو و یا غسل حرجی بگیرد، عمل او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امام خمینی قدس سره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إشکال لا یترک الإحتیاط الآتی، بل کونه عزیمة علی الأقرب والبطلان لا یخلو من وجه قویّ</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 بجنوردی نیز از کسانی است که قائل به رخصت می‌باشد و در استدلال به این مطلب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لاحرج فقط الزام موجود در حکم را برمی‌دارد؛ امّا ملاک حکم در اینجا باقی خواهد بود و امکان رفع ملاک در عالم تشریع وجود ندارد؛ چه آن که ملاک یک امر تکوینی است و فقط به وسیله اسباب و موجبات تکوینیه امکان رفع دارد و نه به وسیله لاحرج و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وضو یا غسل حرجی بگیرد، به واسطه ملاکی که دارد، صحیح و مشروع خواهد بود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68" w:name="__RefHeading___Toc6877420_211673320"/>
      <w:bookmarkStart w:id="269" w:name="_Toc103"/>
      <w:bookmarkEnd w:id="268"/>
      <w:r>
        <w:rPr>
          <w:rtl w:val="true"/>
        </w:rPr>
        <w:t>اشکال نظر محقّق بجنوردی رحمه الله</w:t>
      </w:r>
      <w:bookmarkEnd w:id="269"/>
    </w:p>
    <w:p>
      <w:pPr>
        <w:pStyle w:val="BookText"/>
        <w:rPr/>
      </w:pPr>
      <w:r>
        <w:rPr>
          <w:rFonts w:ascii="IRNazanin" w:hAnsi="IRNazanin" w:eastAsia="IRNazanin"/>
          <w:color w:val="111111"/>
          <w:sz w:val="28"/>
          <w:sz w:val="28"/>
          <w:szCs w:val="28"/>
          <w:rtl w:val="true"/>
          <w:lang w:bidi="fa-IR"/>
        </w:rPr>
        <w:t>به نظر می‌رسد، سخن مرحوم بجنوردی رحمه الله مخدوش است؛ زیرا، در باب تکالیف، بر اساس مبنایی که می‌گوید وجوب یک امر بسیط است و بر معنای مرکّب دلالتی ندارد، ادلّه اوّلیه بیشتر از یک چیز را بیان نمی‌کنند و حتّی هنگامی که ادلّه اوّلیه را به عرف ارائه می‌کنیم، درک نمی‌کند که شارع مقدّس دو مطلب را بیان کرده است، بلکه از آنها فقط وجوب را می‌فهمد؛ بنابراین، مدلول مطابقی ادلّه اوّلیه فقط یک چیز است و آن‌هم وجوب و الزام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کسی بگوید ادلّه اوّلیه به دلالت التزامی بر وجود ملاک دلالت</w:t>
      </w:r>
    </w:p>
    <w:p>
      <w:pPr>
        <w:pStyle w:val="BookText"/>
        <w:rPr/>
      </w:pPr>
      <w:r>
        <w:rPr>
          <w:rFonts w:ascii="IRNazanin" w:hAnsi="IRNazanin" w:eastAsia="IRNazanin"/>
          <w:color w:val="111111"/>
          <w:sz w:val="28"/>
          <w:sz w:val="28"/>
          <w:szCs w:val="28"/>
          <w:rtl w:val="true"/>
          <w:lang w:bidi="fa-IR"/>
        </w:rPr>
        <w:t>دارند؛ و بر اساس قانون تفکیک در حجّیت، مانعی ندارد که مدلول مطابقی به وسیله قاعده لاحرج از حجّیت ساقط شود و لکن مدلول التزامی‌اش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احراز می‌گردد مدلول التزامی متقوّم به مدلول مطابقی نیست؟ به عبارت دیگر، اصل تفکیک در حجّیت مورد قبول است و از موارد بسیار روشن آن، این است که دو روایت باهم تعارض داشته باشند؛ در این صورت، در اثر تعارض مدلول مطابقی هر دو روایت از بین می‌رود ولی مدلول التزامی آنها که نفی ثالث است، به قوّت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کاشف مدلول التزامی فقط الزام و تکلیف است، ولی در این بحث، برای این‌که دانسته شود فعلی دارای ملاک است، کاشفی جز الزام وجود ندارد؛ زمانی که وجوب به فعلی تعلّق گیرد، دانسته می‌شود که دارای ملاک است؛ حال، اگر وجوبی نباشد، ملاک فعل از کجا بدست می‌آید؟ بنابراین، اگر وجوب عمل به وسیله قاعده لاحرج از بین رود، راهی برای احراز ملاک وجود ندارد و حداقل گفته می‌شود که وجود ملاک مشکوک است و شکّ در اینجا مطابق با شکّ در صحّت و علم به عدم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مفاد قاعده لاحرج از باب عزیمت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محقّق نائینی رحمه الله</w:t>
      </w:r>
    </w:p>
    <w:p>
      <w:pPr>
        <w:pStyle w:val="BookText"/>
        <w:rPr/>
      </w:pPr>
      <w:r>
        <w:rPr>
          <w:rFonts w:ascii="IRNazanin" w:hAnsi="IRNazanin" w:eastAsia="IRNazanin"/>
          <w:color w:val="111111"/>
          <w:sz w:val="28"/>
          <w:sz w:val="28"/>
          <w:szCs w:val="28"/>
          <w:rtl w:val="true"/>
          <w:lang w:bidi="fa-IR"/>
        </w:rPr>
        <w:t xml:space="preserve">مرحوم محقّق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عزیمت است و بیان می‌دارد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لاحرج تکلیف را از اساس برمی‌دارد و هیچ چیز باقی نمی‌ماند؛ ولی با این حال، بحث لاحرج را به بحث لاضرر قیاس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وضو و غسل ضرری باطل است، وضو و غسل حرجی نیز باطل می‌باشد و فرقی بین این دو نیست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این بیان مرحوم نائینی مورد نقد واقع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نباید بحث حرج و ضرر را با هم مقایسه کرد و قیاس ایشان مع الفارق است؛ چه آن که در باب ضرر، حکم دوّمی نیز داریم که بیان می‌کند ایجاد ضرر بر نفس، جان، مال و آبرو حرام است؛</w:t>
      </w:r>
    </w:p>
    <w:p>
      <w:pPr>
        <w:pStyle w:val="BookText"/>
        <w:rPr/>
      </w:pPr>
      <w:r>
        <w:rPr>
          <w:rFonts w:ascii="IRNazanin" w:hAnsi="IRNazanin" w:eastAsia="IRNazanin"/>
          <w:color w:val="111111"/>
          <w:sz w:val="28"/>
          <w:sz w:val="28"/>
          <w:szCs w:val="28"/>
          <w:rtl w:val="true"/>
          <w:lang w:bidi="fa-IR"/>
        </w:rPr>
        <w:t>در این صورت یک عنوان حرام به وضوی ضرری ضمیمه می‌شود که نمی‌تواند مصداق برای امتثال واقع شود؛ زیرا، انسان نمی‌تواند به وسیله مبعِّد، تقرّب پیدا کند؛ اما در باب لاحرج، دلیلی نداریم که بیان کند حرج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سخن، نکته صحیحی است و قیاس لاحرج به لاضرر، قیاس درستی نمی‌باشد؛ اما اگر گفته شود مقصود مرحوم نائینی این است که همان‌گونه قاعده لاضرر بر ادلّه اوّلیه حکومت دارد و موجب تخصیص و تقیید آنها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به طور کلّ الزام و ملاک موجود در حکم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لاحرج هم بر ادلّه اوّلیه حکومت دارد و موجب تخصیص و تقیید آنها می‌شود؛ در این صورت، قیاس لاحرج به لاضرر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از آنجا که لاحرج از باب امتنان است، امتنان اقتضا می‌کند که شارع فقط اصل الزام را بردارد ولی ملاک باقی باشد؟</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جواب گفته می‌شود امتنان در ملاک احکام دخالتی ندارد؛ زیرا، بر فرض دخالت،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و 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وجود و عدم وجود امتنان خواهد بود؛ از این رو، اگر در موردی شارع به لحاظ نوع مردم و از باب امتنان حکمی را بردارد، نمی‌توان گفت در موردی که برخلاف امتنان است، تکلیف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نکته‌ای که می‌توان به عنوان عزیمت بودن قاعده لاحرج بیان کرد، این است که اگر گفته شود مفاد قاعده لاحرج از باب رخصت است، در این صورت در آیه 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مَآءً فَتَیَمَّمُواْ صَعِیدًا طَیِّبًا</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تخییر بین وضو و غسل و تیمّم قائل شویم؛ چرا که شخص می‌تواند وضو و یا غسل حرجی نیز بگیرد و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عزیمت شویم تخییر معنا ندارد و حتماً باید تیمّم صورت گیرد؛ و کسی در اینجا قائل به تخییر نشده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رحمه الله نیز در حاشیه عروه، در این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w:t>
      </w:r>
    </w:p>
    <w:p>
      <w:pPr>
        <w:pStyle w:val="BookText"/>
        <w:rPr/>
      </w:pPr>
      <w:r>
        <w:rPr>
          <w:rFonts w:ascii="IRNazanin" w:hAnsi="IRNazanin" w:eastAsia="IRNazanin"/>
          <w:color w:val="111111"/>
          <w:sz w:val="28"/>
          <w:sz w:val="28"/>
          <w:szCs w:val="28"/>
          <w:rtl w:val="true"/>
          <w:lang w:bidi="fa-IR"/>
        </w:rPr>
        <w:t>چنین تخییری وجود ندارد؛ بلکه قطع به عدم تخییر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 القطع بعدم التخییر بین الطهارة المائیّة والترابیّة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یا آن که در مورد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مَرِیضًا أَوْ عَلَی سَفَرٍ فَعِدَّةٌ مِّنْ أَیَّامٍ أُخَرَ</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بنا بر قول به رخصت باید گفت شخص مخیّر است که در سفر نمازش را تمام بخواند و یا شکسته؛ و هم‌چنین روزه‌اش را بگیرد و یا نگیرد؛ و حال آن که همه می‌گویند اگر کسی نمازش را در سفر تمام بخواند و یا روزه بگیرد، عمل او باطل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بحث این می‌شود که مقتضای قاعده لاحرج عزیمت است و نه رخصت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270" w:name="pg844_8232"/>
    </w:p>
    <w:p>
      <w:pPr>
        <w:pStyle w:val="Heading3"/>
        <w:numPr>
          <w:ilvl w:val="2"/>
          <w:numId w:val="1"/>
        </w:numPr>
        <w:rPr/>
      </w:pPr>
      <w:bookmarkStart w:id="271" w:name="__RefHeading___Toc6877422_211673320"/>
      <w:bookmarkStart w:id="272" w:name="_Toc104"/>
      <w:bookmarkEnd w:id="270"/>
      <w:bookmarkEnd w:id="271"/>
      <w:r>
        <w:rPr>
          <w:rtl w:val="true"/>
        </w:rPr>
        <w:t>تنبیه چهارم</w:t>
      </w:r>
      <w:r>
        <w:rPr>
          <w:rtl w:val="true"/>
        </w:rPr>
        <w:t xml:space="preserve">: </w:t>
      </w:r>
      <w:r>
        <w:rPr>
          <w:rtl w:val="true"/>
        </w:rPr>
        <w:t>جریان قاعده در احکام وضعی و عدم جریان آن</w:t>
      </w:r>
      <w:bookmarkEnd w:id="272"/>
    </w:p>
    <w:p>
      <w:pPr>
        <w:pStyle w:val="Heading4"/>
        <w:numPr>
          <w:ilvl w:val="3"/>
          <w:numId w:val="1"/>
        </w:numPr>
        <w:rPr/>
      </w:pPr>
      <w:bookmarkStart w:id="273" w:name="__RefHeading___Toc6877424_211673320"/>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تنبیه چهارم</w:t>
      </w:r>
    </w:p>
    <w:p>
      <w:pPr>
        <w:pStyle w:val="BookText"/>
        <w:rPr/>
      </w:pPr>
      <w:r>
        <w:rPr>
          <w:rFonts w:ascii="IRNazanin" w:hAnsi="IRNazanin" w:eastAsia="IRNazanin"/>
          <w:color w:val="111111"/>
          <w:sz w:val="28"/>
          <w:sz w:val="28"/>
          <w:szCs w:val="28"/>
          <w:rtl w:val="true"/>
          <w:lang w:bidi="fa-IR"/>
        </w:rPr>
        <w:t>جریان قاعده در احکام وضعی و عدم جریان آن</w:t>
      </w:r>
    </w:p>
    <w:p>
      <w:pPr>
        <w:pStyle w:val="BookText"/>
        <w:rPr/>
      </w:pPr>
      <w:r>
        <w:rPr>
          <w:rFonts w:ascii="IRNazanin" w:hAnsi="IRNazanin" w:eastAsia="IRNazanin"/>
          <w:color w:val="111111"/>
          <w:sz w:val="28"/>
          <w:sz w:val="28"/>
          <w:szCs w:val="28"/>
          <w:rtl w:val="true"/>
          <w:lang w:bidi="fa-IR"/>
        </w:rPr>
        <w:t>از مباحثی که لازم است مورد توجّه قرار گیرد، آن است که، همان‌طور که این قاعده نسبت به احکام تکلیفی جریان دارد، آیا نسبت به احکام وضعی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صحّت، جزئیّت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یا خیر؟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لزوم نکاح نسبت به زن یا مرد حرجی باشد، آیا این قاعده می‌تواند رافع لزوم باشد؟</w:t>
      </w:r>
    </w:p>
    <w:p>
      <w:pPr>
        <w:pStyle w:val="BookText"/>
        <w:rPr/>
      </w:pPr>
      <w:r>
        <w:rPr>
          <w:rFonts w:ascii="Amiri" w:hAnsi="Amiri" w:eastAsia="Amiri" w:cs="Amiri"/>
          <w:color w:val="111111"/>
          <w:sz w:val="28"/>
          <w:sz w:val="28"/>
          <w:szCs w:val="28"/>
          <w:rtl w:val="true"/>
          <w:lang w:bidi="ar-SA"/>
        </w:rPr>
        <w:t xml:space="preserve">در ابتدا به ذهن می‌رسد ادلّه این قاعده همانند ادلّه حدیث رفع، بنا بر تحقیق از این جهت عموم و اطلاق دارد؛ به خصوص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بر آن دارد که هر حکمی اعّم از تکلیفی و وضعی، چنان‌چه حرجی باشد، در شریعت و دین نفی شده است؛ بنابراین، لازم است در مقابل این عموم یا اطلاق، دلیل مخصّص یا مقیّدی را جستجو 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دلیل فوق، می‌توان از برخی روایات که قبلاً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عبدالأعلی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مطلبی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باب مسح، از شرائط آن لزوم مسح بر پوست است و به عبارت دیگر، شرط صحّت وضو آن است که بر پوست مسح شود؛ و در صورتی که این امر حرجی باشد، شرطیّت آن برداشته می‌شود؛ لذا، از این روایات نیز می‌توان در این بحث استفاده نمود</w:t>
      </w:r>
      <w:r>
        <w:rPr>
          <w:rFonts w:eastAsia="IRNazanin" w:cs="IRNazanin"/>
          <w:color w:val="111111"/>
          <w:sz w:val="28"/>
          <w:szCs w:val="28"/>
          <w:rtl w:val="true"/>
          <w:lang w:bidi="fa-IR"/>
        </w:rPr>
        <w:t>.</w:t>
      </w:r>
      <w:bookmarkStart w:id="275" w:name="pg844_8236"/>
    </w:p>
    <w:p>
      <w:pPr>
        <w:pStyle w:val="Heading4"/>
        <w:numPr>
          <w:ilvl w:val="3"/>
          <w:numId w:val="1"/>
        </w:numPr>
        <w:rPr/>
      </w:pPr>
      <w:bookmarkStart w:id="276" w:name="__RefHeading___Toc6877426_211673320"/>
      <w:bookmarkStart w:id="277" w:name="_Toc106"/>
      <w:bookmarkEnd w:id="275"/>
      <w:bookmarkEnd w:id="276"/>
      <w:r>
        <w:rPr>
          <w:rtl w:val="true"/>
        </w:rPr>
        <w:t>جهات مانع از جریان قاعده در احکام وضعی</w:t>
      </w:r>
      <w:bookmarkEnd w:id="277"/>
    </w:p>
    <w:p>
      <w:pPr>
        <w:pStyle w:val="BookText"/>
        <w:rPr/>
      </w:pPr>
      <w:r>
        <w:rPr>
          <w:rFonts w:ascii="IRNazanin" w:hAnsi="IRNazanin" w:eastAsia="IRNazanin"/>
          <w:color w:val="111111"/>
          <w:sz w:val="28"/>
          <w:sz w:val="28"/>
          <w:szCs w:val="28"/>
          <w:rtl w:val="true"/>
          <w:lang w:bidi="fa-IR"/>
        </w:rPr>
        <w:t>در مقابل، چهار جهت وجود دارد که مانع از جریان این قاعده در احکام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چنان‌چه قائل شویم احکام وضعی، احکام مستقلّی نیستند و بلکه ناشی از احکام تکلیفی می‌باشند، در این صورت با جریان قاعده لاحرج در احکام تکلیفی دیگر نیازی به جریان مجدّد آن در حکم 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بحث در صورتی معنی دارد که ما قائل شویم احکام وضعی احکامی مستقلّ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ذات طرفین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بیع و یا لزوم و جواز معامله؛ نوع دوّم احکام وضعیّه‌ای که متعلّق به یک فعل، یا یک شخص و یا یک مکلّف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یا شرطیّت شیئی در یک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قاعده لاحرج نمی‌تواند جریان پیدا کند؛ زیرا، این قاعده بر اساس امتنان است و اگر بخواهد لزوم را نسبت به یک طرف رفع نماید، ممکن است نسبت به طرف دیگر بر خلاف امتنان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قاعده لاحرج مواردی که جعل شرعی به نحو مستقلّ و تأسیسی به آنها تعلّق پیدا می‌کند را می‌تواند رفع کند؛ امّا لزوم و صحّت که یکی از احکام امضایی است، در میان عقلا نیز موجود بوده، و قابل رفع با قاعده لاحرج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احکام وضعی دارای موضوع معیّنی هستند که اقتضای آن احکام را دارند؛ بر خلاف احکام تکلیفی که از همان ابتدا و مستقلاً برای فعلی از طرف شارع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صحّت معلول و یا مسبّب از بیع است و با تحقّق سبب، مسبّب محقّق خواهد شد؛ و برای از بین رفتن مسبّب، نیاز به علّت خاص که موجب رفع موضوع شود، داریم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چه والد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قاعده لاحرج بر این اعتقادند که قاعده لاحرج در احکام وضعی جریان دارد امّا به نظر می‌رسد که قاعده لاحرج در احکام وضعی جریان ندارد و ادلّه آن از این جهت در مقام بیان نبوده و اطلاقی در میان</w:t>
      </w:r>
      <w:bookmarkStart w:id="278" w:name="pg844_8239"/>
    </w:p>
    <w:p>
      <w:pPr>
        <w:pStyle w:val="BookText"/>
        <w:rPr/>
      </w:pPr>
      <w:bookmarkEnd w:id="27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چهار جهت، نمی‌توان در موردی که نکاح و بقای بر زوجیّت نسبت به زن حرجی است، به قاعده لاحرج تمسّک نمود و آن را رفع نمود؛ به گونه‌ای که با جریان آن، زن خود به خود بتواند نکاح را فسخ کند و حتّی نیازی به مراجعه به حاکم شرع نداشته باشد؛ چرا که با جریان این قاعده، خود به خود، لزوم مرتفع می‌شود و زن باید بتواند نکاح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چنین مواردی که بقای بر زوجیّت به هر نحوی برای زن موجب عسر و حرج است، می‌تواند به حاکم شرع مراجعه نموده و وی به جهت ولایتی که دارد، در ابتدا زوج را وادار بر طلاق می‌کند و چنان‌چه امتناع ورزد،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طلاق ولایی را جاری نماید</w:t>
      </w:r>
      <w:r>
        <w:rPr>
          <w:rFonts w:eastAsia="IRNazanin" w:cs="IRNazanin"/>
          <w:color w:val="111111"/>
          <w:sz w:val="28"/>
          <w:szCs w:val="28"/>
          <w:rtl w:val="true"/>
          <w:lang w:bidi="fa-IR"/>
        </w:rPr>
        <w:t>.</w:t>
      </w:r>
    </w:p>
    <w:p>
      <w:pPr>
        <w:pStyle w:val="Heading4"/>
        <w:numPr>
          <w:ilvl w:val="3"/>
          <w:numId w:val="1"/>
        </w:numPr>
        <w:rPr/>
      </w:pPr>
      <w:bookmarkStart w:id="279" w:name="__RefHeading___Toc6877428_211673320"/>
      <w:bookmarkStart w:id="280" w:name="_Toc107"/>
      <w:bookmarkEnd w:id="279"/>
      <w:r>
        <w:rPr>
          <w:rtl w:val="true"/>
        </w:rPr>
        <w:t>مؤیّدات عدم جریان قاعده در احکام وضعی</w:t>
      </w:r>
      <w:bookmarkEnd w:id="280"/>
    </w:p>
    <w:p>
      <w:pPr>
        <w:pStyle w:val="BookText"/>
        <w:rPr/>
      </w:pPr>
      <w:r>
        <w:rPr>
          <w:rFonts w:ascii="IRNazanin" w:hAnsi="IRNazanin" w:eastAsia="IRNazanin"/>
          <w:color w:val="111111"/>
          <w:sz w:val="28"/>
          <w:sz w:val="28"/>
          <w:szCs w:val="28"/>
          <w:rtl w:val="true"/>
          <w:lang w:bidi="fa-IR"/>
        </w:rPr>
        <w:t>برای عدم جریان قاعده لاحرج در احکام وضعی، علاوه بر جهات ذکر شده می‌توان به دو شاهد نیز اشاره نمود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مؤیّد اوّل این نظریه آن است که فقها در باب زنی که شوهر او غائب است، اقوال متعدّدی دارند؛ و مختار جماعتی از متقدّمین و متأخّرین</w:t>
      </w:r>
      <w:r>
        <w:rPr>
          <w:rStyle w:val="FootnoteAnchor"/>
          <w:rtl w:val="true"/>
        </w:rPr>
        <w:footnoteReference w:id="209"/>
      </w:r>
      <w:r>
        <w:rPr>
          <w:rFonts w:ascii="IRNazanin" w:hAnsi="IRNazanin" w:eastAsia="IRNazanin"/>
          <w:color w:val="111111"/>
          <w:sz w:val="28"/>
          <w:sz w:val="28"/>
          <w:szCs w:val="28"/>
          <w:rtl w:val="true"/>
          <w:lang w:bidi="fa-IR"/>
        </w:rPr>
        <w:t>آن است که باید به حاکم شرع رجوع کند و به او تا چهار سال مهلت دهد، اگر خبری از شوهر نشد، چنان‌چه کسی که نفقه و خرج او را دهد وجود داشته باشد، باید صبر کند؛ و چنان‌چه چنین شخصی در کار نباشد، می‌تواند زن را طلاق دهد؛ بر این مطلب روایات صحیحه‌ای نیز وجود دارد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شاهد بر نکته گفته شده، آن است که تردیدی وجود ندارد بر این که خود مقدار چهار سال غالباً عنوان ضرر و حرج را در بر دارد؛ امّا با این وجود، باید تا چهار سال صبر نماید و در این مورد، با وجود حرج، ائمّه علیهم السلام به قاعده لاحرج تمسّک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زائد بر این مقدار برخی از فقها تصریح نموده‌اند که وجوب صبر مستلزم حرج است؛ لیکن با وجود روایات معتبر، نیازی به این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جواز مراجعه به حاکم و استفاده حاکم از اختیار ولائی خویش، نیازی به استدلال به قاعده نفی حرج نیست و آن چه را که مرحوم سیّد صاحب عروه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مبنی بر آن که در مورد زنی که شوهر او مفقود نیست ولی در مکانی زندانی شده است که امکان رجوع او به هیچ وجه وجود ندارد، می‌توان به جهت قاعده لاحرج قائل به جواز طلاق شد، به خصوص که آن زن جوان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نیست؛ و مجالی برای جریان لاحرج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یزدی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المفقود ممّن علم أنّه محبوس فی مکان لا یمکن مجیؤه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بجوازه، لقاعدة نفی الحرج والضرر خصوصاً إذا کانت شابّة واستلزم صبرها طول عمرها و وقوعها فی مشقّة شدیدة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دوّم بر این مطلب آن است که فقها</w:t>
      </w:r>
      <w:r>
        <w:rPr>
          <w:rStyle w:val="FootnoteAnchor"/>
          <w:rtl w:val="true"/>
        </w:rPr>
        <w:footnoteReference w:id="212"/>
      </w:r>
      <w:r>
        <w:rPr>
          <w:rFonts w:ascii="IRNazanin" w:hAnsi="IRNazanin" w:eastAsia="IRNazanin"/>
          <w:color w:val="111111"/>
          <w:sz w:val="28"/>
          <w:sz w:val="28"/>
          <w:szCs w:val="28"/>
          <w:rtl w:val="true"/>
          <w:lang w:bidi="fa-IR"/>
        </w:rPr>
        <w:t xml:space="preserve">در باب اکل مال غیر برای شخص مضطرّ در عین این که فتوا به جواز داده‌اند، امّا هیچ خلافی بین آنان نسبت به حکم وضعی ضمان وجود ندارد؛ بنابراین، قاعده لاحرج حکم تکلیفی عدم جواز تصرّف در مال غیر بدون اذن مالک را بر می‌دارد؛ امّا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است</w:t>
      </w:r>
      <w:r>
        <w:rPr>
          <w:rFonts w:eastAsia="IRNazanin" w:cs="IRNazanin"/>
          <w:color w:val="111111"/>
          <w:sz w:val="28"/>
          <w:szCs w:val="28"/>
          <w:rtl w:val="true"/>
          <w:lang w:bidi="fa-IR"/>
        </w:rPr>
        <w:t>.</w:t>
      </w:r>
      <w:bookmarkStart w:id="281" w:name="pg844_8246"/>
    </w:p>
    <w:p>
      <w:pPr>
        <w:pStyle w:val="BookText"/>
        <w:rPr/>
      </w:pPr>
      <w:bookmarkEnd w:id="281"/>
      <w:r>
        <w:rPr>
          <w:rFonts w:ascii="IRNazanin" w:hAnsi="IRNazanin" w:eastAsia="IRNazanin"/>
          <w:color w:val="111111"/>
          <w:sz w:val="28"/>
          <w:sz w:val="28"/>
          <w:szCs w:val="28"/>
          <w:rtl w:val="true"/>
          <w:lang w:bidi="fa-IR"/>
        </w:rPr>
        <w:t>از مجموع مطالب چنین نتیجه می‌شود که قاعده لاحرج در احکام وضعی جریان ندارد؛ و از این جهت، می‌توان یکی از تفاوت‌های بین این قاعده و قاعده لاضرر را این نکته دانست که قاعده لاضرر نسبت به احکام وضعی جریان دارد؛ امّا در مورد قاعده لاحرج چنین نیست</w:t>
      </w:r>
      <w:r>
        <w:rPr>
          <w:rFonts w:eastAsia="IRNazanin" w:cs="IRNazanin"/>
          <w:color w:val="111111"/>
          <w:sz w:val="28"/>
          <w:szCs w:val="28"/>
          <w:rtl w:val="true"/>
          <w:lang w:bidi="fa-IR"/>
        </w:rPr>
        <w:t>.</w:t>
      </w:r>
    </w:p>
    <w:p>
      <w:pPr>
        <w:pStyle w:val="Heading4"/>
        <w:numPr>
          <w:ilvl w:val="3"/>
          <w:numId w:val="1"/>
        </w:numPr>
        <w:rPr/>
      </w:pPr>
      <w:bookmarkStart w:id="282" w:name="__RefHeading___Toc6877430_211673320"/>
      <w:bookmarkStart w:id="283" w:name="_Toc108"/>
      <w:bookmarkEnd w:id="282"/>
      <w:r>
        <w:rPr>
          <w:rtl w:val="true"/>
        </w:rPr>
        <w:t>کلام محقّق نائینی رحمه الله</w:t>
      </w:r>
      <w:bookmarkEnd w:id="283"/>
    </w:p>
    <w:p>
      <w:pPr>
        <w:pStyle w:val="BookText"/>
        <w:rPr/>
      </w:pPr>
      <w:r>
        <w:rPr>
          <w:rFonts w:ascii="IRNazanin" w:hAnsi="IRNazanin" w:eastAsia="IRNazanin"/>
          <w:color w:val="111111"/>
          <w:sz w:val="28"/>
          <w:sz w:val="28"/>
          <w:szCs w:val="28"/>
          <w:rtl w:val="true"/>
          <w:lang w:bidi="fa-IR"/>
        </w:rPr>
        <w:t>مرحوم نائینی در تنبیه هفتم قاعدۀ لاضرر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قاعده لاحرج بر عمومات مثبته احکام تکلیفیّه حکومت دارد، بر عموماتی که اثبات کننده احکام وضعیّه می‌باشند نیز حکومت دارد؛ چه آن حکم وضعی لزوم عقد باشد و چه قاعده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الإشکال فی أنّه کما یکون هذه القاعدة حاکمة علی العمومات المثبتة للأحکام التکلیفیّة فکذلک حاکمة علی العمومات المثبتة للأحکام الوضعیّة، سواء کان الحکم الوضعی من قبیل لزوم العقد أو من قبیل قاعدة السلطنة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انصاف آن است که التزام به چنین تفاوتی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دارای تعابیر قریب به یکدیگر می‌باشند و هم‌چنان که شارع حکم ضرری را در اسلام جعل نفرموده است، به وسیله قاعده لاحرج نیز اعلام فرموده که هر حکمی اعمّ از تکلیفی و وضعی چنان‌چه حرجی باشد، در شریعت جعل نشده است و امضائی بودن یک حکم مانع از این امر نیست؛ چرا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لزوم و صحّت در نزد عقلا را تا حدّی که منجر به حرج نشود، امضا فرموده است</w:t>
      </w:r>
      <w:r>
        <w:rPr>
          <w:rFonts w:eastAsia="IRNazanin" w:cs="IRNazanin"/>
          <w:color w:val="111111"/>
          <w:sz w:val="28"/>
          <w:szCs w:val="28"/>
          <w:rtl w:val="true"/>
          <w:lang w:bidi="fa-IR"/>
        </w:rPr>
        <w:t>.</w:t>
      </w:r>
      <w:bookmarkStart w:id="284" w:name="pg844_8250"/>
    </w:p>
    <w:p>
      <w:pPr>
        <w:pStyle w:val="Heading3"/>
        <w:numPr>
          <w:ilvl w:val="2"/>
          <w:numId w:val="1"/>
        </w:numPr>
        <w:rPr/>
      </w:pPr>
      <w:bookmarkStart w:id="285" w:name="__RefHeading___Toc6877432_211673320"/>
      <w:bookmarkStart w:id="286" w:name="_Toc109"/>
      <w:bookmarkEnd w:id="284"/>
      <w:bookmarkEnd w:id="285"/>
      <w:r>
        <w:rPr>
          <w:rtl w:val="true"/>
        </w:rPr>
        <w:t>تنبیه پنجم</w:t>
      </w:r>
      <w:r>
        <w:rPr>
          <w:rtl w:val="true"/>
        </w:rPr>
        <w:t xml:space="preserve">: </w:t>
      </w:r>
      <w:r>
        <w:rPr>
          <w:rtl w:val="true"/>
        </w:rPr>
        <w:t>جریان قاعده لاحرج نسبت به محرّمات</w:t>
      </w:r>
      <w:bookmarkEnd w:id="286"/>
    </w:p>
    <w:p>
      <w:pPr>
        <w:pStyle w:val="Heading4"/>
        <w:numPr>
          <w:ilvl w:val="3"/>
          <w:numId w:val="1"/>
        </w:numPr>
        <w:rPr/>
      </w:pPr>
      <w:bookmarkStart w:id="287" w:name="__RefHeading___Toc6877434_211673320"/>
      <w:bookmarkStart w:id="288" w:name="_Toc110"/>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تنبیه پنجم‌جریان قاعده لاحرج نسبت به محرّمات</w:t>
      </w:r>
    </w:p>
    <w:p>
      <w:pPr>
        <w:pStyle w:val="BookText"/>
        <w:rPr/>
      </w:pPr>
      <w:r>
        <w:rPr>
          <w:rFonts w:ascii="IRNazanin" w:hAnsi="IRNazanin" w:eastAsia="IRNazanin"/>
          <w:color w:val="111111"/>
          <w:sz w:val="28"/>
          <w:sz w:val="28"/>
          <w:szCs w:val="28"/>
          <w:rtl w:val="true"/>
          <w:lang w:bidi="fa-IR"/>
        </w:rPr>
        <w:t>آیا همان‌طور که قاعده لاحرج احکام الزامی وجوبی را رفع می‌کند و در مواردی که وجوب یک فعل برای مکلّف حرجی است، آن وجوب برداشته می‌شود، در مواردی که حرمت عنوان‌حرجی داشته باشد نیز به‌وسیله این‌قاعده برداشته می‌شود یا خیر؟ به عبارت دیگر، همان‌گونه که این قاعده نسبت به احکام وجوبی حکومت دارد، آیا نسبت به احکام تحریمی نیز حکومت دارد یا خیر؟ و چنان‌چه بر محرّمات حکومت داشته باشد، آیا همه محرّمات را شامل می‌شود و یا این که در خصوص محرّمات صغیره جریان دارد؟</w:t>
      </w:r>
    </w:p>
    <w:p>
      <w:pPr>
        <w:pStyle w:val="BookText"/>
        <w:rPr/>
      </w:pPr>
      <w:r>
        <w:rPr>
          <w:rFonts w:ascii="IRNazanin" w:hAnsi="IRNazanin" w:eastAsia="IRNazanin"/>
          <w:color w:val="111111"/>
          <w:sz w:val="28"/>
          <w:sz w:val="28"/>
          <w:szCs w:val="28"/>
          <w:rtl w:val="true"/>
          <w:lang w:bidi="fa-IR"/>
        </w:rPr>
        <w:t>اگر در موردی ترک یک حرام، برای شخص موجب حرج باشد،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زنا موجب حرج گردد؛ و یا اگر در موردی گفتار صدق مستلزم حرج باشد،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بخواهد راستگوی در کلام باشد،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پیاده راه رود که این امر عرفاً موجب حرج است، و برای آن که گرفتار حرج نشود، لازم است دروغ بگوید؛ حال، سؤال این است که آیا با قاعده لاحرج این حرمت برداشته می‌شود؟ و یا اگر در موردی مردی همسرش را اکراه به کشف حجاب کند و به او بگوید اگر این عمل را انجام ندهی، تو را طلاق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آن است که طلاق برای زن حرجی بوده و با طلاق دیگر امکان تشکیل زندگی و یا ادامه زندگی برای او نیست و نمی‌تواند خرج خود را تهیه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قاعده لاحرج به او اجازه کشف حجاب که حرام است را می‌دهد؟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تحقیق و تفحّص در موارد موجود در شریعت،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تفاوتی</w:t>
      </w:r>
    </w:p>
    <w:p>
      <w:pPr>
        <w:pStyle w:val="BookText"/>
        <w:rPr/>
      </w:pPr>
      <w:r>
        <w:rPr>
          <w:rFonts w:ascii="IRNazanin" w:hAnsi="IRNazanin" w:eastAsia="IRNazanin"/>
          <w:color w:val="111111"/>
          <w:sz w:val="28"/>
          <w:sz w:val="28"/>
          <w:szCs w:val="28"/>
          <w:rtl w:val="true"/>
          <w:lang w:bidi="fa-IR"/>
        </w:rPr>
        <w:t>میان واجبات و محرّمات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احرام و محرّمات آن، در موارد متعدّدی به قاعده لاحرج تمسّک شده و به مکلّف اجازه داده شده است که آنها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اشاره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روایات بحث قاعده لاحرج،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عروة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وضوح بر این نکته دلالت داشت که شخص محرم اگر بخواهد برای اسباغ وضو، نسبت به جدا شدن موی خود کفّاره دهد، این امر حرجی است و امام صادق علیه السلام در این فرض فرمودند که کفّاره لازم نیست و به قاعده لاحرج استدلال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گرچه مدلول مطابقی آن نفی یک حکم وجوبی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دلالت التزامی دلالت بر نفی حرمت دارد؛ چرا که بین نفی کفّاره و نفی حرمت، ملازمه وجود دارد؛ هر چند در جای خود بیان نموده‌ایم که بین وجود کفّاره و ثبوت حرمت ملازمه‌ای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گرچه در مورد وضو وارد شده است، امّا ظاهر آن است که خصوصیّتی برای وضو در این رابطه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والإستدلال بالروایة علی عدم الحرمة بقاعدة نفی الحرج لا یوجب الإنحصار بالوضوء والغسل الواجبین، کما لا یخفی</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روایت استفاده می‌شود که این قاعده اجمالاً در محرّمات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فقها در مورد جواز ازاله شعر محرِم در صورت ضرورت به ادلّه‌ای هم‌چون قاعده لاحرج استناد نموده‌اند؛ و از جمله، می‌توان به مرحوم سیّد عاملی</w:t>
      </w:r>
      <w:r>
        <w:rPr>
          <w:rStyle w:val="FootnoteAnchor"/>
          <w:rtl w:val="true"/>
        </w:rPr>
        <w:footnoteReference w:id="215"/>
      </w:r>
      <w:r>
        <w:rPr>
          <w:rFonts w:ascii="IRNazanin" w:hAnsi="IRNazanin" w:eastAsia="IRNazanin"/>
          <w:color w:val="111111"/>
          <w:sz w:val="28"/>
          <w:sz w:val="28"/>
          <w:szCs w:val="28"/>
          <w:rtl w:val="true"/>
          <w:lang w:bidi="fa-IR"/>
        </w:rPr>
        <w:t>، مرحوم صاحب جواهر</w:t>
      </w:r>
      <w:r>
        <w:rPr>
          <w:rStyle w:val="FootnoteAnchor"/>
          <w:rtl w:val="true"/>
        </w:rPr>
        <w:footnoteReference w:id="216"/>
      </w:r>
      <w:r>
        <w:rPr>
          <w:rFonts w:ascii="IRNazanin" w:hAnsi="IRNazanin" w:eastAsia="IRNazanin"/>
          <w:color w:val="111111"/>
          <w:sz w:val="28"/>
          <w:sz w:val="28"/>
          <w:szCs w:val="28"/>
          <w:rtl w:val="true"/>
          <w:lang w:bidi="fa-IR"/>
        </w:rPr>
        <w:t>، مرحوم محقّق خوانساری</w:t>
      </w:r>
      <w:r>
        <w:rPr>
          <w:rStyle w:val="FootnoteAnchor"/>
          <w:rtl w:val="true"/>
        </w:rPr>
        <w:footnoteReference w:id="217"/>
      </w:r>
      <w:r>
        <w:rPr>
          <w:rFonts w:ascii="IRNazanin" w:hAnsi="IRNazanin" w:eastAsia="IRNazanin"/>
          <w:color w:val="111111"/>
          <w:sz w:val="28"/>
          <w:sz w:val="28"/>
          <w:szCs w:val="28"/>
          <w:rtl w:val="true"/>
          <w:lang w:bidi="fa-IR"/>
        </w:rPr>
        <w:t>، مرحوم محقّق</w:t>
      </w:r>
    </w:p>
    <w:p>
      <w:pPr>
        <w:pStyle w:val="BookText"/>
        <w:rPr/>
      </w:pPr>
      <w:r>
        <w:rPr>
          <w:rFonts w:ascii="IRNazanin" w:hAnsi="IRNazanin" w:eastAsia="IRNazanin"/>
          <w:color w:val="111111"/>
          <w:sz w:val="28"/>
          <w:sz w:val="28"/>
          <w:szCs w:val="28"/>
          <w:rtl w:val="true"/>
          <w:lang w:bidi="fa-IR"/>
        </w:rPr>
        <w:t>خوئی</w:t>
      </w:r>
      <w:r>
        <w:rPr>
          <w:rStyle w:val="FootnoteAnchor"/>
          <w:rtl w:val="true"/>
        </w:rPr>
        <w:footnoteReference w:id="218"/>
      </w:r>
      <w:r>
        <w:rPr>
          <w:rFonts w:ascii="IRNazanin" w:hAnsi="IRNazanin" w:eastAsia="IRNazanin"/>
          <w:color w:val="111111"/>
          <w:sz w:val="28"/>
          <w:sz w:val="28"/>
          <w:szCs w:val="28"/>
          <w:rtl w:val="true"/>
          <w:lang w:bidi="fa-IR"/>
        </w:rPr>
        <w:t xml:space="preserve">و والد محقّق و فقیه بزرگوارمان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عاملی در این رابطه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 إزالته مع الضرورة فموضع وفاق بین العلماء أیضاً، و یدلّ علیه مضافاً علی الأصل ونفی الحرج و</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دیگری که در حجّ به قاعده لاحرج برای رفع حرمت استناد شده، مسأله حرمت خروج از مکّه برای کسی که عمره تمتّع را انجام داده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مشهور فقها نسبت داده شده که خروج از مکّه حرام است، لیکن در مواردی که ماندن در مکّه برای شخصی که عمره تمتّع انجام داده، حرجی باشد، می‌تواند از مکّه خارج شود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مرحوم سیّد یزدی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عدم جواز الخروج علی القول به إنّما هو فی غیر حال الضرورة، بل مطلق الحاجة؛ و أمّا مع الضرورة أو الحاجة مع کون الإحرام بالحجّ غیر ممکن أو حرجاً علیه فلا إشکال فیه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خروج 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قائل به آن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صورتی است که خروج از مکّه ضروری نباشد و یا نیاز به آن نباشد؛ امّا در صورت ضرورت و یا احتیاج به خروج، اگر احرام به حجّ غیر ممکن و یا حرجی باشد، هیچ اشکالی برای خروج از مکّه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هندی نیز در همین رابطه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جواز الخروج محلّاً مع التضرر کثیراً بالبقاء علی الإحرام، الأصل وانتفاء الحرج فی الدّین،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کلمات فقها استفاده می‌شود که چنان‌چه ماندن در مکّه حرجی باشد، حکم حرمت به استناد قاعده نفی حرج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کلمات مرحوم محقّق خوئی قدس سره</w:t>
      </w:r>
      <w:r>
        <w:rPr>
          <w:rStyle w:val="FootnoteAnchor"/>
          <w:rtl w:val="true"/>
        </w:rPr>
        <w:footnoteReference w:id="224"/>
      </w:r>
      <w:r>
        <w:rPr>
          <w:rFonts w:ascii="IRNazanin" w:hAnsi="IRNazanin" w:eastAsia="IRNazanin"/>
          <w:color w:val="111111"/>
          <w:sz w:val="28"/>
          <w:sz w:val="28"/>
          <w:szCs w:val="28"/>
          <w:rtl w:val="true"/>
          <w:lang w:bidi="fa-IR"/>
        </w:rPr>
        <w:t xml:space="preserve">بدست می‌آید که در این فرض، وجوب خروج با حالت احرام به استناد لاحرج برداشته می‌شود؛ هم‌چنین از کلمات والد محقّق نیز این نکته استفاده می‌شود؛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ترک الإحرام للحجّ من مکّة علی تقدیر الحاجة إلی الخروج، والقول بوجوب الإحرام فی هذا الحال، فلا یسوّغه مجرّد الحاجة غیر البالغة حدّ الإضطرار، وذلک لظهور الأدلّة علی هذا القول فی الوجوب من دون تعلیق له علی شیء، ولا ملازمة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وترک الإحرام؛ فإذا کان المسوّغ للأوّل مجرّد الحاجة، فلا یستلزم أن یکون المجوّز للثانی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الرافع لهذا الوجوب والمسوّغ للترک هو قاعدة الحرج</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دیگر آن که ورود به مکّه بدون احرام جایز نیست، مگر برای کسی که به صورت مکرّر بخواهد رفت و آمد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فروش، هیزم فروش و چوپان؛ مرحوم فاضل هندی</w:t>
      </w:r>
      <w:r>
        <w:rPr>
          <w:rStyle w:val="FootnoteAnchor"/>
          <w:rtl w:val="true"/>
        </w:rPr>
        <w:footnoteReference w:id="226"/>
      </w:r>
      <w:r>
        <w:rPr>
          <w:rFonts w:ascii="IRNazanin" w:hAnsi="IRNazanin" w:eastAsia="IRNazanin"/>
          <w:color w:val="111111"/>
          <w:sz w:val="28"/>
          <w:sz w:val="28"/>
          <w:szCs w:val="28"/>
          <w:rtl w:val="true"/>
          <w:lang w:bidi="fa-IR"/>
        </w:rPr>
        <w:t>دلیل این استثناء را علاوه بر روایات وارده، قاعده لاحرج دانسته است؛ مرحوم خوانساری نیز در این مورد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إستثناء من یتکرّر دخوله، فادّعی الإتّفاق علیه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التمسّک بقاعدة نفی الحرج فله وجه لکنّ المدار علی الحرج الشخصی، ویدور الحکم مداره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استثنای شخصی که مکرّر داخل مکّه می‌شود، در مورد آن به خاطر حرج، ادّعای اتّفاق شده است؛ تمسّک به قاعده لاحرج در این مورد وجهی دارد، امّا باید توجه داشت که منظور از حرج در اینجا حرج شخصی است و حکم فوق بر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نیز بعد از آن که بیان می‌دارد ورود به مکّه برای امثال چوپان بدون احرام جائز است و مخالفی در این مسأله وجود ندارد، از جمله دلیلی که برای آن ذکر می‌کند تمسّک به قاعده لاحرج است</w:t>
      </w:r>
      <w:r>
        <w:rPr>
          <w:rFonts w:eastAsia="IRNazanin" w:cs="IRNazanin"/>
          <w:color w:val="111111"/>
          <w:sz w:val="28"/>
          <w:szCs w:val="28"/>
          <w:rtl w:val="true"/>
          <w:lang w:bidi="fa-IR"/>
        </w:rPr>
        <w:t>.</w:t>
      </w:r>
      <w:r>
        <w:rPr>
          <w:rStyle w:val="FootnoteAnchor"/>
        </w:rPr>
        <w:footnoteReference w:id="22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محرّمات احرام چیدن ناخن است؛ امّا فقها تصریح نموده‌اند که در صورت ضرورت و حرج، محرِم می‌تواند ناخن خود را بچیند؛ بسیاری از فقها از جمله مرحوم محقّق خوئی قدس سره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ضرورت، ضروت عرفی است که همان حرج و مشقّت است</w:t>
      </w:r>
      <w:r>
        <w:rPr>
          <w:rFonts w:eastAsia="IRNazanin" w:cs="IRNazanin"/>
          <w:color w:val="111111"/>
          <w:sz w:val="28"/>
          <w:szCs w:val="28"/>
          <w:rtl w:val="true"/>
          <w:lang w:bidi="fa-IR"/>
        </w:rPr>
        <w:t>.</w:t>
      </w:r>
      <w:r>
        <w:rPr>
          <w:rStyle w:val="FootnoteAnchor"/>
        </w:rPr>
        <w:footnoteReference w:id="22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دیگری که می‌توان به آن اشاره نمود، این است که یکی از محرّمات احرام، حرمت تدهین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و کِرم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است، امّا در مواردی که محرِم به جهت درد شدید ناچار از استعمال باشد، و عدم استعمال برای او مستلزم عسر و حرج باشد، فقها فتوا به جواز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رحمه الله در این زمینه بیان می‌دارد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جواز التدهین عند الضرورة أوّلاً أدلّة نفی العسر والحرج</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فوق نمونه‌هایی از استدلال به قاعده لاحرج برای رفع حرمت در باب محرّمات احرام است؛ و از سوی دیگر،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دلیل بر این قاعده است، عمومیّت دارد و شامل هر حکم حرجی می‌شود، اعمّ از واجبات و محرّمات؛ خصوصاً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تکالیف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موراد فوق، شاهد دیگر آن است که فقها در باب خوردن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میته و اکل مال غیر، در صورتی که ترک آن موجب اضطرار باشد و شخص به جهت گرسنگی و یا تشنگی در اضطرار قرار گیرد، فتوا به جواز آن داده‌اند، و با استدلال به قاعده لاحرج، حکم حرمت اکل حرام وحرمت تصرّف در مال غیربدون اذن مالک را مرفوع دانسته‌اند؛ و علاوه بر کتاب و سنّت به ادلّه نفی حرج نیز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باب نوشیدن شراب برای مضطرّ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عنوان مداوا فرق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شیخ طوسی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قائل به عدم جواز شده است، امّا مشهور فتوای به جواز داده‌اند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جهت عطش، ترس تلف شدن دارد و غیر از شراب چیز دیگری در اختیار او نباشد، می‌تواند از آن به مقدار رفع عطش استفاده نماید؛ و برخی از فقها تصریح دارند بر این که در شریعت اکل میته برای مضطرّ تجویز شده است، پس باید برای او نوشیدن شراب به طریق اولی تجویز شود؛ چه آن که تحریم حیوان مرده شدیدتر از تحریم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رحمه الله در مورد مداوای با شراب که محلّ خلاف است، قائل به جواز شده‌اند و ضمن بیان ادلّه فرموده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الإضطرار والضرورة المجوّزین</w:t>
      </w:r>
    </w:p>
    <w:p>
      <w:pPr>
        <w:pStyle w:val="BookText"/>
        <w:rPr/>
      </w:pPr>
      <w:r>
        <w:rPr>
          <w:rFonts w:ascii="IRNazanin" w:hAnsi="IRNazanin" w:eastAsia="IRNazanin"/>
          <w:color w:val="111111"/>
          <w:sz w:val="28"/>
          <w:sz w:val="28"/>
          <w:szCs w:val="28"/>
          <w:rtl w:val="true"/>
          <w:lang w:bidi="fa-IR"/>
        </w:rPr>
        <w:t xml:space="preserve">للتناول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توقّف العلاج علیه، وأدلّة نفی العسر والحرج والضرر والضرار</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ایشان در مورد دیگر نیز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الآیات المبیحة للمحرّمات للمضطرّ وأکثر روایاتها وإن اختصّ بإباحة أکل ما حرّم أکله للمضطرّ، إلّاأنّ مقتضی عموم تفسیر الإمام المتقدّم وأدلّة نفی العسر والحرج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کلّ محرّم للمضطرّ فی الأکل والشرب من غیر اختصاص بإباحة ما یحرم أکله وشربه، ولذا أبیح مال الغیر، مع أنّ التصرّف فیه والأخذ فیه وإجباره محرّم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فتباح بالإضطرار إلی الأکل والشرب الأفعال المحرّمة لو توقّف علیها، کما لو وجدت إمرأة دفع اضطرارها بالتمکین من بضعها، أو شرب خمر، أو ترک صلاة، بأن لا یبذل المالک قدر الضرورة إلّا بأحد هذه الأفعال، فتباح هذه الأفعال، لمعارضة أدلّة حرمتها مع أدلّة المضطرّ، فیرجع إلی الأصل</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نراقی رحمه الله بر حسب این کلام معتقد است گرچه آیات کریمه دلالت بر اباحه حرام گوشت برای مضطرّ دارد، امّا متقضای قاعده لاحرج و لاضرر آن است که اگر کسی نسبت به خوردن و نوشیدن اضطرار پیدا نمود، برای رفع اضطرار خود می‌تواند هر حرامی را مرتکب شود؛ مگر در مواردی که ادلّه نفی ضرر و حرج در دو طرف جاری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متوقّف بر قتل ذمّی یا مستأمن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تأمّل در آن ضروری است، این است که گرچه از کلام مرحوم نراقی رحمه الله استفاده می‌شود که ایشان بین اضطرار و حرج فرقی قائل نشده‌اند، امّا ممکن است گفته</w:t>
      </w:r>
      <w:bookmarkStart w:id="289" w:name="pg844_8273"/>
    </w:p>
    <w:p>
      <w:pPr>
        <w:pStyle w:val="BookText"/>
        <w:rPr/>
      </w:pPr>
      <w:bookmarkEnd w:id="289"/>
      <w:r>
        <w:rPr>
          <w:rFonts w:ascii="IRNazanin" w:hAnsi="IRNazanin" w:eastAsia="IRNazanin"/>
          <w:color w:val="111111"/>
          <w:sz w:val="28"/>
          <w:sz w:val="28"/>
          <w:szCs w:val="28"/>
          <w:rtl w:val="true"/>
          <w:lang w:bidi="fa-IR"/>
        </w:rPr>
        <w:t>شود در استعمالات عرف بین حرج و اضطرار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عنوانی است ما فوق حرج و در بحث‌های گذشته بیان کردیم در حرج مطلق مشقّت کافی است؛ و بنابراین، لازم نیست که حتی عنوان مشقّت شدید وجود داشته باشد؛ در حالی که اضطرار، یا مشقّت شدید است و یا از مشقّت شدید بالاتر بوده و در مواردی است که چنان‌چه مرتکب حرام نشود، جان شخص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تزاحم بین دو فعل حرام یا یک واجب و یک حرام تحقّق دارد که باید هر کدام را که از نظر ملاک قوی‌تر است،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حرج را به مشقّت شدیدی که به‌طور عادی قابل تحمّل نباشد، معنا کنیم، در این صورت، فرق چندانی بین حرج و اضطرار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نکته، نمی‌توانیم از اباحه محرّمات در موارد اضطرار، جریان قاعده لاحرج در محرّمات استفاده نماییم</w:t>
      </w:r>
      <w:r>
        <w:rPr>
          <w:rFonts w:eastAsia="IRNazanin" w:cs="IRNazanin"/>
          <w:color w:val="111111"/>
          <w:sz w:val="28"/>
          <w:szCs w:val="28"/>
          <w:rtl w:val="true"/>
          <w:lang w:bidi="fa-IR"/>
        </w:rPr>
        <w:t>.</w:t>
      </w:r>
    </w:p>
    <w:p>
      <w:pPr>
        <w:pStyle w:val="Heading4"/>
        <w:numPr>
          <w:ilvl w:val="3"/>
          <w:numId w:val="1"/>
        </w:numPr>
        <w:rPr/>
      </w:pPr>
      <w:bookmarkStart w:id="290" w:name="__RefHeading___Toc6877436_211673320"/>
      <w:bookmarkStart w:id="291" w:name="_Toc111"/>
      <w:bookmarkEnd w:id="290"/>
      <w:r>
        <w:rPr>
          <w:rtl w:val="true"/>
        </w:rPr>
        <w:t>کلام محقّق بجنوردی رحمه الله</w:t>
      </w:r>
      <w:bookmarkEnd w:id="291"/>
    </w:p>
    <w:p>
      <w:pPr>
        <w:pStyle w:val="BookText"/>
        <w:rPr/>
      </w:pPr>
      <w:r>
        <w:rPr>
          <w:rFonts w:ascii="IRNazanin" w:hAnsi="IRNazanin" w:eastAsia="IRNazanin"/>
          <w:color w:val="111111"/>
          <w:sz w:val="28"/>
          <w:sz w:val="28"/>
          <w:szCs w:val="28"/>
          <w:rtl w:val="true"/>
          <w:lang w:bidi="fa-IR"/>
        </w:rPr>
        <w:t>مرحوم محقّق بجنوردی رحمه الله بعد از یادآوری این نکته که فقیه نمی‌تواند در مواردی که ترک حرام موجب حرج است، فتوای به ارتکاب دهد، چنین بیان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علی الفقیه فی مقام إجراء هذه القاعدة أن یعمل النظر، ویهتمّ غایة الإهتمام بأن یکون المورد ممّا لایرضی الشارع بترکه ولو کان الفعل حرجیّاً شاقّاً علی المکلّف، کالواجباب الّتی بنی الإسلام علیها، کالصلاة، والزکاة، وصوم شهر رمضان، والحجّ، وأمثالها ممّا لا یرضی الشارع بترکها علی کلّ حال؛ وکذلک لا یکون ممّا لایرضی بفعله لاشتماله علی المفسدة العظیمة، کقتل النفس المحرّمة، والزنا بذات البعل، واللواط، والفرار عن الزحف، وارتکاب المعاملة الربویة، والقمار، وشرب الخمر و</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w:t>
      </w:r>
      <w:bookmarkStart w:id="292" w:name="pg844_8276"/>
    </w:p>
    <w:p>
      <w:pPr>
        <w:pStyle w:val="BookText"/>
        <w:rPr/>
      </w:pPr>
      <w:bookmarkEnd w:id="292"/>
      <w:r>
        <w:rPr>
          <w:rFonts w:ascii="IRNazanin" w:hAnsi="IRNazanin" w:eastAsia="IRNazanin"/>
          <w:color w:val="111111"/>
          <w:sz w:val="28"/>
          <w:sz w:val="28"/>
          <w:szCs w:val="28"/>
          <w:rtl w:val="true"/>
          <w:lang w:bidi="fa-IR"/>
        </w:rPr>
        <w:t>بر فقیه لازم است که در مقام اجرای این قاعده، دقّت نظر داشته باشد و تمام کوشش را انجام دهد که مورد اجرای قاعده از مواردی نباشد که شارع راضی به ترک آن نیست، هر چند که انجام آن فعل برای مکلّف حرجی و سخت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که اسلام بر آنها بنا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ماه رمضان، حجّ و همانند این موارد از افعالی که شارع متعال راضی به ترکشان در هیچ حالتی نیست؛ هم‌چنین لازم است که توجّه نماید مورد اجرای قاعده از مواردی نباشد که شارع راضی به انجام آن مورد به‌خاطر فساد زیادی که دارد،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 محترمه، زنا با زن شوهردار، لواط، فرار از جنگ، ربا، قمار، نوشیدن شراب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دلیل بر مطلب فوق بیان می‌کند که این قاعده از باب لطف و امتنان خداوند بر مکلّفین است و نمی‌تواند رخصت نسبت به هر حرامی و یا ترک هر واجبی باشد</w:t>
      </w:r>
      <w:r>
        <w:rPr>
          <w:rFonts w:eastAsia="IRNazanin" w:cs="IRNazanin"/>
          <w:color w:val="111111"/>
          <w:sz w:val="28"/>
          <w:szCs w:val="28"/>
          <w:rtl w:val="true"/>
          <w:lang w:bidi="fa-IR"/>
        </w:rPr>
        <w:t>.</w:t>
      </w:r>
    </w:p>
    <w:p>
      <w:pPr>
        <w:pStyle w:val="Heading4"/>
        <w:numPr>
          <w:ilvl w:val="3"/>
          <w:numId w:val="1"/>
        </w:numPr>
        <w:rPr/>
      </w:pPr>
      <w:bookmarkStart w:id="293" w:name="__RefHeading___Toc6877438_211673320"/>
      <w:bookmarkStart w:id="294" w:name="_Toc112"/>
      <w:bookmarkEnd w:id="293"/>
      <w:r>
        <w:rPr>
          <w:rtl w:val="true"/>
        </w:rPr>
        <w:t>اشکال بر محقّق بجنوردی رحمه الله</w:t>
      </w:r>
      <w:bookmarkEnd w:id="294"/>
    </w:p>
    <w:p>
      <w:pPr>
        <w:pStyle w:val="BookText"/>
        <w:rPr/>
      </w:pPr>
      <w:r>
        <w:rPr>
          <w:rFonts w:ascii="IRNazanin" w:hAnsi="IRNazanin" w:eastAsia="IRNazanin"/>
          <w:color w:val="111111"/>
          <w:sz w:val="28"/>
          <w:sz w:val="28"/>
          <w:szCs w:val="28"/>
          <w:rtl w:val="true"/>
          <w:lang w:bidi="fa-IR"/>
        </w:rPr>
        <w:t>ملاحظه‌ای که بر فرمودۀ محقّق بجنوردی رحمه الله وجود دارد،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مستلزم عدم جریان قاعده در تمام موارد است؛ زیرا، در تمام موارد واجبات ما نمی‌دانیم که آیا شارع راضی به ترک است یا خیر؟ بنابراین، از وجود این قاعده عدم آن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ادلّه لاحرج به صورتی است که شارع، فوق مسأله لطف و امتنان را ابراز می‌دارد؛ هنگامی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حکم حرجی وجود ندارد، و این مطلب را به عنوان یکی از شاخصه‌های دین ابراز می‌دارد؛ همان‌طور که در تعابیر شریعت سمحه و سهله و یا این که دین، دین یسر و آسان است، مسأله لطف و امتنان وجود ندارد؛ بلکه این مطلب را به عنوان یکی از ویژگی‌های دین ذکر فرموده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دلیل، حاکم بر تمام ادلّه اوّلیه است؛ به این معنا که هر حکمی که به حدّ حرج برسد، به عنوان حکم شرعی نیست؛ و شارع هیچ‌گاه به حکم حرجی رضایت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بیان نمودیم که قاعده لاحرج نسبت به حرجی که در ذات تکالیف وجود دارد، تصرّفی نمی‌کند؛ بلکه در حرج زائد تصرّف می‌کند؛ از این جهت، اگر در انجام حجّ و یا جهاد، حرجی زائد بر اصل مشقّت متعارف موجود در آن وجود داشته باشد، وجوب حجّ و یا وجوب جهاد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محمّدحسن آشتیانی رحمه الله</w:t>
      </w:r>
      <w:r>
        <w:rPr>
          <w:rStyle w:val="FootnoteAnchor"/>
          <w:rtl w:val="true"/>
        </w:rPr>
        <w:footnoteReference w:id="237"/>
      </w:r>
      <w:r>
        <w:rPr>
          <w:rFonts w:ascii="IRNazanin" w:hAnsi="IRNazanin" w:eastAsia="IRNazanin"/>
          <w:color w:val="111111"/>
          <w:sz w:val="28"/>
          <w:sz w:val="28"/>
          <w:szCs w:val="28"/>
          <w:rtl w:val="true"/>
          <w:lang w:bidi="fa-IR"/>
        </w:rPr>
        <w:t>در تنبیه اوّل از تنبیهات این قاعده ابتدا آورده است که قاعده لاحرج بر تمام انواع تکالیف حکومت دارد؛ و در احکام وجوبی، فرقی بین وجوب نفسی، غیری، تعبّدی، توصّلی، عینی و کفائی نیست؛ و سپس تصریح می‌کند که این قاعده شامل تمام اقسام تکالیف تحریمی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معنی را از حکومت قاعده لاحرج بر ادلّه تکالیف و عدم مقاومت آنها نسبت به قاعده لاحرج استفاده نموده‌اند؛ لکن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 کلام بالنّسبة إلی المحرّمات، لا من حیث شمولها، فإنّه ممّا لا إشکال فیه؛ بل من حیث أنّ التمسّک بها لتسویغ جمیع المحرّمات الإلهیّة، المتعلّقة بالنفوس والأعراض والأموال، من دون ملاحظة فتوی الفقهاء بموجبها لعلّه یوجب فقهاً جدیداً کما أشرنا إلیه سابقاً، فهذه النکتة لابدّ من ملاحظتها</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مورد اجرای قاعده نسبت به محرّمات بحثی وجود دارد؛ نه از این جهت که ادلّه لاحرج شامل محرّمات نیز می‌شود؛ چرا که در این زمینه هیچ اشکالی وجود ندارد؛ بلکه از این جهت بحث است که اجرا و تمسّک به قاعده لاحرج به‌خاطر جواز ارتکاب همه محرّمات الهی که به جان، آبرو و مال انسان تعلّق می‌گیرد، بدون در نظر گرفتن علّت فتوای فقها در این زمینه، شاید موجب تأسیس فقه جدیدی شود، همان‌گونه که قبلاً به آن اشاره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توجّه به این نکته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آشتیانی قائل است ادلّه لاحرج شامل محرّمات نیز می‌شود؛ لیکن از آنجا که مستلزم تأسیس فقه جدید بوده و دارای آثاری است که نمی‌توان به آنها ملتزم شد، لذا، نمی‌توان بر اساس آن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نکته، برای عدم جریان این قاعده در محرّمات، سه جهت دیگر به ذهن می‌رسد که هیچ‌کدام از آنها تمام نیست؛ این سه جهت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فقها و علما بر عدم جریان قاعده لاحرج در محرّمات است؛ و چنان‌چه ترک یک حرام موجب حرج باشد، فقها ارتکاب آن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موجب فساد و قتل نفس باشد، ارتکاب آن را جایز می‌دانند؛ امّا این مطلب ارتباطی به قاعده لاحرج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مناقشه‌ای که بر مطلب فوق ایراد می‌شود، این است که فقها غالباً نسبت به جریان این قاعده در محرّمات بیان و تعرّضی ندارند؛ و از این جهت، نمی‌توان گفت بنای فقها بر این مطلب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باب امتنان بر مکلّف است و ارتکاب حرام که موجب ایقاع مکلّف در مفسده است، هیچ امتنانی بر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موارد حرجی تفویت مصلحت، با امتنان مخالفت ندارد؛ بخلاف ایقاع در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مطلب نیز مخدوش است؛ زیرا، در مباحث گذشته و در بحث از روایات بیان نمودیم که ائمّه علیهم السلام در مورد محرّمات احرام، برای ارتکاب محرّم و جواز آن، در صورت حرج، به این قاعده تمسّک نموده‌اند؛ از این رو، این دلیل از قبیل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حرج، صفت برای فعل است و فعل اتّصاف به حرج پیدا می‌کند؛ از این جهت، در محرّمات فعل حرجی وجود ندارد و بلکه در ترک آن حرج وجود دارد، مگر این که گفته شود معیار عبارت از تکلیف است که هم شامل واجبات و هم شامل محرّمات می‌باشد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مطالب این می‌شود که سه نکته فوق نمی‌تواند دلالت داشته باشد بر این که قاعده لاحرج در محرّمات جریان ندارد،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عموم ادلّه و فتاوا</w:t>
      </w:r>
    </w:p>
    <w:p>
      <w:pPr>
        <w:pStyle w:val="BookText"/>
        <w:rPr/>
      </w:pPr>
      <w:r>
        <w:rPr>
          <w:rFonts w:ascii="IRNazanin" w:hAnsi="IRNazanin" w:eastAsia="IRNazanin"/>
          <w:color w:val="111111"/>
          <w:sz w:val="28"/>
          <w:sz w:val="28"/>
          <w:szCs w:val="28"/>
          <w:rtl w:val="true"/>
          <w:lang w:bidi="fa-IR"/>
        </w:rPr>
        <w:t>و روایاتی که در خصوص محرّمات احرام وارد شده است، این قاعده در محرّمات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گفته شود که بین محرّمات ذاتی و محرّمات عینی فرق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باب احرام، عنوان حرام عرضی را دارد و در حرام بالعرض، مفسده ذاتی وجود ندارد؛ و از این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لاحرج در چنین محرّماتی جریان دارد، و روایات یاد شده، بیش از این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از مجموع فتاوا و روایات می‌توان استفاده کرد که این قاعده نسبت به محرّمات صغیره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مهمّی که به عنوان حسم ماده نزاع می‌توان بیان داشت، این است که شکّی نیست قاعده لاحرج براساس ملاکی از سوی شارع جعل گردیده که نمی‌توان گفت مجرّد امتنان است، بلکه به نظر می‌رسد ملاک این قاعده، تسهیل بر مکلّفین می‌باشد؛ این عنوان به خوبی از ادلّه و مدارک قاعده استفاده می‌شود؛ خصوصاً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که از ادلّه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دوّم از ادلّه این قاعده، کلامی از امام خمینی قدس سره ذکر نمودیم که مشروعیّت تیمّم به جهت تسهیل مکلّفین است و ایشان نکته مهمّ در تشریع تیمّم را تسهیل دانسته‌اند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هم‌چنین باید توجّه داشت که عنوان تسهیل اعمّ از امتنان است؛ بدین معنا که ممکن است در موردی تسهیل باشد امّا امتنان وجود نداشته باشد و یا حتی جعل حکم بر خلاف امتنان نباشد امّا بر خلاف تسهیل باشد، و شارع به عنوان این که خصوصیت و ویژگی این دین آسان بودن آن است تا در مجموع، پذیرش آن برای انسان‌ها بهتر و سریع‌تر باشد، این قاعده را بیان فرموده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توهّم شود که بین این دو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و 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ندارد؛ به خصوص با توجّه به این که امتنان در ملاک احکام نمی‌تواند جریان داشته باشد،</w:t>
      </w:r>
    </w:p>
    <w:p>
      <w:pPr>
        <w:pStyle w:val="BookText"/>
        <w:rPr/>
      </w:pPr>
      <w:r>
        <w:rPr>
          <w:rFonts w:ascii="IRNazanin" w:hAnsi="IRNazanin" w:eastAsia="IRNazanin"/>
          <w:color w:val="111111"/>
          <w:sz w:val="28"/>
          <w:sz w:val="28"/>
          <w:szCs w:val="28"/>
          <w:rtl w:val="true"/>
          <w:lang w:bidi="fa-IR"/>
        </w:rPr>
        <w:t>چنان که در مباحث گذشته روشن نمودیم؛ در حالی که تسهیل در ملاک احکام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بین این ملاک و سائر افعال وجوبی و تحریمی از نظر ملاک مقایسه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که ملاک تسهیل بر ملاک لزومی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وجوب و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در آن مورد قاعده لاحرج جریان دارد؛ و در مواردی که ملاک وجوبی یا تحریمی مقدّم بر ملاک تسهیل باشد، دیگر قاعده لاحرج در آن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قاعده لاحرج هم در واجبات و هم در محرّمات جریان دارد؛ امّا در همه آنها جاری نیست، و بلکه نسبت به برخی از آنها با وجود اهمیّت ملاک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ظاهر و بلکه صریح کلمات مرحوم محقّق خوانساری رحمه الله استفاده می‌شود؛ ایشان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حکومة دلیل نفی الضرر ودلیل نفی الحرج علی أدلّة جمیع المحرّمات وأدلّة الواجبات، ألا تری أنّه لو اکره علی فعل الزّنا بالمحارم أو بامرأة ذات زوج بحیث لو لم یفعل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إلیه ضرر مالیّ أو اکره علی إعطاء شیء من ماله بلا عوض إذا أراد الحجّ، هل یلتزم بجواز الفعل فی الصورة الأولی والترک فی الصورة الثانیة، ویلتزم بسقوط الحجّ عن غالب النّاس فی هذه الأعصار؟ والظاهر أنّه من باب المزاحمة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دلیل قاعده لاضرر و قاعده لاحرج بر ادلّه همه محرّمات و واجبات پذیرفته نیست؛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انجام زنای با محارم و با زنای با زن شوهردار اکراه شود به‌گونه‌ای که اگر این کار را انجام ندهد، ضرری مالی متوجّه‌اش می‌شود؛ و یا اگر قصد داشته باشد که حجّ بجا آورد، مستلزم آن است که مالی را بلا عوض پرداخت کند؛ آیا در صورت اوّل می‌توان به جواز فعل زنا ملتزم شد و یا در مورد دوّم قائل به جواز ترک حجّ شد، که در این صورت، باید به سقوط حجّ از اکثر</w:t>
      </w:r>
    </w:p>
    <w:p>
      <w:pPr>
        <w:pStyle w:val="BookText"/>
        <w:rPr/>
      </w:pPr>
      <w:r>
        <w:rPr>
          <w:rFonts w:ascii="IRNazanin" w:hAnsi="IRNazanin" w:eastAsia="IRNazanin"/>
          <w:color w:val="111111"/>
          <w:sz w:val="28"/>
          <w:sz w:val="28"/>
          <w:szCs w:val="28"/>
          <w:rtl w:val="true"/>
          <w:lang w:bidi="fa-IR"/>
        </w:rPr>
        <w:t>مردم در این زمان ملتزم شد؟ ظاهر در این مسأله آن است که این موارد از باب تزاحم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مرحوم خوانساری رحمه الله نیز بالاخره مسأله را از طریق تزاحم بین ملاکات احکام حلّ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مهمّی که در اینجا باید توجّه داشت، آن است که ظاهر کلمات اصولیین در باب حکومت این است که دلیل حاکم بر دلیل محکوم مقدّم است، و هیچ ملاحظه اهمیّت ملاک را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اشکالی که مسأله تزاحم در ما نحن فیه دارد، آن است که اگر بپذیریم دلیل لاحرج بر سائر ادلّه اوّلیه حکومت دارد، دیگر چگونه می‌توانیم مسأله تزاحم بین ملاکات را مطرح نمائیم؟؛ امّا با قطع نظر از این اشکال، از نظر فقهی و دیدگاه علمی، بدون آن که در مقام فتوا باشیم،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مردی با زنی در زمان عدّه ازدواج نموده و نسبت به حرمت آن جاهل بوده است، چنان‌چه بعد از گذشت چندین سال که دارای فرزند شده‌اند، بخواهند از یکدیگر جدا شوند، موجب حرج است و در این مورد، ملاک تسهیل بر ملاک حرمت ابدی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بتوان گفت در چنین فرضی، به وسیله قاعده لاحرج، حرمت ابدی برای این زوج و زوجه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هنوز ازدواجی صورت نگرفته و یا اوائل ازدواج آنها باشد و بتوانند از یکدیگر جدا شوند، حرمت ابدی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توصیه اکید داریم که محقّقان و اهل فقه و استنباط، لازم است در این بحث تلاش بیشتری داشته باشند و به آن‌چه که یادآور شده‌ایم، اکتفا ننمایند؛ چه بسا با جریان این قاعده در محرّمات، نتایج مهمّی که جامعه بشری امروزه بدان نیاز دارد،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صناعت در استنباط، به‌طور کامل محفوظ بماند و هیچ نظری خارج از چارچوب استنباطی فقه نباشد؛ و پر واضح است که در این مسیر جز عنایت و مدد حق تعالی و استمداد از حضرات معصومین علیهم السلام چیز دیگری نمی‌تواند چراغ راه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للّه‌ربّ العالمین</w:t>
      </w:r>
      <w:r>
        <w:rPr>
          <w:rFonts w:eastAsia="IRNazanin" w:cs="IRNazanin"/>
          <w:color w:val="111111"/>
          <w:sz w:val="28"/>
          <w:szCs w:val="28"/>
          <w:rtl w:val="true"/>
          <w:lang w:bidi="fa-IR"/>
        </w:rPr>
        <w:t>.</w:t>
      </w:r>
      <w:bookmarkStart w:id="295" w:name="pg844_8292"/>
    </w:p>
    <w:p>
      <w:pPr>
        <w:pStyle w:val="Heading3"/>
        <w:numPr>
          <w:ilvl w:val="2"/>
          <w:numId w:val="1"/>
        </w:numPr>
        <w:rPr/>
      </w:pPr>
      <w:bookmarkStart w:id="296" w:name="__RefHeading___Toc6877440_211673320"/>
      <w:bookmarkStart w:id="297" w:name="_Toc113"/>
      <w:bookmarkEnd w:id="295"/>
      <w:bookmarkEnd w:id="296"/>
      <w:r>
        <w:rPr>
          <w:rtl w:val="true"/>
        </w:rPr>
        <w:t>تنبیه ششم</w:t>
      </w:r>
      <w:r>
        <w:rPr>
          <w:rtl w:val="true"/>
        </w:rPr>
        <w:t xml:space="preserve">: </w:t>
      </w:r>
      <w:r>
        <w:rPr>
          <w:rtl w:val="true"/>
        </w:rPr>
        <w:t>نسبت بین قاعده لاحرج و حقوق</w:t>
      </w:r>
      <w:bookmarkEnd w:id="297"/>
    </w:p>
    <w:p>
      <w:pPr>
        <w:pStyle w:val="BookText"/>
        <w:rPr/>
      </w:pPr>
      <w:r>
        <w:rPr>
          <w:rFonts w:ascii="IRNazanin" w:hAnsi="IRNazanin" w:eastAsia="IRNazanin"/>
          <w:color w:val="111111"/>
          <w:sz w:val="28"/>
          <w:sz w:val="28"/>
          <w:szCs w:val="28"/>
          <w:rtl w:val="true"/>
          <w:lang w:bidi="fa-IR"/>
        </w:rPr>
        <w:t>تنبیه ششم</w:t>
      </w:r>
    </w:p>
    <w:p>
      <w:pPr>
        <w:pStyle w:val="BookText"/>
        <w:rPr/>
      </w:pPr>
      <w:r>
        <w:rPr>
          <w:rFonts w:ascii="IRNazanin" w:hAnsi="IRNazanin" w:eastAsia="IRNazanin"/>
          <w:color w:val="111111"/>
          <w:sz w:val="28"/>
          <w:sz w:val="28"/>
          <w:szCs w:val="28"/>
          <w:rtl w:val="true"/>
          <w:lang w:bidi="fa-IR"/>
        </w:rPr>
        <w:t>نسبت بین قاعده لاحرج و حقوق</w:t>
      </w:r>
    </w:p>
    <w:p>
      <w:pPr>
        <w:pStyle w:val="BookText"/>
        <w:rPr/>
      </w:pPr>
      <w:r>
        <w:rPr>
          <w:rFonts w:ascii="IRNazanin" w:hAnsi="IRNazanin" w:eastAsia="IRNazanin"/>
          <w:color w:val="111111"/>
          <w:sz w:val="28"/>
          <w:sz w:val="28"/>
          <w:szCs w:val="28"/>
          <w:rtl w:val="true"/>
          <w:lang w:bidi="fa-IR"/>
        </w:rPr>
        <w:t xml:space="preserve">در فقه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عناوین رائج و شایع می‌باشد؛ و در مواردی، حقوقی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حقّ خیار، حقّ ابوّت و ولایت پدر بر فرزند، حقّ حاکم، حق زوج بر زوجه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قاعده لاحرج همان‌طور که می‌تواند احکام تکلیفی وجوب را رفع نماید، رافع حقوق نیز می‌باشد یا خیر؟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رعایت حق پدر و مادر مستلزم حرج باشد، یا اجازه از پدر در عقد دختر بالغه رشیده موجب حرج باشد، یا در مواردی که رعایت حق حضانت ملازم با حرج باشد و یا اگر رعایت حق زوج نسبت به اجازه زوجه برای خروج از منزل، حرجی باشد، آیا می‌توان گفت به وسیله قاعده لاحرج این نوع از حقوق ساقط می‌شود؟</w:t>
      </w:r>
    </w:p>
    <w:p>
      <w:pPr>
        <w:pStyle w:val="BookText"/>
        <w:rPr/>
      </w:pPr>
      <w:r>
        <w:rPr>
          <w:rFonts w:ascii="IRNazanin" w:hAnsi="IRNazanin" w:eastAsia="IRNazanin"/>
          <w:color w:val="111111"/>
          <w:sz w:val="28"/>
          <w:sz w:val="28"/>
          <w:szCs w:val="28"/>
          <w:rtl w:val="true"/>
          <w:lang w:bidi="fa-IR"/>
        </w:rPr>
        <w:t xml:space="preserve">این نزاع در صورتی صحیح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عنوان مستقلّی باشد، امّا اگر گفته شود تمام موارد حقوق، منتزع از احکام تکلیفی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رسالۀ فرق میان حقّ و حکم و تکلیف، این نظریه را قائل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مجالی برای این بحث باقی نمی‌ماند و با جریان قاعده لاحرج در احکام تکلیفی، حقوق منتزعه از آنها نیز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نزاع در این بحث بر اساس مبنای اوّل صحیح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در باب حق حضانت این مطلب را پذیرفته‌اند که اگر مادر برای شیردادن طفل، اجرت زیادی درخواست کند، بر پدر قبول آن واجب نیست و بلکه می‌تواند کودک را به دایه دیگری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جماعتی از فقها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سیّد طباطبائی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قائل به سقوط حق حضانت شده‌اند و برای این مدّعا به ادلّه نفی عسر و حرج استدلال نموده‌اند؛ چرا که قول به عدم سقوط، مستلزم رجوع و تردّد دایه به مادر برای شیردهی است و چه بسا این تردّد در یک شبانه‌روز در مرتبه‌های فراوانی باشد، خصوصاً در ماه‌های اوّلیه که کودک نیاز بیشتری به شیر دارد؛ و پر واضح است که این عمل از مصادیق روشن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رحمه الله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استلزام بقاء حقّ الحضانة مع انتفاء حقّ الرضاعة، العسر والحرج والضرر بتردّد المرضعة إلی الأمّ فی کلّ وقت یحتاج إلی الإرضاع، وهما منفیّان آیة وروایة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لاحرج نسبت به حقوق نیز جریان پیدا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جریان این قاعده فقط نسبت به حقوقی است که در شرع از طرف شارع مقدّس به عنوان دین تشریع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حضانة، ولایت پدر بر دختر بالغه رشیده و حتّی رعایت حق حاکم و حق زوج؛ امّا اگر حقوقی با قطع نظر از شریعت و دین ثابت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انواع حقوق عقلائیه‌ای که در میان مردم وجود دارد و یا حق خیار که به وسیله متعاقدین ایجاد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خیار مجلس که باید متعاقدین موضوع آن را ایجاد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نمی‌توان قاعده لاحرج را جاری نمود؛ به دلیل آن که از قاعده استفاده می‌شود شارع مقدّس به عنوان دین، حکم یا حقّ حرجی را جعل ننموده است و این شامل حق خیار و یا حقوق ثابت عقلائی نمی‌شود</w:t>
      </w:r>
      <w:r>
        <w:rPr>
          <w:rFonts w:eastAsia="IRNazanin" w:cs="IRNazanin"/>
          <w:color w:val="111111"/>
          <w:sz w:val="28"/>
          <w:szCs w:val="28"/>
          <w:rtl w:val="true"/>
          <w:lang w:bidi="fa-IR"/>
        </w:rPr>
        <w:t>.</w:t>
      </w:r>
      <w:bookmarkStart w:id="298" w:name="pg844_8296"/>
    </w:p>
    <w:p>
      <w:pPr>
        <w:pStyle w:val="Heading3"/>
        <w:numPr>
          <w:ilvl w:val="2"/>
          <w:numId w:val="1"/>
        </w:numPr>
        <w:rPr/>
      </w:pPr>
      <w:bookmarkStart w:id="299" w:name="__RefHeading___Toc6877442_211673320"/>
      <w:bookmarkStart w:id="300" w:name="_Toc114"/>
      <w:bookmarkEnd w:id="298"/>
      <w:bookmarkEnd w:id="299"/>
      <w:r>
        <w:rPr>
          <w:rtl w:val="true"/>
        </w:rPr>
        <w:t>تنبیه هفتم</w:t>
      </w:r>
      <w:r>
        <w:rPr>
          <w:rtl w:val="true"/>
        </w:rPr>
        <w:t xml:space="preserve">: </w:t>
      </w:r>
      <w:r>
        <w:rPr>
          <w:rtl w:val="true"/>
        </w:rPr>
        <w:t>تعارض بین قاعده لاحرج و قاعده لاضرر</w:t>
      </w:r>
      <w:bookmarkEnd w:id="300"/>
    </w:p>
    <w:p>
      <w:pPr>
        <w:pStyle w:val="BookText"/>
        <w:rPr/>
      </w:pPr>
      <w:r>
        <w:rPr>
          <w:rFonts w:ascii="IRNazanin" w:hAnsi="IRNazanin" w:eastAsia="IRNazanin"/>
          <w:color w:val="111111"/>
          <w:sz w:val="28"/>
          <w:sz w:val="28"/>
          <w:szCs w:val="28"/>
          <w:rtl w:val="true"/>
          <w:lang w:bidi="fa-IR"/>
        </w:rPr>
        <w:t>تنبیه هفتم</w:t>
      </w:r>
    </w:p>
    <w:p>
      <w:pPr>
        <w:pStyle w:val="BookText"/>
        <w:rPr/>
      </w:pPr>
      <w:r>
        <w:rPr>
          <w:rFonts w:ascii="IRNazanin" w:hAnsi="IRNazanin" w:eastAsia="IRNazanin"/>
          <w:color w:val="111111"/>
          <w:sz w:val="28"/>
          <w:sz w:val="28"/>
          <w:szCs w:val="28"/>
          <w:rtl w:val="true"/>
          <w:lang w:bidi="fa-IR"/>
        </w:rPr>
        <w:t>تعارض بین قاعده لاحرج و قاعده لاضرر</w:t>
      </w:r>
    </w:p>
    <w:p>
      <w:pPr>
        <w:pStyle w:val="BookText"/>
        <w:rPr/>
      </w:pPr>
      <w:r>
        <w:rPr>
          <w:rFonts w:ascii="IRNazanin" w:hAnsi="IRNazanin" w:eastAsia="IRNazanin"/>
          <w:color w:val="111111"/>
          <w:sz w:val="28"/>
          <w:sz w:val="28"/>
          <w:szCs w:val="28"/>
          <w:rtl w:val="true"/>
          <w:lang w:bidi="fa-IR"/>
        </w:rPr>
        <w:t>مسأله مورد بحث در این تنبیه آن است که چنان‌چه بین این دو قاعده تعارض واقع شود، مقتضای قاعده چیست؟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در خانه خود چاه فاضلاب حفر نماید به گونه‌ای که احداث آن موجب ضرر به همسایه شود، قاعده 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تفسیر مشهور که معتقدند بر احکام اولیه حکومت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بخواهیم این شخص را از حفر چاه منع نماییم و ملزم شود به این‌که فضولات منزل را هر روز به خارج خانه حمل کند و آن‌ها را در محلّی بعید قرار دهد، موجب حرج و مشقّت بر اوست؛ در نتیجه، بین قاعده لاضرر که مانع از حفر چاه است و قاعده لاحرج که به او اجازه حفر می‌دهد، تعارض واقع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در اواخر بحث قاعده لاضرر ابتدا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حق را به مالک خانه دهیم و او اجازه دارد که چاه را حفر کند؛ از این جهت که این دو قاعده در یک مرتبه واحده هستند و بعد از تعارض و تساقط،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این احتمال را یادآور می‌شود که قاعده لاحرج بر قاعده لاضرر حکومت دارد؛ در حالی که منشأ این احتمال را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رحمه الله</w:t>
      </w:r>
      <w:r>
        <w:rPr>
          <w:rStyle w:val="FootnoteAnchor"/>
          <w:rtl w:val="true"/>
        </w:rPr>
        <w:footnoteReference w:id="246"/>
      </w:r>
      <w:r>
        <w:rPr>
          <w:rFonts w:ascii="IRNazanin" w:hAnsi="IRNazanin" w:eastAsia="IRNazanin"/>
          <w:color w:val="111111"/>
          <w:sz w:val="28"/>
          <w:sz w:val="28"/>
          <w:szCs w:val="28"/>
          <w:rtl w:val="true"/>
          <w:lang w:bidi="fa-IR"/>
        </w:rPr>
        <w:t>در مورد منشأ این احتمال مرحوم شیخ انصاری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مبتنی بر دو مقدمه است که هر دو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مقدّمه آن است که شیخ رحمه الله می‌بایست تعارض بین لاحرج و لاضرر را تصویر نماید؛ امّا از آنجا که هر دو قاعده عنوان عدمی دارند، نمی‌توان بین آنها تعارض را تصویر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مقدّمه آن که ایشان باید ملتزم شود که لاحرج متأخّر از لاضرر است تا بتواند ناظر و حاکم بر آن باشد؛ در حالی که این دو قاعده در یک مرتبه واحد و در عرض یکدیگرند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قسمت اوّل کلام میرزای نائینی رحمه الله این مناقشه وارد است که ملاک در تعارض تنافی و تکاذب است که بین دو امر عدمی نیز تحقّق دارد؛ و تصویر آن از این جهت است که عدم مضاف مانند عدم مطلق نیست و آثار وجودی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دوّم کلام ایشان متین است و این دو قاعده در عرض و مرتبه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حکومت یکی بر دیگری را پذیرفت؛ گرچه ممکن است گفته شود در حکومت لازم نیست که دلیل حاکم متأخّر از دلیل محکوم باشد و مجرّد ناظر بودن کافی می‌باشد؛ با این حال این دو دلیل هیچکدام ناظر بر یکدیگر نیستند و در فرض تعارض، تساقط می‌نمایند و باید به ادلّه دیگر مراجعه نمود</w:t>
      </w:r>
      <w:r>
        <w:rPr>
          <w:rFonts w:eastAsia="IRNazanin" w:cs="IRNazanin"/>
          <w:color w:val="111111"/>
          <w:sz w:val="28"/>
          <w:szCs w:val="28"/>
          <w:rtl w:val="true"/>
          <w:lang w:bidi="fa-IR"/>
        </w:rPr>
        <w:t>.</w:t>
      </w:r>
      <w:bookmarkStart w:id="301" w:name="pg844_8300"/>
    </w:p>
    <w:p>
      <w:pPr>
        <w:pStyle w:val="Heading3"/>
        <w:numPr>
          <w:ilvl w:val="2"/>
          <w:numId w:val="1"/>
        </w:numPr>
        <w:rPr/>
      </w:pPr>
      <w:bookmarkStart w:id="302" w:name="__RefHeading___Toc6877444_211673320"/>
      <w:bookmarkStart w:id="303" w:name="_Toc115"/>
      <w:bookmarkEnd w:id="301"/>
      <w:bookmarkEnd w:id="302"/>
      <w:r>
        <w:rPr>
          <w:rtl w:val="true"/>
        </w:rPr>
        <w:t>تنبیه هشتم</w:t>
      </w:r>
      <w:r>
        <w:rPr>
          <w:rtl w:val="true"/>
        </w:rPr>
        <w:t xml:space="preserve">: </w:t>
      </w:r>
      <w:r>
        <w:rPr>
          <w:rtl w:val="true"/>
        </w:rPr>
        <w:t>عدم شمول قاعده نسبت به احکام غیرالزامی</w:t>
      </w:r>
      <w:bookmarkEnd w:id="303"/>
    </w:p>
    <w:p>
      <w:pPr>
        <w:pStyle w:val="Heading4"/>
        <w:numPr>
          <w:ilvl w:val="3"/>
          <w:numId w:val="1"/>
        </w:numPr>
        <w:rPr/>
      </w:pPr>
      <w:bookmarkStart w:id="304" w:name="__RefHeading___Toc6877446_211673320"/>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تنبیه هشتم</w:t>
      </w:r>
    </w:p>
    <w:p>
      <w:pPr>
        <w:pStyle w:val="BookText"/>
        <w:rPr/>
      </w:pPr>
      <w:r>
        <w:rPr>
          <w:rFonts w:ascii="IRNazanin" w:hAnsi="IRNazanin" w:eastAsia="IRNazanin"/>
          <w:color w:val="111111"/>
          <w:sz w:val="28"/>
          <w:sz w:val="28"/>
          <w:szCs w:val="28"/>
          <w:rtl w:val="true"/>
          <w:lang w:bidi="fa-IR"/>
        </w:rPr>
        <w:t>عدم شمول قاعده نسبت به احکام غیرالزامی</w:t>
      </w:r>
    </w:p>
    <w:p>
      <w:pPr>
        <w:pStyle w:val="BookText"/>
        <w:rPr/>
      </w:pPr>
      <w:r>
        <w:rPr>
          <w:rFonts w:ascii="IRNazanin" w:hAnsi="IRNazanin" w:eastAsia="IRNazanin"/>
          <w:color w:val="111111"/>
          <w:sz w:val="28"/>
          <w:sz w:val="28"/>
          <w:szCs w:val="28"/>
          <w:rtl w:val="true"/>
          <w:lang w:bidi="fa-IR"/>
        </w:rPr>
        <w:t>آیا قاعده لاحرج همان‌طور که نسبت به ادلّه تکالیف الزامی حکومت دارد، نسبت به تکالیف استحبابی یا کراهتی نیز چنین است؟ به عبارت دیگر، چنان‌چه انجام یک فعل مستحبّی مستلزم حرج باشد، آیا شارع دیگر استحبابی برای آن قائل نیست؟</w:t>
      </w:r>
    </w:p>
    <w:p>
      <w:pPr>
        <w:pStyle w:val="BookText"/>
        <w:rPr/>
      </w:pPr>
      <w:r>
        <w:rPr>
          <w:rFonts w:ascii="IRNazanin" w:hAnsi="IRNazanin" w:eastAsia="IRNazanin"/>
          <w:color w:val="111111"/>
          <w:sz w:val="28"/>
          <w:sz w:val="28"/>
          <w:szCs w:val="28"/>
          <w:rtl w:val="true"/>
          <w:lang w:bidi="fa-IR"/>
        </w:rPr>
        <w:t xml:space="preserve">از یک سو اطلاق لاحرج اقتضای شمول دارد؛ چه آن 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مستحبّات نیز می‌شود؛ بنابراین، اگر یک فعل مستحبّی مقارن یا مستلزم حرج باشد، نمی‌توان گفت شارع مقدّس به عنوان دین برای آن فعل، استحباب قائل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سوی دیگر، ملاحظه می‌کنیم، فقها</w:t>
      </w:r>
      <w:r>
        <w:rPr>
          <w:rStyle w:val="FootnoteAnchor"/>
          <w:rtl w:val="true"/>
        </w:rPr>
        <w:footnoteReference w:id="247"/>
      </w:r>
      <w:r>
        <w:rPr>
          <w:rFonts w:ascii="IRNazanin" w:hAnsi="IRNazanin" w:eastAsia="IRNazanin"/>
          <w:color w:val="111111"/>
          <w:sz w:val="28"/>
          <w:sz w:val="28"/>
          <w:szCs w:val="28"/>
          <w:rtl w:val="true"/>
          <w:lang w:bidi="fa-IR"/>
        </w:rPr>
        <w:t>فتوا داده‌اند که عبادات شاقّ مستحبّه صحیح است و اگر کسی تمام ایّام سال بجز عیدین را روزه بگیرد، صحیح است؛ هرچند که این روزه برای او حرجی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 که قاعدۀ لاحرج از باب لطف و امتنان است، اقتضا دارد که این قاعده فقط در الزامیّات جریان پیدا کند</w:t>
      </w:r>
      <w:r>
        <w:rPr>
          <w:rFonts w:eastAsia="IRNazanin" w:cs="IRNazanin"/>
          <w:color w:val="111111"/>
          <w:sz w:val="28"/>
          <w:szCs w:val="28"/>
          <w:rtl w:val="true"/>
          <w:lang w:bidi="fa-IR"/>
        </w:rPr>
        <w:t>.</w:t>
      </w:r>
      <w:bookmarkStart w:id="306" w:name="pg844_8302"/>
    </w:p>
    <w:p>
      <w:pPr>
        <w:pStyle w:val="Heading4"/>
        <w:numPr>
          <w:ilvl w:val="3"/>
          <w:numId w:val="1"/>
        </w:numPr>
        <w:rPr/>
      </w:pPr>
      <w:bookmarkStart w:id="307" w:name="__RefHeading___Toc6877448_211673320"/>
      <w:bookmarkStart w:id="308" w:name="_Toc117"/>
      <w:bookmarkEnd w:id="306"/>
      <w:bookmarkEnd w:id="307"/>
      <w:r>
        <w:rPr>
          <w:rtl w:val="true"/>
        </w:rPr>
        <w:t>بیان صاحب فصول رحمه الله</w:t>
      </w:r>
      <w:bookmarkEnd w:id="308"/>
    </w:p>
    <w:p>
      <w:pPr>
        <w:pStyle w:val="BookText"/>
        <w:rPr/>
      </w:pPr>
      <w:r>
        <w:rPr>
          <w:rFonts w:ascii="IRNazanin" w:hAnsi="IRNazanin" w:eastAsia="IRNazanin"/>
          <w:color w:val="111111"/>
          <w:sz w:val="28"/>
          <w:sz w:val="28"/>
          <w:szCs w:val="28"/>
          <w:rtl w:val="true"/>
          <w:lang w:bidi="fa-IR"/>
        </w:rPr>
        <w:t>مرحوم صاحب فصول رحمه الله در این زمینه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نفی الحرج مختصّ بالإیجاب والتحریم دون الندب والکراهة، لأنّ الحرج إنّما هو فی الإلزام لا الترغیب فی الفعل لنیل الثواب إذا رخصّ فی المخالفة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قاعده نفی حرج به واجبات و محرّمات اختصاص دارد و شامل مستحبّات و مکروهات نمی‌شود؛ زیرا، سختی و مشقّت فقط در اجبار است؛ و در تشویق به انجام عملی به‌خاطر رسیدن به ثواب آن، مشقّتی وجود ندارد؛ چراکه عدم انجام آن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در موردی که الزامی وجود ندارد، دیگر حرج معنا ندارد و موضوع آن منتفی است</w:t>
      </w:r>
      <w:r>
        <w:rPr>
          <w:rFonts w:eastAsia="IRNazanin" w:cs="IRNazanin"/>
          <w:color w:val="111111"/>
          <w:sz w:val="28"/>
          <w:szCs w:val="28"/>
          <w:rtl w:val="true"/>
          <w:lang w:bidi="fa-IR"/>
        </w:rPr>
        <w:t>.</w:t>
      </w:r>
    </w:p>
    <w:p>
      <w:pPr>
        <w:pStyle w:val="Heading4"/>
        <w:numPr>
          <w:ilvl w:val="3"/>
          <w:numId w:val="1"/>
        </w:numPr>
        <w:rPr/>
      </w:pPr>
      <w:bookmarkStart w:id="309" w:name="__RefHeading___Toc6877450_211673320"/>
      <w:bookmarkStart w:id="310" w:name="_Toc118"/>
      <w:bookmarkEnd w:id="309"/>
      <w:r>
        <w:rPr>
          <w:rtl w:val="true"/>
        </w:rPr>
        <w:t>اشکال بر صاحب فصول رحمه الله</w:t>
      </w:r>
      <w:bookmarkEnd w:id="310"/>
    </w:p>
    <w:p>
      <w:pPr>
        <w:pStyle w:val="BookText"/>
        <w:rPr/>
      </w:pPr>
      <w:r>
        <w:rPr>
          <w:rFonts w:ascii="IRNazanin" w:hAnsi="IRNazanin" w:eastAsia="IRNazanin"/>
          <w:color w:val="111111"/>
          <w:sz w:val="28"/>
          <w:sz w:val="28"/>
          <w:szCs w:val="28"/>
          <w:rtl w:val="true"/>
          <w:lang w:bidi="fa-IR"/>
        </w:rPr>
        <w:t>به نظر می‌رسد استدلال صاحب فصول رحمه الله صحیح نیست؛ زیرا، وجود و عدم حرج ارتباطی به الزام و عدم الزام ندارد؛ چه آن که، حرج مربوط به ذات فعل، نسبت به مکلّف است با قطع نظر از این که نسبت به آن جعلی تحقّق پیدا کند یا نکند؛ در حالی که بر اساس کلام صاحب فصول رحمه الله حرج از ناحیه جعل الزامی شارع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ترخیص در مخالفت، موجب انتفای حرج خواهد بود</w:t>
      </w:r>
      <w:r>
        <w:rPr>
          <w:rFonts w:eastAsia="IRNazanin" w:cs="IRNazanin"/>
          <w:color w:val="111111"/>
          <w:sz w:val="28"/>
          <w:szCs w:val="28"/>
          <w:rtl w:val="true"/>
          <w:lang w:bidi="fa-IR"/>
        </w:rPr>
        <w:t>.</w:t>
      </w:r>
    </w:p>
    <w:p>
      <w:pPr>
        <w:pStyle w:val="Heading4"/>
        <w:numPr>
          <w:ilvl w:val="3"/>
          <w:numId w:val="1"/>
        </w:numPr>
        <w:rPr/>
      </w:pPr>
      <w:bookmarkStart w:id="311" w:name="__RefHeading___Toc6877452_211673320"/>
      <w:bookmarkStart w:id="312" w:name="_Toc119"/>
      <w:bookmarkEnd w:id="311"/>
      <w:r>
        <w:rPr>
          <w:rtl w:val="true"/>
        </w:rPr>
        <w:t>کلام میرزای آشتیانی رحمه الله</w:t>
      </w:r>
      <w:bookmarkEnd w:id="31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میرزامحمّدحسن آشتیانی رحمه الله قائل است که در غیر الزامیات نیز موضوع حرج محقّق است؛ امّا ظاهر از ادلّه قاعده این است که شارع سببیّت در القای مردم در حرج</w:t>
      </w:r>
      <w:bookmarkStart w:id="313" w:name="pg844_8304"/>
    </w:p>
    <w:p>
      <w:pPr>
        <w:pStyle w:val="BookText"/>
        <w:rPr/>
      </w:pPr>
      <w:bookmarkEnd w:id="313"/>
      <w:r>
        <w:rPr>
          <w:rFonts w:ascii="IRNazanin" w:hAnsi="IRNazanin" w:eastAsia="IRNazanin"/>
          <w:color w:val="111111"/>
          <w:sz w:val="28"/>
          <w:sz w:val="28"/>
          <w:szCs w:val="28"/>
          <w:rtl w:val="true"/>
          <w:lang w:bidi="fa-IR"/>
        </w:rPr>
        <w:t>نداشته باشد و وقوع مردم در حرج مستند به شارع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وقوع مردم در حرج مستند به خود آنان باشد، دیگر مشمول این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مرحوم آشتیانی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أدلّته عدم تسبّب الشارع وجعله لإلقاء النّاس فی الحرج، بحیث یستند وقوعهم فیه إلی جعله، فلا یشمل ما رخصّ الشارع فی ترکه؛ لأجل ذلک لا لعدم صدق أصل الموضوع مع الترخیص المذکور</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6877454_211673320"/>
      <w:bookmarkStart w:id="315" w:name="_Toc120"/>
      <w:bookmarkEnd w:id="314"/>
      <w:r>
        <w:rPr>
          <w:rtl w:val="true"/>
        </w:rPr>
        <w:t>مناقشه در کلام آشتیانی رحمه الله</w:t>
      </w:r>
      <w:bookmarkEnd w:id="315"/>
    </w:p>
    <w:p>
      <w:pPr>
        <w:pStyle w:val="BookText"/>
        <w:rPr/>
      </w:pPr>
      <w:r>
        <w:rPr>
          <w:rFonts w:ascii="IRNazanin" w:hAnsi="IRNazanin" w:eastAsia="IRNazanin"/>
          <w:color w:val="111111"/>
          <w:sz w:val="28"/>
          <w:sz w:val="28"/>
          <w:szCs w:val="28"/>
          <w:rtl w:val="true"/>
          <w:lang w:bidi="fa-IR"/>
        </w:rPr>
        <w:t>بر این کلام مرحوم آشتیانی رحمه الله نیز مناقشه‌ای وارد است و آن این که شارع با جعل حکم استحبابی که امتثال آن موجب حرج باشد، سبب برای ایقاع مکلّف در حرج می‌شود؛ و از این جهت، فرقی بین الزام و غیرالزام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خروج غیر الزامیات هیچ بیانی غیر از این که این قاعده در مقام لطف و امتنان بوده و این امر فقط در الزامیات معنادار است، وجود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به این نکته نیز لازم است که اگر مفاد قاعده لاحرج را یک معنای ترخیصی و از باب رخصت بدانیم، می‌توان گفت این قاعده در غیر الزامیّات جریان ندارد؛ امّا بنا بر مبنایی که قبلاً اختیار نمودیم و این قاعده را از باب عزیمت دانستیم،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در غیر الزامیّات نیز جریان دارد؛ به خصوص نسبت به مکروهات که چنان چه یک عمل مکروهی، ترک آن حرجی باشد، می‌توان گفت قاعده لاحرج، کراهت را بر می‌دارد؛ و با وجود حرج، شارع نمی‌تواند کراهت را ثابت بداند؛ حتّی اگر در مورد محرّمات قائل به عدم جریان قاعده شویم؛ امّا ظاهراً واضح است که قاعده در مکروهات جریان پیدا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 غیر الزامیّات نیز جریان دارد؛ و این‌که فقها در مستحبّات اگر هم حرجی باشد، فتوی به صحّت داده‌اند، دلیل بر عدم جریان قاعده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چنین مواردی با توجّه به ترغیب‌های فراوان، دلیل و قرینه وجود دارد که با وجود حرج نیز استحباب به قوّت خود باقی است و در هر موردی که قرینه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مطلب را ملتزم شد؛ امّا در مودی که قرینه وجود ندارد، باید طبق قاعده لاحرج، استحباب را مرتفع بدانیم</w:t>
      </w:r>
      <w:r>
        <w:rPr>
          <w:rFonts w:eastAsia="IRNazanin" w:cs="IRNazanin"/>
          <w:color w:val="111111"/>
          <w:sz w:val="28"/>
          <w:szCs w:val="28"/>
          <w:rtl w:val="true"/>
          <w:lang w:bidi="fa-IR"/>
        </w:rPr>
        <w:t>.</w:t>
      </w:r>
      <w:bookmarkStart w:id="316" w:name="pg844_8308"/>
    </w:p>
    <w:p>
      <w:pPr>
        <w:pStyle w:val="Heading3"/>
        <w:numPr>
          <w:ilvl w:val="2"/>
          <w:numId w:val="1"/>
        </w:numPr>
        <w:rPr/>
      </w:pPr>
      <w:bookmarkStart w:id="317" w:name="__RefHeading___Toc6877456_211673320"/>
      <w:bookmarkStart w:id="318" w:name="_Toc121"/>
      <w:bookmarkEnd w:id="316"/>
      <w:bookmarkEnd w:id="317"/>
      <w:r>
        <w:rPr>
          <w:rtl w:val="true"/>
        </w:rPr>
        <w:t>تنبیه نهم</w:t>
      </w:r>
      <w:r>
        <w:rPr>
          <w:rtl w:val="true"/>
        </w:rPr>
        <w:t xml:space="preserve">: </w:t>
      </w:r>
      <w:r>
        <w:rPr>
          <w:rtl w:val="true"/>
        </w:rPr>
        <w:t>جریان قاعده در موارد سببیّت مکلّف برای حرج</w:t>
      </w:r>
      <w:bookmarkEnd w:id="318"/>
    </w:p>
    <w:p>
      <w:pPr>
        <w:pStyle w:val="Heading4"/>
        <w:numPr>
          <w:ilvl w:val="3"/>
          <w:numId w:val="1"/>
        </w:numPr>
        <w:rPr/>
      </w:pPr>
      <w:bookmarkStart w:id="319" w:name="__RefHeading___Toc6877458_211673320"/>
      <w:bookmarkStart w:id="320" w:name="_Toc12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تنبیه نهم</w:t>
      </w:r>
    </w:p>
    <w:p>
      <w:pPr>
        <w:pStyle w:val="BookText"/>
        <w:rPr/>
      </w:pPr>
      <w:r>
        <w:rPr>
          <w:rFonts w:ascii="IRNazanin" w:hAnsi="IRNazanin" w:eastAsia="IRNazanin"/>
          <w:color w:val="111111"/>
          <w:sz w:val="28"/>
          <w:sz w:val="28"/>
          <w:szCs w:val="28"/>
          <w:rtl w:val="true"/>
          <w:lang w:bidi="fa-IR"/>
        </w:rPr>
        <w:t>جریان قاعده در موارد سببیّت مکلّف برای حرج</w:t>
      </w:r>
    </w:p>
    <w:p>
      <w:pPr>
        <w:pStyle w:val="BookText"/>
        <w:rPr/>
      </w:pPr>
      <w:r>
        <w:rPr>
          <w:rFonts w:ascii="IRNazanin" w:hAnsi="IRNazanin" w:eastAsia="IRNazanin"/>
          <w:color w:val="111111"/>
          <w:sz w:val="28"/>
          <w:sz w:val="28"/>
          <w:szCs w:val="28"/>
          <w:rtl w:val="true"/>
          <w:lang w:bidi="fa-IR"/>
        </w:rPr>
        <w:t>تنبیه نهم پاسخ به این پرسش است که آیا قاعدۀ لاحرج در مواردی که مکلّف سبب در تحقّق حرج باشد، جریان 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بیماری، خود را عمداً به جنابت اندازد، و از طرفی غسل برای او ضرری و یا حرجی باشد، آیا در این مورد به وسیله قاعده لاحرج می‌توان وجوب غسل را برداشت یا خیر؟</w:t>
      </w:r>
    </w:p>
    <w:p>
      <w:pPr>
        <w:pStyle w:val="BookText"/>
        <w:rPr/>
      </w:pPr>
      <w:r>
        <w:rPr>
          <w:rFonts w:ascii="IRNazanin" w:hAnsi="IRNazanin" w:eastAsia="IRNazanin"/>
          <w:color w:val="111111"/>
          <w:sz w:val="28"/>
          <w:sz w:val="28"/>
          <w:szCs w:val="28"/>
          <w:rtl w:val="true"/>
          <w:lang w:bidi="fa-IR"/>
        </w:rPr>
        <w:t>ممکن است گفته شود آن چه مستفاد از دلیل این قاعده می‌باشد آن است که شارع و دین، مکلّف را در حرج قرار نمی‌دهد و از ناحیه شارع، حکم حرجی جعل نشده است؛ و در مواردی که حرج مستند به شارع نباشد، دیگر مرفوع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در باب مقدّمات انسداد، برخی در اعتراض به بطلان احتیاط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احتیاط به جهت اشتباه احکام و اختفای آن است و منشأ این امر، مکلّفین و کوتاهی آنان در حفظ احکام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21" w:name="__RefHeading___Toc6877460_211673320"/>
      <w:bookmarkStart w:id="322" w:name="_Toc123"/>
      <w:bookmarkEnd w:id="321"/>
      <w:r>
        <w:rPr>
          <w:rtl w:val="true"/>
        </w:rPr>
        <w:t>بیان میرزای آشتیانی رحمه الله</w:t>
      </w:r>
      <w:bookmarkEnd w:id="322"/>
    </w:p>
    <w:p>
      <w:pPr>
        <w:pStyle w:val="BookText"/>
        <w:rPr/>
      </w:pPr>
      <w:r>
        <w:rPr>
          <w:rFonts w:ascii="IRNazanin" w:hAnsi="IRNazanin" w:eastAsia="IRNazanin"/>
          <w:color w:val="111111"/>
          <w:sz w:val="28"/>
          <w:sz w:val="28"/>
          <w:szCs w:val="28"/>
          <w:rtl w:val="true"/>
          <w:lang w:bidi="fa-IR"/>
        </w:rPr>
        <w:t>مرحوم محقّق آشتیانی رحمه الله این مطلب را نپذیرفته و در جریان لاحرج فرقی بین این دو قسم قائل نیست و نسبت به این دو مورد جواب داده‌اند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ورد فی خصوص المثال المزبور فظاهره، بل صریحه، لزوم</w:t>
      </w:r>
      <w:bookmarkStart w:id="323" w:name="pg844_8310"/>
    </w:p>
    <w:p>
      <w:pPr>
        <w:pStyle w:val="BookText"/>
        <w:rPr/>
      </w:pPr>
      <w:bookmarkEnd w:id="323"/>
      <w:r>
        <w:rPr>
          <w:rFonts w:ascii="IRNazanin" w:hAnsi="IRNazanin" w:eastAsia="IRNazanin"/>
          <w:color w:val="111111"/>
          <w:sz w:val="28"/>
          <w:sz w:val="28"/>
          <w:szCs w:val="28"/>
          <w:rtl w:val="true"/>
          <w:lang w:bidi="fa-IR"/>
        </w:rPr>
        <w:t>الغسل مع التضرّر أیضاً، ولا یظنّ أن یلتزم به أحد، وعلی تقدیر القول به، من جهة الروایة، یخرج عن مفروض البحث؛ لأنّها أخصّ من عمومات نفی الحرج، ومنه یظهر بطلان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بالإلتزام بوجوب الإحتیاط عند إنسداد باب العلم بالأحکام؛ نظراً إلی عدم شمول دلیل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الحرج فی الفرض ممّا یوجب اختلال النظام، فیکون رفعه عقلیّاً لا شرعیّاً حتّی یمکن القول بعدم شمول دلیل نفی الحرج له، فافهم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مسأله جنابت، فرموده است که بین ایجاد جنابت و ایجاب غسل ارتباطی نیست و مکلّف فقط سبب ایجاد موضوع شده است؛ امّا حکم که عبارت از ایجاب غسل است یک مجعول شرعی می‌باشد؛ و این که در برخی از روایات آمده است چنین بیماری که خود را به عمد جُنب نموده است، باید غسل کند، نمی‌توان به آن ملتزم شد؛ چون ظاهر این روایات آن است که غسل واجب است حتّی اگر ضرر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این روایات را نیز بپذیریم، باید از جهت این که در این خصوص روایات وارد شده است، پذیرفت و نسبت به عموم لاحرج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بطلان احتیاط به جهت وجود حرج،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فرع سابق را می‌گوییم که مکلّف موضوع را ایجاد نموده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در این مورد به صورتی است که موجب اختلال نظام است و رفع این حرج عقلی است، نه شرعی</w:t>
      </w:r>
      <w:r>
        <w:rPr>
          <w:rFonts w:eastAsia="IRNazanin" w:cs="IRNazanin"/>
          <w:color w:val="111111"/>
          <w:sz w:val="28"/>
          <w:szCs w:val="28"/>
          <w:rtl w:val="true"/>
          <w:lang w:bidi="fa-IR"/>
        </w:rPr>
        <w:t>.</w:t>
      </w:r>
    </w:p>
    <w:p>
      <w:pPr>
        <w:pStyle w:val="Heading4"/>
        <w:numPr>
          <w:ilvl w:val="3"/>
          <w:numId w:val="1"/>
        </w:numPr>
        <w:rPr/>
      </w:pPr>
      <w:bookmarkStart w:id="324" w:name="__RefHeading___Toc6877462_211673320"/>
      <w:bookmarkStart w:id="325" w:name="_Toc124"/>
      <w:bookmarkEnd w:id="324"/>
      <w:r>
        <w:rPr>
          <w:rtl w:val="true"/>
        </w:rPr>
        <w:t>اشکال بیان محقّق آشتیانی رحمه الله</w:t>
      </w:r>
      <w:bookmarkEnd w:id="3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میرزای آشتیانی رحمه الله مطابق با تحقیق نیست؛ و در تحقّق حرج، بین این که حرج از ناحیه جعل شارع باشد یا آن که موضوع را مکلّف ایجاد نموده باشد، فرق است؛</w:t>
      </w:r>
    </w:p>
    <w:p>
      <w:pPr>
        <w:pStyle w:val="BookText"/>
        <w:rPr/>
      </w:pP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لاحرج به مواردی نظر دارد که منشأ حرج، جعل شارع باشد؛ بنابراین، اگر مکلّف خودش با اختیار، موضوع حرج را ایجاد کند، دیگر ادلّه لاحرج شامل آن نیست؛</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این قاعده در مقام امتنان است، در مواردی که مکلّف با اختیار حرج را ایجاد کرده باشد، دیگر برای امتنان وجهی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مطلب مرحوم آشتیانی رحمه الله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ایجاد موضوع و ایجاب غسل ارتباطی نیست، گرچه صحیح می‌باشد، لکن بحث در ارتباط و عدم ارتباط این دو نیست؛ بلکه بحث در این است که اگر منشأ ایجاب غسل شارع مقدّس باشد، در فرض حرج، جعل ننموده است؛ امّا اگر منشأ همین حکم شارع، فعل مکلّف باشد و به تعبیر دیگر، خود مکلّف اقدام بر حرج نموده باشد، دیگر مشمول ادلّه لاحرج نخواهد بود؛ چنان که در باب ضرر، فقها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شخص اقدام به ضرر نماید، دیگر مشمول قاعده لاضرر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 بر حرج مانند اقدام بر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326" w:name="pg844_8315"/>
    </w:p>
    <w:p>
      <w:pPr>
        <w:pStyle w:val="Heading3"/>
        <w:numPr>
          <w:ilvl w:val="2"/>
          <w:numId w:val="1"/>
        </w:numPr>
        <w:rPr/>
      </w:pPr>
      <w:bookmarkStart w:id="327" w:name="__RefHeading___Toc6877464_211673320"/>
      <w:bookmarkStart w:id="328" w:name="_Toc125"/>
      <w:bookmarkEnd w:id="326"/>
      <w:bookmarkEnd w:id="327"/>
      <w:r>
        <w:rPr>
          <w:rtl w:val="true"/>
        </w:rPr>
        <w:t>تنبیه دهم</w:t>
      </w:r>
      <w:r>
        <w:rPr>
          <w:rtl w:val="true"/>
        </w:rPr>
        <w:t xml:space="preserve">: </w:t>
      </w:r>
      <w:r>
        <w:rPr>
          <w:rtl w:val="true"/>
        </w:rPr>
        <w:t>آیا قاعده لاحرج فقط نافی حکم است ؟</w:t>
      </w:r>
      <w:bookmarkEnd w:id="328"/>
    </w:p>
    <w:p>
      <w:pPr>
        <w:pStyle w:val="BookText"/>
        <w:rPr/>
      </w:pPr>
      <w:r>
        <w:rPr>
          <w:rFonts w:ascii="IRNazanin" w:hAnsi="IRNazanin" w:eastAsia="IRNazanin"/>
          <w:color w:val="111111"/>
          <w:sz w:val="28"/>
          <w:sz w:val="28"/>
          <w:szCs w:val="28"/>
          <w:rtl w:val="true"/>
          <w:lang w:bidi="fa-IR"/>
        </w:rPr>
        <w:t>تنبیه دهم</w:t>
      </w:r>
    </w:p>
    <w:p>
      <w:pPr>
        <w:pStyle w:val="BookText"/>
        <w:rPr/>
      </w:pPr>
      <w:r>
        <w:rPr>
          <w:rFonts w:ascii="IRNazanin" w:hAnsi="IRNazanin" w:eastAsia="IRNazanin"/>
          <w:color w:val="111111"/>
          <w:sz w:val="28"/>
          <w:sz w:val="28"/>
          <w:szCs w:val="28"/>
          <w:rtl w:val="true"/>
          <w:lang w:bidi="fa-IR"/>
        </w:rPr>
        <w:t>آیا قاعده لاحرج فقط نافی حکم است؟</w:t>
      </w:r>
    </w:p>
    <w:p>
      <w:pPr>
        <w:pStyle w:val="BookText"/>
        <w:rPr/>
      </w:pPr>
      <w:r>
        <w:rPr>
          <w:rFonts w:ascii="IRNazanin" w:hAnsi="IRNazanin" w:eastAsia="IRNazanin"/>
          <w:color w:val="111111"/>
          <w:sz w:val="28"/>
          <w:sz w:val="28"/>
          <w:szCs w:val="28"/>
          <w:rtl w:val="true"/>
          <w:lang w:bidi="fa-IR"/>
        </w:rPr>
        <w:t>مسأله مهمّ دیگری که در مورد قاعده لاحرج وجود دارد، این سؤال است که آیا این قاعده فقط نافی حکم است، یا این که می‌تواند مثبت حکم نیز باشد؟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کلمات بزرگان، گاه اشاره شده است که قاعده لاحرج مانند قاعده لاضرر فقط نافی حکم حرجی است و به وسیله این قاعده نمی‌توان حکم دیگری را اثبات نمود؛ آنان برای این مطلب به این نکته اشاره دارند که لسان این قاعده، لسان نفی است و نه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طیّ مباحث گذشته ثابت شد که این مطلب مطابق تحقیق نیست؛ و در استدلال به دوّمین و سوّمین آیه از آیات شریفه و هم‌چنین در روایت پنجم و ششم از روایاتی که برای قاعده مورد استدلال قرار گرفت، اثبات شد که این قاعده می‌تواند مثبت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تکرار آن لازم نیست؛ و با وجود شواهد متعدّد، دیگر نمی‌توان به قرینیّت لسان اعتماد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329" w:name="pg844_8319"/>
    </w:p>
    <w:p>
      <w:pPr>
        <w:pStyle w:val="Heading2"/>
        <w:numPr>
          <w:ilvl w:val="1"/>
          <w:numId w:val="1"/>
        </w:numPr>
        <w:rPr/>
      </w:pPr>
      <w:bookmarkStart w:id="330" w:name="__RefHeading___Toc6877466_211673320"/>
      <w:bookmarkStart w:id="331" w:name="_Toc126"/>
      <w:bookmarkEnd w:id="329"/>
      <w:bookmarkEnd w:id="330"/>
      <w:r>
        <w:rPr>
          <w:rtl w:val="true"/>
        </w:rPr>
        <w:t>فهرست منابع</w:t>
      </w:r>
      <w:bookmarkEnd w:id="331"/>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الآشتیانی، محمّدحسن، بحرالفوائد فی شرح الفرائد،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العظمی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الآشتیانی، محمّدحسن، الرسائل التسع،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زهیر، المؤتمر العلاّمة الآشتیانی،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الآلوسی البغدادی، السیّد محمود، روح المعانی فی تفسیر القرآن العظیم و السبع المثانی،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الآمد و عمر عبدالسّلام السلامی،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الأردبیلی، احمد بن محمّد، زبدة البیان فی براهین أحکام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الأستادی و علی‌اکبر زمانی‌نژاد،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مؤمنین،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الفائدة و البرهان فی شرح إرشاد الأذهان،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علی‌پناه اشتهاردی و حسین الیزدی،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الأسدی، 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المطلب فی تحقیق المذهب،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فی مجمع البحوث الإسلامیة،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قواعد الأحکام فی معرفة الحلال و الحرام،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مختلف الشیعة فی أحکام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 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 الدراسات الإسلامیة،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الفقهاء،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لإحیاء التراث،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خلاصة الأقوال فی 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الأنصاری، مرتضی، فرائد الاُصول،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الأعظم،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الطهارة،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الأعظم،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بمناسبة الذکری المئویّة لمیلاد الشیخ الأنصاری،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المکاسب،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الأعظم،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الأنصاری القرطبی، محمّد بن احمد،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القمی،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الفقیه، فهرست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البقاعی،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التوحید،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الطهرانی،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البرّاج، عبدالعزیز، المهذّب،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الجوزی البغدادی، أبوالفرج عبدالرحمن، نواسخ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قدامة المقدسی، عبداللّه بن احمد، المغنی و الشرح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شرف‌الدین خطّاب و السیّد محمّد السیّد،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ابوالفداء اسماعیل، تفسیر القرآن العظیم،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دارالتراث،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الطبعة الأولی،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الإصبحی، مالک بن أنس، المدوّنة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اللثام عن قواعد الأحکام،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البحرانی، یوسف، الحدائق الناضرة فی أحکام العترة الطاهرة،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الإیروانی،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النشر الإسلامی،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البجنوردی، السیّد محمّدحسن، القواعد الفقهیة،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المهریزی و محمّدحسین الدرایتی،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البروجردی النجفی، محمّدتقی، نهایة الأفکار، تقریراً لأبحاث آغاضیاءالدین العراقی،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البُورنو، محمّد صدقی بن احمد، موسوعة القواعد الفقهیّة،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البیهقی، احمد بن الحسین بن علی، السنن الکبری و فی ذیله الجوهر النقی،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بی‌تا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الثعلبی، أبواسحاق احمد، الکشف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ابی‌محمّد بن عاشور، مراجعه و 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الساعدی،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الجزری، مجدالدین المبارک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و محمود محمّد الطناحی،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الجوهری الفارابی، اسماعیل بن حمّاد، تاج اللغة و صحاح العربیّة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أبوعمرو،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الحائری الإصفهانی، محمّدحسین، الفصول الغرویة فی الأصول الفقهیّة،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العاملی، محمّد بن الحسن، تفصیل وسائل الشیعة إلی تحصیل مسائل الشریعة،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لإحیاء التراث،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فی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الحسین القائینی،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اسلامی امام رضا علیه السلام،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البحرانی، السیّد الهاشم، البرهان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لمؤسسة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التفرشی، السیّد مصطفی بن الحسین،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لإحیاء التراث،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المراغی، السیّد میرعبدالفتّاح، العناوین،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الحکیم، السیّد عبدالصاحب، منتقی الاُصول، تقریراً لأبحاث السیّد محمّد الحسینی الروحانی،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السیّد حمزة بن علی بن زهرة، غنیة النزوع إلی علمی الأصول و الفروع،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 احمد بن محمّد بن فهد، المهذّب البارع فی شرح المختصر النافع،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النشر الإسلامی، الطبعة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الحلّی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شرائع الإسلام فی مسائل الحلال والحرام، تحقیق، اخراج و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محمّدعلی، نجف الأشرف، مطبعة الآداب، الطبعة الأولی،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المعتبر فی شرح المختصر،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الشیرازی،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سیّدالشهداء،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الحویزی، عبدعلی بن جمعة، تفسیر نور الثقلین،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دارالتفسیر،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الخراسانی، محمّد کاظم، کفایة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الطبعة‌الثامنة،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الخوانساری، السیّد احمد، جامع المدارک فی شرح مختصر النافع،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الدیلمی، ابی یعلاء حمزة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المراسم العلویّة فی الأحکام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الحسینی الأمینی،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الرازی الجصّاص، أبوبکر احمد بن علی، أحکام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الصادق قمحاوی،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و دار إحیاء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الراغب الإصفهانی، حسین بن 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سعید بن هبة‌اللّه، فقه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العظمی النجفی المرعشی، الطبعة‌الثانیة،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الشافعی، محمّد بن ادریس، الأمّ، بیروت، دارالفکر، الطبعة‌الثانیة،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المرتضی، رسائل الشریف المرتضی، تقدیم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الحسینی،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دارالقران الکریم،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الصنهاجی القرافی، احمد بن ادریس، الفروق أو أنوار البروق فی أنواء الفروق، ضبط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المنصور،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العاملی، بهاءالدین محمّد بن الحسین، مشرق الشمسین و إکسیر السعادتین،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الخواجوئی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العاملی، السیّد محمّد، نهایة المرام فی شرح مختصر شرائع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علی‌پناه الإشتهاردی و حسین الیزدی،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مدارک الأحکام فی شرح شرائع الإسلام،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العاملی،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ذکری الشیعة فی أحکام الشریعة،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لإحیاء التراث،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الدروس الشرعیّة فی فقه الإمامیة،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مسالک الأفهام إلی تنقیح شرائع الإسلام،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العکبری البغدادی،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المقنعة،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الغروی، علی، التنقیح فی شرح العروة الوثقی، تقریراً لأبحاث السیّد ابوالقاسم الموسوی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إحیاء آثار الإمام الخوئی، بی‌تا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الفارسی، علی بن بلبان، صحیح إبن حبّان بترتیب إبن بلبان،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الأرنووط،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الرسالة، الطبعة‌الثانیة،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الفاضل اللنکرانی، محمّد، ثلاث رسائل،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الأئمّة الأطهار علیهم السلام،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تفصیل الشریعة فی شرح تحریر الوسیلة، کتاب الحجّ،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الطبعة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الفیروزآبادی، محمّد یعقوب، القاموس المحیط،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التراث فی مؤسسة الرسالة،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السابعة،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الفیض الکاشانی، محمّدمحسن، تفسیر الصافی،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الشرایع،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الوافی،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الحسینی الإصفهانی،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مکتبة‌الإمام أمیرالمؤمنین علی علیه السلام، الطبعة‌الأولی،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صفی‌پور، عبدالرحیم بن عبدالکریم، منتهی الإرب فی لغة العرب،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سنایی،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السیّد محمّد، مفاتیح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السیّدعلی، ریاض المسائل فی بیان أحکام الشرع بالدلائل،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السیّد محمّدحسین،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مطبوعاتی اسماعیلیان، الطبعة الثالثة،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الیزدی، السیّد محمّدکاظم، العروة الوثقی،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القهاء العظام،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احمد بن علی بن ابی‌طالب، الإحتجاج،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البهدری و محمّد هادی‌به،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أبوعلی الفضل بن الحسن، مجمع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الطبری، محمّد بن جریر، 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التحقیق و الإعداد العلمی فی دار الأعلام،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الأعلام،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الطوسی، محمّد بن الحسن، إختیار معرفة الرجال المعروف برجال الکشّی،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فاضل المیبدی و السیّد ابوالفضل الموسویان،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المبسوط فی فقه الإمامیة،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محمّدتقی الکشفی،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الطبعة الأولی، الثالثة،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الأحکام،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التبیان،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القمی، المیرزا أبوالقاسم، قوانین الاُصول،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 الغطاء، جعفر، کشف الغطاء عن مبهمات الشریعة الغرّاء،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خراسان،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الکاظمی الخراسانی، محمّدعلی، فوائد الاُصول، تقریرات بحث آیة‌اللّه المیرزا محمّدحسین الغروی النائینی،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الشیخ آقاضیاءالدین العراقی،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رحمتی الأراکی،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الثامنة،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الکرکی،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المقاصد فی شرح القواعد،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لإحیاء الثرات،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محمّد بن یعقوب،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الفقیه، فهرست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البقاعی،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المازندرانی،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أبوعلی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المقال فی أحوال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لإحیاء التراث،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المجلسی، محمّدباقر،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المزنی، اسماعیل بن یحیی، مختصر المزنی فی فروع الشافعیّة،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شاهین،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دارالکتب العلمیة،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الشیرازی، ناصر، القواعد الفقهیّة،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علی بن ابی‌طالب علیه السلام،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الموسوی الخمینی، السیّد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الوصول إلی علم الاُصول،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الامام الخمینی،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الطهارة،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الإمام الخمینی،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الخوئی، السیّد أبوالقاسم، أجود التقریرات، تقریراً لأبحاث المیرزا محمّدحسین الغروی النائینی،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رجال الحدیث و تفصیل طبقات الرواة،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آثار الشیعة، الطبعة‌الرابعة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الخلخالی، السیّد محمّدرضا، المعتمد فی شرح العروة الوثقی، تقریراً لأبحاث السیّد أبوالقاسم الموسوی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آثار الإمام الخوئی، الطبعة الثالثة،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المعتمد فی شرح المناسک، تقریراً لأبحاث السیّد أبوالقاسم الموسوی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إحیاء آثار</w:t>
      </w:r>
    </w:p>
    <w:p>
      <w:pPr>
        <w:pStyle w:val="BookText"/>
        <w:rPr/>
      </w:pPr>
      <w:r>
        <w:rPr>
          <w:rFonts w:ascii="IRNazanin" w:hAnsi="IRNazanin" w:eastAsia="IRNazanin"/>
          <w:color w:val="111111"/>
          <w:sz w:val="28"/>
          <w:sz w:val="28"/>
          <w:szCs w:val="28"/>
          <w:rtl w:val="true"/>
          <w:lang w:bidi="fa-IR"/>
        </w:rPr>
        <w:t xml:space="preserve">الإمام الخوئی، الطبعة الثالثة،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الخوانساری، محمّدباقر، روضات الجنّات فی أحوال العلماء و السادات،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اسماعیلیان،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اسماعیلیان،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السبزواری، السیّد عبدالأعلی، مهذّب الأحکام فی بیان الحلال و الحرام،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آیة‌اللّه العظمی السیّد السبزواری، الطبعة الرابعة،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النجاشی، احمد بن علی،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الشبیری الزنجانی،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الطبعة السادسة،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النجفی، محمّدحسن، جواهر الکلام فی شرح شرائع الاسلام،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القوچانی،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الطبعة الأولی،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النجفی الخوانساری، موسی بن محمّد، منیة الطالب فی شرح المکاسب، تقریرات المحقّق المیرزا محمّدحسین النائینی،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النراقی، احمد، عوائد الأیّام،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و 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مستند الشیعة فی أحکام الشریعة،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النسائی، احمد بن شعیب، سنن النسائی، بیروت، درالجیل،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النمازی الشاهرودی، علی، مستدرک سفینة البحار،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النووی، محیی‌الدین بن شرف، المجموع شرح المهذّب،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الواعظ الحسینی البهسودی، محمّدسرور، مصباح الاُصول، تقریراً لأبحاث السیّد أبوالقاسم الموسوی الخوئی،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احیاء آثار الإمام الخوئی،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الهمدانی، آقا رضا بن محمّدهادی، مصباح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الجعفریة لإحیاء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الباقری، نورعلی النوری، محمّد المیرزایی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مهید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الیوسفی، حسن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الرموز فی شرح المختصر النافع،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علی‌پناه الإشتهاردی، حسین الیزدی،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النمازی الشاهرودی، 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ادریس الصنهاجی القرافی، الفروق أو أنوار البروق فی أنواء الفروق،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التحقیق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بجنوردی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منصور بن احمد بن ادریس الحلّی، 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القاضی،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المجلسی،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محمّدباقر الموسوی الخوانساری،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می‌توان به کتاب‌های زیر اشاره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الفوائد فی تلخیص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الفاضل المقداد السیوری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 الأصولیّة و العربیّة لتفریع فوائد الأحکام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بن علی بن احمد العاملی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کاشف الغطاء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الأصلیّة و القواعد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عبداللّه شبّر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المقالید الجعفریّة فی القواعد الإثنی عشریة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الإسترابادی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عناوین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بحرالعلوم الطباطبائی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فاضل‌لنکرانی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کتاب‌های دیگری که در همین رابطه نوشته شده‌اند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الأردبیلی، زبدة البیان فی براهین أحکام القرآن،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صدقی البُورنو، موسوعة القواعد الفقهیّة،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ذیل واژۀ حرج؛ و منتهی الإرب فی لغة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الافریقی المصری؛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ابن‌الأثیر، النهایة فی غریب الحدیث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محمّد باقر المجلسی، 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الْفِتْنَةُ أَشَدُّ مِنَ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آیۀ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ابن کثیر،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الجصّاص، 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کسب اطّلاع از قرائن و توضیح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ثلاث رسائل،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محمّدحسین الطباطبایی، 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عبدعلی بن جمعة الحویزی،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الفیض الکاشانی، تفسیر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فی أنّ الأئمّة شهداء اللّه عزّ وجلّ علی خلقه،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ابواسحاق احمد الثعلبی، تفسیر الثعلبی،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القرطبی، تفسیر القرطبی،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الجصّاص، 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ابن‌جریر الطبری، جامع البیان عن تأویل آی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الآلوسی، روح المعانی فی تفسیر القرآن العظیم والسبع المثانی،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تفسیر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فضل بن حسن الطبرسی، مجمع البیان فی تفسیر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السیّد محمد حسین الطباطبائی، 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قائلین به این احتمال می‌توان به مرحوم شیخ طوسی و مرحوم طبرسی رحمهما الله اشاره نمود؛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نیز أحکام القرآن للجصّاص،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الطبرسی،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مولا محمدصالح المازندرانی، شرح اصول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محمّد بن احمد بن ابی‌بکر القرطبی، 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بلبان الفارسی، صحیح ابن حبّان بترتیب ابن بلبان،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احمد بن الحسین بن علی البیهقی 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احمد بن شعیب النسائی، سنن النسائی،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بن کثیر القرشی الدمشقی،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الجوزی، نواسخ القرآن،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سبأ،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رجال النجاشی،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محمّد بن الحسن الطوسی، الفهرست،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المطلق،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الشافعی،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اسماعیل المزنی، مختصر المزنی،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محیی الدین النووی، المجموع،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قدامة المقدسی، المغنی و الشرح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مالک بن أنس الاصبحی، المدوّنة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المبسوط فی فقه الامامیّة،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القاضی عبدالعزیز بن البرّاج،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جعفر بن الحسن الحلّی، 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الفاضل الآبی، کشف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حسن بن یوسف بن المطهّر الأسدی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 بن مکّی العاملی، الدروس الشرعیّة،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علی بن الحسین الکرکی،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الحلّی، مختلف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 محسن الفیض الکاشانی، مفاتیح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این احادیث، رجوع شود به کتاب شریف وسائل الشیعة، جلد اوّل، ابواب ماء المطلق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آقارضا همدانی، مصباح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موسوعة الإمام الخوئی، التنقیح فی شرح العروة الوثقی، کتاب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آقارضا همدانی،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السیّد ابوالقاسم الموسوی الخویی،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مباحث علم اصول،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امر به شیء مقتضی نهی از ضدّ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بحث پیرامون تبعیّت و عدم تبعیّت دلالت التزامی از دلالت مطابقی در حجیّت بیان کرده‌ایم که تحقیق در مسأله آن است که تبعیض در حجیّت صحیح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پیشین،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پیشین،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ابوعلی الحائری،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العلّامة الحلّی، خلاصة الأقوال فی معرفة الرجال،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السیّد ابوالقاسم الموسوی الخوئی،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السیّد ابوالقاسم الموسوی الخوئی،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فروع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اختلاف ماء المطر بالبول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ثلاث رسائل،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پیشین،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إختیار معرفة الرجال المعروف برجال الکشّی،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پیشین،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السیّد ابوالقاسم الموسوی الخوئی،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إختیار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السیّد مصطفی التفرشی،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رجال الطوسی،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موسوعة الإمام الخوئی، التنقیح فی شرح العروة الوثقی،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نیز 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الأنصاری، 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یَأَیُّهَا الَّذِینَ ءَامَنُواْ إِذَا قُمْتُمْ إِلَی الصَّلَوةِ فَاغْسِلُواْ وُجُوهَکُمْ وَأَیْدِیَکُمْ إِلَی الْمَرَافِقِ وَامْسَحُواْ بِرُءُوسِکُمْ وَأَرْجُلَکُمْ إِلَی الْکَعْبَیْنِ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مائده؛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الآشتیانی، بحرالفوائد فی شرح الفرائد،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العلماء، هدایة المسترشدین،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محمّدکاظم الخراسانی، کفایة الاُصول،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محمّدتقی البروجردی، نهایة الافکار،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السیّد ابوالقاسم الموسوی الخوئی، 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الإمام الخمینی، مناهج الوصول إلی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عبدالصاحب الحکیم، منتقی الأصول، تقریراً لأبحاث السیّد محمّد الحسینی الروحانی،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این روایت را نیز قبول نکرده و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الروایة لایمکن الإعتماد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ایشان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موارد هذه النصوص لیس هناک حکم کذلک بحیث یتکفّل النصّ رفعه و یکون حاکماً علی دلیله، بل هی تتکفّل إثبات حکم سهل أو بیان عدم ثبوت حکم متوهّم الثبوت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کفّارات الإحرام،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قائلین به این نظریه می‌توان به مرحوم طبرسی، مرحوم علاّمه طباطبایی صاحب تفسیر المیزان و هم‌چنین از میان مفسّرین عامّه به آلوسی صاحب تفسیر روح‌المعانی اشاره نمود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الحسن الطبرسی، مجمع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محمود الآلوسی البغدادی، روح المعانی فی تفسیر القرآن العظیم و السبع 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حسین الطباطبائی،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محمّدحسین الطباطبائی،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الغروی، التنقیح فی شرح العروة الوثقی، تقریراً لأبحاث السیّد ابوالقاسم الموسوی الخوئی، 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 الأردبیلی، زبدة البیان فی براهین أحکام القرآن،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ثلاث رسائل،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بن کثیر القریشی الدمشقی،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منتهی المطلب فی تحقیق المذهب،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ابن‌فهد الحلّی، 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السیّد محمّد العاملی، نهایة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بهاءالدین محمّد بن الحسین العاملی، مشرق الشمسین و اکسیر السعادتین،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الشیخ یوسف البحرانی، الحدائق الناضرة،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مولی احمد النراقی، عوائد الأیّام،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الشیخ مرتضی الأنصاری، کتاب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المواقیت،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العکبری البغدادی، المقنعة،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الشریف المرتضی،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حمزة بن علی بن زهرة الحلبی، غنیة النزوع إلی علمی الأصول و الفروع،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فی تحقیق المذهب،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مختلف الشیعة فی احکام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جمال الدّین مکّی العاملی، ذکری الشیعة فی أحکام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بن فهد الحلّی، المهذّب البارع فی شرح مختصر النافع،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بن علی العاملی، مسالک الافهام إلی تنقیح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المقدس الاردبیلی، مجمع الفائدة و البرهان فی شرح إرشاد الأذهان،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 الدین محمّد بن الحسن الاصفهانی، کشف اللثام عن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الجوهری،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محمّد بن یعقوب بن محمّد بن ابراهیم الفیروزآبادی، 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المبارک بن محمّد الجرزی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أحمد النراقی، عوائد الأیّام،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حسن البجنوردی،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همانند مرحوم میرفتّاح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عناوین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العناوین،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بن ابی‌طالب الطبرسی،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کتاب التوحید، باب الجبر و القدر و الأمر بین الأمرین،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الطبرسی، مجمع البیان فی تفسیر القران،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هاشم الحسینی البحرانی،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الطبرسی، 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پیشین،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ابن بابویه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الماء المضاف و المستعمل،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أحمد النراقی، عوائد الأیّام،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کاظم الطباطبائی الیزدی، العروة الوثقی، مع تعلیقات عدّة من الفقهاء العظام،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کاظم الطباطبائی الیزدی،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پیشین،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ثلاث رسائل،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محمّدکاظم الطباطبائی الیزدی، العروة الوثقی، مع تعلیقات عدّة من الفقهاء العظام،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الإمام الخمینی،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الطباطبائی، مفاتیح الأصول،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محمّد حسین الحائری الإصفهانی، الفصول الغرویة فی الأصول الفقهیة،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حسن البجنوردی،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محمّد الفاضل اللنکرانی، پیشین،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ناصر المکارم الشیرازی، پیشین،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الفصول المهمّة فی أصول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أحمد النراقی، پیشین،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الطباطبائی، پیشین،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أحمد النراقی، پیشین،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حسن البجنوردی، پیشین،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پیشین،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العناوین،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العناوین،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پیشین،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میرفتّاح الحسینی المراغی، پیشین،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پیشین،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پیشین،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الآشتیانی، بحر الفوائد،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پیشین،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الطباطبائی، مفاتیح الاُصول،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محدّث عاملی بعد از آن که روایاتی را در باب قاعده لاحرج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می‌کنند،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الحرج مجمل لایمکن الجزم به فیما عدا التکلیف بمالایطاق، و إلّالزم رفع جمیع التکالیف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الفصول المهمّة فی اصول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پیشین،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الحائری الاصفهانی، الفصول الغرویة فی اصول الفقهیّة،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الحائری الاصفهانی، پیشین،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الحائری الاصفهانی، پیشین،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پیشین،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پیشین،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المیرزا ابوالقاسم القمی،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پیشین،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پیشین،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پیشین،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پیشین،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پیشین،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پیشین،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الآشتیانی، الرسائل التسع،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الآشتیانی، پیشین،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پیشین،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المولی أحمد النراقی، پیشین،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محمّدحسن الآشتیانی، پیشین،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السیّد محمّدحسن البجنوردی، پیشین،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ناصر مکارم‌الشیرازی، پیشین،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پیشین،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کاشف‌الغطاء، کشف الغطاء عن مبهمات الشریعة الغرّاء،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النجفی، جواهر الکلام فی شرح شرائع الاسلام،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محمّد النجفی الخوانساری، منیة الطالب فی شرح المکاسب، تقریرات المحقّق المیرزا محمّدحسین النائینی،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رضا الهمدانی، مصباح الفقیه،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محمّدکاظم الطباطبائی الیزدی، العروة الوثقی مع تعلیقات عدّة من الفقهاء العظام،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محمّدکاظم الطباطبائی الیزدی،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حاشیه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پیشین،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موسی النجفی الخوانساری،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محمّدکاظم الطباطبائی الیزدی،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حاشیه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عبدالعزیز الدیلمی، المراسم العلویة فی الأحکام النبویّة،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یوسف البحرانی، الحدائق الناضرة،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محمّدحسن النجفی، جواهر الکلام،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موسی بن محمّد النجفی الخوانساری، منیة الطالب فی شرح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السیّد محمّدکاظم الطباطبائی الیزدی، العروة الوثقی،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حلبی؛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أقسام الطلاق،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محمّدکاظم الطباطبائی الیزدی،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الشهید الثانی، مسالک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محمّدحسن النجفی، جواهر الکلام،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محمّد النجفی الخوانساری،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تفصیل الشریعة فی شرح تحریر الوسیلة، کتاب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الموسوی العاملی، مدارک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النجفی، 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احمد الخوانساری، جامع المدارک،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موسوعة الإمام الخوئی، شرح المناسک،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الموسوی العاملی،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موسوعة الإمام الخوئی، شرح العروة الوثقی،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محمّدکاظم الطباطبائی الیزدی،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فی کیفیّة حجّ التمتّع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الإصفهانی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موسوعة الإمام الخوئی، شرح العروة الوثقی،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الإصفهانی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احمد الخوانساری،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النجفی، 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الموسوی الخوئی، پیشین،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یوسف بن المطهّر الأسدی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المبسوط فی فقه الإمامیّة،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کتاب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بن البرّاج،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محمّد بن ادریس الحلّی،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العلّامة الحلّی، مختلف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احمد بن محمّد بن فهد الحلّی،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المولی احمد المقدّس الأردبیلی، 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محمّدمهدی النراقی، مستندالشیعة،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التسع،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احمد الخوانساری، جامع المدارک،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 الحلّی،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علی الطباطبائی، 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الأنصاری، 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محمّد النجفی الخوانساری،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رضا همدانی، مصباح الفقیه،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السیّد محمّدکاظم الطباطبائی،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محمّدحسن الآشتیانی، الرسائل التسع،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الحائری الإصفهانی، الفصول الغرویّة فی الأصول الفقهیّة،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الآشتیانی، 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الآشتیانی، پیشین،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7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43743</Words>
  <Characters>173566</Characters>
  <CharactersWithSpaces>216091</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2026-08-16T09:07:20Z</dcterms:created>
  <dc:creator>ghaemiyeh.com</dc:creator>
  <dc:description/>
  <dc:language>en-US</dc:language>
  <cp:lastModifiedBy/>
  <dcterms:modified xsi:type="dcterms:W3CDTF">2026-08-16T12:37:27Z</dcterms:modified>
  <cp:revision>1</cp:revision>
  <dc:subject/>
  <dc:title>قاعده لاحرج</dc:title>
</cp:coreProperties>
</file>

<file path=docProps/custom.xml><?xml version="1.0" encoding="utf-8"?>
<Properties xmlns="http://schemas.openxmlformats.org/officeDocument/2006/custom-properties" xmlns:vt="http://schemas.openxmlformats.org/officeDocument/2006/docPropsVTypes"/>
</file>