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styles.xml" ContentType="application/vnd.openxmlformats-officedocument.wordprocessingml.style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المنام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8466_2116733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098468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98470_211673320">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4098472_211673320">
            <w:r>
              <w:rPr>
                <w:webHidden/>
                <w:rStyle w:val="IndexLink"/>
                <w:rtl w:val="true"/>
              </w:rPr>
              <w:t>شرح المنام</w:t>
            </w:r>
            <w:r>
              <w:rPr>
                <w:rStyle w:val="IndexLink"/>
                <w:rtl w:val="true"/>
              </w:rPr>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5_4409"/>
      <w:bookmarkStart w:id="1" w:name="pg455_4409"/>
      <w:bookmarkEnd w:id="1"/>
    </w:p>
    <w:p>
      <w:pPr>
        <w:pStyle w:val="Heading2"/>
        <w:numPr>
          <w:ilvl w:val="1"/>
          <w:numId w:val="1"/>
        </w:numPr>
        <w:rPr/>
      </w:pPr>
      <w:bookmarkStart w:id="2" w:name="pg455_4409"/>
      <w:bookmarkStart w:id="3" w:name="__RefHeading___Toc4098466_2116733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الشیخ المفید؛ المحقق مهدي نجف</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العالمي لالفیة الشیخ المفید،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محمدمهدي،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الشيخ مفيد الهزاره العالمي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297/4172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8468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5_4411"/>
      <w:bookmarkStart w:id="8" w:name="pg455_4411"/>
      <w:bookmarkEnd w:id="8"/>
    </w:p>
    <w:p>
      <w:pPr>
        <w:pStyle w:val="Heading2"/>
        <w:numPr>
          <w:ilvl w:val="1"/>
          <w:numId w:val="1"/>
        </w:numPr>
        <w:rPr/>
      </w:pPr>
      <w:bookmarkStart w:id="9" w:name="pg455_4411"/>
      <w:bookmarkStart w:id="10" w:name="__RefHeading___Toc4098470_211673320"/>
      <w:bookmarkStart w:id="11" w:name="_Toc3"/>
      <w:bookmarkEnd w:id="9"/>
      <w:bookmarkEnd w:id="10"/>
      <w:r>
        <w:rPr>
          <w:rtl w:val="true"/>
        </w:rPr>
        <w:t>المقدمة</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مهما يكن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تدلّ على أنّ منها ما هو صحيح و صادق،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جزء من أجزاء النبوّة، فإن المنامات ليست في أنفسها حجّة معتمدةً في شيء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المضامين التي تحتويها الأحلام قد تكون مفصّلةً واضحةً و متقنة دقيقةً، بحيث تشكّل بنفسها دليلاً مقنعاً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الأحلام ناشئةً من انْعكاس الجهود التي يُزاولها الإنسان في اليقظة ، أو الأفكار التي يرتبها ، فتكون الأحلام متشكلة من تلك الأفكار بشكلٍ منظّم و مرتّبٍ و جامع، لا يشذّ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المنامات لا يمكن ردّه و لا دفعه لمجرد كونه مناماً، بل لا بد من اعتبار محتواه على أساس كماله وصحته او عدم وضوحه و ترابطه ، بقطع النظر عن حصوله في المنام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يرتاب قارئ هذا الكتاب، في أن مارآه الشيخ المفيد في المنام، من هذا القبيل، حيث نجد فيه بحثاً علميّاً شيّقاً ، متكامل المقدمات، حكاه الشيخ على انه </w:t>
      </w:r>
    </w:p>
    <w:p>
      <w:pPr>
        <w:pStyle w:val="BookText"/>
        <w:rPr/>
      </w:pPr>
      <w:r>
        <w:rPr>
          <w:rFonts w:ascii="Amiri" w:hAnsi="Amiri" w:eastAsia="Amiri" w:cs="Amiri"/>
          <w:color w:val="111111"/>
          <w:sz w:val="28"/>
          <w:sz w:val="28"/>
          <w:szCs w:val="28"/>
          <w:rtl w:val="true"/>
          <w:lang w:bidi="ar-SA"/>
        </w:rPr>
        <w:t xml:space="preserve">وقع له حالة المنام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تبحث عن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يدّعيه العامة من فضل أبى بكر ابن أبي قُحافة، حيث كان مع النبيّ صلى الله عليه و آله و سلم في الغار، عند نزول تلك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الشيخ المفيد أوجه الاستدلال الذي ذكروها على مرادهم، ثمّ بدأ يردّها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المنام يدلّ على اختزان محتواه في ذهن الشيخ المفيد، و تركّزه فيه بحيث لم يفارقه في يقظه و لا منام</w:t>
      </w:r>
    </w:p>
    <w:p>
      <w:pPr>
        <w:pStyle w:val="BookText"/>
        <w:rPr/>
      </w:pPr>
      <w:r>
        <w:rPr>
          <w:rFonts w:ascii="Amiri" w:hAnsi="Amiri" w:eastAsia="Amiri" w:cs="Amiri"/>
          <w:color w:val="111111"/>
          <w:sz w:val="28"/>
          <w:sz w:val="28"/>
          <w:szCs w:val="28"/>
          <w:rtl w:val="true"/>
          <w:lang w:bidi="ar-SA"/>
        </w:rPr>
        <w:t>كما انه يحتوى على ما هو لازم من عناصر القوّة في الاستدلال، و ضرورات إكمال البحث من النقوض و الأجوبة، و الشواهد القرآنية والحديثيّة و حتى الاستشهاد بالشعر على إثبات المعاني اللغوية، بما يقضي بالعجب،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معه حاجة إلى البحث عن حجّيّة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ونحمد الله على توفيقه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السيّد محمد رضا الحسيني الجلالي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8"/>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4"/>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7"/>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المَنَامِ</w:t>
      </w:r>
    </w:p>
    <w:p>
      <w:pPr>
        <w:pStyle w:val="BookText"/>
        <w:rPr/>
      </w:pPr>
      <w:r>
        <w:rPr>
          <w:rFonts w:ascii="Amiri" w:hAnsi="Amiri" w:eastAsia="Amiri" w:cs="Amiri"/>
          <w:color w:val="111111"/>
          <w:sz w:val="28"/>
          <w:sz w:val="28"/>
          <w:szCs w:val="28"/>
          <w:rtl w:val="true"/>
          <w:lang w:bidi="ar-SA"/>
        </w:rPr>
        <w:t xml:space="preserve">تألیف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الشَیخ المُفیۡد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العُکبَري، البَغدادِيّ</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55_4431"/>
      <w:bookmarkStart w:id="13" w:name="pg455_4431"/>
      <w:bookmarkEnd w:id="13"/>
    </w:p>
    <w:p>
      <w:pPr>
        <w:pStyle w:val="Heading2"/>
        <w:numPr>
          <w:ilvl w:val="1"/>
          <w:numId w:val="1"/>
        </w:numPr>
        <w:rPr/>
      </w:pPr>
      <w:bookmarkStart w:id="14" w:name="pg455_4431"/>
      <w:bookmarkStart w:id="15" w:name="__RefHeading___Toc4098472_211673320"/>
      <w:bookmarkStart w:id="16" w:name="_Toc4"/>
      <w:bookmarkEnd w:id="14"/>
      <w:bookmarkEnd w:id="15"/>
      <w:r>
        <w:rPr>
          <w:rtl w:val="true"/>
        </w:rPr>
        <w:t>شرح المنام</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يسر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الشيخ أبو الحسن علي بن محمد بن بنان</w:t>
      </w:r>
      <w:r>
        <w:rPr>
          <w:rStyle w:val="FootnoteAnchor"/>
          <w:rtl w:val="true"/>
        </w:rPr>
        <w:footnoteReference w:id="2"/>
      </w:r>
      <w:r>
        <w:rPr>
          <w:rFonts w:ascii="Amiri" w:hAnsi="Amiri" w:eastAsia="Amiri" w:cs="Amiri"/>
          <w:color w:val="111111"/>
          <w:sz w:val="28"/>
          <w:sz w:val="28"/>
          <w:szCs w:val="28"/>
          <w:rtl w:val="true"/>
          <w:lang w:bidi="ar-SA"/>
        </w:rPr>
        <w:t xml:space="preserve">، أن الشيخ المفيد </w:t>
      </w:r>
    </w:p>
    <w:p>
      <w:pPr>
        <w:pStyle w:val="BookText"/>
        <w:rPr/>
      </w:pP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w:t>
      </w:r>
      <w:r>
        <w:rPr>
          <w:rStyle w:val="FootnoteAnchor"/>
          <w:rtl w:val="true"/>
        </w:rPr>
        <w:footnoteReference w:id="3"/>
      </w:r>
      <w:r>
        <w:rPr>
          <w:rFonts w:ascii="Amiri" w:hAnsi="Amiri" w:eastAsia="Amiri" w:cs="Amiri"/>
          <w:color w:val="111111"/>
          <w:sz w:val="28"/>
          <w:sz w:val="28"/>
          <w:szCs w:val="28"/>
          <w:rtl w:val="true"/>
          <w:lang w:bidi="ar-SA"/>
        </w:rPr>
        <w:t>كأني قداجتزت في بعض الطرق، فرأيت حلقة دائرة فيهاناس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ما هذا؟</w:t>
      </w:r>
    </w:p>
    <w:p>
      <w:p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حلقة فيها رجل يقصّ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ففرّقت</w:t>
      </w:r>
      <w:r>
        <w:rPr>
          <w:rStyle w:val="FootnoteAnchor"/>
          <w:rtl w:val="true"/>
        </w:rPr>
        <w:footnoteReference w:id="5"/>
      </w:r>
      <w:r>
        <w:rPr>
          <w:rFonts w:ascii="Amiri" w:hAnsi="Amiri" w:eastAsia="Amiri" w:cs="Amiri"/>
          <w:color w:val="111111"/>
          <w:sz w:val="28"/>
          <w:sz w:val="28"/>
          <w:szCs w:val="28"/>
          <w:rtl w:val="true"/>
          <w:lang w:bidi="ar-SA"/>
        </w:rPr>
        <w:t>الناس، ودخلت الحلقة، فإذا برجل يتكلم علي الناس بشي‌ء لم أحصله، فقطعت عليه الكلام</w:t>
      </w:r>
      <w:r>
        <w:rPr>
          <w:rStyle w:val="FootnoteAnchor"/>
          <w:rtl w:val="true"/>
        </w:rPr>
        <w:footnoteReference w:id="6"/>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الشيخ أخبرني</w:t>
      </w:r>
      <w:r>
        <w:rPr>
          <w:rStyle w:val="FootnoteAnchor"/>
          <w:rtl w:val="true"/>
        </w:rPr>
        <w:footnoteReference w:id="7"/>
      </w:r>
      <w:r>
        <w:rPr>
          <w:rFonts w:ascii="Amiri" w:hAnsi="Amiri" w:eastAsia="Amiri" w:cs="Amiri"/>
          <w:color w:val="111111"/>
          <w:sz w:val="28"/>
          <w:sz w:val="28"/>
          <w:szCs w:val="28"/>
          <w:rtl w:val="true"/>
          <w:lang w:bidi="ar-SA"/>
        </w:rPr>
        <w:t xml:space="preserve">ماوجه الدلالة علي فضل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عتيق بن أبي قحافة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 إِذ هُما فِي الغارِ</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علي فضل أبي بكر من هذه</w:t>
      </w:r>
      <w:r>
        <w:rPr>
          <w:rStyle w:val="FootnoteAnchor"/>
          <w:rtl w:val="true"/>
        </w:rPr>
        <w:footnoteReference w:id="10"/>
      </w:r>
      <w:r>
        <w:rPr>
          <w:rFonts w:ascii="Amiri" w:hAnsi="Amiri" w:eastAsia="Amiri" w:cs="Amiri"/>
          <w:color w:val="111111"/>
          <w:sz w:val="28"/>
          <w:sz w:val="28"/>
          <w:szCs w:val="28"/>
          <w:rtl w:val="true"/>
          <w:lang w:bidi="ar-SA"/>
        </w:rPr>
        <w:t>في ستة مواضع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ذكر النبي</w:t>
      </w:r>
      <w:r>
        <w:rPr>
          <w:rStyle w:val="FootnoteAnchor"/>
          <w:rtl w:val="true"/>
        </w:rPr>
        <w:footnoteReference w:id="11"/>
      </w:r>
      <w:r>
        <w:rPr>
          <w:rFonts w:ascii="IRNazanin" w:hAnsi="IRNazanin" w:eastAsia="IRNazanin"/>
          <w:color w:val="111111"/>
          <w:sz w:val="28"/>
          <w:sz w:val="28"/>
          <w:szCs w:val="28"/>
          <w:rtl w:val="true"/>
          <w:lang w:bidi="fa-IR"/>
        </w:rPr>
        <w:t xml:space="preserve">صلی الله علیه و آله وذكر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أبا بكر </w:t>
      </w:r>
      <w:r>
        <w:rPr>
          <w:rStyle w:val="FootnoteAnchor"/>
          <w:rtl w:val="true"/>
        </w:rPr>
        <w:footnoteReference w:id="12"/>
      </w:r>
      <w:r>
        <w:rPr>
          <w:rFonts w:ascii="Amiri" w:hAnsi="Amiri" w:eastAsia="Amiri" w:cs="Amiri"/>
          <w:color w:val="111111"/>
          <w:sz w:val="28"/>
          <w:sz w:val="28"/>
          <w:szCs w:val="28"/>
          <w:rtl w:val="true"/>
          <w:lang w:bidi="ar-SA"/>
        </w:rPr>
        <w:t xml:space="preserve">، فجعله ثانيه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وصفهما بالاجتماع في مكان واحد لتأليفه </w:t>
      </w:r>
      <w:r>
        <w:rPr>
          <w:rStyle w:val="FootnoteAnchor"/>
          <w:rtl w:val="true"/>
        </w:rPr>
        <w:footnoteReference w:id="13"/>
      </w:r>
      <w:r>
        <w:rPr>
          <w:rFonts w:ascii="Amiri" w:hAnsi="Amiri" w:eastAsia="Amiri" w:cs="Amiri"/>
          <w:color w:val="111111"/>
          <w:sz w:val="28"/>
          <w:sz w:val="28"/>
          <w:szCs w:val="28"/>
          <w:rtl w:val="true"/>
          <w:lang w:bidi="ar-SA"/>
        </w:rPr>
        <w:t>بينهما،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أضافه إليه بذكر الصحبة ليجمع بينهما فيما يقتضي الرتبة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 عن شفقة النبي صلى الله عليه وآله عليه</w:t>
      </w:r>
      <w:r>
        <w:rPr>
          <w:rStyle w:val="FootnoteAnchor"/>
          <w:rtl w:val="true"/>
        </w:rPr>
        <w:footnoteReference w:id="14"/>
      </w:r>
      <w:r>
        <w:rPr>
          <w:rFonts w:ascii="IRNazanin" w:hAnsi="IRNazanin" w:eastAsia="IRNazanin"/>
          <w:color w:val="111111"/>
          <w:sz w:val="28"/>
          <w:sz w:val="28"/>
          <w:szCs w:val="28"/>
          <w:rtl w:val="true"/>
          <w:lang w:bidi="fa-IR"/>
        </w:rPr>
        <w:t>،ورفقه به لموضعه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Style w:val="FootnoteAnchor"/>
          <w:rtl w:val="true"/>
        </w:rPr>
        <w:footnoteReference w:id="15"/>
      </w:r>
      <w:r>
        <w:rPr>
          <w:rFonts w:ascii="Amiri" w:hAnsi="Amiri" w:eastAsia="Amiri" w:cs="Amiri"/>
          <w:color w:val="111111"/>
          <w:sz w:val="28"/>
          <w:sz w:val="28"/>
          <w:szCs w:val="28"/>
          <w:rtl w:val="true"/>
          <w:lang w:bidi="ar-SA"/>
        </w:rPr>
        <w:t>أخبره أن الله معهما على حد سواء، ناصراً لهما، ودافعاً عنهما،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 عن نزول السكينة على أبي بكر، لأن الرسول لم تفارقه السكينة قط،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فهذه ستة مواضع تدل على فضل أبي بكر من آية الغار ، لا يمكنك ولا لغيرك الطعن فيها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حررت كلامك</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واستقصيت البيان فيه، وأتيت بما لا يقدر أحد أن يزيد عليه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في الاحتجاج </w:t>
      </w:r>
      <w:r>
        <w:rPr>
          <w:rStyle w:val="FootnoteAnchor"/>
          <w:rtl w:val="true"/>
        </w:rPr>
        <w:footnoteReference w:id="18"/>
      </w:r>
      <w:r>
        <w:rPr>
          <w:rFonts w:ascii="Amiri" w:hAnsi="Amiri" w:eastAsia="Amiri" w:cs="Amiri"/>
          <w:color w:val="111111"/>
          <w:sz w:val="28"/>
          <w:sz w:val="28"/>
          <w:szCs w:val="28"/>
          <w:rtl w:val="true"/>
          <w:lang w:bidi="ar-SA"/>
        </w:rPr>
        <w:t>، غير أنّي بعون الله وتوفيقه، سأجعل ما أتيت به كرمادٍ إشتدت به الريح في يومه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ذكره وذكر النبي صلى الله عليه وآله وجعل أبا بكر ثانيه </w:t>
      </w:r>
      <w:r>
        <w:rPr>
          <w:rStyle w:val="FootnoteAnchor"/>
          <w:rtl w:val="true"/>
        </w:rPr>
        <w:footnoteReference w:id="19"/>
      </w:r>
      <w:r>
        <w:rPr>
          <w:rFonts w:ascii="Amiri" w:hAnsi="Amiri" w:eastAsia="Amiri" w:cs="Amiri"/>
          <w:color w:val="111111"/>
          <w:sz w:val="28"/>
          <w:sz w:val="28"/>
          <w:szCs w:val="28"/>
          <w:rtl w:val="true"/>
          <w:lang w:bidi="ar-SA"/>
        </w:rPr>
        <w:t xml:space="preserve">، فهو اخبار عن العدد ولعمري لقد كانا إثنين،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ذلك من الفضل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ونحن نعلم ضرورة أن مؤمناً وكافراً إثنان،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نعلم أن مؤمناً ومؤمناً اثنان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فما أرى لك في ذكر العدد طائلاً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تعتدّبه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وصفهما بالاجتماع في المكان، فانه كالأول، لأن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المؤمنين والكفّار</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وأيضاً فان مسجد النبي صلى الله عليه وآله أشرف من الغار، وقد جمع المؤمنين والمنافقين والكفّار، وفي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 الّذِينَ كَفَرُوا قِبَلَكَ مُهطِعِينَ عَنِ اليَمِينِ وَ عَنِ الشّمالِ عِزِينَ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فان سفينة نوح قد جمعت النبي، والشيطان، والبهيمة،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والانسان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فالمكان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لا يدل على ما ادعيت </w:t>
      </w:r>
      <w:r>
        <w:rPr>
          <w:rStyle w:val="FootnoteAnchor"/>
          <w:rtl w:val="true"/>
        </w:rPr>
        <w:footnoteReference w:id="27"/>
      </w:r>
      <w:r>
        <w:rPr>
          <w:rFonts w:ascii="Amiri" w:hAnsi="Amiri" w:eastAsia="Amiri" w:cs="Amiri"/>
          <w:color w:val="111111"/>
          <w:sz w:val="28"/>
          <w:sz w:val="28"/>
          <w:szCs w:val="28"/>
          <w:rtl w:val="true"/>
          <w:lang w:bidi="ar-SA"/>
        </w:rPr>
        <w:t>من لفضيلة</w:t>
      </w:r>
      <w:r>
        <w:rPr>
          <w:rStyle w:val="FootnoteAnchor"/>
          <w:rtl w:val="true"/>
        </w:rPr>
        <w:footnoteReference w:id="28"/>
      </w:r>
      <w:r>
        <w:rPr>
          <w:rFonts w:ascii="IRNazanin" w:hAnsi="IRNazanin" w:eastAsia="IRNazanin"/>
          <w:color w:val="111111"/>
          <w:sz w:val="28"/>
          <w:sz w:val="28"/>
          <w:szCs w:val="28"/>
          <w:rtl w:val="true"/>
          <w:lang w:bidi="fa-IR"/>
        </w:rPr>
        <w:t xml:space="preserve">، فبطل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أضافه اليه بذكر الصحبة، فانه أضعف الفضلين الأولين، لأن الصحبة تجمع المؤمن والكافر، والدليل على 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صاحِبُهُ وَ هُوَ يُحاوِرُهُ أَ كَفَرتَ باِلذّيِ خَلَقَكَ مِن تُرابٍ ثُمّ مِن نُطفَةٍ ثُمّ سَوّاكَ رَجُلًا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فان اسم الصحبة يقع </w:t>
      </w:r>
      <w:r>
        <w:rPr>
          <w:rStyle w:val="FootnoteAnchor"/>
          <w:rtl w:val="true"/>
        </w:rPr>
        <w:footnoteReference w:id="30"/>
      </w:r>
      <w:r>
        <w:rPr>
          <w:rFonts w:ascii="Amiri" w:hAnsi="Amiri" w:eastAsia="Amiri" w:cs="Amiri"/>
          <w:color w:val="111111"/>
          <w:sz w:val="28"/>
          <w:sz w:val="28"/>
          <w:szCs w:val="28"/>
          <w:rtl w:val="true"/>
          <w:lang w:bidi="ar-SA"/>
        </w:rPr>
        <w:t xml:space="preserve">بين العاقل وبين البهيمة، والدليل على ذلك من كلام العرب الذي نزل القرآن بلسانهم، فقال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وقد سموا الحمار صاحباً</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الحمار مع الحمار مطية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خلوت به فبئس الصاحب</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وأيضاً فقد سموا السيف </w:t>
      </w:r>
      <w:r>
        <w:rPr>
          <w:rStyle w:val="FootnoteAnchor"/>
          <w:rtl w:val="true"/>
        </w:rPr>
        <w:footnoteReference w:id="33"/>
      </w:r>
      <w:r>
        <w:rPr>
          <w:rFonts w:ascii="Amiri" w:hAnsi="Amiri" w:eastAsia="Amiri" w:cs="Amiri"/>
          <w:color w:val="111111"/>
          <w:sz w:val="28"/>
          <w:sz w:val="28"/>
          <w:szCs w:val="28"/>
          <w:rtl w:val="true"/>
          <w:lang w:bidi="ar-SA"/>
        </w:rPr>
        <w:t xml:space="preserve">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في ذلك</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جاورت هنداً وذاك اجتنابي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صاحب كتوم اللسان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اسم الصحبة يقع بين المؤمن والكافر ، وبين العاقل وبين </w:t>
      </w:r>
      <w:r>
        <w:rPr>
          <w:rStyle w:val="FootnoteAnchor"/>
          <w:rtl w:val="true"/>
        </w:rPr>
        <w:footnoteReference w:id="36"/>
      </w:r>
      <w:r>
        <w:rPr>
          <w:rFonts w:ascii="Amiri" w:hAnsi="Amiri" w:eastAsia="Amiri" w:cs="Amiri"/>
          <w:color w:val="111111"/>
          <w:sz w:val="28"/>
          <w:sz w:val="28"/>
          <w:szCs w:val="28"/>
          <w:rtl w:val="true"/>
          <w:lang w:bidi="ar-SA"/>
        </w:rPr>
        <w:t>البهيمة، وبين الحيوان والجماد، فأي حجة لصاحبك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Style w:val="FootnoteAnchor"/>
          <w:rtl w:val="true"/>
        </w:rPr>
        <w:footnoteReference w:id="37"/>
      </w:r>
      <w:r>
        <w:rPr>
          <w:rFonts w:ascii="Amiri" w:hAnsi="Amiri" w:eastAsia="Amiri" w:cs="Amiri"/>
          <w:color w:val="111111"/>
          <w:sz w:val="28"/>
          <w:sz w:val="28"/>
          <w:szCs w:val="28"/>
          <w:rtl w:val="true"/>
          <w:lang w:bidi="ar-SA"/>
        </w:rPr>
        <w:t xml:space="preserve">وبال عليه، ومنقصة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على خطئه،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وصورة النهي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الحزن وقع </w:t>
      </w:r>
      <w:r>
        <w:rPr>
          <w:rStyle w:val="FootnoteAnchor"/>
          <w:rtl w:val="true"/>
        </w:rPr>
        <w:footnoteReference w:id="39"/>
      </w:r>
      <w:r>
        <w:rPr>
          <w:rFonts w:ascii="Amiri" w:hAnsi="Amiri" w:eastAsia="Amiri" w:cs="Amiri"/>
          <w:color w:val="111111"/>
          <w:sz w:val="28"/>
          <w:sz w:val="28"/>
          <w:szCs w:val="28"/>
          <w:rtl w:val="true"/>
          <w:lang w:bidi="ar-SA"/>
        </w:rPr>
        <w:t xml:space="preserve">من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طاعة أو معصية، فان كان طاعة فالنبي لا ينهى عنها، فدلّ على أنه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معصية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انتهى وإلا فقد شهدت الآية بعصيانه بدليل أنه نهاه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بدليل أنه نهاه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أنه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النبي صلى الله عليه وآله أخبر</w:t>
      </w:r>
      <w:r>
        <w:rPr>
          <w:rStyle w:val="FootnoteAnchor"/>
          <w:rtl w:val="true"/>
        </w:rPr>
        <w:footnoteReference w:id="43"/>
      </w:r>
      <w:r>
        <w:rPr>
          <w:rFonts w:ascii="Amiri" w:hAnsi="Amiri" w:eastAsia="Amiri" w:cs="Amiri"/>
          <w:color w:val="111111"/>
          <w:sz w:val="28"/>
          <w:sz w:val="28"/>
          <w:szCs w:val="28"/>
          <w:rtl w:val="true"/>
          <w:lang w:bidi="ar-SA"/>
        </w:rPr>
        <w:t xml:space="preserve">أن الله معه خاصة، وعبّر عن نفسه بلفظ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الله تعالى عن نفسه بلفظ الجمع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هذا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حزني على اخيك علي بن أبي طالب ما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ومع أخي علي ابن أبي طالب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أن السكينة نزلت على أبي بكر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بحت</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لأن الذي نزلت عليه السكينة هو الذي أيده بالجنود كذا يشهد ظاهر القرآن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 وَ أَيّدَهُ بِجُنُودٍ لَم تَرَوها</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فان</w:t>
      </w:r>
      <w:r>
        <w:rPr>
          <w:rStyle w:val="FootnoteAnchor"/>
          <w:rtl w:val="true"/>
        </w:rPr>
        <w:footnoteReference w:id="49"/>
      </w:r>
      <w:r>
        <w:rPr>
          <w:rFonts w:ascii="Amiri" w:hAnsi="Amiri" w:eastAsia="Amiri" w:cs="Amiri"/>
          <w:color w:val="111111"/>
          <w:sz w:val="28"/>
          <w:sz w:val="28"/>
          <w:szCs w:val="28"/>
          <w:rtl w:val="true"/>
          <w:lang w:bidi="ar-SA"/>
        </w:rPr>
        <w:t xml:space="preserve">كان ابو بكر هو صاحب السكينه فهو </w:t>
      </w:r>
      <w:r>
        <w:rPr>
          <w:rStyle w:val="FootnoteAnchor"/>
          <w:rtl w:val="true"/>
        </w:rPr>
        <w:footnoteReference w:id="50"/>
      </w:r>
      <w:r>
        <w:rPr>
          <w:rFonts w:ascii="IRNazanin" w:hAnsi="IRNazanin" w:eastAsia="IRNazanin"/>
          <w:color w:val="111111"/>
          <w:sz w:val="28"/>
          <w:sz w:val="28"/>
          <w:szCs w:val="28"/>
          <w:rtl w:val="true"/>
          <w:lang w:bidi="fa-IR"/>
        </w:rPr>
        <w:t>صاحب الجنود، وهذا</w:t>
      </w:r>
      <w:r>
        <w:rPr>
          <w:rStyle w:val="FootnoteAnchor"/>
          <w:rtl w:val="true"/>
        </w:rPr>
        <w:footnoteReference w:id="51"/>
      </w:r>
      <w:r>
        <w:rPr>
          <w:rFonts w:ascii="Amiri" w:hAnsi="Amiri" w:eastAsia="Amiri" w:cs="Amiri"/>
          <w:color w:val="111111"/>
          <w:sz w:val="28"/>
          <w:sz w:val="28"/>
          <w:szCs w:val="28"/>
          <w:rtl w:val="true"/>
          <w:lang w:bidi="ar-SA"/>
        </w:rPr>
        <w:t xml:space="preserve">إخراج النبي عليه السلام من النبوة، على أنّ هذا الموضع لو كتمته على صاحبك كان خيراً له، لأن الله تعالى أنزل السكينة على النبي عليه السلام في موضعين، وكان معه قوم مؤمنون فشركهم فيها، فقال في موضع </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عَلي رَسُولِهِ وَ عَلَي المُؤمِنِينَ وَ أَنزَلَ جُنُوداً لَم تَرَوها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 رَسُولِهِ وَ عَلَي المُؤمِنِينَ وَ أَلزَمَهُم كَلِمَةَ التّقوي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اليوم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خصه وحده بالسكينة،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 كان معه في الموضع مؤمن لشركه معه في السكينة، كما شركه من قبله </w:t>
      </w:r>
      <w:r>
        <w:rPr>
          <w:rStyle w:val="FootnoteAnchor"/>
          <w:rtl w:val="true"/>
        </w:rPr>
        <w:footnoteReference w:id="56"/>
      </w:r>
      <w:r>
        <w:rPr>
          <w:rFonts w:ascii="Amiri" w:hAnsi="Amiri" w:eastAsia="Amiri" w:cs="Amiri"/>
          <w:color w:val="111111"/>
          <w:sz w:val="28"/>
          <w:sz w:val="28"/>
          <w:szCs w:val="28"/>
          <w:rtl w:val="true"/>
          <w:lang w:bidi="ar-SA"/>
        </w:rPr>
        <w:t xml:space="preserve">من المؤمنين، فدلّ باخراجه </w:t>
      </w:r>
      <w:r>
        <w:rPr>
          <w:rStyle w:val="FootnoteAnchor"/>
          <w:rtl w:val="true"/>
        </w:rPr>
        <w:footnoteReference w:id="57"/>
      </w:r>
      <w:r>
        <w:rPr>
          <w:rFonts w:ascii="Amiri" w:hAnsi="Amiri" w:eastAsia="Amiri" w:cs="Amiri"/>
          <w:color w:val="111111"/>
          <w:sz w:val="28"/>
          <w:sz w:val="28"/>
          <w:szCs w:val="28"/>
          <w:rtl w:val="true"/>
          <w:lang w:bidi="ar-SA"/>
        </w:rPr>
        <w:t>من السكينة على خروجه من</w:t>
      </w:r>
    </w:p>
    <w:p>
      <w:pPr>
        <w:pStyle w:val="BookText"/>
        <w:rPr/>
      </w:pP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فلم يحر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جواباً، وتفرّق الناس، واستيقظت </w:t>
      </w:r>
      <w:r>
        <w:rPr>
          <w:rStyle w:val="FootnoteAnchor"/>
          <w:rtl w:val="true"/>
        </w:rPr>
        <w:footnoteReference w:id="6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المنام ولله الحمد والمنة، وصلى الله على سيدنا محمد النبي وآله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أبو منصور أحمد بن علي بن ابي طالب الطبرسي في كتاب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عن الشيخ أبي علي الحسن بن محمد الرقي، أخبر به بالرملة في شوال من سنة ثلاث وعشرين وأربعمائة عن الشيخ المفيد أبي عبد الله محمد بن محمد بن النعمان رحمه الله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المنام سنة من السنين كأني قد أجتزت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آخره وسوف نرمز الى موارد اختلاف روايته بالحرف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وعنوان أبو الفتح محمد بن علي بن عثمان الكراجكي في كنزه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المذكور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منام ذكر أن الشيخ المفيد أبا عبد الله محمد بن محمد بن النعمان رضي الله عنه راه وأملاه على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أن شيخنا المفيد رضوان الله عليه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وسوف نرمز الى موارد الاختلاف أيضاً بالحرف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ابن عبد ربة الأندلسي في العقد الفريد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سيأتي في احتجاج المأمون على الفقهاء في فضل علي عليه السلام فلاحظ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المنام سنة من السنين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لي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فتقدمت ففرقت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 وج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بكر معه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تاليفاً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 وج</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اعلامه أنّه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حبرت بكلامك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لصاحبك عليه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ثانيه فليس في ذلك فضيلة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 وج</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تعتمده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 فيه المؤمنون والكفار، كما يجتمع العدد للمؤمنين والكفار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المؤمن والكافر كما يجمع العدد المؤمنين والكفار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فبان لك أن الاجتماع بالمكان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قالها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الجماد مع الحي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 ذلك في السيف شعراً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 وج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ذلك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منقصة 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مكه الواقع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يكون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الطاعات، بل يأمر بها ويدعو اليها، وإن كان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صح وقوعها منه ، وتوجه النهي عنها وشهدت الآيات أنه ولم يرد دليلا على امتثاله للنهي وانزجاره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نهاه النبي صلى الله عليه وآله عنها، وقد شهدت الآية بعصيانه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وج</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ترك للظاهر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هو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الموضعين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الموضع الآخر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الغار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الموضع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شرك من ذكرنا قبل هذا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اخراجه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واستيقظت من نومي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footer" Target="footer12.xml"/><Relationship Id="rId32" Type="http://schemas.openxmlformats.org/officeDocument/2006/relationships/image" Target="media/image10.jpeg"/><Relationship Id="rId33" Type="http://schemas.openxmlformats.org/officeDocument/2006/relationships/image" Target="media/image10.jpeg"/><Relationship Id="rId34" Type="http://schemas.openxmlformats.org/officeDocument/2006/relationships/footer" Target="footer13.xml"/><Relationship Id="rId35" Type="http://schemas.openxmlformats.org/officeDocument/2006/relationships/image" Target="media/image11.jpeg"/><Relationship Id="rId36" Type="http://schemas.openxmlformats.org/officeDocument/2006/relationships/image" Target="media/image11.jpeg"/><Relationship Id="rId37" Type="http://schemas.openxmlformats.org/officeDocument/2006/relationships/footer" Target="footer14.xml"/><Relationship Id="rId38" Type="http://schemas.openxmlformats.org/officeDocument/2006/relationships/image" Target="media/image12.jpeg"/><Relationship Id="rId39" Type="http://schemas.openxmlformats.org/officeDocument/2006/relationships/image" Target="media/image12.jpeg"/><Relationship Id="rId40" Type="http://schemas.openxmlformats.org/officeDocument/2006/relationships/footer" Target="footer15.xml"/><Relationship Id="rId41" Type="http://schemas.openxmlformats.org/officeDocument/2006/relationships/image" Target="media/image13.jpeg"/><Relationship Id="rId42" Type="http://schemas.openxmlformats.org/officeDocument/2006/relationships/image" Target="media/image13.jpeg"/><Relationship Id="rId43" Type="http://schemas.openxmlformats.org/officeDocument/2006/relationships/footer" Target="footer16.xml"/><Relationship Id="rId44" Type="http://schemas.openxmlformats.org/officeDocument/2006/relationships/image" Target="media/image14.jpeg"/><Relationship Id="rId45" Type="http://schemas.openxmlformats.org/officeDocument/2006/relationships/image" Target="media/image14.jpeg"/><Relationship Id="rId46" Type="http://schemas.openxmlformats.org/officeDocument/2006/relationships/footer" Target="footer17.xml"/><Relationship Id="rId47" Type="http://schemas.openxmlformats.org/officeDocument/2006/relationships/image" Target="media/image15.jpeg"/><Relationship Id="rId48" Type="http://schemas.openxmlformats.org/officeDocument/2006/relationships/image" Target="media/image15.jpeg"/><Relationship Id="rId49" Type="http://schemas.openxmlformats.org/officeDocument/2006/relationships/footer" Target="footer18.xml"/><Relationship Id="rId50" Type="http://schemas.openxmlformats.org/officeDocument/2006/relationships/image" Target="media/image16.jpeg"/><Relationship Id="rId51" Type="http://schemas.openxmlformats.org/officeDocument/2006/relationships/image" Target="media/image16.jpeg"/><Relationship Id="rId52" Type="http://schemas.openxmlformats.org/officeDocument/2006/relationships/footer" Target="footer19.xml"/><Relationship Id="rId53" Type="http://schemas.openxmlformats.org/officeDocument/2006/relationships/footer" Target="footer20.xml"/><Relationship Id="rId54" Type="http://schemas.openxmlformats.org/officeDocument/2006/relationships/footer" Target="footer21.xml"/><Relationship Id="rId55" Type="http://schemas.openxmlformats.org/officeDocument/2006/relationships/footer" Target="footer22.xml"/><Relationship Id="rId56" Type="http://schemas.openxmlformats.org/officeDocument/2006/relationships/footer" Target="footer23.xml"/><Relationship Id="rId57" Type="http://schemas.openxmlformats.org/officeDocument/2006/relationships/footer" Target="footer24.xml"/><Relationship Id="rId58" Type="http://schemas.openxmlformats.org/officeDocument/2006/relationships/footer" Target="footer25.xml"/><Relationship Id="rId59" Type="http://schemas.openxmlformats.org/officeDocument/2006/relationships/footer" Target="footer26.xml"/><Relationship Id="rId60" Type="http://schemas.openxmlformats.org/officeDocument/2006/relationships/footer" Target="footer27.xml"/><Relationship Id="rId61" Type="http://schemas.openxmlformats.org/officeDocument/2006/relationships/footer" Target="footer28.xml"/><Relationship Id="rId62" Type="http://schemas.openxmlformats.org/officeDocument/2006/relationships/footer" Target="footer29.xml"/><Relationship Id="rId63" Type="http://schemas.openxmlformats.org/officeDocument/2006/relationships/footer" Target="footer30.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31.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Pages>
  <Words>1894</Words>
  <Characters>7392</Characters>
  <CharactersWithSpaces>9164</CharactersWithSpaces>
  <Paragraphs>214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2026-08-16T05:09:42Z</dcterms:created>
  <dc:creator>ghaemiyeh.com</dc:creator>
  <dc:description/>
  <dc:language>en-US</dc:language>
  <cp:lastModifiedBy/>
  <dcterms:modified xsi:type="dcterms:W3CDTF">2026-08-16T08:39:46Z</dcterms:modified>
  <cp:revision>1</cp:revision>
  <dc:subject/>
  <dc:title>شرح المنام</dc:title>
</cp:coreProperties>
</file>

<file path=docProps/custom.xml><?xml version="1.0" encoding="utf-8"?>
<Properties xmlns="http://schemas.openxmlformats.org/officeDocument/2006/custom-properties" xmlns:vt="http://schemas.openxmlformats.org/officeDocument/2006/docPropsVTypes"/>
</file>