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440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8442_211673320">
            <w:r>
              <w:rPr>
                <w:webHidden/>
                <w:rStyle w:val="IndexLink"/>
                <w:rtl w:val="true"/>
              </w:rPr>
              <w:t>سخن ناشر</w:t>
            </w:r>
            <w:r>
              <w:rPr>
                <w:rStyle w:val="IndexLink"/>
                <w:rtl w:val="true"/>
              </w:rPr>
              <w:tab/>
            </w:r>
            <w:r>
              <w:rPr>
                <w:rStyle w:val="IndexLink"/>
              </w:rPr>
              <w:t>4</w:t>
            </w:r>
          </w:hyperlink>
        </w:p>
        <w:p>
          <w:pPr>
            <w:pStyle w:val="Contents2"/>
            <w:tabs>
              <w:tab w:val="clear" w:pos="8743"/>
              <w:tab w:val="right" w:pos="9026" w:leader="dot"/>
            </w:tabs>
            <w:rPr/>
          </w:pPr>
          <w:hyperlink w:anchor="__RefHeading___Toc558444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8446_211673320">
            <w:r>
              <w:rPr>
                <w:webHidden/>
                <w:rStyle w:val="IndexLink"/>
                <w:rtl w:val="true"/>
              </w:rPr>
              <w:t>فرصت و زمان توبه</w:t>
            </w:r>
            <w:r>
              <w:rPr>
                <w:rStyle w:val="IndexLink"/>
                <w:rtl w:val="true"/>
              </w:rPr>
              <w:tab/>
            </w:r>
            <w:r>
              <w:rPr>
                <w:rStyle w:val="IndexLink"/>
              </w:rPr>
              <w:t>5</w:t>
            </w:r>
          </w:hyperlink>
        </w:p>
        <w:p>
          <w:pPr>
            <w:pStyle w:val="Contents2"/>
            <w:tabs>
              <w:tab w:val="clear" w:pos="8743"/>
              <w:tab w:val="right" w:pos="9026" w:leader="dot"/>
            </w:tabs>
            <w:rPr/>
          </w:pPr>
          <w:hyperlink w:anchor="__RefHeading___Toc558448_211673320">
            <w:r>
              <w:rPr>
                <w:webHidden/>
                <w:rStyle w:val="IndexLink"/>
                <w:rtl w:val="true"/>
              </w:rPr>
              <w:t>خسارت اول گناه، پوشاندن لباس ذلّت</w:t>
            </w:r>
            <w:r>
              <w:rPr>
                <w:rStyle w:val="IndexLink"/>
                <w:rtl w:val="true"/>
              </w:rPr>
              <w:tab/>
            </w:r>
            <w:r>
              <w:rPr>
                <w:rStyle w:val="IndexLink"/>
              </w:rPr>
              <w:t>7</w:t>
            </w:r>
          </w:hyperlink>
        </w:p>
        <w:p>
          <w:pPr>
            <w:pStyle w:val="Contents2"/>
            <w:tabs>
              <w:tab w:val="clear" w:pos="8743"/>
              <w:tab w:val="right" w:pos="9026" w:leader="dot"/>
            </w:tabs>
            <w:rPr/>
          </w:pPr>
          <w:hyperlink w:anchor="__RefHeading___Toc558450_211673320">
            <w:r>
              <w:rPr>
                <w:webHidden/>
                <w:rStyle w:val="IndexLink"/>
                <w:rtl w:val="true"/>
              </w:rPr>
              <w:t>خسارت دوم گناه، دوری از قرب حق</w:t>
            </w:r>
            <w:r>
              <w:rPr>
                <w:rStyle w:val="IndexLink"/>
                <w:rtl w:val="true"/>
              </w:rPr>
              <w:tab/>
            </w:r>
            <w:r>
              <w:rPr>
                <w:rStyle w:val="IndexLink"/>
              </w:rPr>
              <w:t>9</w:t>
            </w:r>
          </w:hyperlink>
        </w:p>
        <w:p>
          <w:pPr>
            <w:pStyle w:val="Contents2"/>
            <w:tabs>
              <w:tab w:val="clear" w:pos="8743"/>
              <w:tab w:val="right" w:pos="9026" w:leader="dot"/>
            </w:tabs>
            <w:rPr/>
          </w:pPr>
          <w:hyperlink w:anchor="__RefHeading___Toc558452_211673320">
            <w:r>
              <w:rPr>
                <w:webHidden/>
                <w:rStyle w:val="IndexLink"/>
                <w:rtl w:val="true"/>
              </w:rPr>
              <w:t>خسارت سوم گناه، مرگ قلب</w:t>
            </w:r>
            <w:r>
              <w:rPr>
                <w:rStyle w:val="IndexLink"/>
                <w:rtl w:val="true"/>
              </w:rPr>
              <w:tab/>
            </w:r>
            <w:r>
              <w:rPr>
                <w:rStyle w:val="IndexLink"/>
              </w:rPr>
              <w:t>10</w:t>
            </w:r>
          </w:hyperlink>
        </w:p>
        <w:p>
          <w:pPr>
            <w:pStyle w:val="Contents2"/>
            <w:tabs>
              <w:tab w:val="clear" w:pos="8743"/>
              <w:tab w:val="right" w:pos="9026" w:leader="dot"/>
            </w:tabs>
            <w:rPr/>
          </w:pPr>
          <w:hyperlink w:anchor="__RefHeading___Toc558454_211673320">
            <w:r>
              <w:rPr>
                <w:webHidden/>
                <w:rStyle w:val="IndexLink"/>
                <w:rtl w:val="true"/>
              </w:rPr>
              <w:t>یک نمونه از گناه باطن</w:t>
            </w:r>
            <w:r>
              <w:rPr>
                <w:rStyle w:val="IndexLink"/>
                <w:rtl w:val="true"/>
              </w:rPr>
              <w:tab/>
            </w:r>
            <w:r>
              <w:rPr>
                <w:rStyle w:val="IndexLink"/>
              </w:rPr>
              <w:t>14</w:t>
            </w:r>
          </w:hyperlink>
        </w:p>
        <w:p>
          <w:pPr>
            <w:pStyle w:val="Contents2"/>
            <w:tabs>
              <w:tab w:val="clear" w:pos="8743"/>
              <w:tab w:val="right" w:pos="9026" w:leader="dot"/>
            </w:tabs>
            <w:rPr/>
          </w:pPr>
          <w:hyperlink w:anchor="__RefHeading___Toc558456_211673320">
            <w:r>
              <w:rPr>
                <w:webHidden/>
                <w:rStyle w:val="IndexLink"/>
                <w:rtl w:val="true"/>
              </w:rPr>
              <w:t>گناه حرام خواری</w:t>
            </w:r>
            <w:r>
              <w:rPr>
                <w:rStyle w:val="IndexLink"/>
                <w:rtl w:val="true"/>
              </w:rPr>
              <w:tab/>
            </w:r>
            <w:r>
              <w:rPr>
                <w:rStyle w:val="IndexLink"/>
              </w:rPr>
              <w:t>20</w:t>
            </w:r>
          </w:hyperlink>
        </w:p>
        <w:p>
          <w:pPr>
            <w:pStyle w:val="Contents2"/>
            <w:tabs>
              <w:tab w:val="clear" w:pos="8743"/>
              <w:tab w:val="right" w:pos="9026" w:leader="dot"/>
            </w:tabs>
            <w:rPr/>
          </w:pPr>
          <w:hyperlink w:anchor="__RefHeading___Toc558458_211673320">
            <w:r>
              <w:rPr>
                <w:webHidden/>
                <w:rStyle w:val="IndexLink"/>
                <w:rtl w:val="true"/>
              </w:rPr>
              <w:t>گلایه نکردن از بلا</w:t>
            </w:r>
            <w:r>
              <w:rPr>
                <w:rStyle w:val="IndexLink"/>
                <w:rtl w:val="true"/>
              </w:rPr>
              <w:tab/>
            </w:r>
            <w:r>
              <w:rPr>
                <w:rStyle w:val="IndexLink"/>
              </w:rPr>
              <w:t>24</w:t>
            </w:r>
          </w:hyperlink>
        </w:p>
        <w:p>
          <w:pPr>
            <w:pStyle w:val="Contents2"/>
            <w:tabs>
              <w:tab w:val="clear" w:pos="8743"/>
              <w:tab w:val="right" w:pos="9026" w:leader="dot"/>
            </w:tabs>
            <w:rPr/>
          </w:pPr>
          <w:hyperlink w:anchor="__RefHeading___Toc558460_211673320">
            <w:r>
              <w:rPr>
                <w:webHidden/>
                <w:rStyle w:val="IndexLink"/>
                <w:rtl w:val="true"/>
              </w:rPr>
              <w:t>معاشرت با اهل فساد، از نقاط بسیار خطرناک گناه</w:t>
            </w:r>
            <w:r>
              <w:rPr>
                <w:rStyle w:val="IndexLink"/>
                <w:rtl w:val="true"/>
              </w:rPr>
              <w:tab/>
            </w:r>
            <w:r>
              <w:rPr>
                <w:rStyle w:val="IndexLink"/>
              </w:rPr>
              <w:t>25</w:t>
            </w:r>
          </w:hyperlink>
        </w:p>
        <w:p>
          <w:pPr>
            <w:pStyle w:val="Contents2"/>
            <w:tabs>
              <w:tab w:val="clear" w:pos="8743"/>
              <w:tab w:val="right" w:pos="9026" w:leader="dot"/>
            </w:tabs>
            <w:rPr/>
          </w:pPr>
          <w:hyperlink w:anchor="__RefHeading___Toc558462_211673320">
            <w:r>
              <w:rPr>
                <w:webHidden/>
                <w:rStyle w:val="IndexLink"/>
                <w:rtl w:val="true"/>
              </w:rPr>
              <w:t>مصعب بن عمیر و گسستن رابطۀ خویشاوندی</w:t>
            </w:r>
            <w:r>
              <w:rPr>
                <w:rStyle w:val="IndexLink"/>
                <w:rtl w:val="true"/>
              </w:rPr>
              <w:tab/>
            </w:r>
            <w:r>
              <w:rPr>
                <w:rStyle w:val="IndexLink"/>
              </w:rPr>
              <w:t>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_493"/>
      <w:bookmarkStart w:id="1" w:name="pg82_493"/>
      <w:bookmarkEnd w:id="1"/>
    </w:p>
    <w:p>
      <w:pPr>
        <w:pStyle w:val="Heading2"/>
        <w:numPr>
          <w:ilvl w:val="1"/>
          <w:numId w:val="1"/>
        </w:numPr>
        <w:rPr/>
      </w:pPr>
      <w:bookmarkStart w:id="2" w:name="pg82_493"/>
      <w:bookmarkStart w:id="3" w:name="__RefHeading___Toc558440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حسین انصاریان ؛ ویرایش و تحقیق مرکز تحقیقات دارالعرفان الشیعی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x </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دارالعرفان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۱۹۴۸۳۰۶</w:t>
      </w:r>
    </w:p>
    <w:p>
      <w:pPr>
        <w:pStyle w:val="Heading2"/>
        <w:numPr>
          <w:ilvl w:val="1"/>
          <w:numId w:val="1"/>
        </w:numPr>
        <w:rPr/>
      </w:pPr>
      <w:bookmarkStart w:id="5" w:name="__RefHeading___Toc558442_211673320"/>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آنچه انسان را در مسیر پر فراز و نشیب زندگانی از نابسامانی‌ها محفوظ می‌دارد و موجب سعادت و سرفرازی و سربلندی او در امتحانات الهی می‌شود، پژوهش پیرامون علوم الهی و معارف اسلامی و پوشاندن جام عمل به دستورات بلند ربانی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دست‌یابی به حقیقت معارف الهی و آشنایی با جایگا حساس و ویژ آن‌ها در حیات انسانی، ضروری احساس می‌شود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دارالعرفان، در راستای اهداف الهی خود، این بار افزون بر استفاده از مطالب پربار و عالمان دانشمند محقّق حضرت استاد حسین انصاریان، با انتشار گلچینی از متن سخنرانی‌های معظّم له، از بیان پر حرارت و جذاب سخنرانی‌های استاد نیز تشنگانِ معارف سراسر نور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بی‌نصیب نگذاشته و بدون خارج</w:t>
      </w:r>
      <w:bookmarkStart w:id="7" w:name="pg82_496"/>
    </w:p>
    <w:p>
      <w:pPr>
        <w:pStyle w:val="Heading2"/>
        <w:numPr>
          <w:ilvl w:val="1"/>
          <w:numId w:val="1"/>
        </w:numPr>
        <w:rPr/>
      </w:pPr>
      <w:bookmarkStart w:id="8" w:name="__RefHeading___Toc558444_211673320"/>
      <w:bookmarkStart w:id="9" w:name="_Toc3"/>
      <w:bookmarkEnd w:id="7"/>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ساختن متن سخنرانی از قالب گفتاری آن، باب دیگری را برای استفاده از معارف 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گشتن از این چشم پرفیض باز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با عنایات خاص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بیش بتوانیم از زمزم معارف آن ذوات مقدّس سیراب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الصلوۀ و السلام علی سیّد الانبیاء و المرسلین حبیب الهنا و طبیب نفوسنا ابی‌القاسم محمد صلی‌الله‌علیه و علی اهل بیته الطیبین الطاهرین المعصومین</w:t>
      </w:r>
      <w:r>
        <w:rPr>
          <w:rFonts w:eastAsia="IRNazanin" w:cs="IRNazanin"/>
          <w:color w:val="111111"/>
          <w:sz w:val="28"/>
          <w:szCs w:val="28"/>
          <w:rtl w:val="true"/>
          <w:lang w:bidi="fa-IR"/>
        </w:rPr>
        <w:t>.</w:t>
      </w:r>
    </w:p>
    <w:p>
      <w:pPr>
        <w:pStyle w:val="Heading2"/>
        <w:numPr>
          <w:ilvl w:val="1"/>
          <w:numId w:val="1"/>
        </w:numPr>
        <w:rPr/>
      </w:pPr>
      <w:bookmarkStart w:id="10" w:name="__RefHeading___Toc558446_211673320"/>
      <w:bookmarkStart w:id="11" w:name="_Toc4"/>
      <w:bookmarkEnd w:id="10"/>
      <w:r>
        <w:rPr>
          <w:rtl w:val="true"/>
        </w:rPr>
        <w:t>فرصت و زمان توبه</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رسول‌خدا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فرصت با عظمت ماه مبارک رمضان،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 و زمان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الشَّهْرُ التَّوْبَۀُ </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علت آن هم این است که مردم مؤمن در ماه رمضان در تمرین ترک قرار می‌گیرند و به صورت ظاهر، باید از پایان سحر تا ابتدای افطار، از ده برنامه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اجتناب، به طور یقین، در تقویت روح، نفس و قلب آنان برای ترک گناهان کبیره و گناهان صغیره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کاری که در مسألۀ ترک در ماه مبارک رمضان انجام می‌گیرد، در ماه‌های دیگر انجام نمی‌گیرد، مگر در یک روز ماه ذی‌الحجه که برای انجام عمرۀ تمتّع، بر مردم واجب می‌شود که بیست و چهار برنامه را ترک کنند، و هم‌چنین در چند روز حجّ تمتّع؛ ولی به آن اندازه‌ای که در ماه مبارک رمضان، روح مردم برای مسألۀ ترک و اجتناب تقویت می‌شود، در آن روز و این چند روز، روحشان تقویت نمی‌گردد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مردم ترک گناه در ماه رمضان، از یازده ماه دیگر آسان‌تر است؛ ترک گناه در این</w:t>
      </w:r>
      <w:bookmarkStart w:id="12" w:name="pg82_501"/>
    </w:p>
    <w:p>
      <w:pPr>
        <w:pStyle w:val="BookText"/>
        <w:rPr/>
      </w:pPr>
      <w:bookmarkEnd w:id="12"/>
      <w:r>
        <w:rPr>
          <w:rFonts w:ascii="IRNazanin" w:hAnsi="IRNazanin" w:eastAsia="IRNazanin"/>
          <w:color w:val="111111"/>
          <w:sz w:val="28"/>
          <w:sz w:val="28"/>
          <w:szCs w:val="28"/>
          <w:rtl w:val="true"/>
          <w:lang w:bidi="fa-IR"/>
        </w:rPr>
        <w:t>مدت سی شبانه روز، آن‌ها را به فضای با عظمت تقوا و ترک دایم گناه می‌رساند</w:t>
      </w:r>
      <w:r>
        <w:rPr>
          <w:rFonts w:eastAsia="IRNazanin" w:cs="IRNazanin"/>
          <w:color w:val="111111"/>
          <w:sz w:val="28"/>
          <w:szCs w:val="28"/>
          <w:rtl w:val="true"/>
          <w:lang w:bidi="fa-IR"/>
        </w:rPr>
        <w:t>.</w:t>
      </w:r>
    </w:p>
    <w:p>
      <w:pPr>
        <w:pStyle w:val="Heading2"/>
        <w:numPr>
          <w:ilvl w:val="1"/>
          <w:numId w:val="1"/>
        </w:numPr>
        <w:rPr/>
      </w:pPr>
      <w:bookmarkStart w:id="13" w:name="__RefHeading___Toc558448_211673320"/>
      <w:bookmarkStart w:id="14" w:name="_Toc5"/>
      <w:bookmarkEnd w:id="13"/>
      <w:r>
        <w:rPr>
          <w:rtl w:val="true"/>
        </w:rPr>
        <w:t>خسارت اول گناه، پوشاندن لباس ذلّت</w:t>
      </w:r>
      <w:bookmarkEnd w:id="14"/>
    </w:p>
    <w:p>
      <w:pPr>
        <w:pStyle w:val="BookText"/>
        <w:rPr/>
      </w:pPr>
      <w:r>
        <w:rPr>
          <w:rFonts w:ascii="IRNazanin" w:hAnsi="IRNazanin" w:eastAsia="IRNazanin"/>
          <w:color w:val="111111"/>
          <w:sz w:val="28"/>
          <w:sz w:val="28"/>
          <w:szCs w:val="28"/>
          <w:rtl w:val="true"/>
          <w:lang w:bidi="fa-IR"/>
        </w:rPr>
        <w:t>وجود مبارک حضرت زین‌العابدین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خسارت سنگین به بار 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اَلْبَسَتْنِی الْخَطَایَا ثَوْبَ مَذَلّتِی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در درج اول، گناه، انسان را در پیشگاۀ خداوند بسیار خوار، پست، بی‌مقدار و بی‌ارزش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پستی و بی‌مقداری در وجود آدم بماند و با توبه، فرد به عزت و شخصیت انسانی‌اش بر نگردد، در قیامت، راه نجات بر روی او بسته خواهد بود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پرسیده شود این سخن چه سندی دارد؟ پاسخ این است که بالاترین سند این سخن، در آی نهم سور مبارک اعراف است که حق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خَفَّتْ مَوَازِینُهُ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سبک، بی‌ارزش و بی‌مقدار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الَّذِینَ خَسِرُوا أَنْفُسَهُم بِمَا کَانُوا بِآیَاتِنَا یَظْلِمُونَ</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این‌ها در قیامت می‌بینند و مشاهده می‌کنند که با گناه، تمام سرمای وجودشان را تباه کرده و در زندگی‌شان چیزی که در میزان قیامت قابل وزن باشد تا بر آن پاداش داده شود،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خَفَّتْ مَوَازِینُهُ فَأُولئِکَ الَّذِینَ خَسِرُوا أَنْفُسَهُم بِمَا کَانُوا بِآیَاتِنَا یَظْلِمُونَ</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یعنی خسران اصل وجود، تباهی اصل وجود؛ یعنی این قدر بی‌مقدار و بی‌ارزش شدند که انگار از آن‌ها چیزی نمانده که آن را به حساب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گناهان ظاهر و آشکار هم باشند، در میان خانواده، جامعه و آشنایان، آبروی‌شان رفته و پیش چشم دیگران هم پست و بی‌مقدار و بی‌اعتبار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خسارت، تنها یک خسارتِ گناه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اَلْبَسَتْنِی الْخَطَایَا ثَوْبَ مَذَلّتِی </w:t>
      </w:r>
      <w:r>
        <w:rPr>
          <w:rFonts w:eastAsia="IRNazanin" w:cs="IRNazanin"/>
          <w:color w:val="111111"/>
          <w:sz w:val="28"/>
          <w:szCs w:val="28"/>
          <w:rtl w:val="true"/>
          <w:lang w:bidi="fa-IR"/>
        </w:rPr>
        <w:t xml:space="preserve">». </w:t>
      </w:r>
      <w:r>
        <w:rPr>
          <w:rStyle w:val="FootnoteAnchor"/>
          <w:rtl w:val="true"/>
        </w:rPr>
        <w:footnoteReference w:id="6"/>
      </w:r>
      <w:bookmarkStart w:id="15" w:name="pg82_506"/>
    </w:p>
    <w:p>
      <w:pPr>
        <w:pStyle w:val="Heading2"/>
        <w:numPr>
          <w:ilvl w:val="1"/>
          <w:numId w:val="1"/>
        </w:numPr>
        <w:rPr/>
      </w:pPr>
      <w:bookmarkStart w:id="16" w:name="__RefHeading___Toc558450_211673320"/>
      <w:bookmarkStart w:id="17" w:name="_Toc6"/>
      <w:bookmarkEnd w:id="15"/>
      <w:bookmarkEnd w:id="16"/>
      <w:r>
        <w:rPr>
          <w:rtl w:val="true"/>
        </w:rPr>
        <w:t>خسارت دوم گناه، دوری از قرب حق</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دربارۀ خسارت دوم امام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جَلَّلَنْیِ الّتَبَاعُدُ مِنْکَ‌َ لَبَاسَ مَسَکَنَتِی</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به تدریج گناه باعث دور شدنم از حضرتت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تا جایی ممکن است ادامه پیدا کند که من را از هر عبادتی و خدمتی خلع سلاح نماید و زمین‌گیر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کَانَ عَاقِبَۀَ الَّذِینَ أَسَاءُوا السُّوءی أَن کَذَّبُوا بِآیَاتِ اللَّهِ وَکَانُوا بِهَا یَسْتَهْزِئُونَ </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زمانش طولانی شود و دایمی گردد و به تعبیر خود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پی شود؛ پیوسته شود، تا وقت مرگ باعث می‌شود که تمام نیروهای معنوی انسان از دست برود و او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کَالْأَنْعَامِ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که دیگر نمی‌تواند نه قدم عبادت بردارد، و</w:t>
      </w:r>
      <w:bookmarkStart w:id="18" w:name="pg82_509"/>
    </w:p>
    <w:p>
      <w:pPr>
        <w:pStyle w:val="BookText"/>
        <w:rPr/>
      </w:pPr>
      <w:bookmarkEnd w:id="18"/>
      <w:r>
        <w:rPr>
          <w:rFonts w:ascii="IRNazanin" w:hAnsi="IRNazanin" w:eastAsia="IRNazanin"/>
          <w:color w:val="111111"/>
          <w:sz w:val="28"/>
          <w:sz w:val="28"/>
          <w:szCs w:val="28"/>
          <w:rtl w:val="true"/>
          <w:lang w:bidi="fa-IR"/>
        </w:rPr>
        <w:t>نه قدم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خلع سلاح می‌کند</w:t>
      </w:r>
      <w:r>
        <w:rPr>
          <w:rFonts w:eastAsia="IRNazanin" w:cs="IRNazanin"/>
          <w:color w:val="111111"/>
          <w:sz w:val="28"/>
          <w:szCs w:val="28"/>
          <w:rtl w:val="true"/>
          <w:lang w:bidi="fa-IR"/>
        </w:rPr>
        <w:t>.</w:t>
      </w:r>
    </w:p>
    <w:p>
      <w:pPr>
        <w:pStyle w:val="Heading2"/>
        <w:numPr>
          <w:ilvl w:val="1"/>
          <w:numId w:val="1"/>
        </w:numPr>
        <w:rPr/>
      </w:pPr>
      <w:bookmarkStart w:id="19" w:name="__RefHeading___Toc558452_211673320"/>
      <w:bookmarkStart w:id="20" w:name="_Toc7"/>
      <w:bookmarkEnd w:id="19"/>
      <w:r>
        <w:rPr>
          <w:rtl w:val="true"/>
        </w:rPr>
        <w:t>خسارت سوم گناه، مرگ قلب</w:t>
      </w:r>
      <w:bookmarkEnd w:id="20"/>
    </w:p>
    <w:p>
      <w:pPr>
        <w:pStyle w:val="BookText"/>
        <w:rPr/>
      </w:pPr>
      <w:r>
        <w:rPr>
          <w:rFonts w:ascii="IRNazanin" w:hAnsi="IRNazanin" w:eastAsia="IRNazanin"/>
          <w:color w:val="111111"/>
          <w:sz w:val="28"/>
          <w:sz w:val="28"/>
          <w:szCs w:val="28"/>
          <w:rtl w:val="true"/>
          <w:lang w:bidi="fa-IR"/>
        </w:rPr>
        <w:t>امّا ضرر و خسارت سوم گناه که سنگین‌ترین خسارت است، و در بیان آن، امام زین العابدین علیه السلام خود متأثّر شده و در پیشگاه پروردگار به التماس و گریه می‌افتد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امَاتَ قَلَبِی عَظَیمَ جَنَایَتِی </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مرگ قلب می‌شود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قلب بمیرد خدا در افق یک مّیت، چه طلوعی دارد؟ خدا اگر بخواهد با صفاتش طلوع کند، طلوع حضرت حیّ در افق حیّ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حضرت حیّ در افق میت، طلوع نمی‌کند، میّت هر کس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یا می‌گویند دفنش کنید، یا او را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هندوها می‌گویند، مرده را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جنازه، روزگاری نهرو بوده است یا گاندی، یا راجیو؛ چون این جنازه، دیگر هیچ فایده‌ای ندارد، جز این که</w:t>
      </w:r>
    </w:p>
    <w:p>
      <w:pPr>
        <w:pStyle w:val="BookText"/>
        <w:rPr/>
      </w:pPr>
      <w:r>
        <w:rPr>
          <w:rFonts w:ascii="IRNazanin" w:hAnsi="IRNazanin" w:eastAsia="IRNazanin"/>
          <w:color w:val="111111"/>
          <w:sz w:val="28"/>
          <w:sz w:val="28"/>
          <w:szCs w:val="28"/>
          <w:rtl w:val="true"/>
          <w:lang w:bidi="fa-IR"/>
        </w:rPr>
        <w:t>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غیرهندوها هم می‌گویند، این جنازه متعلّق به هر کس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زمانی این جنازه متعلّق به رئیس جمهور آمریکا بوده است، یا وکیل، یا سناتور، یا وزیر، یا بهترین تاجر،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باید هر چه زودتر چاله‌ای بکَنید و او را در آن بیندازید و سرپوشی بر آن بگذارید و بروید که نکند این جنازه متلاشی شود و بوی تعفّنش شما را اذیت 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چه طلوعی دارد که از افق میّت طلوع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لاَ إِلهَ إِلَّا هُوَ الْحَیّ</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حیّ خودش دستور داده، مرده را دفن کنید؛ یعنی او هیچ فایده‌ای ندارد، و خودش باز دستور داده که او را در قبر گود دفنش کنید که نکند بعد از متلاشی شدنش، آسیب‌های آن، مردم شهر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حضرت حیّ گفته است که مرده را دور بیاندازید، آن وقت خودش هم می‌آید از افق این میت طلوع اوصافی بکند؟ قلب مرده، نه محلّ طلوع رحمانیت</w:t>
      </w:r>
    </w:p>
    <w:p>
      <w:pPr>
        <w:pStyle w:val="BookText"/>
        <w:rPr/>
      </w:pPr>
      <w:r>
        <w:rPr>
          <w:rFonts w:ascii="IRNazanin" w:hAnsi="IRNazanin" w:eastAsia="IRNazanin"/>
          <w:color w:val="111111"/>
          <w:sz w:val="28"/>
          <w:sz w:val="28"/>
          <w:szCs w:val="28"/>
          <w:rtl w:val="true"/>
          <w:lang w:bidi="fa-IR"/>
        </w:rPr>
        <w:t>است، نه محل طلوع رحیمیت؛ نه محلّ طلوع حکمت است، نه محلّ طلوع لطف؛ نه محلّ طلوع مهر است، نه محلّ طلوع رزاقیت؛ نه محلّ طلوع ربوبیت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این قلب مرده را در سینۀ هر کس دید، چنین توصیف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فَالصُّورَۀُ صُورَۀُ إِنْسَانٍ وَ الْقَلْبُ قَلْبُ حَیَوَان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قیافه، قیافۀ آدمیزاد است و قلب، قلب حیوان؛ یعنی دل، دلِ شتر، گاو، الاغ، سگ و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دل‌مردگی،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عزت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رفتن به سوی این که صلاح از دست رفته را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مرده را 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توبه بوده و در ماه رمضان، این توبه از یازده ماه دیگر راحت‌تر رخ نشان می‌دهد؛ آسان‌تر رخ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مردم، از مرد و زن، پیر و جوان، عالم و عامی، باید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آلودگی‌ای فراگیر است و دارای مسکّن ویژه نیست؛ فقط در چشم سکونت نمی‌گیرد؛ فقط در گوش، و یا در زبان، یا در دست، یا در شکم، یا در شهوت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 سنگین و فراگیری است؛ یعنی همان‌طور که باطن را می‌گیرد، فکر را هم می‌گیرد؛ قلب را هم می‌گیرد؛ نفس را هم آلوده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لازم است به سه نمونه از آلوده‌کنندگی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منازلی که در مسیر آلوده‌سازی انتخاب می‌کند،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این نمونه‌ها برای این است که انسان بداند گناه می‌تواند به همه جا نفوذ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سخن هم قرآن مجید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مَنْ کَسَبَ سَیِّئَۀً و َأَحَاطَتْ بِهِ خَطِیئَتُهُ فَأُولئِکَ أَصْحَابُ النَّارِ هُمْ فِیهَا خَالِدُونَ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ضمیر َأَحَاطَتْ ، به انسان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می‌شود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 را دارد که تمام وجود</w:t>
      </w:r>
      <w:bookmarkStart w:id="21" w:name="pg82_522"/>
    </w:p>
    <w:p>
      <w:pPr>
        <w:pStyle w:val="BookText"/>
        <w:rPr/>
      </w:pPr>
      <w:bookmarkEnd w:id="21"/>
      <w:r>
        <w:rPr>
          <w:rFonts w:ascii="IRNazanin" w:hAnsi="IRNazanin" w:eastAsia="IRNazanin"/>
          <w:color w:val="111111"/>
          <w:sz w:val="28"/>
          <w:sz w:val="28"/>
          <w:szCs w:val="28"/>
          <w:rtl w:val="true"/>
          <w:lang w:bidi="fa-IR"/>
        </w:rPr>
        <w:t>انسان را فتح نماید و بر آن احاطه کند و در همه جا، جا بگیرد</w:t>
      </w:r>
      <w:r>
        <w:rPr>
          <w:rFonts w:eastAsia="IRNazanin" w:cs="IRNazanin"/>
          <w:color w:val="111111"/>
          <w:sz w:val="28"/>
          <w:szCs w:val="28"/>
          <w:rtl w:val="true"/>
          <w:lang w:bidi="fa-IR"/>
        </w:rPr>
        <w:t>.</w:t>
      </w:r>
    </w:p>
    <w:p>
      <w:pPr>
        <w:pStyle w:val="Heading2"/>
        <w:numPr>
          <w:ilvl w:val="1"/>
          <w:numId w:val="1"/>
        </w:numPr>
        <w:rPr/>
      </w:pPr>
      <w:bookmarkStart w:id="22" w:name="__RefHeading___Toc558454_211673320"/>
      <w:bookmarkStart w:id="23" w:name="_Toc8"/>
      <w:bookmarkEnd w:id="22"/>
      <w:r>
        <w:rPr>
          <w:rtl w:val="true"/>
        </w:rPr>
        <w:t>یک نمونه از گناه باطن</w:t>
      </w:r>
      <w:bookmarkEnd w:id="23"/>
    </w:p>
    <w:p>
      <w:pPr>
        <w:pStyle w:val="BookText"/>
        <w:rPr/>
      </w:pPr>
      <w:r>
        <w:rPr>
          <w:rFonts w:ascii="IRNazanin" w:hAnsi="IRNazanin" w:eastAsia="IRNazanin"/>
          <w:color w:val="111111"/>
          <w:sz w:val="28"/>
          <w:sz w:val="28"/>
          <w:szCs w:val="28"/>
          <w:rtl w:val="true"/>
          <w:lang w:bidi="fa-IR"/>
        </w:rPr>
        <w:t>در این جا، برای شما یک نمونه از گناۀ باطن را بیان می‌کنم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صفوان بن مهران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نمونه‌هایی که بیان می‌شود، از معتبرترین کتب شیعه،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کتاب‌های ما شیعیان زیاد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عالم شیعی این ادعا را ندارد که بعد از قرآن، صحیفۀ سجادیه و نهج‌البلاغه، پاکی کتاب‌هایش صددرصد هست، ولی این ادّعا را دارد و ثابت هم می‌کند کتاب‌هایی که از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عالمان واجد شرایط، و نه هر قلم به دستی نوشته شده،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پاکی دارند؛ یعنی مطالبش استوار و درست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آن هم قابل نقد و انتقاد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عالم ربانی‌ای هم در زمان زنده بودنش تا حالا از انتقاد به کتاب‌هایی که به نگارش درآورده، به هیچ عنوان عصبانی نشده است، به طور مثال، وجود مبارک کلینی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جلد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نوشت و وجود مبارک علامه 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به آن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کتابی علمی نوشت و فرزند محترمش، آقا محمد آقازاده، شاید صد انتقاد به کتاب پدر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انتقادهایش هم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شیعه انتقادپذیر است، در حالی که علمای اهل سنت در شش کتاب اصلی روایی‌شان، صحاح شش‌گانه، راه انتقاد را بسته و گفته‌اند دربارۀ این شش کتاب، تا قیام قیامت به کسی اجازه نقد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آنان، این شش کتاب، از نظر سلامت، معادل قرآن است، ولی متخصّصان شیعه، این شش کتاب را هم بسیار عالمانه و هم با مهربانی و با رعایت دوستی به نقد کشیده‌اند؛ چرا که نقد کاری علمی بوده و این که آنان راه نقد این شش کتاب را بسته‌اند، عملی منصفانه و عالمانه نکرده‌اند، و این درحالی است که ما کتاب‌های خودمان را نقد کرده و طرف مقابلمان که کتاب‌هایش نقد شده هم از نقد ما خوشحال می‌شود؛ چون نقد هر اثر، برای صاحب آن، پختگی علمی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p>
    <w:p>
      <w:pPr>
        <w:pStyle w:val="BookText"/>
        <w:rPr/>
      </w:pPr>
      <w:r>
        <w:rPr>
          <w:rFonts w:ascii="IRNazanin" w:hAnsi="IRNazanin" w:eastAsia="IRNazanin"/>
          <w:color w:val="111111"/>
          <w:sz w:val="28"/>
          <w:sz w:val="28"/>
          <w:szCs w:val="28"/>
          <w:rtl w:val="true"/>
          <w:lang w:bidi="fa-IR"/>
        </w:rPr>
        <w:t xml:space="preserve">مطالبی که نقل خواهد شد، از معتبرترین کتاب‌ها گرفته شده است با توجّه به این نکته که آن‌ها به 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درصدشان،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آن، از سلامت و پاکی برخوردارند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بن مهران </w:t>
      </w:r>
      <w:r>
        <w:rPr>
          <w:rStyle w:val="FootnoteAnchor"/>
          <w:rtl w:val="true"/>
        </w:rPr>
        <w:footnoteReference w:id="1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به خدمت حضرت موسی بن جعفر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آمدم و 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عمل و کار و اخلاق از تو سراغ دارم، امضا می‌کنم و می‌پذیرم </w:t>
      </w:r>
      <w:r>
        <w:rPr>
          <w:rStyle w:val="FootnoteAnchor"/>
          <w:rtl w:val="true"/>
        </w:rPr>
        <w:footnoteReference w:id="14"/>
      </w:r>
      <w:r>
        <w:rPr>
          <w:rFonts w:ascii="IRNazanin" w:hAnsi="IRNazanin" w:eastAsia="IRNazanin"/>
          <w:color w:val="111111"/>
          <w:sz w:val="28"/>
          <w:sz w:val="28"/>
          <w:szCs w:val="28"/>
          <w:rtl w:val="true"/>
          <w:lang w:bidi="fa-IR"/>
        </w:rPr>
        <w:t>، فقط یک کارت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کارم؟ 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دادن شترانت به هارون و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شتران را برای لهو و لعب، برای حمل مشروب، برای گردش و شکار کرایه ندادم؛ بلکه مأمورِ هارون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شتران زیادی داری، پس آن‌ها را به من و به کسانم کرایه بده؛ چون ما می‌خواهیم به حج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پیشنهادش را قبول کردم و خودم هم با آن‌ها نرفتم که نکند هارون به من حُکم مسئولیت امری را بدهد تا حکم این ظالم را دربارۀ آن اجرا کنم؛ چون مجریان حکم ستمگران، با خود ستمگران، در دوزخ یک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نمی‌گوید این فرد چون اعلی‌حضرت بوده، باید به طبقۀ هفتم برود، و چون این فرد کارمند جزء بوده، باید به طبقۀ اول برود، بلکه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کارمندان دولت فرعون را هم با خود فرعون در شدیدترین عذاب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را که من پاسبان بودم، من پستچی بودم، من در دادگاه نویسنده بودم و در دستم کار مهمی نبود، خدا قبول</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حکم ستمگر، عین خود ستمگر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 که من خودم هم نمی‌روم و نرفتم و کارگرهایم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نیتت هست که هارون و اقوامش از مکه برگردند و کرایۀ شترهایت را بدهند؟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حرکت آن‌ها تا برگشتشان به مکه، همین که می‌خواهی آنان بمانند، از آن‌ها خواهی بود، و هر کس از آن‌ها باشد، در قیامت، با آن‌ها در جهنم خواهد بود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این گناه است که کسی سرپا بودن ظالم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بخواهد آمریکا سرپا باشد؛ بخواهد اسرائیل سرپا باشد؛ بخواهد یک وکیل ظالم، یک استاندار ظالم، یک فرماندار ظالم، یک اداری ظالم، یک حاکم ظالم، یک رئیس ظالم، سرپا باشد، این گناه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برای شنونده این ماجرا این پرسش پیش آید که آیا موسی بن جعفر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نفرموده؟ این‌طور نیست؟ اگر ما از حضرت سؤال می‌کردیم، ملاک این حرف شما چیست؟ آدمی به این خوبی که پدرتان، امام صادق علیه السلام، عاشقش بود و خودتان هم به او علاقه دارید، آن وقت او با هارون به جهنم برود؟ حضرت در پاسخ به چنین سؤالی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ملاکم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لاَتَرْکَنُوا إِلَی الَّذِینَ ظَلَمُوا فَتَمَسَّکُمْ النَّارُ وَ مَا لَکُمْ مِنْ دُونِ اللَّهِ مِنْ أَوْلِیَاءَ ثُمَّ لاَتُنْصَرُونَ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میل قلبی به هیچ ستمکاری نداشته باشید؛ چون که فقط به خاطر میلتان، آتش به شما خواهد رسید حتی اگر هم هیچ کاری برایش نکنید و فقط همان میل تنها باشد، چه برسد به این‌که در کشورم بنشینم و آرزو کنم کلّ این نظام و کلّ این حوزه‌های علمیه به نابودی کشیده شود و آمریکا بیاید ما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خدا با این میل چه خواهد کرد؟</w:t>
      </w:r>
      <w:bookmarkStart w:id="24" w:name="pg82_539"/>
    </w:p>
    <w:p>
      <w:pPr>
        <w:pStyle w:val="BookText"/>
        <w:rPr/>
      </w:pPr>
      <w:bookmarkEnd w:id="24"/>
      <w:r>
        <w:rPr>
          <w:rFonts w:ascii="IRNazanin" w:hAnsi="IRNazanin" w:eastAsia="IRNazanin"/>
          <w:color w:val="111111"/>
          <w:sz w:val="28"/>
          <w:sz w:val="28"/>
          <w:szCs w:val="28"/>
          <w:rtl w:val="true"/>
          <w:lang w:bidi="fa-IR"/>
        </w:rPr>
        <w:t>البته، شما هم که در بدن دولت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کدام از شما در هر پستی که هستید، از دهداری گرفته تا ریاست جمهوری، اگر ستمکار شوید، خودتان، پیروانتان، کارگزارانتان، زن و بچه‌های راضی به ستمکاری شما، طبق آیۀ چهل و ششم سورۀ مؤمن همه با هم، ، در اشدّالعذابِ قیامت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گناهی است که به قلب احاطه می‌کند</w:t>
      </w:r>
      <w:r>
        <w:rPr>
          <w:rFonts w:eastAsia="IRNazanin" w:cs="IRNazanin"/>
          <w:color w:val="111111"/>
          <w:sz w:val="28"/>
          <w:szCs w:val="28"/>
          <w:rtl w:val="true"/>
          <w:lang w:bidi="fa-IR"/>
        </w:rPr>
        <w:t>.</w:t>
      </w:r>
    </w:p>
    <w:p>
      <w:pPr>
        <w:pStyle w:val="Heading2"/>
        <w:numPr>
          <w:ilvl w:val="1"/>
          <w:numId w:val="1"/>
        </w:numPr>
        <w:rPr/>
      </w:pPr>
      <w:bookmarkStart w:id="25" w:name="__RefHeading___Toc558456_211673320"/>
      <w:bookmarkStart w:id="26" w:name="_Toc9"/>
      <w:bookmarkEnd w:id="25"/>
      <w:r>
        <w:rPr>
          <w:rtl w:val="true"/>
        </w:rPr>
        <w:t>گناه حرام خواری</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گناۀ حرام‌خواری، گناهی است که به شکم چنگ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بن عبدالله بن سنان نخعی </w:t>
      </w:r>
      <w:r>
        <w:rPr>
          <w:rStyle w:val="FootnoteAnchor"/>
          <w:rtl w:val="true"/>
        </w:rPr>
        <w:footnoteReference w:id="18"/>
      </w:r>
      <w:r>
        <w:rPr>
          <w:rFonts w:ascii="IRNazanin" w:hAnsi="IRNazanin" w:eastAsia="IRNazanin"/>
          <w:color w:val="111111"/>
          <w:sz w:val="28"/>
          <w:sz w:val="28"/>
          <w:szCs w:val="28"/>
          <w:rtl w:val="true"/>
          <w:lang w:bidi="fa-IR"/>
        </w:rPr>
        <w:t>در روزی که او را به دربار مهدی عباسی، قبل از هارون، آوردند، مهدی عباسی به او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نمی‌گذاریم از این دربار بروی، مگر بعد از این که یکی از این سه کار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رئیس قو قضائی مملکت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تعبیر عربی آن روز، قاضی‌القضات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هم این شغل را قبول نمی‌کنی، به جای آن، شغل معلمی بچه‌هایم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ما به تو اتاقی می دهیم و تو هر روز باید بیایی و به بچه‌هایم درس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هم نمی‌پذیری، امروز ناهار پیش ما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عبدالله بن سنان نخعی به فکر رفت که اگر در نهایت به هر سه پیشنهاد خلیفه نه بگوید، آخرش این خواهد بود که خلیفه دستور می‌دهد که جلاد گردنش را بزند و او در این صورت، جزو شهدای اصیل عالم می‌شود، و سخن گفتن با خود را ادامه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منصب قاضی‌القضاتی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با این کار، خود را در لبۀ جهنم قرار می‌دهد، و از طرفی، در صورت پذیرفتن پیشنهاد معلمی بچه‌های خلیفه، ممکن است آن‌ها پیش او درس بخوانند و فردا رئیس مملکت بشوند و مثل پدرشان بر تمام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مملکت ظلم بکنند، او با این کار خود، شریک ظلمشان می‌شود؛ چون ظالم‌پروری کرده و علمش را به دست نااهل داده است، و او نمی‌خواهد ظالم‌پروری بکند، امّا پذیرش پیشنهاد خوردن یک ناهار با خلیفه،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رئیس آشپزخانه گفت، فقط از مغز استخوان و شکر، چند نوع غذا درست کند و برای ناهار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آشپزخانه که شاهد جریان بود، رفت و بعد از دو ساعت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آماده است؛ سفره را چیده‌ایم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به آرامی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بن عبدالله بن سنان امروز این غذا را بخورد، تا ابد رستگار نخواهد شد؛ یعنی آشپز هم فهمید شریک با خوردن این ناهار، به چه عاقبت شومی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شریک بن عبدالله که غذای حرام را خورد، هم منصب قاضی‌القضاتی را پذیرفت و هم معلمی بچه‌های خلیفه را؛ چون گناه، آدم را</w:t>
      </w:r>
    </w:p>
    <w:p>
      <w:pPr>
        <w:pStyle w:val="BookText"/>
        <w:rPr/>
      </w:pPr>
      <w:r>
        <w:rPr>
          <w:rFonts w:ascii="IRNazanin" w:hAnsi="IRNazanin" w:eastAsia="IRNazanin"/>
          <w:color w:val="111111"/>
          <w:sz w:val="28"/>
          <w:sz w:val="28"/>
          <w:szCs w:val="28"/>
          <w:rtl w:val="true"/>
          <w:lang w:bidi="fa-IR"/>
        </w:rPr>
        <w:t xml:space="preserve">زمین‌گیر می‌کند، و لقم حرام، تمام نور خدا را از باطن می‌برد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روزی برای حقوق یک ماه، به شریک برات دادند و او به یک صرافی رفت تا آن را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الآن می‌دهم و مقداری دیگر را ده روز بعد، و اندکی از آن را جنس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اصرار کرد که باید همۀ آن را همین حالا نقد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که عصبانی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کتان و پارچۀ قیمتی فروخته‌ای که پولش را نقد می‌خواهی؟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کتان فروخته‌ام و نه پارچۀ قیمتی،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بِعْتُ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دینم را فروخته‌ام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این عالم، به ما هشدار می دهد که خوردن مال حرام، دین‌فروشی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 حرام زندگی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حرام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حرام</w:t>
      </w:r>
      <w:bookmarkStart w:id="27" w:name="pg82_551"/>
    </w:p>
    <w:p>
      <w:pPr>
        <w:pStyle w:val="BookText"/>
        <w:rPr/>
      </w:pPr>
      <w:bookmarkEnd w:id="27"/>
      <w:r>
        <w:rPr>
          <w:rFonts w:ascii="IRNazanin" w:hAnsi="IRNazanin" w:eastAsia="IRNazanin"/>
          <w:color w:val="111111"/>
          <w:sz w:val="28"/>
          <w:sz w:val="28"/>
          <w:szCs w:val="28"/>
          <w:rtl w:val="true"/>
          <w:lang w:bidi="fa-IR"/>
        </w:rPr>
        <w:t>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قصر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یک مملکت را اختلاس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طور قطع به دین‌فروشی دچار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جمل کوبنده‌ای است وکوه‌ها تحمّلش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بِعْتُ دِینِی</w:t>
      </w:r>
      <w:r>
        <w:rPr>
          <w:rFonts w:eastAsia="IRNazanin" w:cs="IRNazanin"/>
          <w:color w:val="111111"/>
          <w:sz w:val="28"/>
          <w:szCs w:val="28"/>
          <w:rtl w:val="true"/>
          <w:lang w:bidi="fa-IR"/>
        </w:rPr>
        <w:t>.»</w:t>
      </w:r>
    </w:p>
    <w:p>
      <w:pPr>
        <w:pStyle w:val="Heading2"/>
        <w:numPr>
          <w:ilvl w:val="1"/>
          <w:numId w:val="1"/>
        </w:numPr>
        <w:rPr/>
      </w:pPr>
      <w:bookmarkStart w:id="28" w:name="__RefHeading___Toc558458_211673320"/>
      <w:bookmarkStart w:id="29" w:name="_Toc10"/>
      <w:bookmarkEnd w:id="28"/>
      <w:r>
        <w:rPr>
          <w:rtl w:val="true"/>
        </w:rPr>
        <w:t>گلایه نکردن از بلا</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گرفتارم و تمام زندگی‌ام به هم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شیعه‌ام و عاشق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 من می‌گویی گرفتاری برایم پیدا شده و زندگی‌ام به هم پیچیده شده است؟ چه پیچیدگی؟ زندگی آن‌هایی به هم پیچیده که دینشان از دست رفته، نه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بَلَاءٌ و مَکْرُوهٌ قَلیِلٌ مَکْثُهُ</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ناراحتی است</w:t>
      </w:r>
      <w:bookmarkStart w:id="30" w:name="pg82_554"/>
    </w:p>
    <w:p>
      <w:pPr>
        <w:pStyle w:val="BookText"/>
        <w:rPr/>
      </w:pPr>
      <w:bookmarkEnd w:id="30"/>
      <w:r>
        <w:rPr>
          <w:rFonts w:ascii="IRNazanin" w:hAnsi="IRNazanin" w:eastAsia="IRNazanin"/>
          <w:color w:val="111111"/>
          <w:sz w:val="28"/>
          <w:sz w:val="28"/>
          <w:szCs w:val="28"/>
          <w:rtl w:val="true"/>
          <w:lang w:bidi="fa-IR"/>
        </w:rPr>
        <w:t>که زمانش کم می‌باشد و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گلایه می کنید؟ این هم نکته‌ای دربارۀ گناه و معصیت</w:t>
      </w:r>
      <w:r>
        <w:rPr>
          <w:rFonts w:eastAsia="IRNazanin" w:cs="IRNazanin"/>
          <w:color w:val="111111"/>
          <w:sz w:val="28"/>
          <w:szCs w:val="28"/>
          <w:rtl w:val="true"/>
          <w:lang w:bidi="fa-IR"/>
        </w:rPr>
        <w:t>.</w:t>
      </w:r>
    </w:p>
    <w:p>
      <w:pPr>
        <w:pStyle w:val="Heading2"/>
        <w:numPr>
          <w:ilvl w:val="1"/>
          <w:numId w:val="1"/>
        </w:numPr>
        <w:rPr/>
      </w:pPr>
      <w:bookmarkStart w:id="31" w:name="__RefHeading___Toc558460_211673320"/>
      <w:bookmarkStart w:id="32" w:name="_Toc11"/>
      <w:bookmarkEnd w:id="31"/>
      <w:r>
        <w:rPr>
          <w:rtl w:val="true"/>
        </w:rPr>
        <w:t>معاشرت با اهل فساد، از نقاط بسیار خطرناک گناه</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نقطه‌های بسیار خطرناک گناه، معاشرت با اهل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می‌خواهند آدم بشوند، به این نقطه هم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پر قیمت کشف الغمۀ علی بن عیسی اربلی که از زیباترین کتاب‌های شیعه است در سه جلد، نقل می‌کند که منصور دوانیقی با خطّ خودش نامه‌ای را برای حضرت صادق علیه السلام نوشت و به پیکی داد تا آن را از بغداد به مدینه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 نامه را در مدینه به امام صادق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نامه را داخل اتاق برد و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نیم خط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تَصْحَبَنَا لِتَنْصَحَنَا؟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نیستی در دربار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بیایی و در میان درباریان ما بنشینیی، چیزی هم از شما نمی‌خواهم جز این که ما را فقط نصیحت کنی همین؟ امام  علیه السلام  که منصور ملعون را می‌شناخت و می‌دانست که او میّت شده و دیگر افقی برایش نمانده که صفات خدا از آن افق طلوع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افراد را نمی‌شناسیم، ولی امام  علیه السلام  که آن‌ها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پیشنهاد منصور، در واقع به هم انسان‌ها، جواب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ارَادَ الدُّنْیَا لَایَنْصَحُکَ </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مادّی‌گرا است؛ کسی که فقط دنبال دلار است و کار دیگری ندارد؛ کسی که تنها دنبال پول است، کاری با خدا، با آخرت، با انبیا ندارد و او فقط دنبال دنیاست و می‌گوید زندگی همین است و باید در این چارچوب، ثروت اندوخت و آن را مصرف کرد و با آن خوش گذراند و سپس مرد و بعد از مردن هم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علیۀ خدا و انبیا هم این حرف‌ها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انبیا، همۀ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نفرشان، 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همۀ آن‌ها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مردن خبرهایی‌است، آن هم خبرهای عظیم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نه خبرهای دست‌کم و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دنبال پول و ثروت هستند و اطراف تو زیادند، هرگز خیرخواهت نیستند، آن‌ها هیچ‌کدام علاقه‌ای به تو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می‌خواهند، تو باشی یا پدرت، و یا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برای آن‌ها موضوعیتی نداری، و امّا انسانی که آخرت را بخواهد، هم‌نشین و هم‌صحبت با تو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یک جلسه هم نمی‌آید با تو بنشیند؛ چون نشستن همان و از دست دادن آخرت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عمومی این سخن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مفسدین حرفه‌ای رفاقت نکنید؛ معاشرت نکنید؛ رفت و آمد نکنید؛ معاشرت با مفسدین، برباددهند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نام امام صادق علیه السلام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علیه السلام، قوی‌ترین و استوارترین</w:t>
      </w:r>
      <w:bookmarkStart w:id="33" w:name="pg82_562"/>
    </w:p>
    <w:p>
      <w:pPr>
        <w:pStyle w:val="BookText"/>
        <w:rPr/>
      </w:pPr>
      <w:bookmarkEnd w:id="33"/>
      <w:r>
        <w:rPr>
          <w:rFonts w:ascii="IRNazanin" w:hAnsi="IRNazanin" w:eastAsia="IRNazanin"/>
          <w:color w:val="111111"/>
          <w:sz w:val="28"/>
          <w:sz w:val="28"/>
          <w:szCs w:val="28"/>
          <w:rtl w:val="true"/>
          <w:lang w:bidi="fa-IR"/>
        </w:rPr>
        <w:t>ترازو را به من داد که من با این ترازو بتوانم اهل‌دنیا و اهل‌آخرت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گناه، معاشرت با مردم بی‌دین و رفت و آمد با خانواده‌های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این رفت و آمدها بعد از این که بیست سال همسران و دختران شما همگام و همراه با عفت و حجاب فاطم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طریق این بی‌دینان، هرچند که اقوامتان باشند، این عفت و حجابشان بر باد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شما اجازه می‌دهد در صورت ترس از اثر مفسدان در زن و بچه‌های‌تان و خودتان، حتی با برادران، پدرانتان و اقوامتان رفت و آمد نکنید</w:t>
      </w:r>
      <w:r>
        <w:rPr>
          <w:rFonts w:eastAsia="IRNazanin" w:cs="IRNazanin"/>
          <w:color w:val="111111"/>
          <w:sz w:val="28"/>
          <w:szCs w:val="28"/>
          <w:rtl w:val="true"/>
          <w:lang w:bidi="fa-IR"/>
        </w:rPr>
        <w:t>.</w:t>
      </w:r>
    </w:p>
    <w:p>
      <w:pPr>
        <w:pStyle w:val="Heading2"/>
        <w:numPr>
          <w:ilvl w:val="1"/>
          <w:numId w:val="1"/>
        </w:numPr>
        <w:rPr/>
      </w:pPr>
      <w:bookmarkStart w:id="34" w:name="__RefHeading___Toc558462_211673320"/>
      <w:bookmarkStart w:id="35" w:name="_Toc12"/>
      <w:bookmarkEnd w:id="34"/>
      <w:r>
        <w:rPr>
          <w:rtl w:val="true"/>
        </w:rPr>
        <w:t>مصعب بن عمیر و گسستن رابطۀ خویشاوندی</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مصعب بن عمیر تک پسر نبود؟ مگر در سن هجده سالگی با ایمان صادقانه به پیامبر  صلی الله علیه و آله وسلم ایمان نیاورد؟ مگر وقتی پای تبلیغ دین در میان آمد، پیغمبر صلی الله علیه و آله این جوان هجده ساله را از مکه صدا نزد و نفرمود، به مدینه برود و دین را آن‌جا تبلیغ کند؛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چند با این هجرت تبلیغی، ممکن است رابطه‌ات با پدر و مادر قطع شود، به او نگفت، برو و هر دو سه ماه، یکبار برگرد، و به پدر و مادرت سری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چند سالی که مدینه بود، پدر و مادرش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سال‌ها یک روز عمویش به مدینه آمد و به نزد پیامبر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نیامده‌ام،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مکه‌ای‌ها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مصعب، برادرزاد من، تک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دوری‌اش دارد دق می‌کند و پدرش هم دارد از فراقش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یک سفر با من به مکه بیاید و پدر و مادرش را ببیند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دنبال مصعب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درحالی که پوست خشک شده گوسفندی را به صورت پیراهن به تنش کرده بود و از شدت نداری، روزها به کارگری می‌رفت و دو درهم مزد می‌گرفت، به نزد پیامبر  صلی الله علیه و آله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پیامبر  صلی الله علیه و آله وسلم  جمع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دو چشم خودم در مکه دیدم که پدر و مادر این جوان بهترین غذا را به او می‌دادند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زیباترین لباس را به او می‌پوشاندند،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نَوَّرَاللهُ قَلْبَهُ بِالاِیمَانِ</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خدا دلش را با ایمان نورانی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 این نور، ببینید او چه نوع زندگی را بر چه نوع زندگی برگزیده است؟ مصعب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فرمایشی دارید؟ پیامبر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مصعبم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کیست؟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است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نود فرسخ راه از مکه آمده و می‌گوید، مادرت دارد دق می‌کند و پدرت دارد سکته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می‌گوید یک سفر تا مکه بیا تا پدر و مادرت تو را ببینند و سپس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کار کنم؛ نمی‌دانم یا رسول‌الله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یا نروم؟ در این گفتگو بودند که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مصعب، متعلّق به من است 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نزد فرشتگانت اسم ما را هم ببری و بگویی این‌ها متعلّق به من هستند تا ما اگر هزار کانال ماهواره است، به سراغشان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همه بدحجاب و بی‌حجاب هست، به سراغشان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مال حرام دریاوار پهن است، به سراغ یک ریالشان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این اجازه را به ما داده که با مفسدین هرچند پدران و مادرانمان باشند، معاشرتی نداشته باشیم، مگر این‌که پدر و مادر کافر باشند، ولی مفسد نباشند، که آن جا را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َاحِبْهُمَا فِی الدُّنْیَا مَعْرُوفاً </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پسندیده با آن‌ها رفتار کنید، اگر پدر و مادری هستند که توان اثرگذاری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چنان‌که گفتیم،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مصعب نرود؛ مصعب متعلّق به من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مقامی دارد این مصعب و عجب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حداقل بیست میلیون زائر، به منطق احد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می‌روند و قبر مصعب را که کنار قبر حمزه سیدالشهداء است، به عنوان شهید راه ایمان، زیارت می‌کنند؛ این است ارزش ایمان، اخلاق، عمل صالح، توبه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الثلاثۀ،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به تحقیق مؤسسه امام مهدی عجّل الله فرجه الشریف،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 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 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صفوان بن مهران کوفی که نام پاکش در بیش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معتبر ذکر شده، مورد علاقۀ وجود مبارک حضرت صادق و حضرت موسی بن جعفر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در این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عالمان رجال‌شناس هم ایشان را تأیید کرده و روایاتش را موثّق دانسته‌اند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سخن امام، سخن برجسته‌ای دربارۀ صفوان است و بدین معنا می‌باشد که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مورد همسر و فرزندت، در برخورد با مردم، در دینت، انحراف نداری و من امام معصوم، تمام اعمالت را می‌پسندم و تو از نظر من خوب هستی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شریک دارای حسب برجسته‌ای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عالم، از ریشه‌های قبیله‌هایی بوده که شاخص‌ترین چهرۀ آن قبیله، وجود مبارک مالک اشتر نخعی رضواان الله تعالی علیه است که امیرمؤمنان علیه السلام درباره‌اش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بعد از او مادری را سراغ ندارم که مانند او را بزاید؛ یعنی تک انسانی است که دیگر نباید به دنبال مثل او گشت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شهابی، ادوار فقه،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إقبال‌الأعمال،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4360</Words>
  <Characters>16927</Characters>
  <CharactersWithSpaces>21177</CharactersWithSpaces>
  <Paragraphs>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2026-08-16T00:36:05Z</dcterms:created>
  <dc:creator>ghaemiyeh.com</dc:creator>
  <dc:description/>
  <dc:language>en-US</dc:language>
  <cp:lastModifiedBy/>
  <dcterms:modified xsi:type="dcterms:W3CDTF">2026-08-16T04:06:06Z</dcterms:modified>
  <cp:revision>1</cp:revision>
  <dc:subject/>
  <dc:title>توبه</dc:title>
</cp:coreProperties>
</file>

<file path=docProps/custom.xml><?xml version="1.0" encoding="utf-8"?>
<Properties xmlns="http://schemas.openxmlformats.org/officeDocument/2006/custom-properties" xmlns:vt="http://schemas.openxmlformats.org/officeDocument/2006/docPropsVTypes"/>
</file>